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B961" w14:textId="4E260C0D" w:rsidR="004736EA" w:rsidRPr="00793F65" w:rsidRDefault="004736EA" w:rsidP="00997E1F">
      <w:pPr>
        <w:pStyle w:val="BodyText"/>
        <w:tabs>
          <w:tab w:val="left" w:pos="567"/>
        </w:tabs>
        <w:ind w:left="567" w:hanging="567"/>
        <w:rPr>
          <w:color w:val="FF0000"/>
          <w:lang w:val="en-US"/>
        </w:rPr>
      </w:pPr>
      <w:bookmarkStart w:id="0" w:name="_Toc536522444"/>
    </w:p>
    <w:p w14:paraId="2FAA9CA5" w14:textId="524D3593" w:rsidR="004736EA" w:rsidRPr="00793F65" w:rsidRDefault="004736EA" w:rsidP="00386B24">
      <w:pPr>
        <w:pStyle w:val="BodyText"/>
        <w:tabs>
          <w:tab w:val="left" w:pos="567"/>
        </w:tabs>
        <w:rPr>
          <w:color w:val="FF0000"/>
          <w:lang w:val="en-US"/>
        </w:rPr>
      </w:pPr>
    </w:p>
    <w:p w14:paraId="770D247C" w14:textId="7423978A" w:rsidR="004736EA" w:rsidRPr="00793F65" w:rsidRDefault="004736EA" w:rsidP="00386B24">
      <w:pPr>
        <w:pStyle w:val="BodyText"/>
        <w:tabs>
          <w:tab w:val="left" w:pos="567"/>
        </w:tabs>
        <w:rPr>
          <w:color w:val="FF0000"/>
          <w:lang w:val="en-US"/>
        </w:rPr>
      </w:pPr>
    </w:p>
    <w:p w14:paraId="64FA6E56" w14:textId="4A739770" w:rsidR="00433F11" w:rsidRPr="00793F65" w:rsidRDefault="00433F11" w:rsidP="00386B24">
      <w:pPr>
        <w:pStyle w:val="BodyText"/>
        <w:tabs>
          <w:tab w:val="left" w:pos="567"/>
        </w:tabs>
        <w:spacing w:before="2"/>
        <w:rPr>
          <w:lang w:val="en-US"/>
        </w:rPr>
      </w:pPr>
    </w:p>
    <w:p w14:paraId="6DE35807" w14:textId="71193CC1" w:rsidR="00433F11" w:rsidRPr="00793F65" w:rsidRDefault="00433F11" w:rsidP="00386B24">
      <w:pPr>
        <w:pStyle w:val="BodyText"/>
        <w:tabs>
          <w:tab w:val="left" w:pos="567"/>
        </w:tabs>
        <w:spacing w:before="2"/>
        <w:rPr>
          <w:lang w:val="en-US"/>
        </w:rPr>
      </w:pPr>
    </w:p>
    <w:p w14:paraId="703CB52A" w14:textId="73356459" w:rsidR="00E76B1A" w:rsidRPr="00793F65" w:rsidRDefault="00E76B1A" w:rsidP="00386B24">
      <w:pPr>
        <w:pStyle w:val="BodyText"/>
        <w:tabs>
          <w:tab w:val="left" w:pos="567"/>
        </w:tabs>
        <w:spacing w:before="2"/>
        <w:rPr>
          <w:lang w:val="en-US"/>
        </w:rPr>
      </w:pPr>
    </w:p>
    <w:p w14:paraId="6257A2AA" w14:textId="61F9564A" w:rsidR="00231D4E" w:rsidRPr="00793F65" w:rsidRDefault="00231D4E" w:rsidP="00386B24">
      <w:pPr>
        <w:pStyle w:val="BodyText"/>
        <w:tabs>
          <w:tab w:val="left" w:pos="567"/>
        </w:tabs>
        <w:spacing w:before="2"/>
        <w:rPr>
          <w:lang w:val="en-US"/>
        </w:rPr>
      </w:pPr>
    </w:p>
    <w:p w14:paraId="3C4986C4" w14:textId="77777777" w:rsidR="00231D4E" w:rsidRPr="00793F65" w:rsidRDefault="00231D4E" w:rsidP="00386B24">
      <w:pPr>
        <w:pStyle w:val="BodyText"/>
        <w:tabs>
          <w:tab w:val="left" w:pos="567"/>
        </w:tabs>
        <w:spacing w:before="2"/>
        <w:rPr>
          <w:lang w:val="en-US"/>
        </w:rPr>
      </w:pPr>
    </w:p>
    <w:p w14:paraId="4B799202" w14:textId="11E33E6E" w:rsidR="00E76B1A" w:rsidRPr="00793F65" w:rsidRDefault="00E76B1A" w:rsidP="00386B24">
      <w:pPr>
        <w:pStyle w:val="BodyText"/>
        <w:tabs>
          <w:tab w:val="left" w:pos="567"/>
        </w:tabs>
        <w:spacing w:before="2"/>
        <w:rPr>
          <w:lang w:val="en-US"/>
        </w:rPr>
      </w:pPr>
    </w:p>
    <w:p w14:paraId="55DEC46C" w14:textId="77777777" w:rsidR="00E76B1A" w:rsidRPr="00793F65" w:rsidRDefault="00E76B1A" w:rsidP="00386B24">
      <w:pPr>
        <w:pStyle w:val="BodyText"/>
        <w:tabs>
          <w:tab w:val="left" w:pos="567"/>
        </w:tabs>
        <w:spacing w:before="2"/>
        <w:rPr>
          <w:lang w:val="en-US"/>
        </w:rPr>
      </w:pPr>
    </w:p>
    <w:p w14:paraId="5AF2C81F" w14:textId="77777777" w:rsidR="00433F11" w:rsidRPr="00793F65" w:rsidRDefault="00433F11" w:rsidP="00386B24">
      <w:pPr>
        <w:pStyle w:val="BodyText"/>
        <w:tabs>
          <w:tab w:val="left" w:pos="567"/>
        </w:tabs>
        <w:spacing w:before="2"/>
        <w:rPr>
          <w:lang w:val="en-US"/>
        </w:rPr>
      </w:pPr>
    </w:p>
    <w:p w14:paraId="170ACE62" w14:textId="77777777" w:rsidR="00E76B1A" w:rsidRPr="00954547" w:rsidRDefault="00E76B1A" w:rsidP="00E76B1A">
      <w:pPr>
        <w:ind w:left="1885" w:right="1896"/>
        <w:jc w:val="center"/>
        <w:rPr>
          <w:rFonts w:ascii="Verdana" w:hAnsi="Verdana"/>
          <w:b/>
          <w:sz w:val="20"/>
          <w:szCs w:val="20"/>
        </w:rPr>
      </w:pPr>
      <w:bookmarkStart w:id="1" w:name="seriec_423_esp"/>
      <w:bookmarkEnd w:id="1"/>
      <w:r w:rsidRPr="00954547">
        <w:rPr>
          <w:rFonts w:ascii="Verdana" w:hAnsi="Verdana"/>
          <w:b/>
          <w:sz w:val="20"/>
          <w:szCs w:val="20"/>
        </w:rPr>
        <w:t>INTER-AMERICAN COURT OF HUMAN RIGHTS</w:t>
      </w:r>
    </w:p>
    <w:p w14:paraId="149C4B5D" w14:textId="60C49872" w:rsidR="00E76B1A" w:rsidRPr="00954547" w:rsidRDefault="00E76B1A" w:rsidP="00E76B1A">
      <w:pPr>
        <w:spacing w:before="7" w:line="480" w:lineRule="atLeast"/>
        <w:ind w:left="1887" w:right="1896"/>
        <w:jc w:val="center"/>
        <w:rPr>
          <w:rFonts w:ascii="Verdana" w:hAnsi="Verdana"/>
          <w:b/>
          <w:sz w:val="20"/>
          <w:szCs w:val="20"/>
        </w:rPr>
      </w:pPr>
      <w:r w:rsidRPr="00954547">
        <w:rPr>
          <w:rFonts w:ascii="Verdana" w:hAnsi="Verdana"/>
          <w:b/>
          <w:sz w:val="20"/>
          <w:szCs w:val="20"/>
        </w:rPr>
        <w:t>CASE OF</w:t>
      </w:r>
      <w:r w:rsidRPr="00954547">
        <w:rPr>
          <w:rFonts w:ascii="Verdana" w:hAnsi="Verdana"/>
          <w:b/>
          <w:spacing w:val="2"/>
          <w:sz w:val="20"/>
          <w:szCs w:val="20"/>
        </w:rPr>
        <w:t xml:space="preserve"> </w:t>
      </w:r>
      <w:r w:rsidRPr="00954547">
        <w:rPr>
          <w:rFonts w:ascii="Verdana" w:hAnsi="Verdana"/>
          <w:b/>
          <w:sz w:val="20"/>
          <w:szCs w:val="20"/>
        </w:rPr>
        <w:t>MANUELA</w:t>
      </w:r>
      <w:r w:rsidRPr="00954547">
        <w:rPr>
          <w:rStyle w:val="FootnoteReference"/>
          <w:rFonts w:ascii="Verdana" w:hAnsi="Verdana"/>
          <w:b/>
          <w:sz w:val="20"/>
          <w:szCs w:val="20"/>
        </w:rPr>
        <w:footnoteReference w:customMarkFollows="1" w:id="1"/>
        <w:t>*</w:t>
      </w:r>
      <w:r w:rsidRPr="00954547">
        <w:rPr>
          <w:rFonts w:ascii="Verdana" w:hAnsi="Verdana"/>
          <w:b/>
          <w:spacing w:val="23"/>
          <w:position w:val="7"/>
          <w:sz w:val="20"/>
          <w:szCs w:val="20"/>
        </w:rPr>
        <w:t xml:space="preserve"> </w:t>
      </w:r>
      <w:r w:rsidRPr="00954547">
        <w:rPr>
          <w:rFonts w:ascii="Verdana" w:hAnsi="Verdana"/>
          <w:b/>
          <w:i/>
          <w:iCs/>
          <w:sz w:val="20"/>
          <w:szCs w:val="20"/>
        </w:rPr>
        <w:t>ET AL. V.</w:t>
      </w:r>
      <w:r w:rsidRPr="00954547">
        <w:rPr>
          <w:rFonts w:ascii="Verdana" w:hAnsi="Verdana"/>
          <w:b/>
          <w:spacing w:val="-1"/>
          <w:sz w:val="20"/>
          <w:szCs w:val="20"/>
        </w:rPr>
        <w:t xml:space="preserve"> </w:t>
      </w:r>
      <w:r w:rsidRPr="00954547">
        <w:rPr>
          <w:rFonts w:ascii="Verdana" w:hAnsi="Verdana"/>
          <w:b/>
          <w:sz w:val="20"/>
          <w:szCs w:val="20"/>
        </w:rPr>
        <w:t>EL</w:t>
      </w:r>
      <w:r w:rsidRPr="00954547">
        <w:rPr>
          <w:rFonts w:ascii="Verdana" w:hAnsi="Verdana"/>
          <w:b/>
          <w:spacing w:val="1"/>
          <w:sz w:val="20"/>
          <w:szCs w:val="20"/>
        </w:rPr>
        <w:t xml:space="preserve"> </w:t>
      </w:r>
      <w:r w:rsidRPr="00954547">
        <w:rPr>
          <w:rFonts w:ascii="Verdana" w:hAnsi="Verdana"/>
          <w:b/>
          <w:sz w:val="20"/>
          <w:szCs w:val="20"/>
        </w:rPr>
        <w:t>SALVADOR</w:t>
      </w:r>
      <w:r w:rsidRPr="00954547">
        <w:rPr>
          <w:rFonts w:ascii="Verdana" w:hAnsi="Verdana"/>
          <w:b/>
          <w:spacing w:val="-66"/>
          <w:sz w:val="20"/>
          <w:szCs w:val="20"/>
        </w:rPr>
        <w:t xml:space="preserve"> </w:t>
      </w:r>
      <w:r w:rsidRPr="00954547">
        <w:rPr>
          <w:rFonts w:ascii="Verdana" w:hAnsi="Verdana"/>
          <w:b/>
          <w:sz w:val="20"/>
          <w:szCs w:val="20"/>
        </w:rPr>
        <w:t>JUDGMENT OF NOVEMBER 2, 2021</w:t>
      </w:r>
    </w:p>
    <w:p w14:paraId="4B03E662" w14:textId="77777777" w:rsidR="00E76B1A" w:rsidRPr="00954547" w:rsidRDefault="00E76B1A" w:rsidP="00E76B1A">
      <w:pPr>
        <w:spacing w:before="6"/>
        <w:ind w:left="205" w:right="214"/>
        <w:jc w:val="center"/>
        <w:rPr>
          <w:rFonts w:ascii="Verdana" w:hAnsi="Verdana"/>
          <w:b/>
          <w:sz w:val="20"/>
          <w:szCs w:val="20"/>
        </w:rPr>
      </w:pPr>
      <w:r w:rsidRPr="00954547">
        <w:rPr>
          <w:rFonts w:ascii="Verdana" w:hAnsi="Verdana"/>
          <w:b/>
          <w:sz w:val="20"/>
          <w:szCs w:val="20"/>
        </w:rPr>
        <w:t>(</w:t>
      </w:r>
      <w:r w:rsidRPr="00954547">
        <w:rPr>
          <w:rFonts w:ascii="Verdana" w:hAnsi="Verdana"/>
          <w:b/>
          <w:i/>
          <w:sz w:val="20"/>
          <w:szCs w:val="20"/>
        </w:rPr>
        <w:t>Preliminary objections, merits, reparations and costs</w:t>
      </w:r>
      <w:r w:rsidRPr="00954547">
        <w:rPr>
          <w:rFonts w:ascii="Verdana" w:hAnsi="Verdana"/>
          <w:b/>
          <w:sz w:val="20"/>
          <w:szCs w:val="20"/>
        </w:rPr>
        <w:t>)</w:t>
      </w:r>
    </w:p>
    <w:p w14:paraId="6895861C" w14:textId="67F3B2D7" w:rsidR="00433F11" w:rsidRPr="00954547" w:rsidRDefault="00433F11" w:rsidP="00386B24">
      <w:pPr>
        <w:tabs>
          <w:tab w:val="left" w:pos="567"/>
        </w:tabs>
      </w:pPr>
    </w:p>
    <w:p w14:paraId="0B20D486" w14:textId="3217ACFA" w:rsidR="00433F11" w:rsidRPr="00954547" w:rsidRDefault="00433F11" w:rsidP="00386B24">
      <w:pPr>
        <w:tabs>
          <w:tab w:val="left" w:pos="567"/>
        </w:tabs>
      </w:pPr>
    </w:p>
    <w:p w14:paraId="5153D2A7" w14:textId="17C536B9" w:rsidR="009A12FA" w:rsidRPr="00954547" w:rsidRDefault="009A12FA" w:rsidP="00386B24">
      <w:pPr>
        <w:tabs>
          <w:tab w:val="left" w:pos="567"/>
        </w:tabs>
      </w:pPr>
    </w:p>
    <w:p w14:paraId="03D119D3" w14:textId="77777777" w:rsidR="009A12FA" w:rsidRPr="00954547" w:rsidRDefault="009A12FA" w:rsidP="00386B24">
      <w:pPr>
        <w:tabs>
          <w:tab w:val="left" w:pos="567"/>
        </w:tabs>
      </w:pPr>
    </w:p>
    <w:p w14:paraId="2487242C" w14:textId="77777777" w:rsidR="00433F11" w:rsidRPr="00954547" w:rsidRDefault="00433F11" w:rsidP="00386B24">
      <w:pPr>
        <w:tabs>
          <w:tab w:val="left" w:pos="567"/>
        </w:tabs>
        <w:jc w:val="both"/>
        <w:rPr>
          <w:rFonts w:ascii="Verdana" w:hAnsi="Verdana"/>
          <w:b/>
          <w:sz w:val="20"/>
          <w:szCs w:val="20"/>
        </w:rPr>
      </w:pPr>
    </w:p>
    <w:p w14:paraId="6F837317" w14:textId="5502276E" w:rsidR="00433F11" w:rsidRPr="00954547" w:rsidRDefault="00E76B1A" w:rsidP="00386B24">
      <w:pPr>
        <w:tabs>
          <w:tab w:val="left" w:pos="567"/>
        </w:tabs>
        <w:jc w:val="both"/>
        <w:rPr>
          <w:rFonts w:ascii="Verdana" w:hAnsi="Verdana"/>
          <w:i/>
          <w:sz w:val="20"/>
          <w:szCs w:val="20"/>
        </w:rPr>
      </w:pPr>
      <w:r w:rsidRPr="00954547">
        <w:rPr>
          <w:rFonts w:ascii="Verdana" w:hAnsi="Verdana"/>
          <w:sz w:val="20"/>
          <w:szCs w:val="20"/>
        </w:rPr>
        <w:t>In the case of</w:t>
      </w:r>
      <w:r w:rsidR="00433F11" w:rsidRPr="00954547">
        <w:rPr>
          <w:rFonts w:ascii="Verdana" w:hAnsi="Verdana"/>
          <w:sz w:val="20"/>
          <w:szCs w:val="20"/>
        </w:rPr>
        <w:t xml:space="preserve"> </w:t>
      </w:r>
      <w:r w:rsidR="00433F11" w:rsidRPr="00954547">
        <w:rPr>
          <w:rFonts w:ascii="Verdana" w:hAnsi="Verdana"/>
          <w:i/>
          <w:sz w:val="20"/>
          <w:szCs w:val="20"/>
        </w:rPr>
        <w:t xml:space="preserve">Manuela </w:t>
      </w:r>
      <w:r w:rsidR="00B8393C" w:rsidRPr="00954547">
        <w:rPr>
          <w:rFonts w:ascii="Verdana" w:hAnsi="Verdana"/>
          <w:i/>
          <w:sz w:val="20"/>
          <w:szCs w:val="20"/>
        </w:rPr>
        <w:t>et al. v.</w:t>
      </w:r>
      <w:r w:rsidR="00433F11" w:rsidRPr="00954547">
        <w:rPr>
          <w:rFonts w:ascii="Verdana" w:hAnsi="Verdana"/>
          <w:i/>
          <w:sz w:val="20"/>
          <w:szCs w:val="20"/>
        </w:rPr>
        <w:t xml:space="preserve"> El Salvador,</w:t>
      </w:r>
    </w:p>
    <w:p w14:paraId="2CF41B5B" w14:textId="3F273D22" w:rsidR="00433F11" w:rsidRPr="00954547" w:rsidRDefault="00E76B1A" w:rsidP="004148F5">
      <w:pPr>
        <w:pStyle w:val="BodyText"/>
        <w:tabs>
          <w:tab w:val="left" w:pos="567"/>
        </w:tabs>
        <w:spacing w:before="179"/>
        <w:ind w:right="-5"/>
        <w:jc w:val="left"/>
        <w:rPr>
          <w:lang w:val="en-US"/>
        </w:rPr>
      </w:pPr>
      <w:r w:rsidRPr="00954547">
        <w:rPr>
          <w:lang w:val="en-US"/>
        </w:rPr>
        <w:t>the Inter-American Court of Human Rights</w:t>
      </w:r>
      <w:r w:rsidR="00433F11" w:rsidRPr="00954547">
        <w:rPr>
          <w:lang w:val="en-US"/>
        </w:rPr>
        <w:t xml:space="preserve"> (</w:t>
      </w:r>
      <w:r w:rsidR="00A42A4C" w:rsidRPr="00954547">
        <w:rPr>
          <w:lang w:val="en-US"/>
        </w:rPr>
        <w:t>hereinafter</w:t>
      </w:r>
      <w:r w:rsidR="00433F11" w:rsidRPr="00954547">
        <w:rPr>
          <w:lang w:val="en-US"/>
        </w:rPr>
        <w:t xml:space="preserve"> “</w:t>
      </w:r>
      <w:r w:rsidRPr="00954547">
        <w:rPr>
          <w:lang w:val="en-US"/>
        </w:rPr>
        <w:t>the Inter-American Court</w:t>
      </w:r>
      <w:r w:rsidR="00433F11" w:rsidRPr="00954547">
        <w:rPr>
          <w:lang w:val="en-US"/>
        </w:rPr>
        <w:t>”</w:t>
      </w:r>
      <w:r w:rsidR="00A42A4C" w:rsidRPr="00954547">
        <w:rPr>
          <w:lang w:val="en-US"/>
        </w:rPr>
        <w:t xml:space="preserve"> or </w:t>
      </w:r>
      <w:r w:rsidR="00433F11" w:rsidRPr="00954547">
        <w:rPr>
          <w:lang w:val="en-US"/>
        </w:rPr>
        <w:t>“</w:t>
      </w:r>
      <w:r w:rsidRPr="00954547">
        <w:rPr>
          <w:lang w:val="en-US"/>
        </w:rPr>
        <w:t>the Court</w:t>
      </w:r>
      <w:r w:rsidR="00433F11" w:rsidRPr="00954547">
        <w:rPr>
          <w:lang w:val="en-US"/>
        </w:rPr>
        <w:t xml:space="preserve">”), </w:t>
      </w:r>
      <w:r w:rsidR="00A42A4C" w:rsidRPr="00954547">
        <w:rPr>
          <w:lang w:val="en-US"/>
        </w:rPr>
        <w:t>composed of the following judges</w:t>
      </w:r>
      <w:r w:rsidR="00433F11" w:rsidRPr="00954547">
        <w:rPr>
          <w:lang w:val="en-US"/>
        </w:rPr>
        <w:t>:</w:t>
      </w:r>
    </w:p>
    <w:p w14:paraId="5F610B87" w14:textId="77777777" w:rsidR="004148F5" w:rsidRPr="00954547" w:rsidRDefault="004148F5" w:rsidP="004148F5">
      <w:pPr>
        <w:pStyle w:val="BodyText"/>
        <w:tabs>
          <w:tab w:val="left" w:pos="567"/>
        </w:tabs>
        <w:ind w:right="-5"/>
        <w:jc w:val="left"/>
        <w:rPr>
          <w:lang w:val="en-US"/>
        </w:rPr>
      </w:pPr>
    </w:p>
    <w:p w14:paraId="3CAE5E08" w14:textId="0DB84A55" w:rsidR="00433F11" w:rsidRPr="00954547" w:rsidRDefault="00433F11" w:rsidP="00386B24">
      <w:pPr>
        <w:pStyle w:val="BodyText"/>
        <w:tabs>
          <w:tab w:val="left" w:pos="567"/>
          <w:tab w:val="left" w:pos="1330"/>
        </w:tabs>
        <w:contextualSpacing/>
        <w:rPr>
          <w:lang w:val="pt-BR"/>
        </w:rPr>
      </w:pPr>
      <w:r w:rsidRPr="00954547">
        <w:rPr>
          <w:lang w:val="pt-BR"/>
        </w:rPr>
        <w:t xml:space="preserve">Elizabeth Odio Benito, </w:t>
      </w:r>
      <w:r w:rsidR="00A42A4C" w:rsidRPr="00954547">
        <w:rPr>
          <w:lang w:val="pt-BR"/>
        </w:rPr>
        <w:t>President</w:t>
      </w:r>
      <w:r w:rsidRPr="00954547">
        <w:rPr>
          <w:lang w:val="pt-BR"/>
        </w:rPr>
        <w:t xml:space="preserve"> </w:t>
      </w:r>
    </w:p>
    <w:p w14:paraId="085A22B7" w14:textId="15CEB4F8" w:rsidR="00433F11" w:rsidRPr="00954547" w:rsidRDefault="00433F11" w:rsidP="00386B24">
      <w:pPr>
        <w:pStyle w:val="BodyText"/>
        <w:tabs>
          <w:tab w:val="left" w:pos="567"/>
          <w:tab w:val="left" w:pos="1330"/>
        </w:tabs>
        <w:contextualSpacing/>
        <w:rPr>
          <w:lang w:val="pt-BR"/>
        </w:rPr>
      </w:pPr>
      <w:r w:rsidRPr="00954547">
        <w:rPr>
          <w:lang w:val="pt-BR"/>
        </w:rPr>
        <w:t>L. Patricio Pazmiño Freire, Vice</w:t>
      </w:r>
      <w:r w:rsidR="00A42A4C" w:rsidRPr="00954547">
        <w:rPr>
          <w:lang w:val="pt-BR"/>
        </w:rPr>
        <w:t xml:space="preserve"> P</w:t>
      </w:r>
      <w:r w:rsidRPr="00954547">
        <w:rPr>
          <w:lang w:val="pt-BR"/>
        </w:rPr>
        <w:t>resident</w:t>
      </w:r>
    </w:p>
    <w:p w14:paraId="04F276BD" w14:textId="36014252" w:rsidR="00433F11" w:rsidRPr="00954547" w:rsidRDefault="00433F11" w:rsidP="00386B24">
      <w:pPr>
        <w:pStyle w:val="BodyText"/>
        <w:tabs>
          <w:tab w:val="left" w:pos="567"/>
          <w:tab w:val="left" w:pos="1330"/>
        </w:tabs>
        <w:contextualSpacing/>
        <w:rPr>
          <w:lang w:val="pt-BR"/>
        </w:rPr>
      </w:pPr>
      <w:r w:rsidRPr="00954547">
        <w:rPr>
          <w:lang w:val="pt-BR"/>
        </w:rPr>
        <w:t xml:space="preserve">Eduardo Vio Grossi, </w:t>
      </w:r>
      <w:r w:rsidR="00A42A4C" w:rsidRPr="00954547">
        <w:rPr>
          <w:lang w:val="pt-BR"/>
        </w:rPr>
        <w:t>Judge</w:t>
      </w:r>
    </w:p>
    <w:p w14:paraId="64C1E33C" w14:textId="695A0E6A" w:rsidR="00433F11" w:rsidRPr="00954547" w:rsidRDefault="00433F11" w:rsidP="00386B24">
      <w:pPr>
        <w:pStyle w:val="BodyText"/>
        <w:tabs>
          <w:tab w:val="left" w:pos="567"/>
          <w:tab w:val="left" w:pos="1330"/>
        </w:tabs>
        <w:contextualSpacing/>
        <w:rPr>
          <w:lang w:val="pt-BR"/>
        </w:rPr>
      </w:pPr>
      <w:r w:rsidRPr="00954547">
        <w:rPr>
          <w:lang w:val="pt-BR"/>
        </w:rPr>
        <w:t xml:space="preserve">Humberto Antonio Sierra Porto, </w:t>
      </w:r>
      <w:r w:rsidR="00A42A4C" w:rsidRPr="00954547">
        <w:rPr>
          <w:lang w:val="pt-BR"/>
        </w:rPr>
        <w:t>Judge</w:t>
      </w:r>
      <w:r w:rsidRPr="00954547">
        <w:rPr>
          <w:lang w:val="pt-BR"/>
        </w:rPr>
        <w:t xml:space="preserve"> </w:t>
      </w:r>
    </w:p>
    <w:p w14:paraId="7D3765EF" w14:textId="3EE7F56A" w:rsidR="00433F11" w:rsidRPr="00954547" w:rsidRDefault="00433F11" w:rsidP="00386B24">
      <w:pPr>
        <w:pStyle w:val="BodyText"/>
        <w:tabs>
          <w:tab w:val="left" w:pos="567"/>
          <w:tab w:val="left" w:pos="1330"/>
        </w:tabs>
        <w:contextualSpacing/>
        <w:rPr>
          <w:lang w:val="pt-BR"/>
        </w:rPr>
      </w:pPr>
      <w:r w:rsidRPr="00954547">
        <w:rPr>
          <w:lang w:val="pt-BR"/>
        </w:rPr>
        <w:t xml:space="preserve">Eduardo Ferrer Mac-Gregor Poisot, </w:t>
      </w:r>
      <w:r w:rsidR="00A42A4C" w:rsidRPr="00954547">
        <w:rPr>
          <w:lang w:val="pt-BR"/>
        </w:rPr>
        <w:t>Judge</w:t>
      </w:r>
      <w:r w:rsidRPr="00954547">
        <w:rPr>
          <w:lang w:val="pt-BR"/>
        </w:rPr>
        <w:t xml:space="preserve"> </w:t>
      </w:r>
    </w:p>
    <w:p w14:paraId="514E8CAA" w14:textId="2EE2910D" w:rsidR="00433F11" w:rsidRPr="00954547" w:rsidRDefault="00433F11" w:rsidP="00386B24">
      <w:pPr>
        <w:pStyle w:val="BodyText"/>
        <w:tabs>
          <w:tab w:val="left" w:pos="567"/>
          <w:tab w:val="left" w:pos="1330"/>
        </w:tabs>
        <w:contextualSpacing/>
        <w:rPr>
          <w:lang w:val="pt-BR"/>
        </w:rPr>
      </w:pPr>
      <w:r w:rsidRPr="00954547">
        <w:rPr>
          <w:lang w:val="pt-BR"/>
        </w:rPr>
        <w:t xml:space="preserve">Eugenio Raúl Zaffaroni, </w:t>
      </w:r>
      <w:r w:rsidR="00A42A4C" w:rsidRPr="00954547">
        <w:rPr>
          <w:lang w:val="pt-BR"/>
        </w:rPr>
        <w:t>Judge</w:t>
      </w:r>
      <w:r w:rsidRPr="00954547">
        <w:rPr>
          <w:lang w:val="pt-BR"/>
        </w:rPr>
        <w:t xml:space="preserve">, </w:t>
      </w:r>
      <w:r w:rsidR="00A42A4C" w:rsidRPr="00954547">
        <w:rPr>
          <w:lang w:val="pt-BR"/>
        </w:rPr>
        <w:t>and</w:t>
      </w:r>
    </w:p>
    <w:p w14:paraId="4D7745ED" w14:textId="375DA75F" w:rsidR="00433F11" w:rsidRPr="00954547" w:rsidRDefault="00433F11" w:rsidP="00386B24">
      <w:pPr>
        <w:pStyle w:val="BodyText"/>
        <w:tabs>
          <w:tab w:val="left" w:pos="567"/>
          <w:tab w:val="left" w:pos="1330"/>
        </w:tabs>
        <w:contextualSpacing/>
        <w:rPr>
          <w:lang w:val="pt-BR"/>
        </w:rPr>
      </w:pPr>
      <w:r w:rsidRPr="00954547">
        <w:rPr>
          <w:lang w:val="pt-BR"/>
        </w:rPr>
        <w:t xml:space="preserve">Ricardo Pérez Manrique, </w:t>
      </w:r>
      <w:r w:rsidR="00A42A4C" w:rsidRPr="00954547">
        <w:rPr>
          <w:lang w:val="pt-BR"/>
        </w:rPr>
        <w:t>Judge</w:t>
      </w:r>
      <w:r w:rsidRPr="00954547">
        <w:rPr>
          <w:lang w:val="pt-BR"/>
        </w:rPr>
        <w:t xml:space="preserve">, </w:t>
      </w:r>
    </w:p>
    <w:p w14:paraId="4C3E1E0B" w14:textId="0FCC3BEA" w:rsidR="00433F11" w:rsidRPr="00954547" w:rsidRDefault="00433F11" w:rsidP="00386B24">
      <w:pPr>
        <w:pStyle w:val="BodyText"/>
        <w:tabs>
          <w:tab w:val="left" w:pos="567"/>
          <w:tab w:val="left" w:pos="1330"/>
        </w:tabs>
        <w:rPr>
          <w:lang w:val="pt-BR"/>
        </w:rPr>
      </w:pPr>
    </w:p>
    <w:p w14:paraId="04AB246D" w14:textId="0FE1CE3A" w:rsidR="00433F11" w:rsidRPr="00954547" w:rsidRDefault="009A12FA" w:rsidP="00386B24">
      <w:pPr>
        <w:pStyle w:val="BodyText"/>
        <w:tabs>
          <w:tab w:val="left" w:pos="567"/>
          <w:tab w:val="left" w:pos="1330"/>
        </w:tabs>
        <w:rPr>
          <w:lang w:val="en-US"/>
        </w:rPr>
      </w:pPr>
      <w:r w:rsidRPr="00954547">
        <w:rPr>
          <w:lang w:val="en-US"/>
        </w:rPr>
        <w:t>also presen</w:t>
      </w:r>
      <w:r w:rsidR="0002566E" w:rsidRPr="00954547">
        <w:rPr>
          <w:lang w:val="en-US"/>
        </w:rPr>
        <w:t>t</w:t>
      </w:r>
      <w:r w:rsidR="00433F11" w:rsidRPr="00954547">
        <w:rPr>
          <w:lang w:val="en-US"/>
        </w:rPr>
        <w:t>,</w:t>
      </w:r>
    </w:p>
    <w:p w14:paraId="3B935259" w14:textId="2CE54540" w:rsidR="00433F11" w:rsidRPr="00954547" w:rsidRDefault="00433F11" w:rsidP="00386B24">
      <w:pPr>
        <w:pStyle w:val="BodyText"/>
        <w:tabs>
          <w:tab w:val="left" w:pos="567"/>
          <w:tab w:val="left" w:pos="1330"/>
        </w:tabs>
        <w:rPr>
          <w:lang w:val="en-US"/>
        </w:rPr>
      </w:pPr>
    </w:p>
    <w:p w14:paraId="21A64D71" w14:textId="067B9473" w:rsidR="00433F11" w:rsidRPr="00954547" w:rsidRDefault="00433F11" w:rsidP="00386B24">
      <w:pPr>
        <w:pStyle w:val="BodyText"/>
        <w:tabs>
          <w:tab w:val="left" w:pos="567"/>
          <w:tab w:val="left" w:pos="1330"/>
        </w:tabs>
        <w:contextualSpacing/>
        <w:rPr>
          <w:lang w:val="en-US"/>
        </w:rPr>
      </w:pPr>
      <w:r w:rsidRPr="00954547">
        <w:rPr>
          <w:lang w:val="en-US"/>
        </w:rPr>
        <w:t xml:space="preserve">Pablo Saavedra Alessandri, </w:t>
      </w:r>
      <w:r w:rsidR="00A42A4C" w:rsidRPr="00954547">
        <w:rPr>
          <w:lang w:val="en-US"/>
        </w:rPr>
        <w:t>Secretary</w:t>
      </w:r>
      <w:r w:rsidRPr="00954547">
        <w:rPr>
          <w:lang w:val="en-US"/>
        </w:rPr>
        <w:t xml:space="preserve">, </w:t>
      </w:r>
      <w:r w:rsidR="00A42A4C" w:rsidRPr="00954547">
        <w:rPr>
          <w:lang w:val="en-US"/>
        </w:rPr>
        <w:t>and</w:t>
      </w:r>
      <w:r w:rsidRPr="00954547">
        <w:rPr>
          <w:lang w:val="en-US"/>
        </w:rPr>
        <w:t xml:space="preserve"> </w:t>
      </w:r>
    </w:p>
    <w:p w14:paraId="03F5ADAA" w14:textId="465B27EE" w:rsidR="00433F11" w:rsidRPr="00954547" w:rsidRDefault="00433F11" w:rsidP="00386B24">
      <w:pPr>
        <w:pStyle w:val="BodyText"/>
        <w:tabs>
          <w:tab w:val="left" w:pos="567"/>
          <w:tab w:val="left" w:pos="1330"/>
        </w:tabs>
        <w:contextualSpacing/>
        <w:rPr>
          <w:lang w:val="en-US"/>
        </w:rPr>
      </w:pPr>
      <w:r w:rsidRPr="00954547">
        <w:rPr>
          <w:lang w:val="en-US"/>
        </w:rPr>
        <w:t xml:space="preserve">Romina I. Sijniensky, </w:t>
      </w:r>
      <w:r w:rsidR="009A12FA" w:rsidRPr="00954547">
        <w:rPr>
          <w:lang w:val="en-US"/>
        </w:rPr>
        <w:t xml:space="preserve">Deputy </w:t>
      </w:r>
      <w:r w:rsidR="00A42A4C" w:rsidRPr="00954547">
        <w:rPr>
          <w:lang w:val="en-US"/>
        </w:rPr>
        <w:t>Secretary</w:t>
      </w:r>
      <w:r w:rsidRPr="00954547">
        <w:rPr>
          <w:lang w:val="en-US"/>
        </w:rPr>
        <w:t>,</w:t>
      </w:r>
    </w:p>
    <w:p w14:paraId="49E627FE" w14:textId="2FC2A731" w:rsidR="00C627FD" w:rsidRPr="00954547" w:rsidRDefault="00C627FD" w:rsidP="00386B24">
      <w:pPr>
        <w:pStyle w:val="BodyText"/>
        <w:tabs>
          <w:tab w:val="left" w:pos="567"/>
          <w:tab w:val="left" w:pos="1330"/>
        </w:tabs>
        <w:contextualSpacing/>
        <w:rPr>
          <w:lang w:val="en-US"/>
        </w:rPr>
      </w:pPr>
    </w:p>
    <w:p w14:paraId="5994D7D8" w14:textId="77777777" w:rsidR="00C627FD" w:rsidRPr="00954547" w:rsidRDefault="00C627FD" w:rsidP="00386B24">
      <w:pPr>
        <w:pStyle w:val="BodyText"/>
        <w:tabs>
          <w:tab w:val="left" w:pos="567"/>
          <w:tab w:val="left" w:pos="1330"/>
        </w:tabs>
        <w:contextualSpacing/>
        <w:rPr>
          <w:lang w:val="en-US"/>
        </w:rPr>
      </w:pPr>
    </w:p>
    <w:p w14:paraId="480B4DE2" w14:textId="77777777" w:rsidR="00E76B1A" w:rsidRPr="00954547" w:rsidRDefault="00E76B1A" w:rsidP="00E76B1A">
      <w:pPr>
        <w:pStyle w:val="BodyText"/>
        <w:ind w:right="123"/>
        <w:rPr>
          <w:lang w:val="en-US"/>
        </w:rPr>
      </w:pPr>
      <w:r w:rsidRPr="00954547">
        <w:rPr>
          <w:lang w:val="en-US"/>
        </w:rPr>
        <w:t>pursuant to Articles 62(3) and 63(1) of the American Convention on Human Rights (hereinafter “the American Convention” or “the Convention”) and Articles 31,</w:t>
      </w:r>
      <w:r w:rsidRPr="00954547">
        <w:rPr>
          <w:spacing w:val="-68"/>
          <w:lang w:val="en-US"/>
        </w:rPr>
        <w:t xml:space="preserve"> </w:t>
      </w:r>
      <w:r w:rsidRPr="00954547">
        <w:rPr>
          <w:lang w:val="en-US"/>
        </w:rPr>
        <w:t>32, 42, 65 and 67 of the Rules of Procedure of the Court (hereinafter “the Rules of Procedure” or “the Court’s Rules of Procedure”), delivers this judgment structured as follows:</w:t>
      </w:r>
    </w:p>
    <w:p w14:paraId="5F05BE6C" w14:textId="615AF6E4" w:rsidR="00C86265" w:rsidRPr="00954547" w:rsidRDefault="00C86265" w:rsidP="00386B24">
      <w:pPr>
        <w:pStyle w:val="BodyText"/>
        <w:tabs>
          <w:tab w:val="left" w:pos="567"/>
          <w:tab w:val="left" w:pos="1330"/>
        </w:tabs>
        <w:rPr>
          <w:lang w:val="en-US"/>
        </w:rPr>
      </w:pPr>
    </w:p>
    <w:p w14:paraId="79BE6536" w14:textId="2CBA9C3A" w:rsidR="00C627FD" w:rsidRPr="00954547" w:rsidRDefault="00C627FD" w:rsidP="00386B24">
      <w:pPr>
        <w:pStyle w:val="BodyText"/>
        <w:tabs>
          <w:tab w:val="left" w:pos="567"/>
          <w:tab w:val="left" w:pos="1330"/>
        </w:tabs>
        <w:rPr>
          <w:lang w:val="en-US"/>
        </w:rPr>
      </w:pPr>
    </w:p>
    <w:p w14:paraId="771F4800" w14:textId="3A5906BC" w:rsidR="00C627FD" w:rsidRPr="00954547" w:rsidRDefault="00C627FD" w:rsidP="00386B24">
      <w:pPr>
        <w:pStyle w:val="BodyText"/>
        <w:tabs>
          <w:tab w:val="left" w:pos="567"/>
          <w:tab w:val="left" w:pos="1330"/>
        </w:tabs>
        <w:rPr>
          <w:lang w:val="en-US"/>
        </w:rPr>
      </w:pPr>
    </w:p>
    <w:bookmarkStart w:id="2" w:name="_bookmark1" w:displacedByCustomXml="next"/>
    <w:bookmarkEnd w:id="2" w:displacedByCustomXml="next"/>
    <w:bookmarkStart w:id="3" w:name="I_INTRODUCCIÓN_DE_LA_CAUSA_Y_OBJETO_DE_L" w:displacedByCustomXml="next"/>
    <w:bookmarkEnd w:id="3" w:displacedByCustomXml="next"/>
    <w:bookmarkStart w:id="4" w:name="_bookmark0" w:displacedByCustomXml="next"/>
    <w:bookmarkEnd w:id="4" w:displacedByCustomXml="next"/>
    <w:sdt>
      <w:sdtPr>
        <w:rPr>
          <w:rFonts w:ascii="Verdana" w:eastAsia="Arial Unicode MS" w:hAnsi="Verdana" w:cs="Times New Roman"/>
          <w:color w:val="auto"/>
          <w:sz w:val="20"/>
          <w:szCs w:val="20"/>
          <w:bdr w:val="nil"/>
          <w:lang w:val="en-US" w:eastAsia="en-US"/>
        </w:rPr>
        <w:id w:val="131689809"/>
        <w:docPartObj>
          <w:docPartGallery w:val="Table of Contents"/>
          <w:docPartUnique/>
        </w:docPartObj>
      </w:sdtPr>
      <w:sdtEndPr>
        <w:rPr>
          <w:b/>
          <w:bCs/>
        </w:rPr>
      </w:sdtEndPr>
      <w:sdtContent>
        <w:p w14:paraId="048D1ED4" w14:textId="6283D829" w:rsidR="00353D5F" w:rsidRPr="00954547" w:rsidRDefault="00B8393C" w:rsidP="00D42BF5">
          <w:pPr>
            <w:pStyle w:val="TOCHeading"/>
            <w:tabs>
              <w:tab w:val="left" w:pos="567"/>
            </w:tabs>
            <w:jc w:val="center"/>
            <w:rPr>
              <w:rFonts w:ascii="Verdana" w:hAnsi="Verdana"/>
              <w:b/>
              <w:color w:val="auto"/>
              <w:sz w:val="20"/>
              <w:szCs w:val="20"/>
              <w:lang w:val="en-US"/>
            </w:rPr>
          </w:pPr>
          <w:r w:rsidRPr="00954547">
            <w:rPr>
              <w:rFonts w:ascii="Verdana" w:hAnsi="Verdana"/>
              <w:b/>
              <w:color w:val="auto"/>
              <w:sz w:val="20"/>
              <w:szCs w:val="20"/>
              <w:lang w:val="en-US"/>
            </w:rPr>
            <w:t>TABLE OF CONTENTS</w:t>
          </w:r>
        </w:p>
        <w:p w14:paraId="0BAEB16B" w14:textId="77777777" w:rsidR="00353D5F" w:rsidRPr="00954547" w:rsidRDefault="00353D5F" w:rsidP="00D42BF5">
          <w:pPr>
            <w:tabs>
              <w:tab w:val="left" w:pos="426"/>
            </w:tabs>
            <w:jc w:val="both"/>
            <w:rPr>
              <w:rFonts w:ascii="Verdana" w:hAnsi="Verdana"/>
              <w:sz w:val="20"/>
              <w:szCs w:val="20"/>
              <w:lang w:eastAsia="es-CR"/>
            </w:rPr>
          </w:pPr>
        </w:p>
        <w:p w14:paraId="2CE1ECF3" w14:textId="1E073CBC" w:rsidR="00495D80" w:rsidRPr="00954547" w:rsidRDefault="00353D5F">
          <w:pPr>
            <w:pStyle w:val="TOC1"/>
            <w:rPr>
              <w:rFonts w:ascii="Verdana" w:eastAsiaTheme="minorEastAsia" w:hAnsi="Verdana" w:cstheme="minorBidi"/>
              <w:noProof/>
              <w:sz w:val="20"/>
              <w:szCs w:val="20"/>
              <w:bdr w:val="none" w:sz="0" w:space="0" w:color="auto"/>
            </w:rPr>
          </w:pPr>
          <w:r w:rsidRPr="00954547">
            <w:rPr>
              <w:rFonts w:ascii="Verdana" w:hAnsi="Verdana"/>
              <w:sz w:val="20"/>
              <w:szCs w:val="20"/>
            </w:rPr>
            <w:fldChar w:fldCharType="begin"/>
          </w:r>
          <w:r w:rsidRPr="00954547">
            <w:rPr>
              <w:rFonts w:ascii="Verdana" w:hAnsi="Verdana"/>
              <w:sz w:val="20"/>
              <w:szCs w:val="20"/>
            </w:rPr>
            <w:instrText xml:space="preserve"> TOC \o "1-3" \h \z \u </w:instrText>
          </w:r>
          <w:r w:rsidRPr="00954547">
            <w:rPr>
              <w:rFonts w:ascii="Verdana" w:hAnsi="Verdana"/>
              <w:sz w:val="20"/>
              <w:szCs w:val="20"/>
            </w:rPr>
            <w:fldChar w:fldCharType="separate"/>
          </w:r>
          <w:hyperlink w:anchor="_Toc106353878" w:history="1">
            <w:r w:rsidR="00495D80" w:rsidRPr="00954547">
              <w:rPr>
                <w:rStyle w:val="Hyperlink"/>
                <w:rFonts w:ascii="Verdana" w:hAnsi="Verdana"/>
                <w:noProof/>
                <w:sz w:val="20"/>
                <w:szCs w:val="20"/>
              </w:rPr>
              <w:t>I INTRODUCTION OF THE CASE AND PURPOSE OF THE DISPUTE</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_Toc106353878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4</w:t>
            </w:r>
            <w:r w:rsidR="00495D80" w:rsidRPr="00954547">
              <w:rPr>
                <w:rFonts w:ascii="Verdana" w:hAnsi="Verdana"/>
                <w:noProof/>
                <w:webHidden/>
                <w:sz w:val="20"/>
                <w:szCs w:val="20"/>
              </w:rPr>
              <w:fldChar w:fldCharType="end"/>
            </w:r>
          </w:hyperlink>
        </w:p>
        <w:p w14:paraId="724BF6AC" w14:textId="3E84376C" w:rsidR="00495D80" w:rsidRPr="00954547" w:rsidRDefault="007759F2">
          <w:pPr>
            <w:pStyle w:val="TOC1"/>
            <w:rPr>
              <w:rFonts w:ascii="Verdana" w:eastAsiaTheme="minorEastAsia" w:hAnsi="Verdana" w:cstheme="minorBidi"/>
              <w:noProof/>
              <w:sz w:val="20"/>
              <w:szCs w:val="20"/>
              <w:bdr w:val="none" w:sz="0" w:space="0" w:color="auto"/>
            </w:rPr>
          </w:pPr>
          <w:hyperlink w:anchor="_Toc106353879" w:history="1">
            <w:r w:rsidR="00495D80" w:rsidRPr="00954547">
              <w:rPr>
                <w:rStyle w:val="Hyperlink"/>
                <w:rFonts w:ascii="Verdana" w:hAnsi="Verdana"/>
                <w:noProof/>
                <w:sz w:val="20"/>
                <w:szCs w:val="20"/>
              </w:rPr>
              <w:t>II PROCEEDINGS BEFORE THE COURT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_Toc106353879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5</w:t>
            </w:r>
            <w:r w:rsidR="00495D80" w:rsidRPr="00954547">
              <w:rPr>
                <w:rFonts w:ascii="Verdana" w:hAnsi="Verdana"/>
                <w:noProof/>
                <w:webHidden/>
                <w:sz w:val="20"/>
                <w:szCs w:val="20"/>
              </w:rPr>
              <w:fldChar w:fldCharType="end"/>
            </w:r>
          </w:hyperlink>
        </w:p>
        <w:p w14:paraId="674320DD" w14:textId="7E568A57" w:rsidR="00495D80" w:rsidRPr="00954547" w:rsidRDefault="007759F2">
          <w:pPr>
            <w:pStyle w:val="TOC1"/>
            <w:rPr>
              <w:rFonts w:ascii="Verdana" w:eastAsiaTheme="minorEastAsia" w:hAnsi="Verdana" w:cstheme="minorBidi"/>
              <w:noProof/>
              <w:sz w:val="20"/>
              <w:szCs w:val="20"/>
              <w:bdr w:val="none" w:sz="0" w:space="0" w:color="auto"/>
            </w:rPr>
          </w:pPr>
          <w:hyperlink w:anchor="_Toc106353880" w:history="1">
            <w:r w:rsidR="00495D80" w:rsidRPr="00954547">
              <w:rPr>
                <w:rStyle w:val="Hyperlink"/>
                <w:rFonts w:ascii="Verdana" w:hAnsi="Verdana"/>
                <w:noProof/>
                <w:sz w:val="20"/>
                <w:szCs w:val="20"/>
              </w:rPr>
              <w:t>III JURISDICTION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_Toc106353880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11</w:t>
            </w:r>
            <w:r w:rsidR="00495D80" w:rsidRPr="00954547">
              <w:rPr>
                <w:rFonts w:ascii="Verdana" w:hAnsi="Verdana"/>
                <w:noProof/>
                <w:webHidden/>
                <w:sz w:val="20"/>
                <w:szCs w:val="20"/>
              </w:rPr>
              <w:fldChar w:fldCharType="end"/>
            </w:r>
          </w:hyperlink>
        </w:p>
        <w:p w14:paraId="1550AC35" w14:textId="5B728577" w:rsidR="00495D80" w:rsidRPr="00954547" w:rsidRDefault="007759F2">
          <w:pPr>
            <w:pStyle w:val="TOC1"/>
            <w:rPr>
              <w:rFonts w:ascii="Verdana" w:eastAsiaTheme="minorEastAsia" w:hAnsi="Verdana" w:cstheme="minorBidi"/>
              <w:noProof/>
              <w:sz w:val="20"/>
              <w:szCs w:val="20"/>
              <w:bdr w:val="none" w:sz="0" w:space="0" w:color="auto"/>
            </w:rPr>
          </w:pPr>
          <w:hyperlink w:anchor="_Toc106353881" w:history="1">
            <w:r w:rsidR="00495D80" w:rsidRPr="00954547">
              <w:rPr>
                <w:rStyle w:val="Hyperlink"/>
                <w:rFonts w:ascii="Verdana" w:hAnsi="Verdana"/>
                <w:noProof/>
                <w:sz w:val="20"/>
                <w:szCs w:val="20"/>
              </w:rPr>
              <w:t>IV PRELIMINARY OBJECTIONS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_Toc106353881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11</w:t>
            </w:r>
            <w:r w:rsidR="00495D80" w:rsidRPr="00954547">
              <w:rPr>
                <w:rFonts w:ascii="Verdana" w:hAnsi="Verdana"/>
                <w:noProof/>
                <w:webHidden/>
                <w:sz w:val="20"/>
                <w:szCs w:val="20"/>
              </w:rPr>
              <w:fldChar w:fldCharType="end"/>
            </w:r>
          </w:hyperlink>
        </w:p>
        <w:p w14:paraId="52EB32A3" w14:textId="17A3A034" w:rsidR="00495D80" w:rsidRPr="00954547" w:rsidRDefault="007759F2">
          <w:pPr>
            <w:pStyle w:val="TOC2"/>
            <w:rPr>
              <w:rFonts w:ascii="Verdana" w:eastAsiaTheme="minorEastAsia" w:hAnsi="Verdana" w:cstheme="minorBidi"/>
              <w:noProof/>
              <w:sz w:val="20"/>
              <w:szCs w:val="20"/>
              <w:bdr w:val="none" w:sz="0" w:space="0" w:color="auto"/>
            </w:rPr>
          </w:pPr>
          <w:hyperlink w:anchor="_Toc106353882" w:history="1">
            <w:r w:rsidR="00495D80" w:rsidRPr="00954547">
              <w:rPr>
                <w:rStyle w:val="Hyperlink"/>
                <w:rFonts w:ascii="Verdana" w:hAnsi="Verdana"/>
                <w:noProof/>
                <w:sz w:val="20"/>
                <w:szCs w:val="20"/>
              </w:rPr>
              <w:t>A.</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Alleged time-barred presentation of the petition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_Toc106353882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11</w:t>
            </w:r>
            <w:r w:rsidR="00495D80" w:rsidRPr="00954547">
              <w:rPr>
                <w:rFonts w:ascii="Verdana" w:hAnsi="Verdana"/>
                <w:noProof/>
                <w:webHidden/>
                <w:sz w:val="20"/>
                <w:szCs w:val="20"/>
              </w:rPr>
              <w:fldChar w:fldCharType="end"/>
            </w:r>
          </w:hyperlink>
        </w:p>
        <w:p w14:paraId="240278B3" w14:textId="3CA2023D" w:rsidR="00495D80" w:rsidRPr="00954547" w:rsidRDefault="007759F2">
          <w:pPr>
            <w:pStyle w:val="TOC3"/>
            <w:rPr>
              <w:rFonts w:ascii="Verdana" w:eastAsiaTheme="minorEastAsia" w:hAnsi="Verdana" w:cstheme="minorBidi"/>
              <w:noProof/>
              <w:sz w:val="20"/>
              <w:szCs w:val="20"/>
              <w:bdr w:val="none" w:sz="0" w:space="0" w:color="auto"/>
            </w:rPr>
          </w:pPr>
          <w:hyperlink w:anchor="_Toc106353883" w:history="1">
            <w:r w:rsidR="00495D80" w:rsidRPr="00954547">
              <w:rPr>
                <w:rStyle w:val="Hyperlink"/>
                <w:rFonts w:ascii="Verdana" w:hAnsi="Verdana"/>
                <w:noProof/>
                <w:sz w:val="20"/>
                <w:szCs w:val="20"/>
              </w:rPr>
              <w:t xml:space="preserve">A.1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Arguments of the parties and the Commission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_Toc106353883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12</w:t>
            </w:r>
            <w:r w:rsidR="00495D80" w:rsidRPr="00954547">
              <w:rPr>
                <w:rFonts w:ascii="Verdana" w:hAnsi="Verdana"/>
                <w:noProof/>
                <w:webHidden/>
                <w:sz w:val="20"/>
                <w:szCs w:val="20"/>
              </w:rPr>
              <w:fldChar w:fldCharType="end"/>
            </w:r>
          </w:hyperlink>
        </w:p>
        <w:p w14:paraId="0DDD2A92" w14:textId="693537A3" w:rsidR="00495D80" w:rsidRPr="00954547" w:rsidRDefault="007759F2">
          <w:pPr>
            <w:pStyle w:val="TOC3"/>
            <w:rPr>
              <w:rFonts w:ascii="Verdana" w:eastAsiaTheme="minorEastAsia" w:hAnsi="Verdana" w:cstheme="minorBidi"/>
              <w:noProof/>
              <w:sz w:val="20"/>
              <w:szCs w:val="20"/>
              <w:bdr w:val="none" w:sz="0" w:space="0" w:color="auto"/>
            </w:rPr>
          </w:pPr>
          <w:hyperlink w:anchor="_Toc106353884" w:history="1">
            <w:r w:rsidR="00495D80" w:rsidRPr="00954547">
              <w:rPr>
                <w:rStyle w:val="Hyperlink"/>
                <w:rFonts w:ascii="Verdana" w:hAnsi="Verdana"/>
                <w:noProof/>
                <w:sz w:val="20"/>
                <w:szCs w:val="20"/>
              </w:rPr>
              <w:t xml:space="preserve">A.2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Considerations of the Court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_Toc106353884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12</w:t>
            </w:r>
            <w:r w:rsidR="00495D80" w:rsidRPr="00954547">
              <w:rPr>
                <w:rFonts w:ascii="Verdana" w:hAnsi="Verdana"/>
                <w:noProof/>
                <w:webHidden/>
                <w:sz w:val="20"/>
                <w:szCs w:val="20"/>
              </w:rPr>
              <w:fldChar w:fldCharType="end"/>
            </w:r>
          </w:hyperlink>
        </w:p>
        <w:p w14:paraId="78B6D7B6" w14:textId="70EAFDB3" w:rsidR="00495D80" w:rsidRPr="00954547" w:rsidRDefault="007759F2">
          <w:pPr>
            <w:pStyle w:val="TOC2"/>
            <w:rPr>
              <w:rFonts w:ascii="Verdana" w:eastAsiaTheme="minorEastAsia" w:hAnsi="Verdana" w:cstheme="minorBidi"/>
              <w:noProof/>
              <w:sz w:val="20"/>
              <w:szCs w:val="20"/>
              <w:bdr w:val="none" w:sz="0" w:space="0" w:color="auto"/>
            </w:rPr>
          </w:pPr>
          <w:hyperlink w:anchor="_Toc106353885" w:history="1">
            <w:r w:rsidR="00495D80" w:rsidRPr="00954547">
              <w:rPr>
                <w:rStyle w:val="Hyperlink"/>
                <w:rFonts w:ascii="Verdana" w:hAnsi="Verdana"/>
                <w:noProof/>
                <w:sz w:val="20"/>
                <w:szCs w:val="20"/>
              </w:rPr>
              <w:t>B.</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Commission’s alleged failure to assess the progress made in complying with the Merits Report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_Toc106353885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13</w:t>
            </w:r>
            <w:r w:rsidR="00495D80" w:rsidRPr="00954547">
              <w:rPr>
                <w:rFonts w:ascii="Verdana" w:hAnsi="Verdana"/>
                <w:noProof/>
                <w:webHidden/>
                <w:sz w:val="20"/>
                <w:szCs w:val="20"/>
              </w:rPr>
              <w:fldChar w:fldCharType="end"/>
            </w:r>
          </w:hyperlink>
        </w:p>
        <w:p w14:paraId="197E558F" w14:textId="478E132F" w:rsidR="00495D80" w:rsidRPr="00954547" w:rsidRDefault="007759F2">
          <w:pPr>
            <w:pStyle w:val="TOC3"/>
            <w:rPr>
              <w:rFonts w:ascii="Verdana" w:eastAsiaTheme="minorEastAsia" w:hAnsi="Verdana" w:cstheme="minorBidi"/>
              <w:noProof/>
              <w:sz w:val="20"/>
              <w:szCs w:val="20"/>
              <w:bdr w:val="none" w:sz="0" w:space="0" w:color="auto"/>
            </w:rPr>
          </w:pPr>
          <w:hyperlink w:anchor="_Toc106353886" w:history="1">
            <w:r w:rsidR="00495D80" w:rsidRPr="00954547">
              <w:rPr>
                <w:rStyle w:val="Hyperlink"/>
                <w:rFonts w:ascii="Verdana" w:hAnsi="Verdana"/>
                <w:noProof/>
                <w:sz w:val="20"/>
                <w:szCs w:val="20"/>
              </w:rPr>
              <w:t xml:space="preserve">B.1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Arguments of the parties and the Commission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_Toc106353886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13</w:t>
            </w:r>
            <w:r w:rsidR="00495D80" w:rsidRPr="00954547">
              <w:rPr>
                <w:rFonts w:ascii="Verdana" w:hAnsi="Verdana"/>
                <w:noProof/>
                <w:webHidden/>
                <w:sz w:val="20"/>
                <w:szCs w:val="20"/>
              </w:rPr>
              <w:fldChar w:fldCharType="end"/>
            </w:r>
          </w:hyperlink>
        </w:p>
        <w:p w14:paraId="1EA50CEB" w14:textId="255CD29B" w:rsidR="00495D80" w:rsidRPr="00954547" w:rsidRDefault="007759F2">
          <w:pPr>
            <w:pStyle w:val="TOC3"/>
            <w:rPr>
              <w:rFonts w:ascii="Verdana" w:eastAsiaTheme="minorEastAsia" w:hAnsi="Verdana" w:cstheme="minorBidi"/>
              <w:noProof/>
              <w:sz w:val="20"/>
              <w:szCs w:val="20"/>
              <w:bdr w:val="none" w:sz="0" w:space="0" w:color="auto"/>
            </w:rPr>
          </w:pPr>
          <w:hyperlink w:anchor="_Toc106353887" w:history="1">
            <w:r w:rsidR="00495D80" w:rsidRPr="00954547">
              <w:rPr>
                <w:rStyle w:val="Hyperlink"/>
                <w:rFonts w:ascii="Verdana" w:hAnsi="Verdana"/>
                <w:noProof/>
                <w:sz w:val="20"/>
                <w:szCs w:val="20"/>
              </w:rPr>
              <w:t xml:space="preserve">B.2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Considerations of the Court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_Toc106353887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13</w:t>
            </w:r>
            <w:r w:rsidR="00495D80" w:rsidRPr="00954547">
              <w:rPr>
                <w:rFonts w:ascii="Verdana" w:hAnsi="Verdana"/>
                <w:noProof/>
                <w:webHidden/>
                <w:sz w:val="20"/>
                <w:szCs w:val="20"/>
              </w:rPr>
              <w:fldChar w:fldCharType="end"/>
            </w:r>
          </w:hyperlink>
        </w:p>
        <w:p w14:paraId="3CED4F2A" w14:textId="5B5BBD22" w:rsidR="00495D80" w:rsidRPr="00954547" w:rsidRDefault="007759F2">
          <w:pPr>
            <w:pStyle w:val="TOC1"/>
            <w:rPr>
              <w:rFonts w:ascii="Verdana" w:eastAsiaTheme="minorEastAsia" w:hAnsi="Verdana" w:cstheme="minorBidi"/>
              <w:noProof/>
              <w:sz w:val="20"/>
              <w:szCs w:val="20"/>
              <w:bdr w:val="none" w:sz="0" w:space="0" w:color="auto"/>
            </w:rPr>
          </w:pPr>
          <w:hyperlink w:anchor="_Toc106353888" w:history="1">
            <w:r w:rsidR="00495D80" w:rsidRPr="00954547">
              <w:rPr>
                <w:rStyle w:val="Hyperlink"/>
                <w:rFonts w:ascii="Verdana" w:hAnsi="Verdana"/>
                <w:noProof/>
                <w:sz w:val="20"/>
                <w:szCs w:val="20"/>
              </w:rPr>
              <w:t>V PRELIMINARY CONSIDERATION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_Toc106353888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14</w:t>
            </w:r>
            <w:r w:rsidR="00495D80" w:rsidRPr="00954547">
              <w:rPr>
                <w:rFonts w:ascii="Verdana" w:hAnsi="Verdana"/>
                <w:noProof/>
                <w:webHidden/>
                <w:sz w:val="20"/>
                <w:szCs w:val="20"/>
              </w:rPr>
              <w:fldChar w:fldCharType="end"/>
            </w:r>
          </w:hyperlink>
        </w:p>
        <w:p w14:paraId="7702D625" w14:textId="14ECE344" w:rsidR="00495D80" w:rsidRPr="00954547" w:rsidRDefault="007759F2">
          <w:pPr>
            <w:pStyle w:val="TOC2"/>
            <w:rPr>
              <w:rFonts w:ascii="Verdana" w:eastAsiaTheme="minorEastAsia" w:hAnsi="Verdana" w:cstheme="minorBidi"/>
              <w:noProof/>
              <w:sz w:val="20"/>
              <w:szCs w:val="20"/>
              <w:bdr w:val="none" w:sz="0" w:space="0" w:color="auto"/>
            </w:rPr>
          </w:pPr>
          <w:hyperlink w:anchor="_Toc106353889" w:history="1">
            <w:r w:rsidR="00495D80" w:rsidRPr="00954547">
              <w:rPr>
                <w:rStyle w:val="Hyperlink"/>
                <w:rFonts w:ascii="Verdana" w:hAnsi="Verdana"/>
                <w:noProof/>
                <w:sz w:val="20"/>
                <w:szCs w:val="20"/>
              </w:rPr>
              <w:t>A.</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Arguments of the parties and the Commission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_Toc106353889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14</w:t>
            </w:r>
            <w:r w:rsidR="00495D80" w:rsidRPr="00954547">
              <w:rPr>
                <w:rFonts w:ascii="Verdana" w:hAnsi="Verdana"/>
                <w:noProof/>
                <w:webHidden/>
                <w:sz w:val="20"/>
                <w:szCs w:val="20"/>
              </w:rPr>
              <w:fldChar w:fldCharType="end"/>
            </w:r>
          </w:hyperlink>
        </w:p>
        <w:p w14:paraId="42DE4C1E" w14:textId="08F3ECD1" w:rsidR="00495D80" w:rsidRPr="00954547" w:rsidRDefault="007759F2">
          <w:pPr>
            <w:pStyle w:val="TOC2"/>
            <w:rPr>
              <w:rFonts w:ascii="Verdana" w:eastAsiaTheme="minorEastAsia" w:hAnsi="Verdana" w:cstheme="minorBidi"/>
              <w:noProof/>
              <w:sz w:val="20"/>
              <w:szCs w:val="20"/>
              <w:bdr w:val="none" w:sz="0" w:space="0" w:color="auto"/>
            </w:rPr>
          </w:pPr>
          <w:hyperlink w:anchor="_Toc106353890" w:history="1">
            <w:r w:rsidR="00495D80" w:rsidRPr="00954547">
              <w:rPr>
                <w:rStyle w:val="Hyperlink"/>
                <w:rFonts w:ascii="Verdana" w:hAnsi="Verdana"/>
                <w:noProof/>
                <w:sz w:val="20"/>
                <w:szCs w:val="20"/>
              </w:rPr>
              <w:t>B.</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Considerations of the Court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_Toc106353890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14</w:t>
            </w:r>
            <w:r w:rsidR="00495D80" w:rsidRPr="00954547">
              <w:rPr>
                <w:rFonts w:ascii="Verdana" w:hAnsi="Verdana"/>
                <w:noProof/>
                <w:webHidden/>
                <w:sz w:val="20"/>
                <w:szCs w:val="20"/>
              </w:rPr>
              <w:fldChar w:fldCharType="end"/>
            </w:r>
          </w:hyperlink>
        </w:p>
        <w:p w14:paraId="651AEC58" w14:textId="312B7A07" w:rsidR="00495D80" w:rsidRPr="00954547" w:rsidRDefault="007759F2">
          <w:pPr>
            <w:pStyle w:val="TOC1"/>
            <w:rPr>
              <w:rFonts w:ascii="Verdana" w:eastAsiaTheme="minorEastAsia" w:hAnsi="Verdana" w:cstheme="minorBidi"/>
              <w:noProof/>
              <w:sz w:val="20"/>
              <w:szCs w:val="20"/>
              <w:bdr w:val="none" w:sz="0" w:space="0" w:color="auto"/>
            </w:rPr>
          </w:pPr>
          <w:hyperlink w:anchor="_Toc106353891" w:history="1">
            <w:r w:rsidR="00495D80" w:rsidRPr="00954547">
              <w:rPr>
                <w:rStyle w:val="Hyperlink"/>
                <w:rFonts w:ascii="Verdana" w:hAnsi="Verdana"/>
                <w:noProof/>
                <w:sz w:val="20"/>
                <w:szCs w:val="20"/>
              </w:rPr>
              <w:t>VI EVIDENCE</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_Toc106353891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15</w:t>
            </w:r>
            <w:r w:rsidR="00495D80" w:rsidRPr="00954547">
              <w:rPr>
                <w:rFonts w:ascii="Verdana" w:hAnsi="Verdana"/>
                <w:noProof/>
                <w:webHidden/>
                <w:sz w:val="20"/>
                <w:szCs w:val="20"/>
              </w:rPr>
              <w:fldChar w:fldCharType="end"/>
            </w:r>
          </w:hyperlink>
        </w:p>
        <w:p w14:paraId="54E9D6D1" w14:textId="34DACED1" w:rsidR="00495D80" w:rsidRPr="00954547" w:rsidRDefault="007759F2">
          <w:pPr>
            <w:pStyle w:val="TOC2"/>
            <w:rPr>
              <w:rFonts w:ascii="Verdana" w:eastAsiaTheme="minorEastAsia" w:hAnsi="Verdana" w:cstheme="minorBidi"/>
              <w:noProof/>
              <w:sz w:val="20"/>
              <w:szCs w:val="20"/>
              <w:bdr w:val="none" w:sz="0" w:space="0" w:color="auto"/>
            </w:rPr>
          </w:pPr>
          <w:hyperlink w:anchor="_Toc106353892" w:history="1">
            <w:r w:rsidR="00495D80" w:rsidRPr="00954547">
              <w:rPr>
                <w:rStyle w:val="Hyperlink"/>
                <w:rFonts w:ascii="Verdana" w:hAnsi="Verdana"/>
                <w:noProof/>
                <w:sz w:val="20"/>
                <w:szCs w:val="20"/>
              </w:rPr>
              <w:t>A.</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Admissibility of the documentary evidence</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_Toc106353892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15</w:t>
            </w:r>
            <w:r w:rsidR="00495D80" w:rsidRPr="00954547">
              <w:rPr>
                <w:rFonts w:ascii="Verdana" w:hAnsi="Verdana"/>
                <w:noProof/>
                <w:webHidden/>
                <w:sz w:val="20"/>
                <w:szCs w:val="20"/>
              </w:rPr>
              <w:fldChar w:fldCharType="end"/>
            </w:r>
          </w:hyperlink>
        </w:p>
        <w:p w14:paraId="29E2EA84" w14:textId="41603192" w:rsidR="00495D80" w:rsidRPr="00954547" w:rsidRDefault="007759F2">
          <w:pPr>
            <w:pStyle w:val="TOC2"/>
            <w:rPr>
              <w:rFonts w:ascii="Verdana" w:eastAsiaTheme="minorEastAsia" w:hAnsi="Verdana" w:cstheme="minorBidi"/>
              <w:noProof/>
              <w:sz w:val="20"/>
              <w:szCs w:val="20"/>
              <w:bdr w:val="none" w:sz="0" w:space="0" w:color="auto"/>
            </w:rPr>
          </w:pPr>
          <w:hyperlink w:anchor="_Toc106353893" w:history="1">
            <w:r w:rsidR="00495D80" w:rsidRPr="00954547">
              <w:rPr>
                <w:rStyle w:val="Hyperlink"/>
                <w:rFonts w:ascii="Verdana" w:hAnsi="Verdana"/>
                <w:noProof/>
                <w:sz w:val="20"/>
                <w:szCs w:val="20"/>
              </w:rPr>
              <w:t>B.</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Admissibility of the statements offered</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_Toc106353893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16</w:t>
            </w:r>
            <w:r w:rsidR="00495D80" w:rsidRPr="00954547">
              <w:rPr>
                <w:rFonts w:ascii="Verdana" w:hAnsi="Verdana"/>
                <w:noProof/>
                <w:webHidden/>
                <w:sz w:val="20"/>
                <w:szCs w:val="20"/>
              </w:rPr>
              <w:fldChar w:fldCharType="end"/>
            </w:r>
          </w:hyperlink>
        </w:p>
        <w:p w14:paraId="014B9496" w14:textId="0404EC78" w:rsidR="00495D80" w:rsidRPr="00954547" w:rsidRDefault="007759F2">
          <w:pPr>
            <w:pStyle w:val="TOC1"/>
            <w:rPr>
              <w:rFonts w:ascii="Verdana" w:eastAsiaTheme="minorEastAsia" w:hAnsi="Verdana" w:cstheme="minorBidi"/>
              <w:noProof/>
              <w:sz w:val="20"/>
              <w:szCs w:val="20"/>
              <w:bdr w:val="none" w:sz="0" w:space="0" w:color="auto"/>
            </w:rPr>
          </w:pPr>
          <w:hyperlink w:anchor="_Toc106353894" w:history="1">
            <w:r w:rsidR="00495D80" w:rsidRPr="00954547">
              <w:rPr>
                <w:rStyle w:val="Hyperlink"/>
                <w:rFonts w:ascii="Verdana" w:hAnsi="Verdana"/>
                <w:noProof/>
                <w:sz w:val="20"/>
                <w:szCs w:val="20"/>
              </w:rPr>
              <w:t>VII FACTS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_Toc106353894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16</w:t>
            </w:r>
            <w:r w:rsidR="00495D80" w:rsidRPr="00954547">
              <w:rPr>
                <w:rFonts w:ascii="Verdana" w:hAnsi="Verdana"/>
                <w:noProof/>
                <w:webHidden/>
                <w:sz w:val="20"/>
                <w:szCs w:val="20"/>
              </w:rPr>
              <w:fldChar w:fldCharType="end"/>
            </w:r>
          </w:hyperlink>
        </w:p>
        <w:p w14:paraId="4B8FEEAC" w14:textId="611A6547" w:rsidR="00495D80" w:rsidRPr="00954547" w:rsidRDefault="007759F2">
          <w:pPr>
            <w:pStyle w:val="TOC2"/>
            <w:rPr>
              <w:rFonts w:ascii="Verdana" w:eastAsiaTheme="minorEastAsia" w:hAnsi="Verdana" w:cstheme="minorBidi"/>
              <w:noProof/>
              <w:sz w:val="20"/>
              <w:szCs w:val="20"/>
              <w:bdr w:val="none" w:sz="0" w:space="0" w:color="auto"/>
            </w:rPr>
          </w:pPr>
          <w:hyperlink w:anchor="_Toc106353895" w:history="1">
            <w:r w:rsidR="00495D80" w:rsidRPr="00954547">
              <w:rPr>
                <w:rStyle w:val="Hyperlink"/>
                <w:rFonts w:ascii="Verdana" w:hAnsi="Verdana"/>
                <w:noProof/>
                <w:sz w:val="20"/>
                <w:szCs w:val="20"/>
              </w:rPr>
              <w:t>A.</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Factual framework</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_Toc106353895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16</w:t>
            </w:r>
            <w:r w:rsidR="00495D80" w:rsidRPr="00954547">
              <w:rPr>
                <w:rFonts w:ascii="Verdana" w:hAnsi="Verdana"/>
                <w:noProof/>
                <w:webHidden/>
                <w:sz w:val="20"/>
                <w:szCs w:val="20"/>
              </w:rPr>
              <w:fldChar w:fldCharType="end"/>
            </w:r>
          </w:hyperlink>
        </w:p>
        <w:p w14:paraId="6BC40E74" w14:textId="08965FB6" w:rsidR="00495D80" w:rsidRPr="00954547" w:rsidRDefault="007759F2">
          <w:pPr>
            <w:pStyle w:val="TOC2"/>
            <w:rPr>
              <w:rFonts w:ascii="Verdana" w:eastAsiaTheme="minorEastAsia" w:hAnsi="Verdana" w:cstheme="minorBidi"/>
              <w:noProof/>
              <w:sz w:val="20"/>
              <w:szCs w:val="20"/>
              <w:bdr w:val="none" w:sz="0" w:space="0" w:color="auto"/>
            </w:rPr>
          </w:pPr>
          <w:hyperlink w:anchor="_Toc106353896" w:history="1">
            <w:r w:rsidR="00495D80" w:rsidRPr="00954547">
              <w:rPr>
                <w:rStyle w:val="Hyperlink"/>
                <w:rFonts w:ascii="Verdana" w:hAnsi="Verdana"/>
                <w:noProof/>
                <w:sz w:val="20"/>
                <w:szCs w:val="20"/>
              </w:rPr>
              <w:t>B.</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Factual context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_Toc106353896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18</w:t>
            </w:r>
            <w:r w:rsidR="00495D80" w:rsidRPr="00954547">
              <w:rPr>
                <w:rFonts w:ascii="Verdana" w:hAnsi="Verdana"/>
                <w:noProof/>
                <w:webHidden/>
                <w:sz w:val="20"/>
                <w:szCs w:val="20"/>
              </w:rPr>
              <w:fldChar w:fldCharType="end"/>
            </w:r>
          </w:hyperlink>
        </w:p>
        <w:p w14:paraId="5B6B78DE" w14:textId="0B681E2B" w:rsidR="00495D80" w:rsidRPr="00954547" w:rsidRDefault="007759F2">
          <w:pPr>
            <w:pStyle w:val="TOC2"/>
            <w:rPr>
              <w:rFonts w:ascii="Verdana" w:eastAsiaTheme="minorEastAsia" w:hAnsi="Verdana" w:cstheme="minorBidi"/>
              <w:noProof/>
              <w:sz w:val="20"/>
              <w:szCs w:val="20"/>
              <w:bdr w:val="none" w:sz="0" w:space="0" w:color="auto"/>
            </w:rPr>
          </w:pPr>
          <w:hyperlink w:anchor="_Toc106353897" w:history="1">
            <w:r w:rsidR="00495D80" w:rsidRPr="00954547">
              <w:rPr>
                <w:rStyle w:val="Hyperlink"/>
                <w:rFonts w:ascii="Verdana" w:hAnsi="Verdana"/>
                <w:noProof/>
                <w:sz w:val="20"/>
                <w:szCs w:val="20"/>
              </w:rPr>
              <w:t>C.</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Manuela and her family unit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_Toc106353897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20</w:t>
            </w:r>
            <w:r w:rsidR="00495D80" w:rsidRPr="00954547">
              <w:rPr>
                <w:rFonts w:ascii="Verdana" w:hAnsi="Verdana"/>
                <w:noProof/>
                <w:webHidden/>
                <w:sz w:val="20"/>
                <w:szCs w:val="20"/>
              </w:rPr>
              <w:fldChar w:fldCharType="end"/>
            </w:r>
          </w:hyperlink>
        </w:p>
        <w:p w14:paraId="4508B8E3" w14:textId="7FB8B51C" w:rsidR="00495D80" w:rsidRPr="00954547" w:rsidRDefault="007759F2">
          <w:pPr>
            <w:pStyle w:val="TOC2"/>
            <w:rPr>
              <w:rFonts w:ascii="Verdana" w:eastAsiaTheme="minorEastAsia" w:hAnsi="Verdana" w:cstheme="minorBidi"/>
              <w:noProof/>
              <w:sz w:val="20"/>
              <w:szCs w:val="20"/>
              <w:bdr w:val="none" w:sz="0" w:space="0" w:color="auto"/>
            </w:rPr>
          </w:pPr>
          <w:hyperlink w:anchor="_Toc106353898" w:history="1">
            <w:r w:rsidR="00495D80" w:rsidRPr="00954547">
              <w:rPr>
                <w:rStyle w:val="Hyperlink"/>
                <w:rFonts w:ascii="Verdana" w:hAnsi="Verdana"/>
                <w:noProof/>
                <w:sz w:val="20"/>
                <w:szCs w:val="20"/>
              </w:rPr>
              <w:t>D.</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Manuela’s pregnancy</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_Toc106353898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21</w:t>
            </w:r>
            <w:r w:rsidR="00495D80" w:rsidRPr="00954547">
              <w:rPr>
                <w:rFonts w:ascii="Verdana" w:hAnsi="Verdana"/>
                <w:noProof/>
                <w:webHidden/>
                <w:sz w:val="20"/>
                <w:szCs w:val="20"/>
              </w:rPr>
              <w:fldChar w:fldCharType="end"/>
            </w:r>
          </w:hyperlink>
        </w:p>
        <w:p w14:paraId="7AA9A6F1" w14:textId="2D9E84EF" w:rsidR="00495D80" w:rsidRPr="00954547" w:rsidRDefault="007759F2">
          <w:pPr>
            <w:pStyle w:val="TOC2"/>
            <w:rPr>
              <w:rFonts w:ascii="Verdana" w:eastAsiaTheme="minorEastAsia" w:hAnsi="Verdana" w:cstheme="minorBidi"/>
              <w:noProof/>
              <w:sz w:val="20"/>
              <w:szCs w:val="20"/>
              <w:bdr w:val="none" w:sz="0" w:space="0" w:color="auto"/>
            </w:rPr>
          </w:pPr>
          <w:hyperlink w:anchor="_Toc106353899" w:history="1">
            <w:r w:rsidR="00495D80" w:rsidRPr="00954547">
              <w:rPr>
                <w:rStyle w:val="Hyperlink"/>
                <w:rFonts w:ascii="Verdana" w:hAnsi="Verdana"/>
                <w:noProof/>
                <w:sz w:val="20"/>
                <w:szCs w:val="20"/>
              </w:rPr>
              <w:t>E.</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medical treatment of the obstetric emergency</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_Toc106353899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21</w:t>
            </w:r>
            <w:r w:rsidR="00495D80" w:rsidRPr="00954547">
              <w:rPr>
                <w:rFonts w:ascii="Verdana" w:hAnsi="Verdana"/>
                <w:noProof/>
                <w:webHidden/>
                <w:sz w:val="20"/>
                <w:szCs w:val="20"/>
              </w:rPr>
              <w:fldChar w:fldCharType="end"/>
            </w:r>
          </w:hyperlink>
        </w:p>
        <w:p w14:paraId="59765A85" w14:textId="096FB7A4" w:rsidR="00495D80" w:rsidRPr="00954547" w:rsidRDefault="007759F2">
          <w:pPr>
            <w:pStyle w:val="TOC2"/>
            <w:rPr>
              <w:rFonts w:ascii="Verdana" w:eastAsiaTheme="minorEastAsia" w:hAnsi="Verdana" w:cstheme="minorBidi"/>
              <w:noProof/>
              <w:sz w:val="20"/>
              <w:szCs w:val="20"/>
              <w:bdr w:val="none" w:sz="0" w:space="0" w:color="auto"/>
            </w:rPr>
          </w:pPr>
          <w:hyperlink w:anchor="_Toc106353900" w:history="1">
            <w:r w:rsidR="00495D80" w:rsidRPr="00954547">
              <w:rPr>
                <w:rStyle w:val="Hyperlink"/>
                <w:rFonts w:ascii="Verdana" w:hAnsi="Verdana"/>
                <w:noProof/>
                <w:sz w:val="20"/>
                <w:szCs w:val="20"/>
              </w:rPr>
              <w:t>F.</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criminal prosecution of Manuela</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_Toc106353900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22</w:t>
            </w:r>
            <w:r w:rsidR="00495D80" w:rsidRPr="00954547">
              <w:rPr>
                <w:rFonts w:ascii="Verdana" w:hAnsi="Verdana"/>
                <w:noProof/>
                <w:webHidden/>
                <w:sz w:val="20"/>
                <w:szCs w:val="20"/>
              </w:rPr>
              <w:fldChar w:fldCharType="end"/>
            </w:r>
          </w:hyperlink>
        </w:p>
        <w:p w14:paraId="2C7B7A9B" w14:textId="6CCA1B2F" w:rsidR="00495D80" w:rsidRPr="00954547" w:rsidRDefault="007759F2">
          <w:pPr>
            <w:pStyle w:val="TOC2"/>
            <w:rPr>
              <w:rFonts w:ascii="Verdana" w:eastAsiaTheme="minorEastAsia" w:hAnsi="Verdana" w:cstheme="minorBidi"/>
              <w:noProof/>
              <w:sz w:val="20"/>
              <w:szCs w:val="20"/>
              <w:bdr w:val="none" w:sz="0" w:space="0" w:color="auto"/>
            </w:rPr>
          </w:pPr>
          <w:hyperlink w:anchor="_Toc106353901" w:history="1">
            <w:r w:rsidR="00495D80" w:rsidRPr="00954547">
              <w:rPr>
                <w:rStyle w:val="Hyperlink"/>
                <w:rFonts w:ascii="Verdana" w:hAnsi="Verdana"/>
                <w:noProof/>
                <w:sz w:val="20"/>
                <w:szCs w:val="20"/>
              </w:rPr>
              <w:t>G.</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presumed victim’s detention and subsequent investigation procedures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_Toc106353901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24</w:t>
            </w:r>
            <w:r w:rsidR="00495D80" w:rsidRPr="00954547">
              <w:rPr>
                <w:rFonts w:ascii="Verdana" w:hAnsi="Verdana"/>
                <w:noProof/>
                <w:webHidden/>
                <w:sz w:val="20"/>
                <w:szCs w:val="20"/>
              </w:rPr>
              <w:fldChar w:fldCharType="end"/>
            </w:r>
          </w:hyperlink>
        </w:p>
        <w:p w14:paraId="181B616E" w14:textId="30D924F4" w:rsidR="00495D80" w:rsidRPr="00954547" w:rsidRDefault="007759F2">
          <w:pPr>
            <w:pStyle w:val="TOC2"/>
            <w:rPr>
              <w:rFonts w:ascii="Verdana" w:eastAsiaTheme="minorEastAsia" w:hAnsi="Verdana" w:cstheme="minorBidi"/>
              <w:noProof/>
              <w:sz w:val="20"/>
              <w:szCs w:val="20"/>
              <w:bdr w:val="none" w:sz="0" w:space="0" w:color="auto"/>
            </w:rPr>
          </w:pPr>
          <w:hyperlink w:anchor="_Toc106353902" w:history="1">
            <w:r w:rsidR="00495D80" w:rsidRPr="00954547">
              <w:rPr>
                <w:rStyle w:val="Hyperlink"/>
                <w:rFonts w:ascii="Verdana" w:hAnsi="Verdana"/>
                <w:noProof/>
                <w:sz w:val="20"/>
                <w:szCs w:val="20"/>
              </w:rPr>
              <w:t>H.</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Manuela’s trial</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_Toc106353902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26</w:t>
            </w:r>
            <w:r w:rsidR="00495D80" w:rsidRPr="00954547">
              <w:rPr>
                <w:rFonts w:ascii="Verdana" w:hAnsi="Verdana"/>
                <w:noProof/>
                <w:webHidden/>
                <w:sz w:val="20"/>
                <w:szCs w:val="20"/>
              </w:rPr>
              <w:fldChar w:fldCharType="end"/>
            </w:r>
          </w:hyperlink>
        </w:p>
        <w:p w14:paraId="6D75799F" w14:textId="57FFA4EF" w:rsidR="00495D80" w:rsidRPr="00954547" w:rsidRDefault="007759F2">
          <w:pPr>
            <w:pStyle w:val="TOC2"/>
            <w:rPr>
              <w:rFonts w:ascii="Verdana" w:eastAsiaTheme="minorEastAsia" w:hAnsi="Verdana" w:cstheme="minorBidi"/>
              <w:noProof/>
              <w:sz w:val="20"/>
              <w:szCs w:val="20"/>
              <w:bdr w:val="none" w:sz="0" w:space="0" w:color="auto"/>
            </w:rPr>
          </w:pPr>
          <w:hyperlink w:anchor="_Toc106353903" w:history="1">
            <w:r w:rsidR="00495D80" w:rsidRPr="00954547">
              <w:rPr>
                <w:rStyle w:val="Hyperlink"/>
                <w:rFonts w:ascii="Verdana" w:hAnsi="Verdana"/>
                <w:noProof/>
                <w:sz w:val="20"/>
                <w:szCs w:val="20"/>
              </w:rPr>
              <w:t>I.</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Guilty verdict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_Toc106353903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27</w:t>
            </w:r>
            <w:r w:rsidR="00495D80" w:rsidRPr="00954547">
              <w:rPr>
                <w:rFonts w:ascii="Verdana" w:hAnsi="Verdana"/>
                <w:noProof/>
                <w:webHidden/>
                <w:sz w:val="20"/>
                <w:szCs w:val="20"/>
              </w:rPr>
              <w:fldChar w:fldCharType="end"/>
            </w:r>
          </w:hyperlink>
        </w:p>
        <w:p w14:paraId="4EC7BF99" w14:textId="63BF3E3B" w:rsidR="00495D80" w:rsidRPr="00954547" w:rsidRDefault="007759F2">
          <w:pPr>
            <w:pStyle w:val="TOC2"/>
            <w:rPr>
              <w:rFonts w:ascii="Verdana" w:eastAsiaTheme="minorEastAsia" w:hAnsi="Verdana" w:cstheme="minorBidi"/>
              <w:noProof/>
              <w:sz w:val="20"/>
              <w:szCs w:val="20"/>
              <w:bdr w:val="none" w:sz="0" w:space="0" w:color="auto"/>
            </w:rPr>
          </w:pPr>
          <w:hyperlink w:anchor="_Toc106353904" w:history="1">
            <w:r w:rsidR="00495D80" w:rsidRPr="00954547">
              <w:rPr>
                <w:rStyle w:val="Hyperlink"/>
                <w:rFonts w:ascii="Verdana" w:hAnsi="Verdana"/>
                <w:noProof/>
                <w:sz w:val="20"/>
                <w:szCs w:val="20"/>
              </w:rPr>
              <w:t>J.</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Situation of the presumed victim’s health while deprived of liberty</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_Toc106353904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28</w:t>
            </w:r>
            <w:r w:rsidR="00495D80" w:rsidRPr="00954547">
              <w:rPr>
                <w:rFonts w:ascii="Verdana" w:hAnsi="Verdana"/>
                <w:noProof/>
                <w:webHidden/>
                <w:sz w:val="20"/>
                <w:szCs w:val="20"/>
              </w:rPr>
              <w:fldChar w:fldCharType="end"/>
            </w:r>
          </w:hyperlink>
        </w:p>
        <w:p w14:paraId="600E2DB7" w14:textId="71C140D8" w:rsidR="00495D80" w:rsidRPr="00954547" w:rsidRDefault="007759F2">
          <w:pPr>
            <w:pStyle w:val="TOC2"/>
            <w:rPr>
              <w:rFonts w:ascii="Verdana" w:eastAsiaTheme="minorEastAsia" w:hAnsi="Verdana" w:cstheme="minorBidi"/>
              <w:noProof/>
              <w:sz w:val="20"/>
              <w:szCs w:val="20"/>
              <w:bdr w:val="none" w:sz="0" w:space="0" w:color="auto"/>
            </w:rPr>
          </w:pPr>
          <w:hyperlink w:anchor="_Toc106353905" w:history="1">
            <w:r w:rsidR="00495D80" w:rsidRPr="00954547">
              <w:rPr>
                <w:rStyle w:val="Hyperlink"/>
                <w:rFonts w:ascii="Verdana" w:hAnsi="Verdana"/>
                <w:noProof/>
                <w:sz w:val="20"/>
                <w:szCs w:val="20"/>
              </w:rPr>
              <w:t>K.</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Subsequent judicial remedies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_Toc106353905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29</w:t>
            </w:r>
            <w:r w:rsidR="00495D80" w:rsidRPr="00954547">
              <w:rPr>
                <w:rFonts w:ascii="Verdana" w:hAnsi="Verdana"/>
                <w:noProof/>
                <w:webHidden/>
                <w:sz w:val="20"/>
                <w:szCs w:val="20"/>
              </w:rPr>
              <w:fldChar w:fldCharType="end"/>
            </w:r>
          </w:hyperlink>
        </w:p>
        <w:p w14:paraId="1AFCBD38" w14:textId="71F5F0A6" w:rsidR="00495D80" w:rsidRPr="00954547" w:rsidRDefault="007759F2">
          <w:pPr>
            <w:pStyle w:val="TOC1"/>
            <w:rPr>
              <w:rFonts w:ascii="Verdana" w:eastAsiaTheme="minorEastAsia" w:hAnsi="Verdana" w:cstheme="minorBidi"/>
              <w:noProof/>
              <w:sz w:val="20"/>
              <w:szCs w:val="20"/>
              <w:bdr w:val="none" w:sz="0" w:space="0" w:color="auto"/>
            </w:rPr>
          </w:pPr>
          <w:hyperlink w:anchor="_Toc106353906" w:history="1">
            <w:r w:rsidR="00495D80" w:rsidRPr="00954547">
              <w:rPr>
                <w:rStyle w:val="Hyperlink"/>
                <w:rFonts w:ascii="Verdana" w:hAnsi="Verdana"/>
                <w:noProof/>
                <w:sz w:val="20"/>
                <w:szCs w:val="20"/>
              </w:rPr>
              <w:t>VIII MERITS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_Toc106353906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30</w:t>
            </w:r>
            <w:r w:rsidR="00495D80" w:rsidRPr="00954547">
              <w:rPr>
                <w:rFonts w:ascii="Verdana" w:hAnsi="Verdana"/>
                <w:noProof/>
                <w:webHidden/>
                <w:sz w:val="20"/>
                <w:szCs w:val="20"/>
              </w:rPr>
              <w:fldChar w:fldCharType="end"/>
            </w:r>
          </w:hyperlink>
        </w:p>
        <w:p w14:paraId="6CF3CADC" w14:textId="2FAEE81D" w:rsidR="00495D80" w:rsidRPr="00954547" w:rsidRDefault="007759F2">
          <w:pPr>
            <w:pStyle w:val="TOC1"/>
            <w:rPr>
              <w:rFonts w:ascii="Verdana" w:eastAsiaTheme="minorEastAsia" w:hAnsi="Verdana" w:cstheme="minorBidi"/>
              <w:noProof/>
              <w:sz w:val="20"/>
              <w:szCs w:val="20"/>
              <w:bdr w:val="none" w:sz="0" w:space="0" w:color="auto"/>
            </w:rPr>
          </w:pPr>
          <w:hyperlink w:anchor="_Toc106353907" w:history="1">
            <w:r w:rsidR="00495D80" w:rsidRPr="00954547">
              <w:rPr>
                <w:rStyle w:val="Hyperlink"/>
                <w:rFonts w:ascii="Verdana" w:hAnsi="Verdana"/>
                <w:noProof/>
                <w:sz w:val="20"/>
                <w:szCs w:val="20"/>
              </w:rPr>
              <w:t>VIII-1 RIGHTS TO PERSONAL LIBERTY AND PRESUMPTION OF INNOCENCE IN RELATION TO THE OBLIGATIONS TO RESPECT RIGHTS AND TO ADOPT DOMESTIC LEGAL PROVISIONS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_Toc106353907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30</w:t>
            </w:r>
            <w:r w:rsidR="00495D80" w:rsidRPr="00954547">
              <w:rPr>
                <w:rFonts w:ascii="Verdana" w:hAnsi="Verdana"/>
                <w:noProof/>
                <w:webHidden/>
                <w:sz w:val="20"/>
                <w:szCs w:val="20"/>
              </w:rPr>
              <w:fldChar w:fldCharType="end"/>
            </w:r>
          </w:hyperlink>
        </w:p>
        <w:p w14:paraId="5FBA38A1" w14:textId="2817B567" w:rsidR="00495D80" w:rsidRPr="00954547" w:rsidRDefault="007759F2">
          <w:pPr>
            <w:pStyle w:val="TOC2"/>
            <w:rPr>
              <w:rFonts w:ascii="Verdana" w:eastAsiaTheme="minorEastAsia" w:hAnsi="Verdana" w:cstheme="minorBidi"/>
              <w:noProof/>
              <w:sz w:val="20"/>
              <w:szCs w:val="20"/>
              <w:bdr w:val="none" w:sz="0" w:space="0" w:color="auto"/>
            </w:rPr>
          </w:pPr>
          <w:hyperlink w:anchor="_Toc106353908" w:history="1">
            <w:r w:rsidR="00495D80" w:rsidRPr="00954547">
              <w:rPr>
                <w:rStyle w:val="Hyperlink"/>
                <w:rFonts w:ascii="Verdana" w:hAnsi="Verdana"/>
                <w:noProof/>
                <w:sz w:val="20"/>
                <w:szCs w:val="20"/>
              </w:rPr>
              <w:t>A.</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Arguments of the parties and the Commission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_Toc106353908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30</w:t>
            </w:r>
            <w:r w:rsidR="00495D80" w:rsidRPr="00954547">
              <w:rPr>
                <w:rFonts w:ascii="Verdana" w:hAnsi="Verdana"/>
                <w:noProof/>
                <w:webHidden/>
                <w:sz w:val="20"/>
                <w:szCs w:val="20"/>
              </w:rPr>
              <w:fldChar w:fldCharType="end"/>
            </w:r>
          </w:hyperlink>
        </w:p>
        <w:p w14:paraId="061B691C" w14:textId="2D5A58AF" w:rsidR="00495D80" w:rsidRPr="00954547" w:rsidRDefault="007759F2">
          <w:pPr>
            <w:pStyle w:val="TOC2"/>
            <w:rPr>
              <w:rFonts w:ascii="Verdana" w:eastAsiaTheme="minorEastAsia" w:hAnsi="Verdana" w:cstheme="minorBidi"/>
              <w:noProof/>
              <w:sz w:val="20"/>
              <w:szCs w:val="20"/>
              <w:bdr w:val="none" w:sz="0" w:space="0" w:color="auto"/>
            </w:rPr>
          </w:pPr>
          <w:hyperlink w:anchor="_Toc106353909" w:history="1">
            <w:r w:rsidR="00495D80" w:rsidRPr="00954547">
              <w:rPr>
                <w:rStyle w:val="Hyperlink"/>
                <w:rFonts w:ascii="Verdana" w:hAnsi="Verdana"/>
                <w:noProof/>
                <w:sz w:val="20"/>
                <w:szCs w:val="20"/>
              </w:rPr>
              <w:t>B.</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Considerations of the Court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_Toc106353909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31</w:t>
            </w:r>
            <w:r w:rsidR="00495D80" w:rsidRPr="00954547">
              <w:rPr>
                <w:rFonts w:ascii="Verdana" w:hAnsi="Verdana"/>
                <w:noProof/>
                <w:webHidden/>
                <w:sz w:val="20"/>
                <w:szCs w:val="20"/>
              </w:rPr>
              <w:fldChar w:fldCharType="end"/>
            </w:r>
          </w:hyperlink>
        </w:p>
        <w:p w14:paraId="649C0ADF" w14:textId="3B277D45" w:rsidR="00495D80" w:rsidRPr="00954547" w:rsidRDefault="007759F2">
          <w:pPr>
            <w:pStyle w:val="TOC1"/>
            <w:rPr>
              <w:rFonts w:ascii="Verdana" w:eastAsiaTheme="minorEastAsia" w:hAnsi="Verdana" w:cstheme="minorBidi"/>
              <w:noProof/>
              <w:sz w:val="20"/>
              <w:szCs w:val="20"/>
              <w:bdr w:val="none" w:sz="0" w:space="0" w:color="auto"/>
            </w:rPr>
          </w:pPr>
          <w:hyperlink w:anchor="_Toc106353910" w:history="1">
            <w:r w:rsidR="00495D80" w:rsidRPr="00954547">
              <w:rPr>
                <w:rStyle w:val="Hyperlink"/>
                <w:rFonts w:ascii="Verdana" w:hAnsi="Verdana"/>
                <w:noProof/>
                <w:sz w:val="20"/>
                <w:szCs w:val="20"/>
              </w:rPr>
              <w:t>VIII-2 RIGHTS TO JUDICIAL GUARANTEES, PERSONAL INTEGRITY AND EQUALITY BEFORE THE LAW, IN RELATION TO THE OBLIGATIONS TO RESPECT RIGHTS WITHOUT DISCRIMINATION AND TO ADOPT DOMESTIC LEGAL PROVISIONS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_Toc106353910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35</w:t>
            </w:r>
            <w:r w:rsidR="00495D80" w:rsidRPr="00954547">
              <w:rPr>
                <w:rFonts w:ascii="Verdana" w:hAnsi="Verdana"/>
                <w:noProof/>
                <w:webHidden/>
                <w:sz w:val="20"/>
                <w:szCs w:val="20"/>
              </w:rPr>
              <w:fldChar w:fldCharType="end"/>
            </w:r>
          </w:hyperlink>
        </w:p>
        <w:p w14:paraId="5159F396" w14:textId="3C62D4DB" w:rsidR="00495D80" w:rsidRPr="00954547" w:rsidRDefault="007759F2">
          <w:pPr>
            <w:pStyle w:val="TOC2"/>
            <w:rPr>
              <w:rFonts w:ascii="Verdana" w:eastAsiaTheme="minorEastAsia" w:hAnsi="Verdana" w:cstheme="minorBidi"/>
              <w:noProof/>
              <w:sz w:val="20"/>
              <w:szCs w:val="20"/>
              <w:bdr w:val="none" w:sz="0" w:space="0" w:color="auto"/>
            </w:rPr>
          </w:pPr>
          <w:hyperlink w:anchor="_Toc106353911" w:history="1">
            <w:r w:rsidR="00495D80" w:rsidRPr="00954547">
              <w:rPr>
                <w:rStyle w:val="Hyperlink"/>
                <w:rFonts w:ascii="Verdana" w:hAnsi="Verdana"/>
                <w:noProof/>
                <w:sz w:val="20"/>
                <w:szCs w:val="20"/>
              </w:rPr>
              <w:t>A.</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Arguments of the parties and the Commission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_Toc106353911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35</w:t>
            </w:r>
            <w:r w:rsidR="00495D80" w:rsidRPr="00954547">
              <w:rPr>
                <w:rFonts w:ascii="Verdana" w:hAnsi="Verdana"/>
                <w:noProof/>
                <w:webHidden/>
                <w:sz w:val="20"/>
                <w:szCs w:val="20"/>
              </w:rPr>
              <w:fldChar w:fldCharType="end"/>
            </w:r>
          </w:hyperlink>
        </w:p>
        <w:p w14:paraId="02E2B4E3" w14:textId="4D06BB2D" w:rsidR="00495D80" w:rsidRPr="00954547" w:rsidRDefault="007759F2">
          <w:pPr>
            <w:pStyle w:val="TOC2"/>
            <w:rPr>
              <w:rFonts w:ascii="Verdana" w:eastAsiaTheme="minorEastAsia" w:hAnsi="Verdana" w:cstheme="minorBidi"/>
              <w:noProof/>
              <w:sz w:val="20"/>
              <w:szCs w:val="20"/>
              <w:bdr w:val="none" w:sz="0" w:space="0" w:color="auto"/>
            </w:rPr>
          </w:pPr>
          <w:hyperlink w:anchor="_Toc106353912" w:history="1">
            <w:r w:rsidR="00495D80" w:rsidRPr="00954547">
              <w:rPr>
                <w:rStyle w:val="Hyperlink"/>
                <w:rFonts w:ascii="Verdana" w:hAnsi="Verdana"/>
                <w:noProof/>
                <w:sz w:val="20"/>
                <w:szCs w:val="20"/>
              </w:rPr>
              <w:t>B.</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Considerations of the Court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_Toc106353912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37</w:t>
            </w:r>
            <w:r w:rsidR="00495D80" w:rsidRPr="00954547">
              <w:rPr>
                <w:rFonts w:ascii="Verdana" w:hAnsi="Verdana"/>
                <w:noProof/>
                <w:webHidden/>
                <w:sz w:val="20"/>
                <w:szCs w:val="20"/>
              </w:rPr>
              <w:fldChar w:fldCharType="end"/>
            </w:r>
          </w:hyperlink>
        </w:p>
        <w:p w14:paraId="4E421173" w14:textId="5205C381" w:rsidR="00495D80" w:rsidRPr="00954547" w:rsidRDefault="007759F2">
          <w:pPr>
            <w:pStyle w:val="TOC3"/>
            <w:rPr>
              <w:rFonts w:ascii="Verdana" w:eastAsiaTheme="minorEastAsia" w:hAnsi="Verdana" w:cstheme="minorBidi"/>
              <w:noProof/>
              <w:sz w:val="20"/>
              <w:szCs w:val="20"/>
              <w:bdr w:val="none" w:sz="0" w:space="0" w:color="auto"/>
            </w:rPr>
          </w:pPr>
          <w:hyperlink w:anchor="_Toc106353913" w:history="1">
            <w:r w:rsidR="00495D80" w:rsidRPr="00954547">
              <w:rPr>
                <w:rStyle w:val="Hyperlink"/>
                <w:rFonts w:ascii="Verdana" w:hAnsi="Verdana"/>
                <w:noProof/>
                <w:sz w:val="20"/>
                <w:szCs w:val="20"/>
              </w:rPr>
              <w:t xml:space="preserve">B.1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right to defense</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_Toc106353913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37</w:t>
            </w:r>
            <w:r w:rsidR="00495D80" w:rsidRPr="00954547">
              <w:rPr>
                <w:rFonts w:ascii="Verdana" w:hAnsi="Verdana"/>
                <w:noProof/>
                <w:webHidden/>
                <w:sz w:val="20"/>
                <w:szCs w:val="20"/>
              </w:rPr>
              <w:fldChar w:fldCharType="end"/>
            </w:r>
          </w:hyperlink>
        </w:p>
        <w:p w14:paraId="57A45054" w14:textId="6232102A" w:rsidR="00495D80" w:rsidRPr="00954547" w:rsidRDefault="007759F2">
          <w:pPr>
            <w:pStyle w:val="TOC3"/>
            <w:rPr>
              <w:rFonts w:ascii="Verdana" w:eastAsiaTheme="minorEastAsia" w:hAnsi="Verdana" w:cstheme="minorBidi"/>
              <w:noProof/>
              <w:sz w:val="20"/>
              <w:szCs w:val="20"/>
              <w:bdr w:val="none" w:sz="0" w:space="0" w:color="auto"/>
            </w:rPr>
          </w:pPr>
          <w:hyperlink w:anchor="_Toc106353914" w:history="1">
            <w:r w:rsidR="00495D80" w:rsidRPr="00954547">
              <w:rPr>
                <w:rStyle w:val="Hyperlink"/>
                <w:rFonts w:ascii="Verdana" w:hAnsi="Verdana"/>
                <w:noProof/>
                <w:sz w:val="20"/>
                <w:szCs w:val="20"/>
              </w:rPr>
              <w:t xml:space="preserve">B.2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use of gender stereotypes and judicial guarantees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_Toc106353914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40</w:t>
            </w:r>
            <w:r w:rsidR="00495D80" w:rsidRPr="00954547">
              <w:rPr>
                <w:rFonts w:ascii="Verdana" w:hAnsi="Verdana"/>
                <w:noProof/>
                <w:webHidden/>
                <w:sz w:val="20"/>
                <w:szCs w:val="20"/>
              </w:rPr>
              <w:fldChar w:fldCharType="end"/>
            </w:r>
          </w:hyperlink>
        </w:p>
        <w:p w14:paraId="55AA9868" w14:textId="483CCAC5" w:rsidR="00495D80" w:rsidRPr="00954547" w:rsidRDefault="007759F2">
          <w:pPr>
            <w:pStyle w:val="TOC3"/>
            <w:rPr>
              <w:rFonts w:ascii="Verdana" w:eastAsiaTheme="minorEastAsia" w:hAnsi="Verdana" w:cstheme="minorBidi"/>
              <w:noProof/>
              <w:sz w:val="20"/>
              <w:szCs w:val="20"/>
              <w:bdr w:val="none" w:sz="0" w:space="0" w:color="auto"/>
            </w:rPr>
          </w:pPr>
          <w:hyperlink w:anchor="_Toc106353915" w:history="1">
            <w:r w:rsidR="00495D80" w:rsidRPr="00954547">
              <w:rPr>
                <w:rStyle w:val="Hyperlink"/>
                <w:rFonts w:ascii="Verdana" w:hAnsi="Verdana"/>
                <w:noProof/>
                <w:sz w:val="20"/>
                <w:szCs w:val="20"/>
              </w:rPr>
              <w:t>B.3 The sentence imposed on Manuela</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_Toc106353915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47</w:t>
            </w:r>
            <w:r w:rsidR="00495D80" w:rsidRPr="00954547">
              <w:rPr>
                <w:rFonts w:ascii="Verdana" w:hAnsi="Verdana"/>
                <w:noProof/>
                <w:webHidden/>
                <w:sz w:val="20"/>
                <w:szCs w:val="20"/>
              </w:rPr>
              <w:fldChar w:fldCharType="end"/>
            </w:r>
          </w:hyperlink>
        </w:p>
        <w:p w14:paraId="0CA5AB38" w14:textId="138B780A" w:rsidR="00495D80" w:rsidRPr="00954547" w:rsidRDefault="007759F2">
          <w:pPr>
            <w:pStyle w:val="TOC3"/>
            <w:rPr>
              <w:rFonts w:ascii="Verdana" w:eastAsiaTheme="minorEastAsia" w:hAnsi="Verdana" w:cstheme="minorBidi"/>
              <w:noProof/>
              <w:sz w:val="20"/>
              <w:szCs w:val="20"/>
              <w:bdr w:val="none" w:sz="0" w:space="0" w:color="auto"/>
            </w:rPr>
          </w:pPr>
          <w:hyperlink w:anchor="_Toc106353916" w:history="1">
            <w:r w:rsidR="00495D80" w:rsidRPr="00954547">
              <w:rPr>
                <w:rStyle w:val="Hyperlink"/>
                <w:rFonts w:ascii="Verdana" w:hAnsi="Verdana"/>
                <w:noProof/>
                <w:sz w:val="20"/>
                <w:szCs w:val="20"/>
              </w:rPr>
              <w:t>B.4 Conclusion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_Toc106353916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50</w:t>
            </w:r>
            <w:r w:rsidR="00495D80" w:rsidRPr="00954547">
              <w:rPr>
                <w:rFonts w:ascii="Verdana" w:hAnsi="Verdana"/>
                <w:noProof/>
                <w:webHidden/>
                <w:sz w:val="20"/>
                <w:szCs w:val="20"/>
              </w:rPr>
              <w:fldChar w:fldCharType="end"/>
            </w:r>
          </w:hyperlink>
        </w:p>
        <w:p w14:paraId="4AA64A3A" w14:textId="66C75618" w:rsidR="00495D80" w:rsidRPr="00954547" w:rsidRDefault="007759F2">
          <w:pPr>
            <w:pStyle w:val="TOC1"/>
            <w:rPr>
              <w:rFonts w:ascii="Verdana" w:eastAsiaTheme="minorEastAsia" w:hAnsi="Verdana" w:cstheme="minorBidi"/>
              <w:noProof/>
              <w:sz w:val="20"/>
              <w:szCs w:val="20"/>
              <w:bdr w:val="none" w:sz="0" w:space="0" w:color="auto"/>
            </w:rPr>
          </w:pPr>
          <w:hyperlink w:anchor="_Toc106353917" w:history="1">
            <w:r w:rsidR="00495D80" w:rsidRPr="00954547">
              <w:rPr>
                <w:rStyle w:val="Hyperlink"/>
                <w:rFonts w:ascii="Verdana" w:hAnsi="Verdana"/>
                <w:noProof/>
                <w:sz w:val="20"/>
                <w:szCs w:val="20"/>
              </w:rPr>
              <w:t>VIII-3 RIGHTS TO LIFE, PERSONAL INTEGRITY, HEALTH, PRIVACY AND EQUALITY BEFORE THE LAW IN RELATION TO THE OBLIGATIONS TO RESPECT THESE RIGHTS WITHOUT DISCRIMINATION AND TO ADOPT DOMESTIC LEGAL PROVISIONS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_Toc106353917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50</w:t>
            </w:r>
            <w:r w:rsidR="00495D80" w:rsidRPr="00954547">
              <w:rPr>
                <w:rFonts w:ascii="Verdana" w:hAnsi="Verdana"/>
                <w:noProof/>
                <w:webHidden/>
                <w:sz w:val="20"/>
                <w:szCs w:val="20"/>
              </w:rPr>
              <w:fldChar w:fldCharType="end"/>
            </w:r>
          </w:hyperlink>
        </w:p>
        <w:p w14:paraId="687A6677" w14:textId="6CBF794D" w:rsidR="00495D80" w:rsidRPr="00954547" w:rsidRDefault="007759F2">
          <w:pPr>
            <w:pStyle w:val="TOC2"/>
            <w:rPr>
              <w:rFonts w:ascii="Verdana" w:eastAsiaTheme="minorEastAsia" w:hAnsi="Verdana" w:cstheme="minorBidi"/>
              <w:noProof/>
              <w:sz w:val="20"/>
              <w:szCs w:val="20"/>
              <w:bdr w:val="none" w:sz="0" w:space="0" w:color="auto"/>
            </w:rPr>
          </w:pPr>
          <w:hyperlink w:anchor="_Toc106353918" w:history="1">
            <w:r w:rsidR="00495D80" w:rsidRPr="00954547">
              <w:rPr>
                <w:rStyle w:val="Hyperlink"/>
                <w:rFonts w:ascii="Verdana" w:hAnsi="Verdana"/>
                <w:noProof/>
                <w:sz w:val="20"/>
                <w:szCs w:val="20"/>
              </w:rPr>
              <w:t>A.</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Arguments of the parties and the Commission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_Toc106353918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50</w:t>
            </w:r>
            <w:r w:rsidR="00495D80" w:rsidRPr="00954547">
              <w:rPr>
                <w:rFonts w:ascii="Verdana" w:hAnsi="Verdana"/>
                <w:noProof/>
                <w:webHidden/>
                <w:sz w:val="20"/>
                <w:szCs w:val="20"/>
              </w:rPr>
              <w:fldChar w:fldCharType="end"/>
            </w:r>
          </w:hyperlink>
        </w:p>
        <w:p w14:paraId="3AB9C370" w14:textId="1C66FBA2" w:rsidR="00495D80" w:rsidRPr="00954547" w:rsidRDefault="007759F2">
          <w:pPr>
            <w:pStyle w:val="TOC2"/>
            <w:rPr>
              <w:rFonts w:ascii="Verdana" w:eastAsiaTheme="minorEastAsia" w:hAnsi="Verdana" w:cstheme="minorBidi"/>
              <w:noProof/>
              <w:sz w:val="20"/>
              <w:szCs w:val="20"/>
              <w:bdr w:val="none" w:sz="0" w:space="0" w:color="auto"/>
            </w:rPr>
          </w:pPr>
          <w:hyperlink w:anchor="_Toc106353919" w:history="1">
            <w:r w:rsidR="00495D80" w:rsidRPr="00954547">
              <w:rPr>
                <w:rStyle w:val="Hyperlink"/>
                <w:rFonts w:ascii="Verdana" w:hAnsi="Verdana"/>
                <w:noProof/>
                <w:sz w:val="20"/>
                <w:szCs w:val="20"/>
              </w:rPr>
              <w:t>B.</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Considerations of the Court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_Toc106353919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52</w:t>
            </w:r>
            <w:r w:rsidR="00495D80" w:rsidRPr="00954547">
              <w:rPr>
                <w:rFonts w:ascii="Verdana" w:hAnsi="Verdana"/>
                <w:noProof/>
                <w:webHidden/>
                <w:sz w:val="20"/>
                <w:szCs w:val="20"/>
              </w:rPr>
              <w:fldChar w:fldCharType="end"/>
            </w:r>
          </w:hyperlink>
        </w:p>
        <w:p w14:paraId="038B8239" w14:textId="0F4C9BFE" w:rsidR="00495D80" w:rsidRPr="00954547" w:rsidRDefault="007759F2">
          <w:pPr>
            <w:pStyle w:val="TOC3"/>
            <w:rPr>
              <w:rFonts w:ascii="Verdana" w:eastAsiaTheme="minorEastAsia" w:hAnsi="Verdana" w:cstheme="minorBidi"/>
              <w:noProof/>
              <w:sz w:val="20"/>
              <w:szCs w:val="20"/>
              <w:bdr w:val="none" w:sz="0" w:space="0" w:color="auto"/>
            </w:rPr>
          </w:pPr>
          <w:hyperlink w:anchor="_Toc106353920" w:history="1">
            <w:r w:rsidR="00495D80" w:rsidRPr="00954547">
              <w:rPr>
                <w:rStyle w:val="Hyperlink"/>
                <w:rFonts w:ascii="Verdana" w:hAnsi="Verdana"/>
                <w:noProof/>
                <w:sz w:val="20"/>
                <w:szCs w:val="20"/>
              </w:rPr>
              <w:t xml:space="preserve">B.1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medical attention received by Manuela before the obstetric emergency</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_Toc106353920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55</w:t>
            </w:r>
            <w:r w:rsidR="00495D80" w:rsidRPr="00954547">
              <w:rPr>
                <w:rFonts w:ascii="Verdana" w:hAnsi="Verdana"/>
                <w:noProof/>
                <w:webHidden/>
                <w:sz w:val="20"/>
                <w:szCs w:val="20"/>
              </w:rPr>
              <w:fldChar w:fldCharType="end"/>
            </w:r>
          </w:hyperlink>
        </w:p>
        <w:p w14:paraId="1A0F72B7" w14:textId="3A695536" w:rsidR="00495D80" w:rsidRPr="00954547" w:rsidRDefault="007759F2">
          <w:pPr>
            <w:pStyle w:val="TOC3"/>
            <w:rPr>
              <w:rFonts w:ascii="Verdana" w:eastAsiaTheme="minorEastAsia" w:hAnsi="Verdana" w:cstheme="minorBidi"/>
              <w:noProof/>
              <w:sz w:val="20"/>
              <w:szCs w:val="20"/>
              <w:bdr w:val="none" w:sz="0" w:space="0" w:color="auto"/>
            </w:rPr>
          </w:pPr>
          <w:hyperlink w:anchor="_Toc106353921" w:history="1">
            <w:r w:rsidR="00495D80" w:rsidRPr="00954547">
              <w:rPr>
                <w:rStyle w:val="Hyperlink"/>
                <w:rFonts w:ascii="Verdana" w:hAnsi="Verdana"/>
                <w:noProof/>
                <w:sz w:val="20"/>
                <w:szCs w:val="20"/>
              </w:rPr>
              <w:t xml:space="preserve">B.2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medical attention received by Manuela during the obstetric emergency</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_Toc106353921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55</w:t>
            </w:r>
            <w:r w:rsidR="00495D80" w:rsidRPr="00954547">
              <w:rPr>
                <w:rFonts w:ascii="Verdana" w:hAnsi="Verdana"/>
                <w:noProof/>
                <w:webHidden/>
                <w:sz w:val="20"/>
                <w:szCs w:val="20"/>
              </w:rPr>
              <w:fldChar w:fldCharType="end"/>
            </w:r>
          </w:hyperlink>
        </w:p>
        <w:p w14:paraId="5DB09E2F" w14:textId="15A4AA54" w:rsidR="00495D80" w:rsidRPr="00954547" w:rsidRDefault="007759F2">
          <w:pPr>
            <w:pStyle w:val="TOC3"/>
            <w:rPr>
              <w:rFonts w:ascii="Verdana" w:eastAsiaTheme="minorEastAsia" w:hAnsi="Verdana" w:cstheme="minorBidi"/>
              <w:noProof/>
              <w:sz w:val="20"/>
              <w:szCs w:val="20"/>
              <w:bdr w:val="none" w:sz="0" w:space="0" w:color="auto"/>
            </w:rPr>
          </w:pPr>
          <w:hyperlink w:anchor="_Toc106353922" w:history="1">
            <w:r w:rsidR="00495D80" w:rsidRPr="00954547">
              <w:rPr>
                <w:rStyle w:val="Hyperlink"/>
                <w:rFonts w:ascii="Verdana" w:hAnsi="Verdana"/>
                <w:noProof/>
                <w:sz w:val="20"/>
                <w:szCs w:val="20"/>
              </w:rPr>
              <w:t xml:space="preserve">B.3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violation of medical confidentiality and the protection of personal data</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_Toc106353922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59</w:t>
            </w:r>
            <w:r w:rsidR="00495D80" w:rsidRPr="00954547">
              <w:rPr>
                <w:rFonts w:ascii="Verdana" w:hAnsi="Verdana"/>
                <w:noProof/>
                <w:webHidden/>
                <w:sz w:val="20"/>
                <w:szCs w:val="20"/>
              </w:rPr>
              <w:fldChar w:fldCharType="end"/>
            </w:r>
          </w:hyperlink>
        </w:p>
        <w:p w14:paraId="5BB16AC2" w14:textId="1DEC33F1" w:rsidR="00495D80" w:rsidRPr="00954547" w:rsidRDefault="007759F2">
          <w:pPr>
            <w:pStyle w:val="TOC3"/>
            <w:rPr>
              <w:rFonts w:ascii="Verdana" w:eastAsiaTheme="minorEastAsia" w:hAnsi="Verdana" w:cstheme="minorBidi"/>
              <w:noProof/>
              <w:sz w:val="20"/>
              <w:szCs w:val="20"/>
              <w:bdr w:val="none" w:sz="0" w:space="0" w:color="auto"/>
            </w:rPr>
          </w:pPr>
          <w:hyperlink w:anchor="_Toc106353923" w:history="1">
            <w:r w:rsidR="00495D80" w:rsidRPr="00954547">
              <w:rPr>
                <w:rStyle w:val="Hyperlink"/>
                <w:rFonts w:ascii="Verdana" w:hAnsi="Verdana"/>
                <w:noProof/>
                <w:sz w:val="20"/>
                <w:szCs w:val="20"/>
              </w:rPr>
              <w:t xml:space="preserve">B.4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medical attention received by Manuela during her detention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_Toc106353923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66</w:t>
            </w:r>
            <w:r w:rsidR="00495D80" w:rsidRPr="00954547">
              <w:rPr>
                <w:rFonts w:ascii="Verdana" w:hAnsi="Verdana"/>
                <w:noProof/>
                <w:webHidden/>
                <w:sz w:val="20"/>
                <w:szCs w:val="20"/>
              </w:rPr>
              <w:fldChar w:fldCharType="end"/>
            </w:r>
          </w:hyperlink>
        </w:p>
        <w:p w14:paraId="40596DB7" w14:textId="2B65EE20" w:rsidR="00495D80" w:rsidRPr="00954547" w:rsidRDefault="007759F2">
          <w:pPr>
            <w:pStyle w:val="TOC3"/>
            <w:rPr>
              <w:rFonts w:ascii="Verdana" w:eastAsiaTheme="minorEastAsia" w:hAnsi="Verdana" w:cstheme="minorBidi"/>
              <w:noProof/>
              <w:sz w:val="20"/>
              <w:szCs w:val="20"/>
              <w:bdr w:val="none" w:sz="0" w:space="0" w:color="auto"/>
            </w:rPr>
          </w:pPr>
          <w:hyperlink w:anchor="_Toc106353924" w:history="1">
            <w:r w:rsidR="00495D80" w:rsidRPr="00954547">
              <w:rPr>
                <w:rStyle w:val="Hyperlink"/>
                <w:rFonts w:ascii="Verdana" w:hAnsi="Verdana"/>
                <w:noProof/>
                <w:sz w:val="20"/>
                <w:szCs w:val="20"/>
              </w:rPr>
              <w:t>B.5 The violation of the right to life and the alleged lack of investigation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_Toc106353924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69</w:t>
            </w:r>
            <w:r w:rsidR="00495D80" w:rsidRPr="00954547">
              <w:rPr>
                <w:rFonts w:ascii="Verdana" w:hAnsi="Verdana"/>
                <w:noProof/>
                <w:webHidden/>
                <w:sz w:val="20"/>
                <w:szCs w:val="20"/>
              </w:rPr>
              <w:fldChar w:fldCharType="end"/>
            </w:r>
          </w:hyperlink>
        </w:p>
        <w:p w14:paraId="41D2EC22" w14:textId="72F78A97" w:rsidR="00495D80" w:rsidRPr="00954547" w:rsidRDefault="007759F2">
          <w:pPr>
            <w:pStyle w:val="TOC3"/>
            <w:rPr>
              <w:rFonts w:ascii="Verdana" w:eastAsiaTheme="minorEastAsia" w:hAnsi="Verdana" w:cstheme="minorBidi"/>
              <w:noProof/>
              <w:sz w:val="20"/>
              <w:szCs w:val="20"/>
              <w:bdr w:val="none" w:sz="0" w:space="0" w:color="auto"/>
            </w:rPr>
          </w:pPr>
          <w:hyperlink w:anchor="_Toc106353925" w:history="1">
            <w:r w:rsidR="00495D80" w:rsidRPr="00954547">
              <w:rPr>
                <w:rStyle w:val="Hyperlink"/>
                <w:rFonts w:ascii="Verdana" w:hAnsi="Verdana"/>
                <w:noProof/>
                <w:sz w:val="20"/>
                <w:szCs w:val="20"/>
              </w:rPr>
              <w:t>B.6</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The impact of the discrimination that occurred in this case</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_Toc106353925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70</w:t>
            </w:r>
            <w:r w:rsidR="00495D80" w:rsidRPr="00954547">
              <w:rPr>
                <w:rFonts w:ascii="Verdana" w:hAnsi="Verdana"/>
                <w:noProof/>
                <w:webHidden/>
                <w:sz w:val="20"/>
                <w:szCs w:val="20"/>
              </w:rPr>
              <w:fldChar w:fldCharType="end"/>
            </w:r>
          </w:hyperlink>
        </w:p>
        <w:p w14:paraId="53B9A858" w14:textId="3D26A819" w:rsidR="00495D80" w:rsidRPr="00954547" w:rsidRDefault="007759F2">
          <w:pPr>
            <w:pStyle w:val="TOC3"/>
            <w:rPr>
              <w:rFonts w:ascii="Verdana" w:eastAsiaTheme="minorEastAsia" w:hAnsi="Verdana" w:cstheme="minorBidi"/>
              <w:noProof/>
              <w:sz w:val="20"/>
              <w:szCs w:val="20"/>
              <w:bdr w:val="none" w:sz="0" w:space="0" w:color="auto"/>
            </w:rPr>
          </w:pPr>
          <w:hyperlink w:anchor="_Toc106353926" w:history="1">
            <w:r w:rsidR="00495D80" w:rsidRPr="00954547">
              <w:rPr>
                <w:rStyle w:val="Hyperlink"/>
                <w:rFonts w:ascii="Verdana" w:eastAsia="Batang" w:hAnsi="Verdana"/>
                <w:noProof/>
                <w:sz w:val="20"/>
                <w:szCs w:val="20"/>
                <w:lang w:eastAsia="es-MX"/>
              </w:rPr>
              <w:t>B.7 Conclusion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_Toc106353926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73</w:t>
            </w:r>
            <w:r w:rsidR="00495D80" w:rsidRPr="00954547">
              <w:rPr>
                <w:rFonts w:ascii="Verdana" w:hAnsi="Verdana"/>
                <w:noProof/>
                <w:webHidden/>
                <w:sz w:val="20"/>
                <w:szCs w:val="20"/>
              </w:rPr>
              <w:fldChar w:fldCharType="end"/>
            </w:r>
          </w:hyperlink>
        </w:p>
        <w:p w14:paraId="147C2990" w14:textId="49241232" w:rsidR="00495D80" w:rsidRPr="00954547" w:rsidRDefault="007759F2">
          <w:pPr>
            <w:pStyle w:val="TOC1"/>
            <w:rPr>
              <w:rFonts w:ascii="Verdana" w:eastAsiaTheme="minorEastAsia" w:hAnsi="Verdana" w:cstheme="minorBidi"/>
              <w:noProof/>
              <w:sz w:val="20"/>
              <w:szCs w:val="20"/>
              <w:bdr w:val="none" w:sz="0" w:space="0" w:color="auto"/>
            </w:rPr>
          </w:pPr>
          <w:hyperlink w:anchor="_Toc106353927" w:history="1">
            <w:r w:rsidR="00495D80" w:rsidRPr="00954547">
              <w:rPr>
                <w:rStyle w:val="Hyperlink"/>
                <w:rFonts w:ascii="Verdana" w:hAnsi="Verdana"/>
                <w:noProof/>
                <w:sz w:val="20"/>
                <w:szCs w:val="20"/>
              </w:rPr>
              <w:t>VIII-4 RIGHT TO PERSONAL INTEGRITY OF THE FAMILY MEMBERS  IN RELATION TO THE OBLIGATION TO RESPECT RIGHTS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_Toc106353927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73</w:t>
            </w:r>
            <w:r w:rsidR="00495D80" w:rsidRPr="00954547">
              <w:rPr>
                <w:rFonts w:ascii="Verdana" w:hAnsi="Verdana"/>
                <w:noProof/>
                <w:webHidden/>
                <w:sz w:val="20"/>
                <w:szCs w:val="20"/>
              </w:rPr>
              <w:fldChar w:fldCharType="end"/>
            </w:r>
          </w:hyperlink>
        </w:p>
        <w:p w14:paraId="7A533ADF" w14:textId="727379AA" w:rsidR="00495D80" w:rsidRPr="00954547" w:rsidRDefault="007759F2">
          <w:pPr>
            <w:pStyle w:val="TOC2"/>
            <w:rPr>
              <w:rFonts w:ascii="Verdana" w:eastAsiaTheme="minorEastAsia" w:hAnsi="Verdana" w:cstheme="minorBidi"/>
              <w:noProof/>
              <w:sz w:val="20"/>
              <w:szCs w:val="20"/>
              <w:bdr w:val="none" w:sz="0" w:space="0" w:color="auto"/>
            </w:rPr>
          </w:pPr>
          <w:hyperlink w:anchor="_Toc106353928" w:history="1">
            <w:r w:rsidR="00495D80" w:rsidRPr="00954547">
              <w:rPr>
                <w:rStyle w:val="Hyperlink"/>
                <w:rFonts w:ascii="Verdana" w:hAnsi="Verdana"/>
                <w:noProof/>
                <w:sz w:val="20"/>
                <w:szCs w:val="20"/>
              </w:rPr>
              <w:t>A.</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Arguments of the parties and the Commission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_Toc106353928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73</w:t>
            </w:r>
            <w:r w:rsidR="00495D80" w:rsidRPr="00954547">
              <w:rPr>
                <w:rFonts w:ascii="Verdana" w:hAnsi="Verdana"/>
                <w:noProof/>
                <w:webHidden/>
                <w:sz w:val="20"/>
                <w:szCs w:val="20"/>
              </w:rPr>
              <w:fldChar w:fldCharType="end"/>
            </w:r>
          </w:hyperlink>
        </w:p>
        <w:p w14:paraId="66067ABD" w14:textId="0E40F1CF" w:rsidR="00495D80" w:rsidRPr="00954547" w:rsidRDefault="007759F2">
          <w:pPr>
            <w:pStyle w:val="TOC2"/>
            <w:rPr>
              <w:rFonts w:ascii="Verdana" w:eastAsiaTheme="minorEastAsia" w:hAnsi="Verdana" w:cstheme="minorBidi"/>
              <w:noProof/>
              <w:sz w:val="20"/>
              <w:szCs w:val="20"/>
              <w:bdr w:val="none" w:sz="0" w:space="0" w:color="auto"/>
            </w:rPr>
          </w:pPr>
          <w:hyperlink w:anchor="_Toc106353929" w:history="1">
            <w:r w:rsidR="00495D80" w:rsidRPr="00954547">
              <w:rPr>
                <w:rStyle w:val="Hyperlink"/>
                <w:rFonts w:ascii="Verdana" w:hAnsi="Verdana"/>
                <w:noProof/>
                <w:sz w:val="20"/>
                <w:szCs w:val="20"/>
              </w:rPr>
              <w:t>B.</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Considerations of the Court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_Toc106353929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74</w:t>
            </w:r>
            <w:r w:rsidR="00495D80" w:rsidRPr="00954547">
              <w:rPr>
                <w:rFonts w:ascii="Verdana" w:hAnsi="Verdana"/>
                <w:noProof/>
                <w:webHidden/>
                <w:sz w:val="20"/>
                <w:szCs w:val="20"/>
              </w:rPr>
              <w:fldChar w:fldCharType="end"/>
            </w:r>
          </w:hyperlink>
        </w:p>
        <w:p w14:paraId="219F9D12" w14:textId="6BA1543B" w:rsidR="00495D80" w:rsidRPr="00954547" w:rsidRDefault="007759F2">
          <w:pPr>
            <w:pStyle w:val="TOC1"/>
            <w:rPr>
              <w:rFonts w:ascii="Verdana" w:eastAsiaTheme="minorEastAsia" w:hAnsi="Verdana" w:cstheme="minorBidi"/>
              <w:noProof/>
              <w:sz w:val="20"/>
              <w:szCs w:val="20"/>
              <w:bdr w:val="none" w:sz="0" w:space="0" w:color="auto"/>
            </w:rPr>
          </w:pPr>
          <w:hyperlink w:anchor="_Toc106353930" w:history="1">
            <w:r w:rsidR="00495D80" w:rsidRPr="00954547">
              <w:rPr>
                <w:rStyle w:val="Hyperlink"/>
                <w:rFonts w:ascii="Verdana" w:hAnsi="Verdana"/>
                <w:noProof/>
                <w:sz w:val="20"/>
                <w:szCs w:val="20"/>
              </w:rPr>
              <w:t>IX REPARATIONS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_Toc106353930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75</w:t>
            </w:r>
            <w:r w:rsidR="00495D80" w:rsidRPr="00954547">
              <w:rPr>
                <w:rFonts w:ascii="Verdana" w:hAnsi="Verdana"/>
                <w:noProof/>
                <w:webHidden/>
                <w:sz w:val="20"/>
                <w:szCs w:val="20"/>
              </w:rPr>
              <w:fldChar w:fldCharType="end"/>
            </w:r>
          </w:hyperlink>
        </w:p>
        <w:p w14:paraId="03599169" w14:textId="74CABAB5" w:rsidR="00495D80" w:rsidRPr="00954547" w:rsidRDefault="007759F2">
          <w:pPr>
            <w:pStyle w:val="TOC2"/>
            <w:rPr>
              <w:rFonts w:ascii="Verdana" w:eastAsiaTheme="minorEastAsia" w:hAnsi="Verdana" w:cstheme="minorBidi"/>
              <w:noProof/>
              <w:sz w:val="20"/>
              <w:szCs w:val="20"/>
              <w:bdr w:val="none" w:sz="0" w:space="0" w:color="auto"/>
            </w:rPr>
          </w:pPr>
          <w:hyperlink w:anchor="_Toc106353931" w:history="1">
            <w:r w:rsidR="00495D80" w:rsidRPr="00954547">
              <w:rPr>
                <w:rStyle w:val="Hyperlink"/>
                <w:rFonts w:ascii="Verdana" w:hAnsi="Verdana"/>
                <w:noProof/>
                <w:sz w:val="20"/>
                <w:szCs w:val="20"/>
                <w:lang w:eastAsia="es-ES"/>
              </w:rPr>
              <w:t>A.</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Injured party</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_Toc106353931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76</w:t>
            </w:r>
            <w:r w:rsidR="00495D80" w:rsidRPr="00954547">
              <w:rPr>
                <w:rFonts w:ascii="Verdana" w:hAnsi="Verdana"/>
                <w:noProof/>
                <w:webHidden/>
                <w:sz w:val="20"/>
                <w:szCs w:val="20"/>
              </w:rPr>
              <w:fldChar w:fldCharType="end"/>
            </w:r>
          </w:hyperlink>
        </w:p>
        <w:p w14:paraId="1E2C22C4" w14:textId="0E0E6185" w:rsidR="00495D80" w:rsidRPr="00954547" w:rsidRDefault="007759F2">
          <w:pPr>
            <w:pStyle w:val="TOC2"/>
            <w:rPr>
              <w:rFonts w:ascii="Verdana" w:eastAsiaTheme="minorEastAsia" w:hAnsi="Verdana" w:cstheme="minorBidi"/>
              <w:noProof/>
              <w:sz w:val="20"/>
              <w:szCs w:val="20"/>
              <w:bdr w:val="none" w:sz="0" w:space="0" w:color="auto"/>
            </w:rPr>
          </w:pPr>
          <w:hyperlink w:anchor="_Toc106353932" w:history="1">
            <w:r w:rsidR="00495D80" w:rsidRPr="00954547">
              <w:rPr>
                <w:rStyle w:val="Hyperlink"/>
                <w:rFonts w:ascii="Verdana" w:hAnsi="Verdana"/>
                <w:noProof/>
                <w:sz w:val="20"/>
                <w:szCs w:val="20"/>
              </w:rPr>
              <w:t>B.</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Measures of satisfaction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_Toc106353932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76</w:t>
            </w:r>
            <w:r w:rsidR="00495D80" w:rsidRPr="00954547">
              <w:rPr>
                <w:rFonts w:ascii="Verdana" w:hAnsi="Verdana"/>
                <w:noProof/>
                <w:webHidden/>
                <w:sz w:val="20"/>
                <w:szCs w:val="20"/>
              </w:rPr>
              <w:fldChar w:fldCharType="end"/>
            </w:r>
          </w:hyperlink>
        </w:p>
        <w:p w14:paraId="1E3E86D5" w14:textId="5625E8A5" w:rsidR="00495D80" w:rsidRPr="00954547" w:rsidRDefault="007759F2">
          <w:pPr>
            <w:pStyle w:val="TOC3"/>
            <w:rPr>
              <w:rFonts w:ascii="Verdana" w:eastAsiaTheme="minorEastAsia" w:hAnsi="Verdana" w:cstheme="minorBidi"/>
              <w:noProof/>
              <w:sz w:val="20"/>
              <w:szCs w:val="20"/>
              <w:bdr w:val="none" w:sz="0" w:space="0" w:color="auto"/>
            </w:rPr>
          </w:pPr>
          <w:hyperlink w:anchor="_Toc106353933" w:history="1">
            <w:r w:rsidR="00495D80" w:rsidRPr="00954547">
              <w:rPr>
                <w:rStyle w:val="Hyperlink"/>
                <w:rFonts w:ascii="Verdana" w:hAnsi="Verdana"/>
                <w:noProof/>
                <w:sz w:val="20"/>
                <w:szCs w:val="20"/>
              </w:rPr>
              <w:t>B.1</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Publication of the judgment</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_Toc106353933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76</w:t>
            </w:r>
            <w:r w:rsidR="00495D80" w:rsidRPr="00954547">
              <w:rPr>
                <w:rFonts w:ascii="Verdana" w:hAnsi="Verdana"/>
                <w:noProof/>
                <w:webHidden/>
                <w:sz w:val="20"/>
                <w:szCs w:val="20"/>
              </w:rPr>
              <w:fldChar w:fldCharType="end"/>
            </w:r>
          </w:hyperlink>
        </w:p>
        <w:p w14:paraId="5FC753BF" w14:textId="4801078A" w:rsidR="00495D80" w:rsidRPr="00954547" w:rsidRDefault="007759F2">
          <w:pPr>
            <w:pStyle w:val="TOC3"/>
            <w:rPr>
              <w:rFonts w:ascii="Verdana" w:eastAsiaTheme="minorEastAsia" w:hAnsi="Verdana" w:cstheme="minorBidi"/>
              <w:noProof/>
              <w:sz w:val="20"/>
              <w:szCs w:val="20"/>
              <w:bdr w:val="none" w:sz="0" w:space="0" w:color="auto"/>
            </w:rPr>
          </w:pPr>
          <w:hyperlink w:anchor="_Toc106353934" w:history="1">
            <w:r w:rsidR="00495D80" w:rsidRPr="00954547">
              <w:rPr>
                <w:rStyle w:val="Hyperlink"/>
                <w:rFonts w:ascii="Verdana" w:hAnsi="Verdana"/>
                <w:noProof/>
                <w:sz w:val="20"/>
                <w:szCs w:val="20"/>
              </w:rPr>
              <w:t xml:space="preserve">B.2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Public act to acknowledge international responsibility</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_Toc106353934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76</w:t>
            </w:r>
            <w:r w:rsidR="00495D80" w:rsidRPr="00954547">
              <w:rPr>
                <w:rFonts w:ascii="Verdana" w:hAnsi="Verdana"/>
                <w:noProof/>
                <w:webHidden/>
                <w:sz w:val="20"/>
                <w:szCs w:val="20"/>
              </w:rPr>
              <w:fldChar w:fldCharType="end"/>
            </w:r>
          </w:hyperlink>
        </w:p>
        <w:p w14:paraId="7CE4B354" w14:textId="72446492" w:rsidR="00495D80" w:rsidRPr="00954547" w:rsidRDefault="007759F2">
          <w:pPr>
            <w:pStyle w:val="TOC3"/>
            <w:rPr>
              <w:rFonts w:ascii="Verdana" w:eastAsiaTheme="minorEastAsia" w:hAnsi="Verdana" w:cstheme="minorBidi"/>
              <w:noProof/>
              <w:sz w:val="20"/>
              <w:szCs w:val="20"/>
              <w:bdr w:val="none" w:sz="0" w:space="0" w:color="auto"/>
            </w:rPr>
          </w:pPr>
          <w:hyperlink w:anchor="_Toc106353935" w:history="1">
            <w:r w:rsidR="00495D80" w:rsidRPr="00954547">
              <w:rPr>
                <w:rStyle w:val="Hyperlink"/>
                <w:rFonts w:ascii="Verdana" w:hAnsi="Verdana"/>
                <w:noProof/>
                <w:sz w:val="20"/>
                <w:szCs w:val="20"/>
              </w:rPr>
              <w:t>B.3</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Scholarships for Manuela’s sons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_Toc106353935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77</w:t>
            </w:r>
            <w:r w:rsidR="00495D80" w:rsidRPr="00954547">
              <w:rPr>
                <w:rFonts w:ascii="Verdana" w:hAnsi="Verdana"/>
                <w:noProof/>
                <w:webHidden/>
                <w:sz w:val="20"/>
                <w:szCs w:val="20"/>
              </w:rPr>
              <w:fldChar w:fldCharType="end"/>
            </w:r>
          </w:hyperlink>
        </w:p>
        <w:p w14:paraId="6CC0A1C3" w14:textId="719AEC23" w:rsidR="00495D80" w:rsidRPr="00954547" w:rsidRDefault="007759F2">
          <w:pPr>
            <w:pStyle w:val="TOC2"/>
            <w:rPr>
              <w:rFonts w:ascii="Verdana" w:eastAsiaTheme="minorEastAsia" w:hAnsi="Verdana" w:cstheme="minorBidi"/>
              <w:noProof/>
              <w:sz w:val="20"/>
              <w:szCs w:val="20"/>
              <w:bdr w:val="none" w:sz="0" w:space="0" w:color="auto"/>
            </w:rPr>
          </w:pPr>
          <w:hyperlink w:anchor="_Toc106353936" w:history="1">
            <w:r w:rsidR="00495D80" w:rsidRPr="00954547">
              <w:rPr>
                <w:rStyle w:val="Hyperlink"/>
                <w:rFonts w:ascii="Verdana" w:hAnsi="Verdana"/>
                <w:noProof/>
                <w:sz w:val="20"/>
                <w:szCs w:val="20"/>
              </w:rPr>
              <w:t>C.</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Measure of rehabilitation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_Toc106353936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78</w:t>
            </w:r>
            <w:r w:rsidR="00495D80" w:rsidRPr="00954547">
              <w:rPr>
                <w:rFonts w:ascii="Verdana" w:hAnsi="Verdana"/>
                <w:noProof/>
                <w:webHidden/>
                <w:sz w:val="20"/>
                <w:szCs w:val="20"/>
              </w:rPr>
              <w:fldChar w:fldCharType="end"/>
            </w:r>
          </w:hyperlink>
        </w:p>
        <w:p w14:paraId="350AA69C" w14:textId="4CC9FC5B" w:rsidR="00495D80" w:rsidRPr="00954547" w:rsidRDefault="007759F2">
          <w:pPr>
            <w:pStyle w:val="TOC2"/>
            <w:rPr>
              <w:rFonts w:ascii="Verdana" w:eastAsiaTheme="minorEastAsia" w:hAnsi="Verdana" w:cstheme="minorBidi"/>
              <w:noProof/>
              <w:sz w:val="20"/>
              <w:szCs w:val="20"/>
              <w:bdr w:val="none" w:sz="0" w:space="0" w:color="auto"/>
            </w:rPr>
          </w:pPr>
          <w:hyperlink w:anchor="_Toc106353937" w:history="1">
            <w:r w:rsidR="00495D80" w:rsidRPr="00954547">
              <w:rPr>
                <w:rStyle w:val="Hyperlink"/>
                <w:rFonts w:ascii="Verdana" w:hAnsi="Verdana"/>
                <w:noProof/>
                <w:sz w:val="20"/>
                <w:szCs w:val="20"/>
              </w:rPr>
              <w:t>D.</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Guarantees of non-repetition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_Toc106353937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78</w:t>
            </w:r>
            <w:r w:rsidR="00495D80" w:rsidRPr="00954547">
              <w:rPr>
                <w:rFonts w:ascii="Verdana" w:hAnsi="Verdana"/>
                <w:noProof/>
                <w:webHidden/>
                <w:sz w:val="20"/>
                <w:szCs w:val="20"/>
              </w:rPr>
              <w:fldChar w:fldCharType="end"/>
            </w:r>
          </w:hyperlink>
        </w:p>
        <w:p w14:paraId="74A67062" w14:textId="51ADBC25" w:rsidR="00495D80" w:rsidRPr="00954547" w:rsidRDefault="007759F2">
          <w:pPr>
            <w:pStyle w:val="TOC3"/>
            <w:rPr>
              <w:rFonts w:ascii="Verdana" w:eastAsiaTheme="minorEastAsia" w:hAnsi="Verdana" w:cstheme="minorBidi"/>
              <w:noProof/>
              <w:sz w:val="20"/>
              <w:szCs w:val="20"/>
              <w:bdr w:val="none" w:sz="0" w:space="0" w:color="auto"/>
            </w:rPr>
          </w:pPr>
          <w:hyperlink w:anchor="_Toc106353938" w:history="1">
            <w:r w:rsidR="00495D80" w:rsidRPr="00954547">
              <w:rPr>
                <w:rStyle w:val="Hyperlink"/>
                <w:rFonts w:ascii="Verdana" w:hAnsi="Verdana"/>
                <w:noProof/>
                <w:sz w:val="20"/>
                <w:szCs w:val="20"/>
              </w:rPr>
              <w:t>D.1 Regulation of medical professional secrecy and its exceptions, and adaptation of the medical protocols and guidelines for attending to obstetric emergencies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_Toc106353938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78</w:t>
            </w:r>
            <w:r w:rsidR="00495D80" w:rsidRPr="00954547">
              <w:rPr>
                <w:rFonts w:ascii="Verdana" w:hAnsi="Verdana"/>
                <w:noProof/>
                <w:webHidden/>
                <w:sz w:val="20"/>
                <w:szCs w:val="20"/>
              </w:rPr>
              <w:fldChar w:fldCharType="end"/>
            </w:r>
          </w:hyperlink>
        </w:p>
        <w:p w14:paraId="303244E8" w14:textId="57BC0903" w:rsidR="00495D80" w:rsidRPr="00954547" w:rsidRDefault="007759F2">
          <w:pPr>
            <w:pStyle w:val="TOC3"/>
            <w:rPr>
              <w:rFonts w:ascii="Verdana" w:eastAsiaTheme="minorEastAsia" w:hAnsi="Verdana" w:cstheme="minorBidi"/>
              <w:noProof/>
              <w:sz w:val="20"/>
              <w:szCs w:val="20"/>
              <w:bdr w:val="none" w:sz="0" w:space="0" w:color="auto"/>
            </w:rPr>
          </w:pPr>
          <w:hyperlink w:anchor="_Toc106353939" w:history="1">
            <w:r w:rsidR="00495D80" w:rsidRPr="00954547">
              <w:rPr>
                <w:rStyle w:val="Hyperlink"/>
                <w:rFonts w:ascii="Verdana" w:hAnsi="Verdana"/>
                <w:noProof/>
                <w:sz w:val="20"/>
                <w:szCs w:val="20"/>
              </w:rPr>
              <w:t xml:space="preserve">D.2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Adaptation of the regulation of the imposition of pretrial detention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_Toc106353939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79</w:t>
            </w:r>
            <w:r w:rsidR="00495D80" w:rsidRPr="00954547">
              <w:rPr>
                <w:rFonts w:ascii="Verdana" w:hAnsi="Verdana"/>
                <w:noProof/>
                <w:webHidden/>
                <w:sz w:val="20"/>
                <w:szCs w:val="20"/>
              </w:rPr>
              <w:fldChar w:fldCharType="end"/>
            </w:r>
          </w:hyperlink>
        </w:p>
        <w:p w14:paraId="138A41F0" w14:textId="57D103E3" w:rsidR="00495D80" w:rsidRPr="00954547" w:rsidRDefault="007759F2">
          <w:pPr>
            <w:pStyle w:val="TOC3"/>
            <w:rPr>
              <w:rFonts w:ascii="Verdana" w:eastAsiaTheme="minorEastAsia" w:hAnsi="Verdana" w:cstheme="minorBidi"/>
              <w:noProof/>
              <w:sz w:val="20"/>
              <w:szCs w:val="20"/>
              <w:bdr w:val="none" w:sz="0" w:space="0" w:color="auto"/>
            </w:rPr>
          </w:pPr>
          <w:hyperlink w:anchor="_Toc106353940" w:history="1">
            <w:r w:rsidR="00495D80" w:rsidRPr="00954547">
              <w:rPr>
                <w:rStyle w:val="Hyperlink"/>
                <w:rFonts w:ascii="Verdana" w:hAnsi="Verdana"/>
                <w:noProof/>
                <w:sz w:val="20"/>
                <w:szCs w:val="20"/>
              </w:rPr>
              <w:t xml:space="preserve">D.3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Awareness-raising and training for public officials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_Toc106353940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80</w:t>
            </w:r>
            <w:r w:rsidR="00495D80" w:rsidRPr="00954547">
              <w:rPr>
                <w:rFonts w:ascii="Verdana" w:hAnsi="Verdana"/>
                <w:noProof/>
                <w:webHidden/>
                <w:sz w:val="20"/>
                <w:szCs w:val="20"/>
              </w:rPr>
              <w:fldChar w:fldCharType="end"/>
            </w:r>
          </w:hyperlink>
        </w:p>
        <w:p w14:paraId="3A105CDE" w14:textId="6FB03FA5" w:rsidR="00495D80" w:rsidRPr="00954547" w:rsidRDefault="007759F2">
          <w:pPr>
            <w:pStyle w:val="TOC3"/>
            <w:rPr>
              <w:rFonts w:ascii="Verdana" w:eastAsiaTheme="minorEastAsia" w:hAnsi="Verdana" w:cstheme="minorBidi"/>
              <w:noProof/>
              <w:sz w:val="20"/>
              <w:szCs w:val="20"/>
              <w:bdr w:val="none" w:sz="0" w:space="0" w:color="auto"/>
            </w:rPr>
          </w:pPr>
          <w:hyperlink w:anchor="_Toc106353941" w:history="1">
            <w:r w:rsidR="00495D80" w:rsidRPr="00954547">
              <w:rPr>
                <w:rStyle w:val="Hyperlink"/>
                <w:rFonts w:ascii="Verdana" w:hAnsi="Verdana"/>
                <w:noProof/>
                <w:sz w:val="20"/>
                <w:szCs w:val="20"/>
              </w:rPr>
              <w:t xml:space="preserve">D.4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Adaptation of the criminal dosimetry for infanticide</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_Toc106353941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81</w:t>
            </w:r>
            <w:r w:rsidR="00495D80" w:rsidRPr="00954547">
              <w:rPr>
                <w:rFonts w:ascii="Verdana" w:hAnsi="Verdana"/>
                <w:noProof/>
                <w:webHidden/>
                <w:sz w:val="20"/>
                <w:szCs w:val="20"/>
              </w:rPr>
              <w:fldChar w:fldCharType="end"/>
            </w:r>
          </w:hyperlink>
        </w:p>
        <w:p w14:paraId="20C791D5" w14:textId="5DA71B78" w:rsidR="00495D80" w:rsidRPr="00954547" w:rsidRDefault="007759F2">
          <w:pPr>
            <w:pStyle w:val="TOC3"/>
            <w:rPr>
              <w:rFonts w:ascii="Verdana" w:eastAsiaTheme="minorEastAsia" w:hAnsi="Verdana" w:cstheme="minorBidi"/>
              <w:noProof/>
              <w:sz w:val="20"/>
              <w:szCs w:val="20"/>
              <w:bdr w:val="none" w:sz="0" w:space="0" w:color="auto"/>
            </w:rPr>
          </w:pPr>
          <w:hyperlink w:anchor="_Toc106353942" w:history="1">
            <w:r w:rsidR="00495D80" w:rsidRPr="00954547">
              <w:rPr>
                <w:rStyle w:val="Hyperlink"/>
                <w:rFonts w:ascii="Verdana" w:hAnsi="Verdana"/>
                <w:noProof/>
                <w:sz w:val="20"/>
                <w:szCs w:val="20"/>
              </w:rPr>
              <w:t xml:space="preserve">D.5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Sexual and reproductive education program</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_Toc106353942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81</w:t>
            </w:r>
            <w:r w:rsidR="00495D80" w:rsidRPr="00954547">
              <w:rPr>
                <w:rFonts w:ascii="Verdana" w:hAnsi="Verdana"/>
                <w:noProof/>
                <w:webHidden/>
                <w:sz w:val="20"/>
                <w:szCs w:val="20"/>
              </w:rPr>
              <w:fldChar w:fldCharType="end"/>
            </w:r>
          </w:hyperlink>
        </w:p>
        <w:p w14:paraId="23326269" w14:textId="17878BAD" w:rsidR="00495D80" w:rsidRPr="00954547" w:rsidRDefault="007759F2">
          <w:pPr>
            <w:pStyle w:val="TOC3"/>
            <w:rPr>
              <w:rFonts w:ascii="Verdana" w:eastAsiaTheme="minorEastAsia" w:hAnsi="Verdana" w:cstheme="minorBidi"/>
              <w:noProof/>
              <w:sz w:val="20"/>
              <w:szCs w:val="20"/>
              <w:bdr w:val="none" w:sz="0" w:space="0" w:color="auto"/>
            </w:rPr>
          </w:pPr>
          <w:hyperlink w:anchor="_Toc106353943" w:history="1">
            <w:r w:rsidR="00495D80" w:rsidRPr="00954547">
              <w:rPr>
                <w:rStyle w:val="Hyperlink"/>
                <w:rFonts w:ascii="Verdana" w:hAnsi="Verdana"/>
                <w:noProof/>
                <w:sz w:val="20"/>
                <w:szCs w:val="20"/>
              </w:rPr>
              <w:t xml:space="preserve">D.6 </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Attention in cases of obstetric emergencies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_Toc106353943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82</w:t>
            </w:r>
            <w:r w:rsidR="00495D80" w:rsidRPr="00954547">
              <w:rPr>
                <w:rFonts w:ascii="Verdana" w:hAnsi="Verdana"/>
                <w:noProof/>
                <w:webHidden/>
                <w:sz w:val="20"/>
                <w:szCs w:val="20"/>
              </w:rPr>
              <w:fldChar w:fldCharType="end"/>
            </w:r>
          </w:hyperlink>
        </w:p>
        <w:p w14:paraId="5EF61B4D" w14:textId="7698A60B" w:rsidR="00495D80" w:rsidRPr="00954547" w:rsidRDefault="007759F2">
          <w:pPr>
            <w:pStyle w:val="TOC2"/>
            <w:rPr>
              <w:rFonts w:ascii="Verdana" w:eastAsiaTheme="minorEastAsia" w:hAnsi="Verdana" w:cstheme="minorBidi"/>
              <w:noProof/>
              <w:sz w:val="20"/>
              <w:szCs w:val="20"/>
              <w:bdr w:val="none" w:sz="0" w:space="0" w:color="auto"/>
            </w:rPr>
          </w:pPr>
          <w:hyperlink w:anchor="_Toc106353944" w:history="1">
            <w:r w:rsidR="00495D80" w:rsidRPr="00954547">
              <w:rPr>
                <w:rStyle w:val="Hyperlink"/>
                <w:rFonts w:ascii="Verdana" w:hAnsi="Verdana"/>
                <w:noProof/>
                <w:sz w:val="20"/>
                <w:szCs w:val="20"/>
              </w:rPr>
              <w:t>E.</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Compensation</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_Toc106353944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82</w:t>
            </w:r>
            <w:r w:rsidR="00495D80" w:rsidRPr="00954547">
              <w:rPr>
                <w:rFonts w:ascii="Verdana" w:hAnsi="Verdana"/>
                <w:noProof/>
                <w:webHidden/>
                <w:sz w:val="20"/>
                <w:szCs w:val="20"/>
              </w:rPr>
              <w:fldChar w:fldCharType="end"/>
            </w:r>
          </w:hyperlink>
        </w:p>
        <w:p w14:paraId="22824BEA" w14:textId="4320408E" w:rsidR="00495D80" w:rsidRPr="00954547" w:rsidRDefault="007759F2">
          <w:pPr>
            <w:pStyle w:val="TOC3"/>
            <w:rPr>
              <w:rFonts w:ascii="Verdana" w:eastAsiaTheme="minorEastAsia" w:hAnsi="Verdana" w:cstheme="minorBidi"/>
              <w:noProof/>
              <w:sz w:val="20"/>
              <w:szCs w:val="20"/>
              <w:bdr w:val="none" w:sz="0" w:space="0" w:color="auto"/>
            </w:rPr>
          </w:pPr>
          <w:hyperlink w:anchor="_Toc106353945" w:history="1">
            <w:r w:rsidR="00495D80" w:rsidRPr="00954547">
              <w:rPr>
                <w:rStyle w:val="Hyperlink"/>
                <w:rFonts w:ascii="Verdana" w:hAnsi="Verdana"/>
                <w:noProof/>
                <w:sz w:val="20"/>
                <w:szCs w:val="20"/>
              </w:rPr>
              <w:t>E.1 Pecuniary damage</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_Toc106353945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82</w:t>
            </w:r>
            <w:r w:rsidR="00495D80" w:rsidRPr="00954547">
              <w:rPr>
                <w:rFonts w:ascii="Verdana" w:hAnsi="Verdana"/>
                <w:noProof/>
                <w:webHidden/>
                <w:sz w:val="20"/>
                <w:szCs w:val="20"/>
              </w:rPr>
              <w:fldChar w:fldCharType="end"/>
            </w:r>
          </w:hyperlink>
        </w:p>
        <w:p w14:paraId="7BA71BE8" w14:textId="4ACA8678" w:rsidR="00495D80" w:rsidRPr="00954547" w:rsidRDefault="007759F2">
          <w:pPr>
            <w:pStyle w:val="TOC3"/>
            <w:rPr>
              <w:rFonts w:ascii="Verdana" w:eastAsiaTheme="minorEastAsia" w:hAnsi="Verdana" w:cstheme="minorBidi"/>
              <w:noProof/>
              <w:sz w:val="20"/>
              <w:szCs w:val="20"/>
              <w:bdr w:val="none" w:sz="0" w:space="0" w:color="auto"/>
            </w:rPr>
          </w:pPr>
          <w:hyperlink w:anchor="_Toc106353946" w:history="1">
            <w:r w:rsidR="00495D80" w:rsidRPr="00954547">
              <w:rPr>
                <w:rStyle w:val="Hyperlink"/>
                <w:rFonts w:ascii="Verdana" w:hAnsi="Verdana"/>
                <w:noProof/>
                <w:sz w:val="20"/>
                <w:szCs w:val="20"/>
              </w:rPr>
              <w:t>E.2 Non-pecuniary damage</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_Toc106353946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83</w:t>
            </w:r>
            <w:r w:rsidR="00495D80" w:rsidRPr="00954547">
              <w:rPr>
                <w:rFonts w:ascii="Verdana" w:hAnsi="Verdana"/>
                <w:noProof/>
                <w:webHidden/>
                <w:sz w:val="20"/>
                <w:szCs w:val="20"/>
              </w:rPr>
              <w:fldChar w:fldCharType="end"/>
            </w:r>
          </w:hyperlink>
        </w:p>
        <w:p w14:paraId="54E6938F" w14:textId="3FCEF748" w:rsidR="00495D80" w:rsidRPr="00954547" w:rsidRDefault="007759F2">
          <w:pPr>
            <w:pStyle w:val="TOC2"/>
            <w:rPr>
              <w:rFonts w:ascii="Verdana" w:eastAsiaTheme="minorEastAsia" w:hAnsi="Verdana" w:cstheme="minorBidi"/>
              <w:noProof/>
              <w:sz w:val="20"/>
              <w:szCs w:val="20"/>
              <w:bdr w:val="none" w:sz="0" w:space="0" w:color="auto"/>
            </w:rPr>
          </w:pPr>
          <w:hyperlink w:anchor="_Toc106353947" w:history="1">
            <w:r w:rsidR="00495D80" w:rsidRPr="00954547">
              <w:rPr>
                <w:rStyle w:val="Hyperlink"/>
                <w:rFonts w:ascii="Verdana" w:hAnsi="Verdana"/>
                <w:noProof/>
                <w:sz w:val="20"/>
                <w:szCs w:val="20"/>
              </w:rPr>
              <w:t>F.</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Other measures requested</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_Toc106353947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84</w:t>
            </w:r>
            <w:r w:rsidR="00495D80" w:rsidRPr="00954547">
              <w:rPr>
                <w:rFonts w:ascii="Verdana" w:hAnsi="Verdana"/>
                <w:noProof/>
                <w:webHidden/>
                <w:sz w:val="20"/>
                <w:szCs w:val="20"/>
              </w:rPr>
              <w:fldChar w:fldCharType="end"/>
            </w:r>
          </w:hyperlink>
        </w:p>
        <w:p w14:paraId="2CB7AD97" w14:textId="24F2C182" w:rsidR="00495D80" w:rsidRPr="00954547" w:rsidRDefault="007759F2">
          <w:pPr>
            <w:pStyle w:val="TOC2"/>
            <w:rPr>
              <w:rFonts w:ascii="Verdana" w:eastAsiaTheme="minorEastAsia" w:hAnsi="Verdana" w:cstheme="minorBidi"/>
              <w:noProof/>
              <w:sz w:val="20"/>
              <w:szCs w:val="20"/>
              <w:bdr w:val="none" w:sz="0" w:space="0" w:color="auto"/>
            </w:rPr>
          </w:pPr>
          <w:hyperlink w:anchor="_Toc106353948" w:history="1">
            <w:r w:rsidR="00495D80" w:rsidRPr="00954547">
              <w:rPr>
                <w:rStyle w:val="Hyperlink"/>
                <w:rFonts w:ascii="Verdana" w:hAnsi="Verdana"/>
                <w:noProof/>
                <w:sz w:val="20"/>
                <w:szCs w:val="20"/>
              </w:rPr>
              <w:t>G.</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Costs and expenses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_Toc106353948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85</w:t>
            </w:r>
            <w:r w:rsidR="00495D80" w:rsidRPr="00954547">
              <w:rPr>
                <w:rFonts w:ascii="Verdana" w:hAnsi="Verdana"/>
                <w:noProof/>
                <w:webHidden/>
                <w:sz w:val="20"/>
                <w:szCs w:val="20"/>
              </w:rPr>
              <w:fldChar w:fldCharType="end"/>
            </w:r>
          </w:hyperlink>
        </w:p>
        <w:p w14:paraId="1D8B4F20" w14:textId="78CB69A8" w:rsidR="00495D80" w:rsidRPr="00954547" w:rsidRDefault="007759F2">
          <w:pPr>
            <w:pStyle w:val="TOC2"/>
            <w:rPr>
              <w:rFonts w:ascii="Verdana" w:eastAsiaTheme="minorEastAsia" w:hAnsi="Verdana" w:cstheme="minorBidi"/>
              <w:noProof/>
              <w:sz w:val="20"/>
              <w:szCs w:val="20"/>
              <w:bdr w:val="none" w:sz="0" w:space="0" w:color="auto"/>
            </w:rPr>
          </w:pPr>
          <w:hyperlink w:anchor="_Toc106353949" w:history="1">
            <w:r w:rsidR="00495D80" w:rsidRPr="00954547">
              <w:rPr>
                <w:rStyle w:val="Hyperlink"/>
                <w:rFonts w:ascii="Verdana" w:hAnsi="Verdana"/>
                <w:noProof/>
                <w:sz w:val="20"/>
                <w:szCs w:val="20"/>
              </w:rPr>
              <w:t>H.</w:t>
            </w:r>
            <w:r w:rsidR="00495D80" w:rsidRPr="00954547">
              <w:rPr>
                <w:rFonts w:ascii="Verdana" w:eastAsiaTheme="minorEastAsia" w:hAnsi="Verdana" w:cstheme="minorBidi"/>
                <w:noProof/>
                <w:sz w:val="20"/>
                <w:szCs w:val="20"/>
                <w:bdr w:val="none" w:sz="0" w:space="0" w:color="auto"/>
              </w:rPr>
              <w:tab/>
            </w:r>
            <w:r w:rsidR="00495D80" w:rsidRPr="00954547">
              <w:rPr>
                <w:rStyle w:val="Hyperlink"/>
                <w:rFonts w:ascii="Verdana" w:hAnsi="Verdana"/>
                <w:noProof/>
                <w:sz w:val="20"/>
                <w:szCs w:val="20"/>
              </w:rPr>
              <w:t>Method of compliance with the payments ordered</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_Toc106353949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86</w:t>
            </w:r>
            <w:r w:rsidR="00495D80" w:rsidRPr="00954547">
              <w:rPr>
                <w:rFonts w:ascii="Verdana" w:hAnsi="Verdana"/>
                <w:noProof/>
                <w:webHidden/>
                <w:sz w:val="20"/>
                <w:szCs w:val="20"/>
              </w:rPr>
              <w:fldChar w:fldCharType="end"/>
            </w:r>
          </w:hyperlink>
        </w:p>
        <w:p w14:paraId="04674D3B" w14:textId="79E30752" w:rsidR="00495D80" w:rsidRPr="00954547" w:rsidRDefault="007759F2">
          <w:pPr>
            <w:pStyle w:val="TOC1"/>
            <w:rPr>
              <w:rFonts w:ascii="Verdana" w:eastAsiaTheme="minorEastAsia" w:hAnsi="Verdana" w:cstheme="minorBidi"/>
              <w:noProof/>
              <w:sz w:val="20"/>
              <w:szCs w:val="20"/>
              <w:bdr w:val="none" w:sz="0" w:space="0" w:color="auto"/>
            </w:rPr>
          </w:pPr>
          <w:hyperlink w:anchor="_Toc106353950" w:history="1">
            <w:r w:rsidR="00495D80" w:rsidRPr="00954547">
              <w:rPr>
                <w:rStyle w:val="Hyperlink"/>
                <w:rFonts w:ascii="Verdana" w:hAnsi="Verdana"/>
                <w:noProof/>
                <w:sz w:val="20"/>
                <w:szCs w:val="20"/>
              </w:rPr>
              <w:t>X OPERATIVE PARAGRAPHS</w:t>
            </w:r>
            <w:r w:rsidR="00495D80" w:rsidRPr="00954547">
              <w:rPr>
                <w:rFonts w:ascii="Verdana" w:hAnsi="Verdana"/>
                <w:noProof/>
                <w:webHidden/>
                <w:sz w:val="20"/>
                <w:szCs w:val="20"/>
              </w:rPr>
              <w:tab/>
            </w:r>
            <w:r w:rsidR="00495D80" w:rsidRPr="00954547">
              <w:rPr>
                <w:rFonts w:ascii="Verdana" w:hAnsi="Verdana"/>
                <w:noProof/>
                <w:webHidden/>
                <w:sz w:val="20"/>
                <w:szCs w:val="20"/>
              </w:rPr>
              <w:fldChar w:fldCharType="begin"/>
            </w:r>
            <w:r w:rsidR="00495D80" w:rsidRPr="00954547">
              <w:rPr>
                <w:rFonts w:ascii="Verdana" w:hAnsi="Verdana"/>
                <w:noProof/>
                <w:webHidden/>
                <w:sz w:val="20"/>
                <w:szCs w:val="20"/>
              </w:rPr>
              <w:instrText xml:space="preserve"> PAGEREF _Toc106353950 \h </w:instrText>
            </w:r>
            <w:r w:rsidR="00495D80" w:rsidRPr="00954547">
              <w:rPr>
                <w:rFonts w:ascii="Verdana" w:hAnsi="Verdana"/>
                <w:noProof/>
                <w:webHidden/>
                <w:sz w:val="20"/>
                <w:szCs w:val="20"/>
              </w:rPr>
            </w:r>
            <w:r w:rsidR="00495D80" w:rsidRPr="00954547">
              <w:rPr>
                <w:rFonts w:ascii="Verdana" w:hAnsi="Verdana"/>
                <w:noProof/>
                <w:webHidden/>
                <w:sz w:val="20"/>
                <w:szCs w:val="20"/>
              </w:rPr>
              <w:fldChar w:fldCharType="separate"/>
            </w:r>
            <w:r w:rsidR="000E4488" w:rsidRPr="00954547">
              <w:rPr>
                <w:rFonts w:ascii="Verdana" w:hAnsi="Verdana"/>
                <w:noProof/>
                <w:webHidden/>
                <w:sz w:val="20"/>
                <w:szCs w:val="20"/>
              </w:rPr>
              <w:t>87</w:t>
            </w:r>
            <w:r w:rsidR="00495D80" w:rsidRPr="00954547">
              <w:rPr>
                <w:rFonts w:ascii="Verdana" w:hAnsi="Verdana"/>
                <w:noProof/>
                <w:webHidden/>
                <w:sz w:val="20"/>
                <w:szCs w:val="20"/>
              </w:rPr>
              <w:fldChar w:fldCharType="end"/>
            </w:r>
          </w:hyperlink>
        </w:p>
        <w:p w14:paraId="279F4E46" w14:textId="345D022A" w:rsidR="00353D5F" w:rsidRPr="00954547" w:rsidRDefault="00353D5F" w:rsidP="000557B8">
          <w:pPr>
            <w:tabs>
              <w:tab w:val="left" w:pos="284"/>
              <w:tab w:val="left" w:pos="426"/>
            </w:tabs>
            <w:spacing w:before="120" w:after="120"/>
            <w:jc w:val="both"/>
            <w:rPr>
              <w:rFonts w:ascii="Verdana" w:hAnsi="Verdana"/>
              <w:b/>
              <w:bCs/>
              <w:sz w:val="20"/>
              <w:szCs w:val="20"/>
            </w:rPr>
          </w:pPr>
          <w:r w:rsidRPr="00954547">
            <w:rPr>
              <w:rFonts w:ascii="Verdana" w:hAnsi="Verdana"/>
              <w:b/>
              <w:bCs/>
              <w:sz w:val="20"/>
              <w:szCs w:val="20"/>
            </w:rPr>
            <w:fldChar w:fldCharType="end"/>
          </w:r>
        </w:p>
      </w:sdtContent>
    </w:sdt>
    <w:p w14:paraId="40D7B1A6" w14:textId="4F3A3A3B" w:rsidR="00EF6921" w:rsidRPr="00954547" w:rsidRDefault="00EF6921" w:rsidP="000557B8">
      <w:pPr>
        <w:spacing w:before="120" w:after="120"/>
        <w:rPr>
          <w:rFonts w:ascii="Verdana" w:hAnsi="Verdana"/>
          <w:sz w:val="20"/>
          <w:szCs w:val="20"/>
        </w:rPr>
      </w:pPr>
    </w:p>
    <w:p w14:paraId="07D8DB8E" w14:textId="0C884C90" w:rsidR="000557B8" w:rsidRPr="00954547" w:rsidRDefault="000557B8" w:rsidP="000557B8">
      <w:pPr>
        <w:spacing w:before="120" w:after="120"/>
        <w:rPr>
          <w:rFonts w:ascii="Verdana" w:hAnsi="Verdana"/>
          <w:sz w:val="20"/>
          <w:szCs w:val="20"/>
        </w:rPr>
      </w:pPr>
    </w:p>
    <w:p w14:paraId="63EDDB2B" w14:textId="0687A40F" w:rsidR="000557B8" w:rsidRPr="00954547" w:rsidRDefault="000557B8" w:rsidP="000557B8">
      <w:pPr>
        <w:spacing w:before="120" w:after="120"/>
        <w:rPr>
          <w:rFonts w:ascii="Verdana" w:hAnsi="Verdana"/>
          <w:sz w:val="20"/>
          <w:szCs w:val="20"/>
        </w:rPr>
      </w:pPr>
    </w:p>
    <w:p w14:paraId="1CAD9A1C" w14:textId="5701F839" w:rsidR="000557B8" w:rsidRPr="00954547" w:rsidRDefault="000557B8" w:rsidP="000557B8">
      <w:pPr>
        <w:spacing w:before="120" w:after="120"/>
        <w:rPr>
          <w:rFonts w:ascii="Verdana" w:hAnsi="Verdana"/>
          <w:sz w:val="20"/>
          <w:szCs w:val="20"/>
        </w:rPr>
      </w:pPr>
    </w:p>
    <w:p w14:paraId="019C8012" w14:textId="141EC35A" w:rsidR="000557B8" w:rsidRPr="00954547" w:rsidRDefault="000557B8" w:rsidP="000557B8">
      <w:pPr>
        <w:spacing w:before="120" w:after="120"/>
        <w:rPr>
          <w:rFonts w:ascii="Verdana" w:hAnsi="Verdana"/>
          <w:sz w:val="20"/>
          <w:szCs w:val="20"/>
        </w:rPr>
      </w:pPr>
    </w:p>
    <w:p w14:paraId="0B9B23DE" w14:textId="77777777" w:rsidR="00495D80" w:rsidRPr="00954547" w:rsidRDefault="00495D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Theme="majorEastAsia" w:hAnsi="Verdana" w:cstheme="majorBidi"/>
          <w:b/>
          <w:bCs/>
          <w:sz w:val="20"/>
          <w:szCs w:val="20"/>
        </w:rPr>
      </w:pPr>
      <w:bookmarkStart w:id="5" w:name="_Toc106353878"/>
      <w:r w:rsidRPr="00954547">
        <w:br w:type="page"/>
      </w:r>
    </w:p>
    <w:p w14:paraId="0C5DFDB0" w14:textId="409E1512" w:rsidR="00433F11" w:rsidRPr="00954547" w:rsidRDefault="00433F11" w:rsidP="00386B24">
      <w:pPr>
        <w:pStyle w:val="Heading1"/>
        <w:tabs>
          <w:tab w:val="left" w:pos="567"/>
        </w:tabs>
      </w:pPr>
      <w:r w:rsidRPr="00954547">
        <w:t>I</w:t>
      </w:r>
      <w:r w:rsidRPr="00954547">
        <w:br/>
      </w:r>
      <w:r w:rsidR="00B8393C" w:rsidRPr="00954547">
        <w:t>INTRODUCTION OF THE CASE AND PURPOSE OF THE DISPUTE</w:t>
      </w:r>
      <w:bookmarkEnd w:id="5"/>
    </w:p>
    <w:p w14:paraId="6CBBA7C8" w14:textId="47F68F39" w:rsidR="00B05FDF" w:rsidRPr="00954547" w:rsidRDefault="00B8393C" w:rsidP="000365EC">
      <w:pPr>
        <w:pStyle w:val="Numberedparagraphs"/>
        <w:numPr>
          <w:ilvl w:val="0"/>
          <w:numId w:val="13"/>
        </w:numPr>
        <w:tabs>
          <w:tab w:val="clear" w:pos="720"/>
          <w:tab w:val="left" w:pos="567"/>
        </w:tabs>
        <w:rPr>
          <w:color w:val="auto"/>
          <w:lang w:val="en-US"/>
        </w:rPr>
      </w:pPr>
      <w:r w:rsidRPr="00954547">
        <w:rPr>
          <w:i/>
          <w:color w:val="auto"/>
          <w:lang w:val="en-US"/>
        </w:rPr>
        <w:t>The case submitted to</w:t>
      </w:r>
      <w:r w:rsidR="00433F11" w:rsidRPr="00954547">
        <w:rPr>
          <w:i/>
          <w:color w:val="auto"/>
          <w:lang w:val="en-US"/>
        </w:rPr>
        <w:t xml:space="preserve"> </w:t>
      </w:r>
      <w:r w:rsidR="00E76B1A" w:rsidRPr="00954547">
        <w:rPr>
          <w:i/>
          <w:color w:val="auto"/>
          <w:lang w:val="en-US"/>
        </w:rPr>
        <w:t>the Court</w:t>
      </w:r>
      <w:r w:rsidR="00433F11" w:rsidRPr="00954547">
        <w:rPr>
          <w:i/>
          <w:color w:val="auto"/>
          <w:lang w:val="en-US"/>
        </w:rPr>
        <w:t xml:space="preserve">. </w:t>
      </w:r>
      <w:r w:rsidRPr="00954547">
        <w:rPr>
          <w:lang w:val="en-US"/>
        </w:rPr>
        <w:t xml:space="preserve">On July 29, 2019, the Inter-American Commission on Human Rights (hereinafter “the Inter-American Commission” or “the Commission”) submitted to the jurisdiction of the Court the case of </w:t>
      </w:r>
      <w:r w:rsidRPr="00954547">
        <w:rPr>
          <w:i/>
          <w:lang w:val="en-US"/>
        </w:rPr>
        <w:t xml:space="preserve">Manuela and family with regard to the Republic of El Salvador </w:t>
      </w:r>
      <w:r w:rsidRPr="00954547">
        <w:rPr>
          <w:lang w:val="en-US"/>
        </w:rPr>
        <w:t>(hereinafter “the State” or “El Salvador”). The Commission indicated that the case related to “a series of violations during the criminal proceedings that culminated in the conviction of the [presumed] victim in this case for the offense of aggravated homicide in the known context of the criminalization of abortion</w:t>
      </w:r>
      <w:r w:rsidR="00607E12" w:rsidRPr="00954547">
        <w:rPr>
          <w:lang w:val="en-US"/>
        </w:rPr>
        <w:t xml:space="preserve"> in El Salvador</w:t>
      </w:r>
      <w:r w:rsidRPr="00954547">
        <w:rPr>
          <w:lang w:val="en-US"/>
        </w:rPr>
        <w:t xml:space="preserve">,” as well as the violation of </w:t>
      </w:r>
      <w:r w:rsidR="00674DA3" w:rsidRPr="00954547">
        <w:rPr>
          <w:lang w:val="en-US"/>
        </w:rPr>
        <w:t>professional confidentiality</w:t>
      </w:r>
      <w:r w:rsidRPr="00954547">
        <w:rPr>
          <w:lang w:val="en-US"/>
        </w:rPr>
        <w:t xml:space="preserve">, the medical </w:t>
      </w:r>
      <w:r w:rsidR="005F6093" w:rsidRPr="00954547">
        <w:rPr>
          <w:lang w:val="en-US"/>
        </w:rPr>
        <w:t>attention</w:t>
      </w:r>
      <w:r w:rsidRPr="00954547">
        <w:rPr>
          <w:lang w:val="en-US"/>
        </w:rPr>
        <w:t xml:space="preserve"> received before and after her deprivation of liberty, and the presumed victim</w:t>
      </w:r>
      <w:r w:rsidR="005F6093" w:rsidRPr="00954547">
        <w:rPr>
          <w:lang w:val="en-US"/>
        </w:rPr>
        <w:t>’s death</w:t>
      </w:r>
      <w:r w:rsidRPr="00954547">
        <w:rPr>
          <w:lang w:val="en-US"/>
        </w:rPr>
        <w:t xml:space="preserve"> in the </w:t>
      </w:r>
      <w:r w:rsidR="00607E12" w:rsidRPr="00954547">
        <w:rPr>
          <w:lang w:val="en-US"/>
        </w:rPr>
        <w:t xml:space="preserve">State’s </w:t>
      </w:r>
      <w:r w:rsidRPr="00954547">
        <w:rPr>
          <w:lang w:val="en-US"/>
        </w:rPr>
        <w:t xml:space="preserve">custody. The Commission concluded that the State was responsible for the violation of </w:t>
      </w:r>
      <w:r w:rsidR="00607E12" w:rsidRPr="00954547">
        <w:rPr>
          <w:lang w:val="en-US"/>
        </w:rPr>
        <w:t>Manuela’s</w:t>
      </w:r>
      <w:r w:rsidRPr="00954547">
        <w:rPr>
          <w:lang w:val="en-US"/>
        </w:rPr>
        <w:t xml:space="preserve"> rights to life</w:t>
      </w:r>
      <w:r w:rsidR="0078694F" w:rsidRPr="00954547">
        <w:rPr>
          <w:color w:val="auto"/>
          <w:lang w:val="en-US"/>
        </w:rPr>
        <w:t>, personal liberty</w:t>
      </w:r>
      <w:r w:rsidR="00433F11" w:rsidRPr="00954547">
        <w:rPr>
          <w:color w:val="auto"/>
          <w:lang w:val="en-US"/>
        </w:rPr>
        <w:t xml:space="preserve">, </w:t>
      </w:r>
      <w:r w:rsidR="0078694F" w:rsidRPr="00954547">
        <w:rPr>
          <w:color w:val="auto"/>
          <w:lang w:val="en-US"/>
        </w:rPr>
        <w:t>judicial guarantees</w:t>
      </w:r>
      <w:r w:rsidR="00433F11" w:rsidRPr="00954547">
        <w:rPr>
          <w:color w:val="auto"/>
          <w:lang w:val="en-US"/>
        </w:rPr>
        <w:t xml:space="preserve">, </w:t>
      </w:r>
      <w:r w:rsidR="0078694F" w:rsidRPr="00954547">
        <w:rPr>
          <w:color w:val="auto"/>
          <w:lang w:val="en-US"/>
        </w:rPr>
        <w:t>privacy</w:t>
      </w:r>
      <w:r w:rsidR="00433F11" w:rsidRPr="00954547">
        <w:rPr>
          <w:color w:val="auto"/>
          <w:lang w:val="en-US"/>
        </w:rPr>
        <w:t xml:space="preserve">, </w:t>
      </w:r>
      <w:r w:rsidR="0078694F" w:rsidRPr="00954547">
        <w:rPr>
          <w:color w:val="auto"/>
          <w:lang w:val="en-US"/>
        </w:rPr>
        <w:t>equality before the law</w:t>
      </w:r>
      <w:r w:rsidR="00433F11" w:rsidRPr="00954547">
        <w:rPr>
          <w:color w:val="auto"/>
          <w:lang w:val="en-US"/>
        </w:rPr>
        <w:t xml:space="preserve">, </w:t>
      </w:r>
      <w:r w:rsidR="0078694F" w:rsidRPr="00954547">
        <w:rPr>
          <w:color w:val="auto"/>
          <w:lang w:val="en-US"/>
        </w:rPr>
        <w:t>judicial protection</w:t>
      </w:r>
      <w:r w:rsidR="00433F11" w:rsidRPr="00954547">
        <w:rPr>
          <w:color w:val="auto"/>
          <w:lang w:val="en-US"/>
        </w:rPr>
        <w:t xml:space="preserve">, </w:t>
      </w:r>
      <w:r w:rsidR="0078694F" w:rsidRPr="00954547">
        <w:rPr>
          <w:color w:val="auto"/>
          <w:lang w:val="en-US"/>
        </w:rPr>
        <w:t>and</w:t>
      </w:r>
      <w:r w:rsidR="00433F11" w:rsidRPr="00954547">
        <w:rPr>
          <w:color w:val="auto"/>
          <w:lang w:val="en-US"/>
        </w:rPr>
        <w:t xml:space="preserve"> </w:t>
      </w:r>
      <w:r w:rsidR="0078694F" w:rsidRPr="00954547">
        <w:rPr>
          <w:color w:val="auto"/>
          <w:lang w:val="en-US"/>
        </w:rPr>
        <w:t>health</w:t>
      </w:r>
      <w:r w:rsidR="00433F11" w:rsidRPr="00954547">
        <w:rPr>
          <w:color w:val="auto"/>
          <w:lang w:val="en-US"/>
        </w:rPr>
        <w:t xml:space="preserve">. </w:t>
      </w:r>
      <w:r w:rsidR="0078694F" w:rsidRPr="00954547">
        <w:rPr>
          <w:color w:val="auto"/>
          <w:lang w:val="en-US"/>
        </w:rPr>
        <w:t>In addition</w:t>
      </w:r>
      <w:r w:rsidR="00433F11" w:rsidRPr="00954547">
        <w:rPr>
          <w:color w:val="auto"/>
          <w:lang w:val="en-US"/>
        </w:rPr>
        <w:t xml:space="preserve">, </w:t>
      </w:r>
      <w:r w:rsidR="00E76B1A" w:rsidRPr="00954547">
        <w:rPr>
          <w:color w:val="auto"/>
          <w:lang w:val="en-US"/>
        </w:rPr>
        <w:t>the Commission</w:t>
      </w:r>
      <w:r w:rsidR="00433F11" w:rsidRPr="00954547">
        <w:rPr>
          <w:color w:val="auto"/>
          <w:lang w:val="en-US"/>
        </w:rPr>
        <w:t xml:space="preserve"> </w:t>
      </w:r>
      <w:r w:rsidR="0078694F" w:rsidRPr="00954547">
        <w:rPr>
          <w:color w:val="auto"/>
          <w:lang w:val="en-US"/>
        </w:rPr>
        <w:t>concluded that</w:t>
      </w:r>
      <w:r w:rsidR="00433F11" w:rsidRPr="00954547">
        <w:rPr>
          <w:color w:val="auto"/>
          <w:lang w:val="en-US"/>
        </w:rPr>
        <w:t xml:space="preserve"> El Salvador </w:t>
      </w:r>
      <w:r w:rsidR="0078694F" w:rsidRPr="00954547">
        <w:rPr>
          <w:color w:val="auto"/>
          <w:lang w:val="en-US"/>
        </w:rPr>
        <w:t>had violated the right</w:t>
      </w:r>
      <w:r w:rsidR="00607E12" w:rsidRPr="00954547">
        <w:rPr>
          <w:color w:val="auto"/>
          <w:lang w:val="en-US"/>
        </w:rPr>
        <w:t>s</w:t>
      </w:r>
      <w:r w:rsidR="0078694F" w:rsidRPr="00954547">
        <w:rPr>
          <w:color w:val="auto"/>
          <w:lang w:val="en-US"/>
        </w:rPr>
        <w:t xml:space="preserve"> to</w:t>
      </w:r>
      <w:r w:rsidR="00433F11" w:rsidRPr="00954547">
        <w:rPr>
          <w:color w:val="auto"/>
          <w:lang w:val="en-US"/>
        </w:rPr>
        <w:t xml:space="preserve"> </w:t>
      </w:r>
      <w:r w:rsidR="0078694F" w:rsidRPr="00954547">
        <w:rPr>
          <w:color w:val="auto"/>
          <w:lang w:val="en-US"/>
        </w:rPr>
        <w:t>judicial guarantees and judicial protection</w:t>
      </w:r>
      <w:r w:rsidR="00433F11" w:rsidRPr="00954547">
        <w:rPr>
          <w:color w:val="auto"/>
          <w:lang w:val="en-US"/>
        </w:rPr>
        <w:t xml:space="preserve"> </w:t>
      </w:r>
      <w:r w:rsidR="0078694F" w:rsidRPr="00954547">
        <w:rPr>
          <w:color w:val="auto"/>
          <w:lang w:val="en-US"/>
        </w:rPr>
        <w:t>of</w:t>
      </w:r>
      <w:r w:rsidR="00433F11" w:rsidRPr="00954547">
        <w:rPr>
          <w:color w:val="auto"/>
          <w:lang w:val="en-US"/>
        </w:rPr>
        <w:t xml:space="preserve"> </w:t>
      </w:r>
      <w:r w:rsidR="0078694F" w:rsidRPr="00954547">
        <w:rPr>
          <w:color w:val="auto"/>
          <w:lang w:val="en-US"/>
        </w:rPr>
        <w:t>Manuela’s family “as a result of the total failure to investigate and clarify her death in custody.”</w:t>
      </w:r>
    </w:p>
    <w:p w14:paraId="2095CD1D" w14:textId="5E87C90E" w:rsidR="00433F11" w:rsidRPr="00954547" w:rsidRDefault="00607E12" w:rsidP="000365EC">
      <w:pPr>
        <w:pStyle w:val="Numberedparagraphs"/>
        <w:numPr>
          <w:ilvl w:val="0"/>
          <w:numId w:val="13"/>
        </w:numPr>
        <w:tabs>
          <w:tab w:val="clear" w:pos="720"/>
          <w:tab w:val="left" w:pos="567"/>
        </w:tabs>
        <w:rPr>
          <w:color w:val="auto"/>
          <w:lang w:val="en-US"/>
        </w:rPr>
      </w:pPr>
      <w:r w:rsidRPr="00954547">
        <w:rPr>
          <w:i/>
          <w:color w:val="auto"/>
          <w:lang w:val="en-US"/>
        </w:rPr>
        <w:t>Procedure before</w:t>
      </w:r>
      <w:r w:rsidR="00433F11" w:rsidRPr="00954547">
        <w:rPr>
          <w:i/>
          <w:color w:val="auto"/>
          <w:lang w:val="en-US"/>
        </w:rPr>
        <w:t xml:space="preserve"> </w:t>
      </w:r>
      <w:r w:rsidR="00E76B1A" w:rsidRPr="00954547">
        <w:rPr>
          <w:i/>
          <w:color w:val="auto"/>
          <w:lang w:val="en-US"/>
        </w:rPr>
        <w:t>the Commission</w:t>
      </w:r>
      <w:r w:rsidR="00433F11" w:rsidRPr="00954547">
        <w:rPr>
          <w:i/>
          <w:color w:val="auto"/>
          <w:lang w:val="en-US"/>
        </w:rPr>
        <w:t xml:space="preserve">. </w:t>
      </w:r>
      <w:r w:rsidRPr="00954547">
        <w:rPr>
          <w:color w:val="auto"/>
          <w:lang w:val="en-US"/>
        </w:rPr>
        <w:t>The procedure before</w:t>
      </w:r>
      <w:r w:rsidR="00433F11" w:rsidRPr="00954547">
        <w:rPr>
          <w:color w:val="auto"/>
          <w:lang w:val="en-US"/>
        </w:rPr>
        <w:t xml:space="preserve"> </w:t>
      </w:r>
      <w:r w:rsidR="00E76B1A" w:rsidRPr="00954547">
        <w:rPr>
          <w:color w:val="auto"/>
          <w:lang w:val="en-US"/>
        </w:rPr>
        <w:t>the Commission</w:t>
      </w:r>
      <w:r w:rsidR="00433F11" w:rsidRPr="00954547">
        <w:rPr>
          <w:color w:val="auto"/>
          <w:lang w:val="en-US"/>
        </w:rPr>
        <w:t xml:space="preserve"> </w:t>
      </w:r>
      <w:r w:rsidRPr="00954547">
        <w:rPr>
          <w:color w:val="auto"/>
          <w:lang w:val="en-US"/>
        </w:rPr>
        <w:t>was as follows:</w:t>
      </w:r>
    </w:p>
    <w:p w14:paraId="2DEAA109" w14:textId="05163597" w:rsidR="00433F11" w:rsidRPr="00954547" w:rsidRDefault="00607E12" w:rsidP="000365EC">
      <w:pPr>
        <w:pStyle w:val="ListParagraph"/>
        <w:widowControl w:val="0"/>
        <w:numPr>
          <w:ilvl w:val="1"/>
          <w:numId w:val="15"/>
        </w:numPr>
        <w:tabs>
          <w:tab w:val="left" w:pos="1476"/>
        </w:tabs>
        <w:autoSpaceDE w:val="0"/>
        <w:autoSpaceDN w:val="0"/>
        <w:spacing w:after="0"/>
        <w:ind w:left="1475" w:right="672" w:hanging="358"/>
        <w:rPr>
          <w:i/>
          <w:color w:val="auto"/>
          <w:lang w:val="en-US"/>
        </w:rPr>
      </w:pPr>
      <w:r w:rsidRPr="00954547">
        <w:rPr>
          <w:i/>
          <w:color w:val="auto"/>
          <w:lang w:val="en-US"/>
        </w:rPr>
        <w:t>Petition</w:t>
      </w:r>
      <w:r w:rsidR="00433F11" w:rsidRPr="00954547">
        <w:rPr>
          <w:i/>
          <w:color w:val="auto"/>
          <w:lang w:val="en-US"/>
        </w:rPr>
        <w:t xml:space="preserve">. </w:t>
      </w:r>
      <w:r w:rsidRPr="00954547">
        <w:rPr>
          <w:color w:val="auto"/>
          <w:lang w:val="en-US"/>
        </w:rPr>
        <w:t xml:space="preserve">On March 21, </w:t>
      </w:r>
      <w:r w:rsidR="00433F11" w:rsidRPr="00954547">
        <w:rPr>
          <w:color w:val="auto"/>
          <w:lang w:val="en-US"/>
        </w:rPr>
        <w:t>2012</w:t>
      </w:r>
      <w:r w:rsidRPr="00954547">
        <w:rPr>
          <w:color w:val="auto"/>
          <w:lang w:val="en-US"/>
        </w:rPr>
        <w:t>,</w:t>
      </w:r>
      <w:r w:rsidR="00433F11" w:rsidRPr="00954547">
        <w:rPr>
          <w:color w:val="auto"/>
          <w:lang w:val="en-US"/>
        </w:rPr>
        <w:t xml:space="preserve"> </w:t>
      </w:r>
      <w:r w:rsidRPr="00954547">
        <w:rPr>
          <w:color w:val="auto"/>
          <w:lang w:val="en-US"/>
        </w:rPr>
        <w:t>the</w:t>
      </w:r>
      <w:r w:rsidR="00433F11" w:rsidRPr="00954547">
        <w:rPr>
          <w:color w:val="auto"/>
          <w:lang w:val="en-US"/>
        </w:rPr>
        <w:t xml:space="preserve"> </w:t>
      </w:r>
      <w:r w:rsidR="00C90D62" w:rsidRPr="00954547">
        <w:rPr>
          <w:color w:val="auto"/>
          <w:lang w:val="en-US"/>
        </w:rPr>
        <w:t>Center for Reproductive Rights</w:t>
      </w:r>
      <w:r w:rsidR="00433F11" w:rsidRPr="00954547">
        <w:rPr>
          <w:color w:val="auto"/>
          <w:lang w:val="en-US"/>
        </w:rPr>
        <w:t xml:space="preserve">, </w:t>
      </w:r>
      <w:r w:rsidR="00F632DF" w:rsidRPr="00954547">
        <w:rPr>
          <w:color w:val="auto"/>
          <w:lang w:val="en-US"/>
        </w:rPr>
        <w:t xml:space="preserve">the </w:t>
      </w:r>
      <w:r w:rsidR="00F632DF" w:rsidRPr="00954547">
        <w:rPr>
          <w:lang w:val="en-US"/>
        </w:rPr>
        <w:t>Asociación Colectiva de Mujeres para el Desarrollo Local, also known as the Colectiva Feminista para el Desarrollo Local,</w:t>
      </w:r>
      <w:r w:rsidR="00F632DF" w:rsidRPr="00954547">
        <w:rPr>
          <w:color w:val="auto"/>
          <w:lang w:val="en-US"/>
        </w:rPr>
        <w:t xml:space="preserve"> </w:t>
      </w:r>
      <w:r w:rsidR="0078694F" w:rsidRPr="00954547">
        <w:rPr>
          <w:color w:val="auto"/>
          <w:lang w:val="en-US"/>
        </w:rPr>
        <w:t xml:space="preserve">and </w:t>
      </w:r>
      <w:r w:rsidRPr="00954547">
        <w:rPr>
          <w:color w:val="auto"/>
          <w:lang w:val="en-US"/>
        </w:rPr>
        <w:t>the</w:t>
      </w:r>
      <w:r w:rsidR="00433F11" w:rsidRPr="00954547">
        <w:rPr>
          <w:color w:val="auto"/>
          <w:lang w:val="en-US"/>
        </w:rPr>
        <w:t xml:space="preserve"> Agrupación Ciudadana por la Despenalización del Aborto Terapéutico, Ético</w:t>
      </w:r>
      <w:r w:rsidR="0078694F" w:rsidRPr="00954547">
        <w:rPr>
          <w:color w:val="auto"/>
          <w:lang w:val="en-US"/>
        </w:rPr>
        <w:t xml:space="preserve"> </w:t>
      </w:r>
      <w:r w:rsidR="00DC15AF" w:rsidRPr="00954547">
        <w:rPr>
          <w:color w:val="auto"/>
          <w:lang w:val="en-US"/>
        </w:rPr>
        <w:t>y</w:t>
      </w:r>
      <w:r w:rsidR="0078694F" w:rsidRPr="00954547">
        <w:rPr>
          <w:color w:val="auto"/>
          <w:lang w:val="en-US"/>
        </w:rPr>
        <w:t xml:space="preserve"> </w:t>
      </w:r>
      <w:r w:rsidR="00433F11" w:rsidRPr="00954547">
        <w:rPr>
          <w:color w:val="auto"/>
          <w:lang w:val="en-US"/>
        </w:rPr>
        <w:t xml:space="preserve">Eugenésico </w:t>
      </w:r>
      <w:r w:rsidRPr="00954547">
        <w:rPr>
          <w:color w:val="auto"/>
          <w:lang w:val="en-US"/>
        </w:rPr>
        <w:t>lodged the initial</w:t>
      </w:r>
      <w:r w:rsidR="00433F11" w:rsidRPr="00954547">
        <w:rPr>
          <w:color w:val="auto"/>
          <w:lang w:val="en-US"/>
        </w:rPr>
        <w:t xml:space="preserve"> </w:t>
      </w:r>
      <w:r w:rsidRPr="00954547">
        <w:rPr>
          <w:color w:val="auto"/>
          <w:lang w:val="en-US"/>
        </w:rPr>
        <w:t>petition</w:t>
      </w:r>
      <w:r w:rsidR="00433F11" w:rsidRPr="00954547">
        <w:rPr>
          <w:color w:val="auto"/>
          <w:lang w:val="en-US"/>
        </w:rPr>
        <w:t xml:space="preserve"> </w:t>
      </w:r>
      <w:r w:rsidRPr="00954547">
        <w:rPr>
          <w:color w:val="auto"/>
          <w:lang w:val="en-US"/>
        </w:rPr>
        <w:t>on behalf of the presumed victims</w:t>
      </w:r>
      <w:r w:rsidR="00433F11" w:rsidRPr="00954547">
        <w:rPr>
          <w:color w:val="auto"/>
          <w:lang w:val="en-US"/>
        </w:rPr>
        <w:t xml:space="preserve">. </w:t>
      </w:r>
    </w:p>
    <w:p w14:paraId="1D30A565" w14:textId="588B9170" w:rsidR="00433F11" w:rsidRPr="00954547" w:rsidRDefault="00607E12" w:rsidP="000365EC">
      <w:pPr>
        <w:pStyle w:val="ListParagraph"/>
        <w:widowControl w:val="0"/>
        <w:numPr>
          <w:ilvl w:val="1"/>
          <w:numId w:val="15"/>
        </w:numPr>
        <w:tabs>
          <w:tab w:val="left" w:pos="1476"/>
        </w:tabs>
        <w:autoSpaceDE w:val="0"/>
        <w:autoSpaceDN w:val="0"/>
        <w:spacing w:before="119" w:after="0"/>
        <w:ind w:left="1475" w:right="677" w:hanging="358"/>
        <w:rPr>
          <w:i/>
          <w:color w:val="auto"/>
          <w:lang w:val="en-US"/>
        </w:rPr>
      </w:pPr>
      <w:r w:rsidRPr="00954547">
        <w:rPr>
          <w:i/>
          <w:color w:val="auto"/>
          <w:lang w:val="en-US"/>
        </w:rPr>
        <w:t>Admissibility Report</w:t>
      </w:r>
      <w:r w:rsidR="00433F11" w:rsidRPr="00954547">
        <w:rPr>
          <w:i/>
          <w:color w:val="auto"/>
          <w:lang w:val="en-US"/>
        </w:rPr>
        <w:t xml:space="preserve">. </w:t>
      </w:r>
      <w:r w:rsidR="00A94F95" w:rsidRPr="00954547">
        <w:rPr>
          <w:color w:val="auto"/>
          <w:lang w:val="en-US"/>
        </w:rPr>
        <w:t>On March 18,</w:t>
      </w:r>
      <w:r w:rsidR="00433F11" w:rsidRPr="00954547">
        <w:rPr>
          <w:color w:val="auto"/>
          <w:lang w:val="en-US"/>
        </w:rPr>
        <w:t xml:space="preserve"> 2017</w:t>
      </w:r>
      <w:r w:rsidR="00A94F95" w:rsidRPr="00954547">
        <w:rPr>
          <w:color w:val="auto"/>
          <w:lang w:val="en-US"/>
        </w:rPr>
        <w:t>,</w:t>
      </w:r>
      <w:r w:rsidR="00433F11" w:rsidRPr="00954547">
        <w:rPr>
          <w:color w:val="auto"/>
          <w:lang w:val="en-US"/>
        </w:rPr>
        <w:t xml:space="preserve"> </w:t>
      </w:r>
      <w:r w:rsidR="00E76B1A" w:rsidRPr="00954547">
        <w:rPr>
          <w:color w:val="auto"/>
          <w:lang w:val="en-US"/>
        </w:rPr>
        <w:t>the Commission</w:t>
      </w:r>
      <w:r w:rsidR="00433F11" w:rsidRPr="00954547">
        <w:rPr>
          <w:color w:val="auto"/>
          <w:lang w:val="en-US"/>
        </w:rPr>
        <w:t xml:space="preserve"> a</w:t>
      </w:r>
      <w:r w:rsidR="00A94F95" w:rsidRPr="00954547">
        <w:rPr>
          <w:color w:val="auto"/>
          <w:lang w:val="en-US"/>
        </w:rPr>
        <w:t xml:space="preserve">dopted </w:t>
      </w:r>
      <w:r w:rsidRPr="00954547">
        <w:rPr>
          <w:color w:val="auto"/>
          <w:lang w:val="en-US"/>
        </w:rPr>
        <w:t>Admissibility Report</w:t>
      </w:r>
      <w:r w:rsidR="00433F11" w:rsidRPr="00954547">
        <w:rPr>
          <w:color w:val="auto"/>
          <w:lang w:val="en-US"/>
        </w:rPr>
        <w:t xml:space="preserve"> No. 29/17, </w:t>
      </w:r>
      <w:r w:rsidR="00A94F95" w:rsidRPr="00954547">
        <w:rPr>
          <w:color w:val="auto"/>
          <w:lang w:val="en-US"/>
        </w:rPr>
        <w:t>in which it concluded that the petition was admissible.</w:t>
      </w:r>
      <w:r w:rsidR="00433F11" w:rsidRPr="00954547">
        <w:rPr>
          <w:color w:val="auto"/>
          <w:lang w:val="en-US"/>
        </w:rPr>
        <w:t xml:space="preserve"> </w:t>
      </w:r>
    </w:p>
    <w:p w14:paraId="6E45E656" w14:textId="1BCBE61C" w:rsidR="00433F11" w:rsidRPr="00954547" w:rsidRDefault="00607E12" w:rsidP="000365EC">
      <w:pPr>
        <w:pStyle w:val="ListParagraph"/>
        <w:widowControl w:val="0"/>
        <w:numPr>
          <w:ilvl w:val="1"/>
          <w:numId w:val="15"/>
        </w:numPr>
        <w:tabs>
          <w:tab w:val="left" w:pos="1476"/>
        </w:tabs>
        <w:autoSpaceDE w:val="0"/>
        <w:autoSpaceDN w:val="0"/>
        <w:spacing w:before="121" w:after="0"/>
        <w:ind w:left="1475" w:right="675" w:hanging="358"/>
        <w:rPr>
          <w:i/>
          <w:color w:val="auto"/>
          <w:lang w:val="en-US"/>
        </w:rPr>
      </w:pPr>
      <w:r w:rsidRPr="00954547">
        <w:rPr>
          <w:i/>
          <w:color w:val="auto"/>
          <w:lang w:val="en-US"/>
        </w:rPr>
        <w:t>Merits Report</w:t>
      </w:r>
      <w:r w:rsidR="00433F11" w:rsidRPr="00954547">
        <w:rPr>
          <w:color w:val="auto"/>
          <w:lang w:val="en-US"/>
        </w:rPr>
        <w:t xml:space="preserve">. </w:t>
      </w:r>
      <w:r w:rsidR="00A94F95" w:rsidRPr="00954547">
        <w:rPr>
          <w:color w:val="auto"/>
          <w:lang w:val="en-US"/>
        </w:rPr>
        <w:t>On December 7,</w:t>
      </w:r>
      <w:r w:rsidR="00433F11" w:rsidRPr="00954547">
        <w:rPr>
          <w:color w:val="auto"/>
          <w:lang w:val="en-US"/>
        </w:rPr>
        <w:t xml:space="preserve"> 2018</w:t>
      </w:r>
      <w:r w:rsidR="00A94F95" w:rsidRPr="00954547">
        <w:rPr>
          <w:color w:val="auto"/>
          <w:lang w:val="en-US"/>
        </w:rPr>
        <w:t>,</w:t>
      </w:r>
      <w:r w:rsidR="00433F11" w:rsidRPr="00954547">
        <w:rPr>
          <w:color w:val="auto"/>
          <w:lang w:val="en-US"/>
        </w:rPr>
        <w:t xml:space="preserve"> </w:t>
      </w:r>
      <w:r w:rsidR="00E76B1A" w:rsidRPr="00954547">
        <w:rPr>
          <w:color w:val="auto"/>
          <w:lang w:val="en-US"/>
        </w:rPr>
        <w:t>the Commission</w:t>
      </w:r>
      <w:r w:rsidR="00433F11" w:rsidRPr="00954547">
        <w:rPr>
          <w:color w:val="auto"/>
          <w:lang w:val="en-US"/>
        </w:rPr>
        <w:t xml:space="preserve"> </w:t>
      </w:r>
      <w:r w:rsidR="00A94F95" w:rsidRPr="00954547">
        <w:rPr>
          <w:color w:val="auto"/>
          <w:lang w:val="en-US"/>
        </w:rPr>
        <w:t>adopted Merits Report</w:t>
      </w:r>
      <w:r w:rsidR="00433F11" w:rsidRPr="00954547">
        <w:rPr>
          <w:color w:val="auto"/>
          <w:lang w:val="en-US"/>
        </w:rPr>
        <w:t xml:space="preserve"> No. 153/18, </w:t>
      </w:r>
      <w:r w:rsidR="00A94F95" w:rsidRPr="00954547">
        <w:rPr>
          <w:color w:val="auto"/>
          <w:lang w:val="en-US"/>
        </w:rPr>
        <w:t>in which it reached a s</w:t>
      </w:r>
      <w:r w:rsidR="00B8393C" w:rsidRPr="00954547">
        <w:rPr>
          <w:color w:val="auto"/>
          <w:lang w:val="en-US"/>
        </w:rPr>
        <w:t xml:space="preserve">eries </w:t>
      </w:r>
      <w:r w:rsidR="00A94F95" w:rsidRPr="00954547">
        <w:rPr>
          <w:color w:val="auto"/>
          <w:lang w:val="en-US"/>
        </w:rPr>
        <w:t>of</w:t>
      </w:r>
      <w:r w:rsidR="00433F11" w:rsidRPr="00954547">
        <w:rPr>
          <w:color w:val="auto"/>
          <w:lang w:val="en-US"/>
        </w:rPr>
        <w:t xml:space="preserve"> conclusions</w:t>
      </w:r>
      <w:r w:rsidR="0028480E" w:rsidRPr="00954547">
        <w:rPr>
          <w:rStyle w:val="FootnoteReference"/>
          <w:color w:val="auto"/>
          <w:lang w:val="en-US"/>
        </w:rPr>
        <w:footnoteReference w:id="2"/>
      </w:r>
      <w:r w:rsidR="0078694F" w:rsidRPr="00954547">
        <w:rPr>
          <w:color w:val="auto"/>
          <w:position w:val="7"/>
          <w:sz w:val="13"/>
          <w:lang w:val="en-US"/>
        </w:rPr>
        <w:t xml:space="preserve"> </w:t>
      </w:r>
      <w:r w:rsidR="00A94F95" w:rsidRPr="00954547">
        <w:rPr>
          <w:color w:val="auto"/>
          <w:lang w:val="en-US"/>
        </w:rPr>
        <w:t>and made several recommendations to the State.</w:t>
      </w:r>
    </w:p>
    <w:p w14:paraId="0AA2587F" w14:textId="032C9188" w:rsidR="00433F11" w:rsidRPr="00954547" w:rsidRDefault="00A94F95" w:rsidP="000365EC">
      <w:pPr>
        <w:pStyle w:val="ListParagraph"/>
        <w:widowControl w:val="0"/>
        <w:numPr>
          <w:ilvl w:val="1"/>
          <w:numId w:val="15"/>
        </w:numPr>
        <w:tabs>
          <w:tab w:val="left" w:pos="1476"/>
        </w:tabs>
        <w:autoSpaceDE w:val="0"/>
        <w:autoSpaceDN w:val="0"/>
        <w:spacing w:before="121" w:after="0"/>
        <w:ind w:left="1475" w:right="675" w:hanging="358"/>
        <w:rPr>
          <w:i/>
          <w:color w:val="auto"/>
          <w:lang w:val="en-US"/>
        </w:rPr>
      </w:pPr>
      <w:r w:rsidRPr="00954547">
        <w:rPr>
          <w:i/>
          <w:iCs/>
          <w:color w:val="auto"/>
          <w:lang w:val="en-US"/>
        </w:rPr>
        <w:t>Notification</w:t>
      </w:r>
      <w:r w:rsidR="00433F11" w:rsidRPr="00954547">
        <w:rPr>
          <w:i/>
          <w:iCs/>
          <w:color w:val="auto"/>
          <w:lang w:val="en-US"/>
        </w:rPr>
        <w:t xml:space="preserve"> </w:t>
      </w:r>
      <w:r w:rsidRPr="00954547">
        <w:rPr>
          <w:i/>
          <w:iCs/>
          <w:color w:val="auto"/>
          <w:lang w:val="en-US"/>
        </w:rPr>
        <w:t>to the State</w:t>
      </w:r>
      <w:r w:rsidR="00433F11" w:rsidRPr="00954547">
        <w:rPr>
          <w:i/>
          <w:iCs/>
          <w:color w:val="auto"/>
          <w:lang w:val="en-US"/>
        </w:rPr>
        <w:t xml:space="preserve">. </w:t>
      </w:r>
      <w:r w:rsidRPr="00954547">
        <w:rPr>
          <w:color w:val="auto"/>
          <w:lang w:val="en-US"/>
        </w:rPr>
        <w:t>The Merits Report</w:t>
      </w:r>
      <w:r w:rsidR="00433F11" w:rsidRPr="00954547">
        <w:rPr>
          <w:color w:val="auto"/>
          <w:lang w:val="en-US"/>
        </w:rPr>
        <w:t xml:space="preserve"> </w:t>
      </w:r>
      <w:r w:rsidRPr="00954547">
        <w:rPr>
          <w:color w:val="auto"/>
          <w:lang w:val="en-US"/>
        </w:rPr>
        <w:t>was notified</w:t>
      </w:r>
      <w:r w:rsidR="00433F11" w:rsidRPr="00954547">
        <w:rPr>
          <w:color w:val="auto"/>
          <w:lang w:val="en-US"/>
        </w:rPr>
        <w:t xml:space="preserve"> </w:t>
      </w:r>
      <w:r w:rsidRPr="00954547">
        <w:rPr>
          <w:color w:val="auto"/>
          <w:lang w:val="en-US"/>
        </w:rPr>
        <w:t>to the State</w:t>
      </w:r>
      <w:r w:rsidR="00433F11" w:rsidRPr="00954547">
        <w:rPr>
          <w:color w:val="auto"/>
          <w:lang w:val="en-US"/>
        </w:rPr>
        <w:t xml:space="preserve"> </w:t>
      </w:r>
      <w:r w:rsidRPr="00954547">
        <w:rPr>
          <w:color w:val="auto"/>
          <w:lang w:val="en-US"/>
        </w:rPr>
        <w:t xml:space="preserve">on January 29, </w:t>
      </w:r>
      <w:r w:rsidR="00433F11" w:rsidRPr="00954547">
        <w:rPr>
          <w:color w:val="auto"/>
          <w:lang w:val="en-US"/>
        </w:rPr>
        <w:t xml:space="preserve">2019, </w:t>
      </w:r>
      <w:r w:rsidRPr="00954547">
        <w:rPr>
          <w:color w:val="auto"/>
          <w:lang w:val="en-US"/>
        </w:rPr>
        <w:t>granting it two months to report on compliance with the recommendations. After granting an extensi</w:t>
      </w:r>
      <w:r w:rsidR="00380CBD" w:rsidRPr="00954547">
        <w:rPr>
          <w:color w:val="auto"/>
          <w:lang w:val="en-US"/>
        </w:rPr>
        <w:t>o</w:t>
      </w:r>
      <w:r w:rsidRPr="00954547">
        <w:rPr>
          <w:color w:val="auto"/>
          <w:lang w:val="en-US"/>
        </w:rPr>
        <w:t xml:space="preserve">n, </w:t>
      </w:r>
      <w:r w:rsidR="00E76B1A" w:rsidRPr="00954547">
        <w:rPr>
          <w:color w:val="auto"/>
          <w:lang w:val="en-US"/>
        </w:rPr>
        <w:t>the Commission</w:t>
      </w:r>
      <w:r w:rsidR="00433F11" w:rsidRPr="00954547">
        <w:rPr>
          <w:color w:val="auto"/>
          <w:lang w:val="en-US"/>
        </w:rPr>
        <w:t xml:space="preserve"> </w:t>
      </w:r>
      <w:r w:rsidRPr="00954547">
        <w:rPr>
          <w:color w:val="auto"/>
          <w:lang w:val="en-US"/>
        </w:rPr>
        <w:t>indicated that</w:t>
      </w:r>
      <w:r w:rsidR="00433F11" w:rsidRPr="00954547">
        <w:rPr>
          <w:color w:val="auto"/>
          <w:lang w:val="en-US"/>
        </w:rPr>
        <w:t xml:space="preserve"> “El Salvador </w:t>
      </w:r>
      <w:r w:rsidR="00380CBD" w:rsidRPr="00954547">
        <w:rPr>
          <w:color w:val="auto"/>
          <w:lang w:val="en-US"/>
        </w:rPr>
        <w:t xml:space="preserve">did not present the report on compliance within the time frame </w:t>
      </w:r>
      <w:r w:rsidR="00DC15AF" w:rsidRPr="00954547">
        <w:rPr>
          <w:color w:val="auto"/>
          <w:lang w:val="en-US"/>
        </w:rPr>
        <w:t>established</w:t>
      </w:r>
      <w:r w:rsidR="00380CBD" w:rsidRPr="00954547">
        <w:rPr>
          <w:color w:val="auto"/>
          <w:lang w:val="en-US"/>
        </w:rPr>
        <w:t xml:space="preserve"> by </w:t>
      </w:r>
      <w:r w:rsidR="00E76B1A" w:rsidRPr="00954547">
        <w:rPr>
          <w:color w:val="auto"/>
          <w:lang w:val="en-US"/>
        </w:rPr>
        <w:t>the Commission</w:t>
      </w:r>
      <w:r w:rsidR="00380CBD" w:rsidRPr="00954547">
        <w:rPr>
          <w:color w:val="auto"/>
          <w:lang w:val="en-US"/>
        </w:rPr>
        <w:t>, and the Commission ha</w:t>
      </w:r>
      <w:r w:rsidR="00B6299C" w:rsidRPr="00954547">
        <w:rPr>
          <w:color w:val="auto"/>
          <w:lang w:val="en-US"/>
        </w:rPr>
        <w:t>s no</w:t>
      </w:r>
      <w:r w:rsidR="00380CBD" w:rsidRPr="00954547">
        <w:rPr>
          <w:color w:val="auto"/>
          <w:lang w:val="en-US"/>
        </w:rPr>
        <w:t xml:space="preserve"> information on </w:t>
      </w:r>
      <w:r w:rsidR="00DC15AF" w:rsidRPr="00954547">
        <w:rPr>
          <w:color w:val="auto"/>
          <w:lang w:val="en-US"/>
        </w:rPr>
        <w:t xml:space="preserve">any </w:t>
      </w:r>
      <w:r w:rsidR="00380CBD" w:rsidRPr="00954547">
        <w:rPr>
          <w:color w:val="auto"/>
          <w:lang w:val="en-US"/>
        </w:rPr>
        <w:t>substantive progress in compl</w:t>
      </w:r>
      <w:r w:rsidR="00DC15AF" w:rsidRPr="00954547">
        <w:rPr>
          <w:color w:val="auto"/>
          <w:lang w:val="en-US"/>
        </w:rPr>
        <w:t>ying</w:t>
      </w:r>
      <w:r w:rsidR="00380CBD" w:rsidRPr="00954547">
        <w:rPr>
          <w:color w:val="auto"/>
          <w:lang w:val="en-US"/>
        </w:rPr>
        <w:t xml:space="preserve"> with the recommendations of the </w:t>
      </w:r>
      <w:r w:rsidRPr="00954547">
        <w:rPr>
          <w:color w:val="auto"/>
          <w:lang w:val="en-US"/>
        </w:rPr>
        <w:t>Merits Report</w:t>
      </w:r>
      <w:r w:rsidR="00433F11" w:rsidRPr="00954547">
        <w:rPr>
          <w:color w:val="auto"/>
          <w:lang w:val="en-US"/>
        </w:rPr>
        <w:t xml:space="preserve"> […]</w:t>
      </w:r>
      <w:r w:rsidR="00380CBD" w:rsidRPr="00954547">
        <w:rPr>
          <w:color w:val="auto"/>
          <w:lang w:val="en-US"/>
        </w:rPr>
        <w:t>.</w:t>
      </w:r>
      <w:r w:rsidR="00433F11" w:rsidRPr="00954547">
        <w:rPr>
          <w:color w:val="auto"/>
          <w:lang w:val="en-US"/>
        </w:rPr>
        <w:t xml:space="preserve"> [</w:t>
      </w:r>
      <w:r w:rsidR="00380CBD" w:rsidRPr="00954547">
        <w:rPr>
          <w:color w:val="auto"/>
          <w:lang w:val="en-US"/>
        </w:rPr>
        <w:t xml:space="preserve">Moreover, the State </w:t>
      </w:r>
      <w:r w:rsidR="00B6299C" w:rsidRPr="00954547">
        <w:rPr>
          <w:color w:val="auto"/>
          <w:lang w:val="en-US"/>
        </w:rPr>
        <w:t>has</w:t>
      </w:r>
      <w:r w:rsidR="00380CBD" w:rsidRPr="00954547">
        <w:rPr>
          <w:color w:val="auto"/>
          <w:lang w:val="en-US"/>
        </w:rPr>
        <w:t xml:space="preserve"> not</w:t>
      </w:r>
      <w:r w:rsidR="00B6299C" w:rsidRPr="00954547">
        <w:rPr>
          <w:color w:val="auto"/>
          <w:lang w:val="en-US"/>
        </w:rPr>
        <w:t>]</w:t>
      </w:r>
      <w:r w:rsidR="00433F11" w:rsidRPr="00954547">
        <w:rPr>
          <w:color w:val="auto"/>
          <w:lang w:val="en-US"/>
        </w:rPr>
        <w:t xml:space="preserve"> </w:t>
      </w:r>
      <w:r w:rsidR="00380CBD" w:rsidRPr="00954547">
        <w:rPr>
          <w:color w:val="auto"/>
          <w:lang w:val="en-US"/>
        </w:rPr>
        <w:t>request</w:t>
      </w:r>
      <w:r w:rsidR="00B6299C" w:rsidRPr="00954547">
        <w:rPr>
          <w:color w:val="auto"/>
          <w:lang w:val="en-US"/>
        </w:rPr>
        <w:t>ed</w:t>
      </w:r>
      <w:r w:rsidR="00380CBD" w:rsidRPr="00954547">
        <w:rPr>
          <w:color w:val="auto"/>
          <w:lang w:val="en-US"/>
        </w:rPr>
        <w:t xml:space="preserve"> an extension.</w:t>
      </w:r>
      <w:r w:rsidR="00433F11" w:rsidRPr="00954547">
        <w:rPr>
          <w:color w:val="auto"/>
          <w:lang w:val="en-US"/>
        </w:rPr>
        <w:t xml:space="preserve">”  </w:t>
      </w:r>
    </w:p>
    <w:p w14:paraId="1129BF4E" w14:textId="241974B2" w:rsidR="00433F11" w:rsidRPr="00954547" w:rsidRDefault="00433F11" w:rsidP="000365EC">
      <w:pPr>
        <w:pStyle w:val="Numberedparagraphs"/>
        <w:numPr>
          <w:ilvl w:val="0"/>
          <w:numId w:val="13"/>
        </w:numPr>
        <w:tabs>
          <w:tab w:val="clear" w:pos="720"/>
          <w:tab w:val="left" w:pos="567"/>
        </w:tabs>
        <w:rPr>
          <w:color w:val="auto"/>
          <w:lang w:val="en-US"/>
        </w:rPr>
      </w:pPr>
      <w:r w:rsidRPr="00954547">
        <w:rPr>
          <w:i/>
          <w:iCs/>
          <w:color w:val="auto"/>
          <w:lang w:val="en-US"/>
        </w:rPr>
        <w:t>S</w:t>
      </w:r>
      <w:r w:rsidR="00380CBD" w:rsidRPr="00954547">
        <w:rPr>
          <w:i/>
          <w:iCs/>
          <w:color w:val="auto"/>
          <w:lang w:val="en-US"/>
        </w:rPr>
        <w:t>ubmission to</w:t>
      </w:r>
      <w:r w:rsidRPr="00954547">
        <w:rPr>
          <w:i/>
          <w:iCs/>
          <w:color w:val="auto"/>
          <w:lang w:val="en-US"/>
        </w:rPr>
        <w:t xml:space="preserve"> </w:t>
      </w:r>
      <w:r w:rsidR="00E76B1A" w:rsidRPr="00954547">
        <w:rPr>
          <w:i/>
          <w:iCs/>
          <w:color w:val="auto"/>
          <w:lang w:val="en-US"/>
        </w:rPr>
        <w:t>the Court</w:t>
      </w:r>
      <w:r w:rsidRPr="00954547">
        <w:rPr>
          <w:i/>
          <w:iCs/>
          <w:color w:val="auto"/>
          <w:lang w:val="en-US"/>
        </w:rPr>
        <w:t xml:space="preserve">. </w:t>
      </w:r>
      <w:r w:rsidR="00380CBD" w:rsidRPr="00954547">
        <w:rPr>
          <w:color w:val="auto"/>
          <w:lang w:val="en-US"/>
        </w:rPr>
        <w:t>On July 29,</w:t>
      </w:r>
      <w:r w:rsidRPr="00954547">
        <w:rPr>
          <w:color w:val="auto"/>
          <w:lang w:val="en-US"/>
        </w:rPr>
        <w:t xml:space="preserve"> 2019</w:t>
      </w:r>
      <w:r w:rsidR="00380CBD" w:rsidRPr="00954547">
        <w:rPr>
          <w:color w:val="auto"/>
          <w:lang w:val="en-US"/>
        </w:rPr>
        <w:t>,</w:t>
      </w:r>
      <w:r w:rsidRPr="00954547">
        <w:rPr>
          <w:color w:val="auto"/>
          <w:lang w:val="en-US"/>
        </w:rPr>
        <w:t xml:space="preserve"> </w:t>
      </w:r>
      <w:r w:rsidR="00E76B1A" w:rsidRPr="00954547">
        <w:rPr>
          <w:color w:val="auto"/>
          <w:lang w:val="en-US"/>
        </w:rPr>
        <w:t>the Commission</w:t>
      </w:r>
      <w:r w:rsidRPr="00954547">
        <w:rPr>
          <w:color w:val="auto"/>
          <w:lang w:val="en-US"/>
        </w:rPr>
        <w:t xml:space="preserve"> </w:t>
      </w:r>
      <w:r w:rsidR="00380CBD" w:rsidRPr="00954547">
        <w:rPr>
          <w:lang w:val="en-US"/>
        </w:rPr>
        <w:t>submitted all the facts and human rights violations described in the Merits Report to</w:t>
      </w:r>
      <w:r w:rsidR="00AD07C3" w:rsidRPr="00954547">
        <w:rPr>
          <w:lang w:val="en-US"/>
        </w:rPr>
        <w:t xml:space="preserve"> </w:t>
      </w:r>
      <w:r w:rsidR="00E76B1A" w:rsidRPr="00954547">
        <w:rPr>
          <w:lang w:val="en-US"/>
        </w:rPr>
        <w:t>the Court</w:t>
      </w:r>
      <w:r w:rsidR="00AD07C3" w:rsidRPr="00954547">
        <w:rPr>
          <w:lang w:val="en-US"/>
        </w:rPr>
        <w:t xml:space="preserve"> </w:t>
      </w:r>
      <w:r w:rsidR="00380CBD" w:rsidRPr="00954547">
        <w:rPr>
          <w:lang w:val="en-US"/>
        </w:rPr>
        <w:t>owing to “the need to obtain justice and reparation.</w:t>
      </w:r>
      <w:r w:rsidRPr="00954547">
        <w:rPr>
          <w:color w:val="auto"/>
          <w:lang w:val="en-US"/>
        </w:rPr>
        <w:t>”</w:t>
      </w:r>
      <w:r w:rsidRPr="00954547">
        <w:rPr>
          <w:rStyle w:val="FootnoteReference"/>
          <w:color w:val="auto"/>
          <w:lang w:val="en-US"/>
        </w:rPr>
        <w:footnoteReference w:id="3"/>
      </w:r>
      <w:r w:rsidR="00380CBD" w:rsidRPr="00954547">
        <w:rPr>
          <w:color w:val="auto"/>
          <w:lang w:val="en-US"/>
        </w:rPr>
        <w:t xml:space="preserve"> The Court note</w:t>
      </w:r>
      <w:r w:rsidR="00A17F8C" w:rsidRPr="00954547">
        <w:rPr>
          <w:color w:val="auto"/>
          <w:lang w:val="en-US"/>
        </w:rPr>
        <w:t>s</w:t>
      </w:r>
      <w:r w:rsidR="00380CBD" w:rsidRPr="00954547">
        <w:rPr>
          <w:color w:val="auto"/>
          <w:lang w:val="en-US"/>
        </w:rPr>
        <w:t xml:space="preserve"> that more than seven years </w:t>
      </w:r>
      <w:r w:rsidR="00A17F8C" w:rsidRPr="00954547">
        <w:rPr>
          <w:color w:val="auto"/>
          <w:lang w:val="en-US"/>
        </w:rPr>
        <w:t>elapsed</w:t>
      </w:r>
      <w:r w:rsidR="00380CBD" w:rsidRPr="00954547">
        <w:rPr>
          <w:color w:val="auto"/>
          <w:lang w:val="en-US"/>
        </w:rPr>
        <w:t xml:space="preserve"> between the lodging of the initial petition</w:t>
      </w:r>
      <w:r w:rsidRPr="00954547">
        <w:rPr>
          <w:color w:val="auto"/>
          <w:lang w:val="en-US"/>
        </w:rPr>
        <w:t xml:space="preserve"> </w:t>
      </w:r>
      <w:r w:rsidR="00A17F8C" w:rsidRPr="00954547">
        <w:rPr>
          <w:color w:val="auto"/>
          <w:lang w:val="en-US"/>
        </w:rPr>
        <w:t>before</w:t>
      </w:r>
      <w:r w:rsidRPr="00954547">
        <w:rPr>
          <w:color w:val="auto"/>
          <w:lang w:val="en-US"/>
        </w:rPr>
        <w:t xml:space="preserve"> </w:t>
      </w:r>
      <w:r w:rsidR="00E76B1A" w:rsidRPr="00954547">
        <w:rPr>
          <w:color w:val="auto"/>
          <w:lang w:val="en-US"/>
        </w:rPr>
        <w:t>the Commission</w:t>
      </w:r>
      <w:r w:rsidR="0078694F" w:rsidRPr="00954547">
        <w:rPr>
          <w:color w:val="auto"/>
          <w:lang w:val="en-US"/>
        </w:rPr>
        <w:t xml:space="preserve"> and </w:t>
      </w:r>
      <w:r w:rsidR="00A17F8C" w:rsidRPr="00954547">
        <w:rPr>
          <w:color w:val="auto"/>
          <w:lang w:val="en-US"/>
        </w:rPr>
        <w:t xml:space="preserve">the submission of the case to </w:t>
      </w:r>
      <w:r w:rsidR="00E76B1A" w:rsidRPr="00954547">
        <w:rPr>
          <w:color w:val="auto"/>
          <w:lang w:val="en-US"/>
        </w:rPr>
        <w:t>the Court</w:t>
      </w:r>
      <w:r w:rsidRPr="00954547">
        <w:rPr>
          <w:color w:val="auto"/>
          <w:lang w:val="en-US"/>
        </w:rPr>
        <w:t>.</w:t>
      </w:r>
    </w:p>
    <w:p w14:paraId="099CCB89" w14:textId="218A3769" w:rsidR="00433F11" w:rsidRPr="00954547" w:rsidRDefault="004B6621" w:rsidP="000365EC">
      <w:pPr>
        <w:pStyle w:val="Numberedparagraphs"/>
        <w:numPr>
          <w:ilvl w:val="0"/>
          <w:numId w:val="13"/>
        </w:numPr>
        <w:tabs>
          <w:tab w:val="clear" w:pos="720"/>
          <w:tab w:val="left" w:pos="567"/>
        </w:tabs>
        <w:rPr>
          <w:color w:val="auto"/>
          <w:lang w:val="en-US"/>
        </w:rPr>
      </w:pPr>
      <w:r w:rsidRPr="00954547">
        <w:rPr>
          <w:i/>
          <w:iCs/>
          <w:color w:val="auto"/>
          <w:lang w:val="en-US"/>
        </w:rPr>
        <w:t>The</w:t>
      </w:r>
      <w:r w:rsidR="00607E12" w:rsidRPr="00954547">
        <w:rPr>
          <w:i/>
          <w:iCs/>
          <w:color w:val="auto"/>
          <w:lang w:val="en-US"/>
        </w:rPr>
        <w:t xml:space="preserve"> </w:t>
      </w:r>
      <w:r w:rsidR="00E76B1A" w:rsidRPr="00954547">
        <w:rPr>
          <w:i/>
          <w:iCs/>
          <w:color w:val="auto"/>
          <w:lang w:val="en-US"/>
        </w:rPr>
        <w:t>Commission</w:t>
      </w:r>
      <w:r w:rsidRPr="00954547">
        <w:rPr>
          <w:i/>
          <w:iCs/>
          <w:color w:val="auto"/>
          <w:lang w:val="en-US"/>
        </w:rPr>
        <w:t>’s requests</w:t>
      </w:r>
      <w:r w:rsidR="00433F11" w:rsidRPr="00954547">
        <w:rPr>
          <w:i/>
          <w:iCs/>
          <w:color w:val="auto"/>
          <w:lang w:val="en-US"/>
        </w:rPr>
        <w:t>.</w:t>
      </w:r>
      <w:r w:rsidR="00433F11" w:rsidRPr="00954547">
        <w:rPr>
          <w:color w:val="auto"/>
          <w:lang w:val="en-US"/>
        </w:rPr>
        <w:t xml:space="preserve"> </w:t>
      </w:r>
      <w:r w:rsidRPr="00954547">
        <w:rPr>
          <w:color w:val="auto"/>
          <w:lang w:val="en-US"/>
        </w:rPr>
        <w:t xml:space="preserve">Based on the foregoing, </w:t>
      </w:r>
      <w:r w:rsidR="00E76B1A" w:rsidRPr="00954547">
        <w:rPr>
          <w:color w:val="auto"/>
          <w:lang w:val="en-US"/>
        </w:rPr>
        <w:t>the Inter-American Commission</w:t>
      </w:r>
      <w:r w:rsidR="00433F11" w:rsidRPr="00954547">
        <w:rPr>
          <w:color w:val="auto"/>
          <w:lang w:val="en-US"/>
        </w:rPr>
        <w:t xml:space="preserve"> </w:t>
      </w:r>
      <w:r w:rsidRPr="00954547">
        <w:rPr>
          <w:color w:val="auto"/>
          <w:lang w:val="en-US"/>
        </w:rPr>
        <w:t>asked th</w:t>
      </w:r>
      <w:r w:rsidR="00DC15AF" w:rsidRPr="00954547">
        <w:rPr>
          <w:color w:val="auto"/>
          <w:lang w:val="en-US"/>
        </w:rPr>
        <w:t>e</w:t>
      </w:r>
      <w:r w:rsidRPr="00954547">
        <w:rPr>
          <w:color w:val="auto"/>
          <w:lang w:val="en-US"/>
        </w:rPr>
        <w:t xml:space="preserve"> Court to conclude and declare the international responsibility </w:t>
      </w:r>
      <w:r w:rsidR="00607E12" w:rsidRPr="00954547">
        <w:rPr>
          <w:color w:val="auto"/>
          <w:lang w:val="en-US"/>
        </w:rPr>
        <w:t xml:space="preserve">of the </w:t>
      </w:r>
      <w:r w:rsidR="00B8393C" w:rsidRPr="00954547">
        <w:rPr>
          <w:color w:val="auto"/>
          <w:lang w:val="en-US"/>
        </w:rPr>
        <w:t>State</w:t>
      </w:r>
      <w:r w:rsidRPr="00954547">
        <w:rPr>
          <w:color w:val="auto"/>
          <w:lang w:val="en-US"/>
        </w:rPr>
        <w:t xml:space="preserve"> for the violations conta</w:t>
      </w:r>
      <w:r w:rsidR="000B652D" w:rsidRPr="00954547">
        <w:rPr>
          <w:color w:val="auto"/>
          <w:lang w:val="en-US"/>
        </w:rPr>
        <w:t>i</w:t>
      </w:r>
      <w:r w:rsidRPr="00954547">
        <w:rPr>
          <w:color w:val="auto"/>
          <w:lang w:val="en-US"/>
        </w:rPr>
        <w:t xml:space="preserve">ned in its </w:t>
      </w:r>
      <w:r w:rsidR="00607E12" w:rsidRPr="00954547">
        <w:rPr>
          <w:color w:val="auto"/>
          <w:lang w:val="en-US"/>
        </w:rPr>
        <w:t>Merits Report</w:t>
      </w:r>
      <w:r w:rsidR="0078694F" w:rsidRPr="00954547">
        <w:rPr>
          <w:color w:val="auto"/>
          <w:lang w:val="en-US"/>
        </w:rPr>
        <w:t xml:space="preserve"> and </w:t>
      </w:r>
      <w:r w:rsidRPr="00954547">
        <w:rPr>
          <w:color w:val="auto"/>
          <w:lang w:val="en-US"/>
        </w:rPr>
        <w:t>to order</w:t>
      </w:r>
      <w:r w:rsidR="00A94F95" w:rsidRPr="00954547">
        <w:rPr>
          <w:color w:val="auto"/>
          <w:lang w:val="en-US"/>
        </w:rPr>
        <w:t xml:space="preserve"> the State</w:t>
      </w:r>
      <w:r w:rsidR="00433F11" w:rsidRPr="00954547">
        <w:rPr>
          <w:color w:val="auto"/>
          <w:lang w:val="en-US"/>
        </w:rPr>
        <w:t>,</w:t>
      </w:r>
      <w:r w:rsidRPr="00954547">
        <w:rPr>
          <w:color w:val="auto"/>
          <w:lang w:val="en-US"/>
        </w:rPr>
        <w:t xml:space="preserve"> as measures of reparation, to comply with the recommendations included in tha</w:t>
      </w:r>
      <w:r w:rsidR="00DC15AF" w:rsidRPr="00954547">
        <w:rPr>
          <w:color w:val="auto"/>
          <w:lang w:val="en-US"/>
        </w:rPr>
        <w:t>t</w:t>
      </w:r>
      <w:r w:rsidRPr="00954547">
        <w:rPr>
          <w:color w:val="auto"/>
          <w:lang w:val="en-US"/>
        </w:rPr>
        <w:t xml:space="preserve"> report, which are described and analyzed in Chapter IX of this judgment</w:t>
      </w:r>
      <w:r w:rsidR="00433F11" w:rsidRPr="00954547">
        <w:rPr>
          <w:color w:val="auto"/>
          <w:lang w:val="en-US"/>
        </w:rPr>
        <w:t xml:space="preserve">. </w:t>
      </w:r>
    </w:p>
    <w:p w14:paraId="5F390316" w14:textId="1E4943B1" w:rsidR="00433F11" w:rsidRPr="00954547" w:rsidRDefault="00433F11" w:rsidP="00386B24">
      <w:pPr>
        <w:pStyle w:val="Heading1"/>
        <w:tabs>
          <w:tab w:val="left" w:pos="567"/>
        </w:tabs>
      </w:pPr>
      <w:bookmarkStart w:id="6" w:name="_Toc74298430"/>
      <w:bookmarkStart w:id="7" w:name="_Toc106353879"/>
      <w:r w:rsidRPr="00954547">
        <w:t>II</w:t>
      </w:r>
      <w:r w:rsidRPr="00954547">
        <w:br/>
      </w:r>
      <w:r w:rsidR="006E0D5E" w:rsidRPr="00954547">
        <w:t>PROCEEDINGS BEFORE</w:t>
      </w:r>
      <w:r w:rsidRPr="00954547">
        <w:t xml:space="preserve"> </w:t>
      </w:r>
      <w:r w:rsidR="00E76B1A" w:rsidRPr="00954547">
        <w:t>THE COURT</w:t>
      </w:r>
      <w:bookmarkEnd w:id="6"/>
      <w:bookmarkEnd w:id="7"/>
    </w:p>
    <w:p w14:paraId="2938454D" w14:textId="5F27CA65" w:rsidR="00433F11" w:rsidRPr="00954547" w:rsidRDefault="00A94F95" w:rsidP="000365EC">
      <w:pPr>
        <w:pStyle w:val="Numberedparagraphs"/>
        <w:numPr>
          <w:ilvl w:val="0"/>
          <w:numId w:val="13"/>
        </w:numPr>
        <w:tabs>
          <w:tab w:val="clear" w:pos="720"/>
          <w:tab w:val="left" w:pos="567"/>
        </w:tabs>
        <w:rPr>
          <w:b/>
          <w:color w:val="auto"/>
          <w:lang w:val="en-US"/>
        </w:rPr>
      </w:pPr>
      <w:r w:rsidRPr="00954547">
        <w:rPr>
          <w:i/>
          <w:iCs/>
          <w:color w:val="auto"/>
          <w:lang w:val="en-US"/>
        </w:rPr>
        <w:t>Notification</w:t>
      </w:r>
      <w:r w:rsidR="00433F11" w:rsidRPr="00954547">
        <w:rPr>
          <w:i/>
          <w:iCs/>
          <w:color w:val="auto"/>
          <w:lang w:val="en-US"/>
        </w:rPr>
        <w:t xml:space="preserve"> </w:t>
      </w:r>
      <w:r w:rsidRPr="00954547">
        <w:rPr>
          <w:i/>
          <w:iCs/>
          <w:color w:val="auto"/>
          <w:lang w:val="en-US"/>
        </w:rPr>
        <w:t>to the State</w:t>
      </w:r>
      <w:r w:rsidR="0078694F" w:rsidRPr="00954547">
        <w:rPr>
          <w:i/>
          <w:iCs/>
          <w:color w:val="auto"/>
          <w:lang w:val="en-US"/>
        </w:rPr>
        <w:t xml:space="preserve"> and </w:t>
      </w:r>
      <w:r w:rsidR="00B8393C" w:rsidRPr="00954547">
        <w:rPr>
          <w:i/>
          <w:iCs/>
          <w:color w:val="auto"/>
          <w:lang w:val="en-US"/>
        </w:rPr>
        <w:t xml:space="preserve">the </w:t>
      </w:r>
      <w:r w:rsidR="006E0D5E" w:rsidRPr="00954547">
        <w:rPr>
          <w:i/>
          <w:iCs/>
          <w:color w:val="auto"/>
          <w:lang w:val="en-US"/>
        </w:rPr>
        <w:t>representatives</w:t>
      </w:r>
      <w:r w:rsidR="00433F11" w:rsidRPr="00954547">
        <w:rPr>
          <w:i/>
          <w:iCs/>
          <w:color w:val="auto"/>
          <w:lang w:val="en-US"/>
        </w:rPr>
        <w:t>.</w:t>
      </w:r>
      <w:r w:rsidR="00433F11" w:rsidRPr="00954547">
        <w:rPr>
          <w:color w:val="auto"/>
          <w:lang w:val="en-US"/>
        </w:rPr>
        <w:t xml:space="preserve"> </w:t>
      </w:r>
      <w:r w:rsidR="006E0D5E" w:rsidRPr="00954547">
        <w:rPr>
          <w:color w:val="auto"/>
          <w:lang w:val="en-US"/>
        </w:rPr>
        <w:t xml:space="preserve">The submission of the case was notified </w:t>
      </w:r>
      <w:r w:rsidRPr="00954547">
        <w:rPr>
          <w:color w:val="auto"/>
          <w:lang w:val="en-US"/>
        </w:rPr>
        <w:t>to the State</w:t>
      </w:r>
      <w:r w:rsidR="0078694F" w:rsidRPr="00954547">
        <w:rPr>
          <w:color w:val="auto"/>
          <w:lang w:val="en-US"/>
        </w:rPr>
        <w:t xml:space="preserve"> and </w:t>
      </w:r>
      <w:r w:rsidR="006E0D5E" w:rsidRPr="00954547">
        <w:rPr>
          <w:color w:val="auto"/>
          <w:lang w:val="en-US"/>
        </w:rPr>
        <w:t>to</w:t>
      </w:r>
      <w:r w:rsidR="00433F11" w:rsidRPr="00954547">
        <w:rPr>
          <w:color w:val="auto"/>
          <w:lang w:val="en-US"/>
        </w:rPr>
        <w:t xml:space="preserve"> </w:t>
      </w:r>
      <w:r w:rsidR="00B8393C" w:rsidRPr="00954547">
        <w:rPr>
          <w:color w:val="auto"/>
          <w:lang w:val="en-US"/>
        </w:rPr>
        <w:t xml:space="preserve">the </w:t>
      </w:r>
      <w:r w:rsidR="006E0D5E" w:rsidRPr="00954547">
        <w:rPr>
          <w:color w:val="auto"/>
          <w:lang w:val="en-US"/>
        </w:rPr>
        <w:t>representatives</w:t>
      </w:r>
      <w:r w:rsidR="00607E12" w:rsidRPr="00954547">
        <w:rPr>
          <w:color w:val="auto"/>
          <w:lang w:val="en-US"/>
        </w:rPr>
        <w:t xml:space="preserve"> of the presumed victims</w:t>
      </w:r>
      <w:r w:rsidR="00433F11" w:rsidRPr="00954547">
        <w:rPr>
          <w:color w:val="auto"/>
          <w:lang w:val="en-US"/>
        </w:rPr>
        <w:t xml:space="preserve"> </w:t>
      </w:r>
      <w:r w:rsidR="006E0D5E" w:rsidRPr="00954547">
        <w:rPr>
          <w:color w:val="auto"/>
          <w:lang w:val="en-US"/>
        </w:rPr>
        <w:t>on September 2,</w:t>
      </w:r>
      <w:r w:rsidR="00433F11" w:rsidRPr="00954547">
        <w:rPr>
          <w:color w:val="auto"/>
          <w:lang w:val="en-US"/>
        </w:rPr>
        <w:t xml:space="preserve"> 2019. </w:t>
      </w:r>
    </w:p>
    <w:p w14:paraId="6EC75A6F" w14:textId="00230BD0" w:rsidR="00433F11" w:rsidRPr="00954547" w:rsidRDefault="006E0D5E" w:rsidP="000365EC">
      <w:pPr>
        <w:pStyle w:val="Numberedparagraphs"/>
        <w:numPr>
          <w:ilvl w:val="0"/>
          <w:numId w:val="13"/>
        </w:numPr>
        <w:tabs>
          <w:tab w:val="clear" w:pos="720"/>
          <w:tab w:val="left" w:pos="567"/>
        </w:tabs>
        <w:rPr>
          <w:color w:val="auto"/>
          <w:lang w:val="en-US"/>
        </w:rPr>
      </w:pPr>
      <w:r w:rsidRPr="00954547">
        <w:rPr>
          <w:i/>
          <w:iCs/>
          <w:color w:val="auto"/>
          <w:lang w:val="en-US"/>
        </w:rPr>
        <w:t>Brief with pleadings, motions and evidence</w:t>
      </w:r>
      <w:r w:rsidR="00433F11" w:rsidRPr="00954547">
        <w:rPr>
          <w:i/>
          <w:iCs/>
          <w:color w:val="auto"/>
          <w:lang w:val="en-US"/>
        </w:rPr>
        <w:t xml:space="preserve">. </w:t>
      </w:r>
      <w:r w:rsidRPr="00954547">
        <w:rPr>
          <w:color w:val="auto"/>
          <w:lang w:val="en-US"/>
        </w:rPr>
        <w:t>On November 6,</w:t>
      </w:r>
      <w:r w:rsidR="00433F11" w:rsidRPr="00954547">
        <w:rPr>
          <w:color w:val="auto"/>
          <w:lang w:val="en-US"/>
        </w:rPr>
        <w:t xml:space="preserve"> 2019</w:t>
      </w:r>
      <w:r w:rsidRPr="00954547">
        <w:rPr>
          <w:color w:val="auto"/>
          <w:lang w:val="en-US"/>
        </w:rPr>
        <w:t>, the</w:t>
      </w:r>
      <w:r w:rsidR="00F632DF" w:rsidRPr="00954547">
        <w:rPr>
          <w:color w:val="auto"/>
          <w:lang w:val="en-US"/>
        </w:rPr>
        <w:t xml:space="preserve"> Salvadoran</w:t>
      </w:r>
      <w:r w:rsidR="00433F11" w:rsidRPr="00954547">
        <w:rPr>
          <w:color w:val="auto"/>
          <w:lang w:val="en-US"/>
        </w:rPr>
        <w:t xml:space="preserve"> </w:t>
      </w:r>
      <w:r w:rsidR="00F632DF" w:rsidRPr="00954547">
        <w:rPr>
          <w:lang w:val="en-US"/>
        </w:rPr>
        <w:t>Asociación Colectiva de Mujeres para el Desarrollo Local, also known as the Colectiva Feminista para el Desarrollo Local</w:t>
      </w:r>
      <w:r w:rsidR="00F632DF" w:rsidRPr="00954547">
        <w:rPr>
          <w:color w:val="auto"/>
          <w:lang w:val="en-US"/>
        </w:rPr>
        <w:t xml:space="preserve"> </w:t>
      </w:r>
      <w:r w:rsidR="0078694F" w:rsidRPr="00954547">
        <w:rPr>
          <w:color w:val="auto"/>
          <w:lang w:val="en-US"/>
        </w:rPr>
        <w:t xml:space="preserve">and </w:t>
      </w:r>
      <w:r w:rsidRPr="00954547">
        <w:rPr>
          <w:color w:val="auto"/>
          <w:lang w:val="en-US"/>
        </w:rPr>
        <w:t>the</w:t>
      </w:r>
      <w:r w:rsidR="00433F11" w:rsidRPr="00954547">
        <w:rPr>
          <w:color w:val="auto"/>
          <w:lang w:val="en-US"/>
        </w:rPr>
        <w:t xml:space="preserve"> </w:t>
      </w:r>
      <w:r w:rsidR="00C90D62" w:rsidRPr="00954547">
        <w:rPr>
          <w:color w:val="auto"/>
          <w:lang w:val="en-US"/>
        </w:rPr>
        <w:t>Center for Reproductive Rights</w:t>
      </w:r>
      <w:r w:rsidR="00433F11" w:rsidRPr="00954547">
        <w:rPr>
          <w:color w:val="auto"/>
          <w:lang w:val="en-US"/>
        </w:rPr>
        <w:t xml:space="preserve"> (</w:t>
      </w:r>
      <w:r w:rsidR="00A42A4C" w:rsidRPr="00954547">
        <w:rPr>
          <w:color w:val="auto"/>
          <w:lang w:val="en-US"/>
        </w:rPr>
        <w:t>hereinafter</w:t>
      </w:r>
      <w:r w:rsidR="00433F11" w:rsidRPr="00954547">
        <w:rPr>
          <w:color w:val="auto"/>
          <w:lang w:val="en-US"/>
        </w:rPr>
        <w:t xml:space="preserve"> “</w:t>
      </w:r>
      <w:r w:rsidR="00B8393C" w:rsidRPr="00954547">
        <w:rPr>
          <w:color w:val="auto"/>
          <w:lang w:val="en-US"/>
        </w:rPr>
        <w:t xml:space="preserve">the </w:t>
      </w:r>
      <w:r w:rsidRPr="00954547">
        <w:rPr>
          <w:color w:val="auto"/>
          <w:lang w:val="en-US"/>
        </w:rPr>
        <w:t>representatives</w:t>
      </w:r>
      <w:r w:rsidR="00433F11" w:rsidRPr="00954547">
        <w:rPr>
          <w:color w:val="auto"/>
          <w:lang w:val="en-US"/>
        </w:rPr>
        <w:t>”) present</w:t>
      </w:r>
      <w:r w:rsidRPr="00954547">
        <w:rPr>
          <w:color w:val="auto"/>
          <w:lang w:val="en-US"/>
        </w:rPr>
        <w:t>ed their brief with pleadings, motions and evidence</w:t>
      </w:r>
      <w:r w:rsidR="00433F11" w:rsidRPr="00954547">
        <w:rPr>
          <w:color w:val="auto"/>
          <w:lang w:val="en-US"/>
        </w:rPr>
        <w:t xml:space="preserve"> (</w:t>
      </w:r>
      <w:r w:rsidR="00A42A4C" w:rsidRPr="00954547">
        <w:rPr>
          <w:color w:val="auto"/>
          <w:lang w:val="en-US"/>
        </w:rPr>
        <w:t>hereinafter</w:t>
      </w:r>
      <w:r w:rsidR="00433F11" w:rsidRPr="00954547">
        <w:rPr>
          <w:color w:val="auto"/>
          <w:lang w:val="en-US"/>
        </w:rPr>
        <w:t xml:space="preserve"> “</w:t>
      </w:r>
      <w:r w:rsidRPr="00954547">
        <w:rPr>
          <w:color w:val="auto"/>
          <w:lang w:val="en-US"/>
        </w:rPr>
        <w:t>the pleadings and motions brief</w:t>
      </w:r>
      <w:r w:rsidR="00433F11" w:rsidRPr="00954547">
        <w:rPr>
          <w:color w:val="auto"/>
          <w:lang w:val="en-US"/>
        </w:rPr>
        <w:t xml:space="preserve">”), </w:t>
      </w:r>
      <w:r w:rsidRPr="00954547">
        <w:rPr>
          <w:color w:val="auto"/>
          <w:lang w:val="en-US"/>
        </w:rPr>
        <w:t>pursuant to</w:t>
      </w:r>
      <w:r w:rsidR="00433F11" w:rsidRPr="00954547">
        <w:rPr>
          <w:color w:val="auto"/>
          <w:lang w:val="en-US"/>
        </w:rPr>
        <w:t xml:space="preserve"> </w:t>
      </w:r>
      <w:r w:rsidR="00A17F8C" w:rsidRPr="00954547">
        <w:rPr>
          <w:color w:val="auto"/>
          <w:lang w:val="en-US"/>
        </w:rPr>
        <w:t>Articles</w:t>
      </w:r>
      <w:r w:rsidR="00433F11" w:rsidRPr="00954547">
        <w:rPr>
          <w:color w:val="auto"/>
          <w:lang w:val="en-US"/>
        </w:rPr>
        <w:t xml:space="preserve"> 25</w:t>
      </w:r>
      <w:r w:rsidR="0078694F" w:rsidRPr="00954547">
        <w:rPr>
          <w:color w:val="auto"/>
          <w:lang w:val="en-US"/>
        </w:rPr>
        <w:t xml:space="preserve"> and </w:t>
      </w:r>
      <w:r w:rsidR="00433F11" w:rsidRPr="00954547">
        <w:rPr>
          <w:color w:val="auto"/>
          <w:lang w:val="en-US"/>
        </w:rPr>
        <w:t xml:space="preserve">40 </w:t>
      </w:r>
      <w:r w:rsidRPr="00954547">
        <w:rPr>
          <w:color w:val="auto"/>
          <w:lang w:val="en-US"/>
        </w:rPr>
        <w:t>of the Court’s Rules of Procedure</w:t>
      </w:r>
      <w:r w:rsidR="00433F11" w:rsidRPr="00954547">
        <w:rPr>
          <w:color w:val="auto"/>
          <w:lang w:val="en-US"/>
        </w:rPr>
        <w:t xml:space="preserve">. </w:t>
      </w:r>
      <w:r w:rsidR="00B8393C" w:rsidRPr="00954547">
        <w:rPr>
          <w:color w:val="auto"/>
          <w:lang w:val="en-US"/>
        </w:rPr>
        <w:t xml:space="preserve">The </w:t>
      </w:r>
      <w:r w:rsidRPr="00954547">
        <w:rPr>
          <w:color w:val="auto"/>
          <w:lang w:val="en-US"/>
        </w:rPr>
        <w:t>representatives</w:t>
      </w:r>
      <w:r w:rsidR="00433F11" w:rsidRPr="00954547">
        <w:rPr>
          <w:color w:val="auto"/>
          <w:lang w:val="en-US"/>
        </w:rPr>
        <w:t xml:space="preserve"> </w:t>
      </w:r>
      <w:r w:rsidRPr="00954547">
        <w:rPr>
          <w:color w:val="auto"/>
          <w:lang w:val="en-US"/>
        </w:rPr>
        <w:t xml:space="preserve">agreed with the Commission’s allegations, provided further information on the context of the criminalization of obstetric emergencies in El Salvador, and alleged that </w:t>
      </w:r>
      <w:r w:rsidR="00B8393C" w:rsidRPr="00954547">
        <w:rPr>
          <w:color w:val="auto"/>
          <w:lang w:val="en-US"/>
        </w:rPr>
        <w:t>the State</w:t>
      </w:r>
      <w:r w:rsidR="00B05FDF" w:rsidRPr="00954547">
        <w:rPr>
          <w:color w:val="auto"/>
          <w:lang w:val="en-US"/>
        </w:rPr>
        <w:t xml:space="preserve"> </w:t>
      </w:r>
      <w:r w:rsidRPr="00954547">
        <w:rPr>
          <w:color w:val="auto"/>
          <w:lang w:val="en-US"/>
        </w:rPr>
        <w:t>had also violated</w:t>
      </w:r>
      <w:r w:rsidR="00B05FDF" w:rsidRPr="00954547">
        <w:rPr>
          <w:color w:val="auto"/>
          <w:lang w:val="en-US"/>
        </w:rPr>
        <w:t xml:space="preserve"> </w:t>
      </w:r>
      <w:r w:rsidR="00A17F8C" w:rsidRPr="00954547">
        <w:rPr>
          <w:color w:val="auto"/>
          <w:lang w:val="en-US"/>
        </w:rPr>
        <w:t>Articles</w:t>
      </w:r>
      <w:r w:rsidR="00B05FDF" w:rsidRPr="00954547">
        <w:rPr>
          <w:color w:val="auto"/>
          <w:lang w:val="en-US"/>
        </w:rPr>
        <w:t xml:space="preserve"> 5, </w:t>
      </w:r>
      <w:r w:rsidRPr="00954547">
        <w:rPr>
          <w:color w:val="auto"/>
          <w:lang w:val="en-US"/>
        </w:rPr>
        <w:t>7(4)</w:t>
      </w:r>
      <w:r w:rsidR="00B05FDF" w:rsidRPr="00954547">
        <w:rPr>
          <w:color w:val="auto"/>
          <w:lang w:val="en-US"/>
        </w:rPr>
        <w:t xml:space="preserve">, </w:t>
      </w:r>
      <w:r w:rsidRPr="00954547">
        <w:rPr>
          <w:color w:val="auto"/>
          <w:lang w:val="en-US"/>
        </w:rPr>
        <w:t>7(5)</w:t>
      </w:r>
      <w:r w:rsidR="00B05FDF" w:rsidRPr="00954547">
        <w:rPr>
          <w:color w:val="auto"/>
          <w:lang w:val="en-US"/>
        </w:rPr>
        <w:t xml:space="preserve">, </w:t>
      </w:r>
      <w:r w:rsidR="00DA2BE5" w:rsidRPr="00954547">
        <w:rPr>
          <w:color w:val="auto"/>
          <w:lang w:val="en-US"/>
        </w:rPr>
        <w:t>8(2)(b)</w:t>
      </w:r>
      <w:r w:rsidR="00B05FDF" w:rsidRPr="00954547">
        <w:rPr>
          <w:color w:val="auto"/>
          <w:lang w:val="en-US"/>
        </w:rPr>
        <w:t>, 13, 17</w:t>
      </w:r>
      <w:r w:rsidR="0078694F" w:rsidRPr="00954547">
        <w:rPr>
          <w:color w:val="auto"/>
          <w:lang w:val="en-US"/>
        </w:rPr>
        <w:t xml:space="preserve"> and </w:t>
      </w:r>
      <w:r w:rsidR="00B05FDF" w:rsidRPr="00954547">
        <w:rPr>
          <w:color w:val="auto"/>
          <w:lang w:val="en-US"/>
        </w:rPr>
        <w:t xml:space="preserve">19 </w:t>
      </w:r>
      <w:r w:rsidR="005E0FD1" w:rsidRPr="00954547">
        <w:rPr>
          <w:color w:val="auto"/>
          <w:lang w:val="en-US"/>
        </w:rPr>
        <w:t>of the Convention</w:t>
      </w:r>
      <w:r w:rsidR="00B05FDF" w:rsidRPr="00954547">
        <w:rPr>
          <w:color w:val="auto"/>
          <w:lang w:val="en-US"/>
        </w:rPr>
        <w:t xml:space="preserve">. </w:t>
      </w:r>
      <w:r w:rsidR="00D12D7C" w:rsidRPr="00954547">
        <w:rPr>
          <w:color w:val="auto"/>
          <w:lang w:val="en-US"/>
        </w:rPr>
        <w:t>Furthermore, t</w:t>
      </w:r>
      <w:r w:rsidR="00DA2BE5" w:rsidRPr="00954547">
        <w:rPr>
          <w:color w:val="auto"/>
          <w:lang w:val="en-US"/>
        </w:rPr>
        <w:t>hey classified what had happened to Manuela as torture and, therefore, alleged that</w:t>
      </w:r>
      <w:r w:rsidR="00B05FDF" w:rsidRPr="00954547">
        <w:rPr>
          <w:color w:val="auto"/>
          <w:lang w:val="en-US"/>
        </w:rPr>
        <w:t xml:space="preserve"> El Salvador </w:t>
      </w:r>
      <w:r w:rsidR="005D2781" w:rsidRPr="00954547">
        <w:rPr>
          <w:color w:val="auto"/>
          <w:lang w:val="en-US"/>
        </w:rPr>
        <w:t>had also violated</w:t>
      </w:r>
      <w:r w:rsidR="00B05FDF" w:rsidRPr="00954547">
        <w:rPr>
          <w:color w:val="auto"/>
          <w:lang w:val="en-US"/>
        </w:rPr>
        <w:t xml:space="preserve"> </w:t>
      </w:r>
      <w:r w:rsidR="00A17F8C" w:rsidRPr="00954547">
        <w:rPr>
          <w:color w:val="auto"/>
          <w:lang w:val="en-US"/>
        </w:rPr>
        <w:t>Articles</w:t>
      </w:r>
      <w:r w:rsidR="00B05FDF" w:rsidRPr="00954547">
        <w:rPr>
          <w:color w:val="auto"/>
          <w:lang w:val="en-US"/>
        </w:rPr>
        <w:t xml:space="preserve"> 1, 6</w:t>
      </w:r>
      <w:r w:rsidR="0078694F" w:rsidRPr="00954547">
        <w:rPr>
          <w:color w:val="auto"/>
          <w:lang w:val="en-US"/>
        </w:rPr>
        <w:t xml:space="preserve"> and </w:t>
      </w:r>
      <w:r w:rsidR="00B05FDF" w:rsidRPr="00954547">
        <w:rPr>
          <w:color w:val="auto"/>
          <w:lang w:val="en-US"/>
        </w:rPr>
        <w:t xml:space="preserve">8 </w:t>
      </w:r>
      <w:r w:rsidR="005E0FD1" w:rsidRPr="00954547">
        <w:rPr>
          <w:color w:val="auto"/>
          <w:lang w:val="en-US"/>
        </w:rPr>
        <w:t xml:space="preserve">of the </w:t>
      </w:r>
      <w:r w:rsidR="005D2781" w:rsidRPr="00954547">
        <w:rPr>
          <w:color w:val="auto"/>
          <w:lang w:val="en-US"/>
        </w:rPr>
        <w:t>Inter-American Convention to Prevent and Punish Torture</w:t>
      </w:r>
      <w:r w:rsidR="00B05FDF" w:rsidRPr="00954547">
        <w:rPr>
          <w:color w:val="auto"/>
          <w:lang w:val="en-US"/>
        </w:rPr>
        <w:t xml:space="preserve">. </w:t>
      </w:r>
      <w:r w:rsidR="00D12D7C" w:rsidRPr="00954547">
        <w:rPr>
          <w:color w:val="auto"/>
          <w:lang w:val="en-US"/>
        </w:rPr>
        <w:t>Lastly,</w:t>
      </w:r>
      <w:r w:rsidR="005D2781" w:rsidRPr="00954547">
        <w:rPr>
          <w:color w:val="auto"/>
          <w:lang w:val="en-US"/>
        </w:rPr>
        <w:t xml:space="preserve"> they asked the Court to order the State to adopt various measures of reparation and </w:t>
      </w:r>
      <w:r w:rsidR="00D12D7C" w:rsidRPr="00954547">
        <w:rPr>
          <w:color w:val="auto"/>
          <w:lang w:val="en-US"/>
        </w:rPr>
        <w:t>to</w:t>
      </w:r>
      <w:r w:rsidR="005D2781" w:rsidRPr="00954547">
        <w:rPr>
          <w:color w:val="auto"/>
          <w:lang w:val="en-US"/>
        </w:rPr>
        <w:t xml:space="preserve"> reimburse certain costs and expenses</w:t>
      </w:r>
      <w:r w:rsidR="00B05FDF" w:rsidRPr="00954547">
        <w:rPr>
          <w:color w:val="auto"/>
          <w:lang w:val="en-US"/>
        </w:rPr>
        <w:t xml:space="preserve">. </w:t>
      </w:r>
    </w:p>
    <w:p w14:paraId="70E54EC1" w14:textId="37D0EBB2" w:rsidR="00433F11" w:rsidRPr="00954547" w:rsidRDefault="005D2781" w:rsidP="000365EC">
      <w:pPr>
        <w:pStyle w:val="Numberedparagraphs"/>
        <w:numPr>
          <w:ilvl w:val="0"/>
          <w:numId w:val="13"/>
        </w:numPr>
        <w:tabs>
          <w:tab w:val="clear" w:pos="720"/>
          <w:tab w:val="left" w:pos="567"/>
        </w:tabs>
        <w:rPr>
          <w:color w:val="auto"/>
          <w:lang w:val="en-US"/>
        </w:rPr>
      </w:pPr>
      <w:r w:rsidRPr="00954547">
        <w:rPr>
          <w:i/>
          <w:iCs/>
          <w:color w:val="auto"/>
          <w:lang w:val="en-US"/>
        </w:rPr>
        <w:t>Answering brief</w:t>
      </w:r>
      <w:r w:rsidR="00433F11" w:rsidRPr="00954547">
        <w:rPr>
          <w:i/>
          <w:iCs/>
          <w:color w:val="auto"/>
          <w:lang w:val="en-US"/>
        </w:rPr>
        <w:t xml:space="preserve">. </w:t>
      </w:r>
      <w:r w:rsidRPr="00954547">
        <w:rPr>
          <w:color w:val="auto"/>
          <w:lang w:val="en-US"/>
        </w:rPr>
        <w:t>On February 18,</w:t>
      </w:r>
      <w:r w:rsidR="00433F11" w:rsidRPr="00954547">
        <w:rPr>
          <w:color w:val="auto"/>
          <w:lang w:val="en-US"/>
        </w:rPr>
        <w:t xml:space="preserve"> 2020</w:t>
      </w:r>
      <w:r w:rsidRPr="00954547">
        <w:rPr>
          <w:color w:val="auto"/>
          <w:lang w:val="en-US"/>
        </w:rPr>
        <w:t>,</w:t>
      </w:r>
      <w:r w:rsidR="00433F11" w:rsidRPr="00954547">
        <w:rPr>
          <w:color w:val="auto"/>
          <w:lang w:val="en-US"/>
        </w:rPr>
        <w:t xml:space="preserve"> </w:t>
      </w:r>
      <w:r w:rsidR="00B8393C" w:rsidRPr="00954547">
        <w:rPr>
          <w:color w:val="auto"/>
          <w:lang w:val="en-US"/>
        </w:rPr>
        <w:t>the State</w:t>
      </w:r>
      <w:r w:rsidR="00433F11" w:rsidRPr="00954547">
        <w:rPr>
          <w:color w:val="auto"/>
          <w:lang w:val="en-US"/>
        </w:rPr>
        <w:t xml:space="preserve"> </w:t>
      </w:r>
      <w:r w:rsidRPr="00954547">
        <w:rPr>
          <w:color w:val="auto"/>
          <w:lang w:val="en-US"/>
        </w:rPr>
        <w:t>presented to</w:t>
      </w:r>
      <w:r w:rsidR="00433F11" w:rsidRPr="00954547">
        <w:rPr>
          <w:color w:val="auto"/>
          <w:lang w:val="en-US"/>
        </w:rPr>
        <w:t xml:space="preserve"> </w:t>
      </w:r>
      <w:r w:rsidR="00E76B1A" w:rsidRPr="00954547">
        <w:rPr>
          <w:color w:val="auto"/>
          <w:lang w:val="en-US"/>
        </w:rPr>
        <w:t>the Court</w:t>
      </w:r>
      <w:r w:rsidR="00433F11" w:rsidRPr="00954547">
        <w:rPr>
          <w:color w:val="auto"/>
          <w:lang w:val="en-US"/>
        </w:rPr>
        <w:t xml:space="preserve"> </w:t>
      </w:r>
      <w:r w:rsidRPr="00954547">
        <w:rPr>
          <w:color w:val="auto"/>
          <w:lang w:val="en-US"/>
        </w:rPr>
        <w:t>its brief</w:t>
      </w:r>
      <w:r w:rsidR="00433F11" w:rsidRPr="00954547">
        <w:rPr>
          <w:color w:val="auto"/>
          <w:lang w:val="en-US"/>
        </w:rPr>
        <w:t xml:space="preserve"> </w:t>
      </w:r>
      <w:r w:rsidRPr="00954547">
        <w:rPr>
          <w:color w:val="auto"/>
          <w:lang w:val="en-US"/>
        </w:rPr>
        <w:t>answering the</w:t>
      </w:r>
      <w:r w:rsidR="00A70DC4" w:rsidRPr="00954547">
        <w:rPr>
          <w:color w:val="auto"/>
          <w:lang w:val="en-US"/>
        </w:rPr>
        <w:t xml:space="preserve"> Commission’s</w:t>
      </w:r>
      <w:r w:rsidRPr="00954547">
        <w:rPr>
          <w:color w:val="auto"/>
          <w:lang w:val="en-US"/>
        </w:rPr>
        <w:t xml:space="preserve"> submission of the case</w:t>
      </w:r>
      <w:r w:rsidR="00A70DC4" w:rsidRPr="00954547">
        <w:rPr>
          <w:color w:val="auto"/>
          <w:lang w:val="en-US"/>
        </w:rPr>
        <w:t>, and with</w:t>
      </w:r>
      <w:r w:rsidR="00433F11" w:rsidRPr="00954547">
        <w:rPr>
          <w:color w:val="auto"/>
          <w:lang w:val="en-US"/>
        </w:rPr>
        <w:t xml:space="preserve"> </w:t>
      </w:r>
      <w:r w:rsidR="00B8393C" w:rsidRPr="00954547">
        <w:rPr>
          <w:color w:val="auto"/>
          <w:lang w:val="en-US"/>
        </w:rPr>
        <w:t>observations</w:t>
      </w:r>
      <w:r w:rsidR="00433F11" w:rsidRPr="00954547">
        <w:rPr>
          <w:color w:val="auto"/>
          <w:lang w:val="en-US"/>
        </w:rPr>
        <w:t xml:space="preserve"> </w:t>
      </w:r>
      <w:r w:rsidR="00A70DC4" w:rsidRPr="00954547">
        <w:rPr>
          <w:color w:val="auto"/>
          <w:lang w:val="en-US"/>
        </w:rPr>
        <w:t xml:space="preserve">on the </w:t>
      </w:r>
      <w:r w:rsidR="006E0D5E" w:rsidRPr="00954547">
        <w:rPr>
          <w:color w:val="auto"/>
          <w:lang w:val="en-US"/>
        </w:rPr>
        <w:t>pleadings and motions brief</w:t>
      </w:r>
      <w:r w:rsidR="00433F11" w:rsidRPr="00954547">
        <w:rPr>
          <w:color w:val="auto"/>
          <w:lang w:val="en-US"/>
        </w:rPr>
        <w:t xml:space="preserve"> (</w:t>
      </w:r>
      <w:r w:rsidR="00A42A4C" w:rsidRPr="00954547">
        <w:rPr>
          <w:color w:val="auto"/>
          <w:lang w:val="en-US"/>
        </w:rPr>
        <w:t>hereinafter</w:t>
      </w:r>
      <w:r w:rsidR="00433F11" w:rsidRPr="00954547">
        <w:rPr>
          <w:color w:val="auto"/>
          <w:lang w:val="en-US"/>
        </w:rPr>
        <w:t xml:space="preserve"> “</w:t>
      </w:r>
      <w:r w:rsidR="00A70DC4" w:rsidRPr="00954547">
        <w:rPr>
          <w:color w:val="auto"/>
          <w:lang w:val="en-US"/>
        </w:rPr>
        <w:t xml:space="preserve">the </w:t>
      </w:r>
      <w:r w:rsidRPr="00954547">
        <w:rPr>
          <w:color w:val="auto"/>
          <w:lang w:val="en-US"/>
        </w:rPr>
        <w:t>answering brief</w:t>
      </w:r>
      <w:r w:rsidR="00433F11" w:rsidRPr="00954547">
        <w:rPr>
          <w:color w:val="auto"/>
          <w:lang w:val="en-US"/>
        </w:rPr>
        <w:t xml:space="preserve">”). </w:t>
      </w:r>
      <w:r w:rsidR="00A70DC4" w:rsidRPr="00954547">
        <w:rPr>
          <w:color w:val="auto"/>
          <w:lang w:val="en-US"/>
        </w:rPr>
        <w:t>In this brief, the State presented three preliminary objections</w:t>
      </w:r>
      <w:r w:rsidR="00D12D7C" w:rsidRPr="00954547">
        <w:rPr>
          <w:color w:val="auto"/>
          <w:lang w:val="en-US"/>
        </w:rPr>
        <w:t>,</w:t>
      </w:r>
      <w:r w:rsidR="00A70DC4" w:rsidRPr="00954547">
        <w:rPr>
          <w:color w:val="auto"/>
          <w:lang w:val="en-US"/>
        </w:rPr>
        <w:t xml:space="preserve"> and contested the alleged violations and the requests for measures of reparation </w:t>
      </w:r>
      <w:r w:rsidR="00D12D7C" w:rsidRPr="00954547">
        <w:rPr>
          <w:color w:val="auto"/>
          <w:lang w:val="en-US"/>
        </w:rPr>
        <w:t>submitted by</w:t>
      </w:r>
      <w:r w:rsidR="00607E12" w:rsidRPr="00954547">
        <w:rPr>
          <w:color w:val="auto"/>
          <w:lang w:val="en-US"/>
        </w:rPr>
        <w:t xml:space="preserve"> the </w:t>
      </w:r>
      <w:r w:rsidR="00E76B1A" w:rsidRPr="00954547">
        <w:rPr>
          <w:color w:val="auto"/>
          <w:lang w:val="en-US"/>
        </w:rPr>
        <w:t>Commission</w:t>
      </w:r>
      <w:r w:rsidR="0078694F" w:rsidRPr="00954547">
        <w:rPr>
          <w:color w:val="auto"/>
          <w:lang w:val="en-US"/>
        </w:rPr>
        <w:t xml:space="preserve"> and </w:t>
      </w:r>
      <w:r w:rsidR="00B8393C" w:rsidRPr="00954547">
        <w:rPr>
          <w:color w:val="auto"/>
          <w:lang w:val="en-US"/>
        </w:rPr>
        <w:t xml:space="preserve">the </w:t>
      </w:r>
      <w:r w:rsidR="006E0D5E" w:rsidRPr="00954547">
        <w:rPr>
          <w:color w:val="auto"/>
          <w:lang w:val="en-US"/>
        </w:rPr>
        <w:t>representatives</w:t>
      </w:r>
      <w:r w:rsidR="00433F11" w:rsidRPr="00954547">
        <w:rPr>
          <w:color w:val="auto"/>
          <w:lang w:val="en-US"/>
        </w:rPr>
        <w:t xml:space="preserve">. </w:t>
      </w:r>
    </w:p>
    <w:p w14:paraId="280B3AD3" w14:textId="39FEAD85" w:rsidR="00433F11" w:rsidRPr="00954547" w:rsidRDefault="00A70DC4" w:rsidP="000365EC">
      <w:pPr>
        <w:pStyle w:val="Numberedparagraphs"/>
        <w:numPr>
          <w:ilvl w:val="0"/>
          <w:numId w:val="13"/>
        </w:numPr>
        <w:tabs>
          <w:tab w:val="clear" w:pos="720"/>
          <w:tab w:val="left" w:pos="567"/>
        </w:tabs>
        <w:rPr>
          <w:color w:val="auto"/>
          <w:lang w:val="en-US"/>
        </w:rPr>
      </w:pPr>
      <w:bookmarkStart w:id="8" w:name="_Ref446678625"/>
      <w:r w:rsidRPr="00954547">
        <w:rPr>
          <w:i/>
          <w:iCs/>
          <w:color w:val="auto"/>
          <w:lang w:val="en-US"/>
        </w:rPr>
        <w:t>Public hearing</w:t>
      </w:r>
      <w:r w:rsidR="00433F11" w:rsidRPr="00954547">
        <w:rPr>
          <w:i/>
          <w:iCs/>
          <w:color w:val="auto"/>
          <w:lang w:val="en-US"/>
        </w:rPr>
        <w:t xml:space="preserve">. </w:t>
      </w:r>
      <w:r w:rsidRPr="00954547">
        <w:rPr>
          <w:color w:val="auto"/>
          <w:lang w:val="en-US"/>
        </w:rPr>
        <w:t>On December 2,</w:t>
      </w:r>
      <w:r w:rsidR="00433F11" w:rsidRPr="00954547">
        <w:rPr>
          <w:color w:val="auto"/>
          <w:lang w:val="en-US"/>
        </w:rPr>
        <w:t xml:space="preserve"> 2020</w:t>
      </w:r>
      <w:r w:rsidRPr="00954547">
        <w:rPr>
          <w:color w:val="auto"/>
          <w:lang w:val="en-US"/>
        </w:rPr>
        <w:t>,</w:t>
      </w:r>
      <w:r w:rsidR="00433F11" w:rsidRPr="00954547">
        <w:rPr>
          <w:color w:val="auto"/>
          <w:lang w:val="en-US"/>
        </w:rPr>
        <w:t xml:space="preserve"> </w:t>
      </w:r>
      <w:r w:rsidR="00A42A4C" w:rsidRPr="00954547">
        <w:rPr>
          <w:color w:val="auto"/>
          <w:lang w:val="en-US"/>
        </w:rPr>
        <w:t>the President</w:t>
      </w:r>
      <w:r w:rsidR="00607E12" w:rsidRPr="00954547">
        <w:rPr>
          <w:color w:val="auto"/>
          <w:lang w:val="en-US"/>
        </w:rPr>
        <w:t xml:space="preserve"> of the </w:t>
      </w:r>
      <w:r w:rsidR="00E76B1A" w:rsidRPr="00954547">
        <w:rPr>
          <w:color w:val="auto"/>
          <w:lang w:val="en-US"/>
        </w:rPr>
        <w:t>Court</w:t>
      </w:r>
      <w:r w:rsidR="00433F11" w:rsidRPr="00954547">
        <w:rPr>
          <w:color w:val="auto"/>
          <w:lang w:val="en-US"/>
        </w:rPr>
        <w:t xml:space="preserve"> </w:t>
      </w:r>
      <w:r w:rsidRPr="00954547">
        <w:rPr>
          <w:color w:val="auto"/>
          <w:lang w:val="en-US"/>
        </w:rPr>
        <w:t xml:space="preserve">issued an order in which she called the parties and </w:t>
      </w:r>
      <w:r w:rsidR="00E76B1A" w:rsidRPr="00954547">
        <w:rPr>
          <w:color w:val="auto"/>
          <w:lang w:val="en-US"/>
        </w:rPr>
        <w:t>the Commission</w:t>
      </w:r>
      <w:r w:rsidR="00433F11" w:rsidRPr="00954547">
        <w:rPr>
          <w:color w:val="auto"/>
          <w:lang w:val="en-US"/>
        </w:rPr>
        <w:t xml:space="preserve"> </w:t>
      </w:r>
      <w:r w:rsidRPr="00954547">
        <w:rPr>
          <w:color w:val="auto"/>
          <w:lang w:val="en-US"/>
        </w:rPr>
        <w:t>to a public hearing</w:t>
      </w:r>
      <w:r w:rsidR="00433F11" w:rsidRPr="00954547">
        <w:rPr>
          <w:color w:val="auto"/>
          <w:lang w:val="en-US"/>
        </w:rPr>
        <w:t xml:space="preserve"> </w:t>
      </w:r>
      <w:r w:rsidRPr="00954547">
        <w:rPr>
          <w:color w:val="auto"/>
          <w:lang w:val="en-US"/>
        </w:rPr>
        <w:t>on the</w:t>
      </w:r>
      <w:r w:rsidR="00433F11" w:rsidRPr="00954547">
        <w:rPr>
          <w:color w:val="auto"/>
          <w:lang w:val="en-US"/>
        </w:rPr>
        <w:t xml:space="preserve"> </w:t>
      </w:r>
      <w:r w:rsidRPr="00954547">
        <w:rPr>
          <w:color w:val="auto"/>
          <w:lang w:val="en-US"/>
        </w:rPr>
        <w:t>preliminary objections</w:t>
      </w:r>
      <w:r w:rsidR="00433F11" w:rsidRPr="00954547">
        <w:rPr>
          <w:color w:val="auto"/>
          <w:lang w:val="en-US"/>
        </w:rPr>
        <w:t>,</w:t>
      </w:r>
      <w:r w:rsidR="0078694F" w:rsidRPr="00954547">
        <w:rPr>
          <w:color w:val="auto"/>
          <w:lang w:val="en-US"/>
        </w:rPr>
        <w:t xml:space="preserve"> and </w:t>
      </w:r>
      <w:r w:rsidR="00433F11" w:rsidRPr="00954547">
        <w:rPr>
          <w:color w:val="auto"/>
          <w:lang w:val="en-US"/>
        </w:rPr>
        <w:t xml:space="preserve">eventual </w:t>
      </w:r>
      <w:r w:rsidRPr="00954547">
        <w:rPr>
          <w:color w:val="auto"/>
          <w:lang w:val="en-US"/>
        </w:rPr>
        <w:t>merits, reparations and costs.</w:t>
      </w:r>
      <w:r w:rsidR="00433F11" w:rsidRPr="00954547">
        <w:rPr>
          <w:rStyle w:val="FootnoteReference"/>
          <w:color w:val="auto"/>
          <w:lang w:val="en-US"/>
        </w:rPr>
        <w:footnoteReference w:id="4"/>
      </w:r>
      <w:r w:rsidRPr="00954547">
        <w:rPr>
          <w:color w:val="auto"/>
          <w:lang w:val="en-US"/>
        </w:rPr>
        <w:t xml:space="preserve"> In addition, in this order, one presumed victim</w:t>
      </w:r>
      <w:r w:rsidRPr="00954547">
        <w:rPr>
          <w:rStyle w:val="FootnoteReference"/>
          <w:color w:val="auto"/>
          <w:lang w:val="en-US"/>
        </w:rPr>
        <w:footnoteReference w:id="5"/>
      </w:r>
      <w:r w:rsidRPr="00954547">
        <w:rPr>
          <w:color w:val="auto"/>
          <w:lang w:val="en-US"/>
        </w:rPr>
        <w:t xml:space="preserve"> and one expert witness proposed by the representatives</w:t>
      </w:r>
      <w:r w:rsidR="00E40483" w:rsidRPr="00954547">
        <w:rPr>
          <w:color w:val="auto"/>
          <w:lang w:val="en-US"/>
        </w:rPr>
        <w:t>, and one expert witness proposed by the Commission were called on to provide their statements during the public hearing, and</w:t>
      </w:r>
      <w:r w:rsidR="004863E9" w:rsidRPr="00954547">
        <w:rPr>
          <w:color w:val="auto"/>
          <w:lang w:val="en-US"/>
        </w:rPr>
        <w:t xml:space="preserve"> three presumed victims, six witnesses and five expert witnesses were required to present their statements by affidavit. The latter were presented on March 5 and 8, 2021. Furthermore, in this order, the President asked the State to submit certain documentary evidence, which El Salvador forwarded on February 4, 2021. Owing to the exceptional circumstances caused by the Covid-19 pandemic, the </w:t>
      </w:r>
      <w:r w:rsidRPr="00954547">
        <w:rPr>
          <w:color w:val="auto"/>
          <w:lang w:val="en-US"/>
        </w:rPr>
        <w:t>public hearing</w:t>
      </w:r>
      <w:r w:rsidR="00433F11" w:rsidRPr="00954547">
        <w:rPr>
          <w:color w:val="auto"/>
          <w:lang w:val="en-US"/>
        </w:rPr>
        <w:t xml:space="preserve"> </w:t>
      </w:r>
      <w:r w:rsidR="004863E9" w:rsidRPr="00954547">
        <w:rPr>
          <w:color w:val="auto"/>
          <w:lang w:val="en-US"/>
        </w:rPr>
        <w:t>was held by videoconference, as established in</w:t>
      </w:r>
      <w:r w:rsidR="00433F11" w:rsidRPr="00954547">
        <w:rPr>
          <w:color w:val="auto"/>
          <w:lang w:val="en-US"/>
        </w:rPr>
        <w:t xml:space="preserve"> </w:t>
      </w:r>
      <w:r w:rsidR="006E0D5E" w:rsidRPr="00954547">
        <w:rPr>
          <w:color w:val="auto"/>
          <w:lang w:val="en-US"/>
        </w:rPr>
        <w:t>the Court’s Rules of Procedure</w:t>
      </w:r>
      <w:r w:rsidR="00433F11" w:rsidRPr="00954547">
        <w:rPr>
          <w:color w:val="auto"/>
          <w:lang w:val="en-US"/>
        </w:rPr>
        <w:t xml:space="preserve">, </w:t>
      </w:r>
      <w:r w:rsidR="004863E9" w:rsidRPr="00954547">
        <w:rPr>
          <w:color w:val="auto"/>
          <w:lang w:val="en-US"/>
        </w:rPr>
        <w:t>on March</w:t>
      </w:r>
      <w:r w:rsidR="00433F11" w:rsidRPr="00954547">
        <w:rPr>
          <w:color w:val="auto"/>
          <w:lang w:val="en-US"/>
        </w:rPr>
        <w:t xml:space="preserve"> 10</w:t>
      </w:r>
      <w:r w:rsidR="0078694F" w:rsidRPr="00954547">
        <w:rPr>
          <w:color w:val="auto"/>
          <w:lang w:val="en-US"/>
        </w:rPr>
        <w:t xml:space="preserve"> and </w:t>
      </w:r>
      <w:r w:rsidR="00433F11" w:rsidRPr="00954547">
        <w:rPr>
          <w:color w:val="auto"/>
          <w:lang w:val="en-US"/>
        </w:rPr>
        <w:t>11</w:t>
      </w:r>
      <w:r w:rsidR="004863E9" w:rsidRPr="00954547">
        <w:rPr>
          <w:color w:val="auto"/>
          <w:lang w:val="en-US"/>
        </w:rPr>
        <w:t xml:space="preserve">, </w:t>
      </w:r>
      <w:r w:rsidR="00433F11" w:rsidRPr="00954547">
        <w:rPr>
          <w:color w:val="auto"/>
          <w:lang w:val="en-US"/>
        </w:rPr>
        <w:t>2021, dur</w:t>
      </w:r>
      <w:r w:rsidR="004863E9" w:rsidRPr="00954547">
        <w:rPr>
          <w:color w:val="auto"/>
          <w:lang w:val="en-US"/>
        </w:rPr>
        <w:t>ing the 140</w:t>
      </w:r>
      <w:r w:rsidR="004863E9" w:rsidRPr="00954547">
        <w:rPr>
          <w:color w:val="auto"/>
          <w:vertAlign w:val="superscript"/>
          <w:lang w:val="en-US"/>
        </w:rPr>
        <w:t>th</w:t>
      </w:r>
      <w:r w:rsidR="004863E9" w:rsidRPr="00954547">
        <w:rPr>
          <w:color w:val="auto"/>
          <w:lang w:val="en-US"/>
        </w:rPr>
        <w:t xml:space="preserve"> regular session.</w:t>
      </w:r>
      <w:r w:rsidR="00433F11" w:rsidRPr="00954547">
        <w:rPr>
          <w:rStyle w:val="FootnoteReference"/>
          <w:color w:val="auto"/>
          <w:lang w:val="en-US"/>
        </w:rPr>
        <w:footnoteReference w:id="6"/>
      </w:r>
      <w:r w:rsidR="004863E9" w:rsidRPr="00954547">
        <w:rPr>
          <w:color w:val="auto"/>
          <w:lang w:val="en-US"/>
        </w:rPr>
        <w:t xml:space="preserve"> In the course of this hearing, the Court’s judges asked the parties and the Commission to provide certain information and explanations</w:t>
      </w:r>
      <w:r w:rsidR="00433F11" w:rsidRPr="00954547">
        <w:rPr>
          <w:color w:val="auto"/>
          <w:lang w:val="en-US"/>
        </w:rPr>
        <w:t>.</w:t>
      </w:r>
      <w:bookmarkEnd w:id="8"/>
    </w:p>
    <w:p w14:paraId="51DC7C1B" w14:textId="072A4862" w:rsidR="00433F11" w:rsidRPr="00954547" w:rsidRDefault="003C501B" w:rsidP="003C501B">
      <w:pPr>
        <w:pStyle w:val="Numberedparagraphs"/>
        <w:tabs>
          <w:tab w:val="clear" w:pos="720"/>
          <w:tab w:val="left" w:pos="567"/>
        </w:tabs>
        <w:rPr>
          <w:lang w:val="en-US"/>
        </w:rPr>
      </w:pPr>
      <w:r w:rsidRPr="00954547">
        <w:rPr>
          <w:i/>
          <w:iCs/>
          <w:lang w:val="en-US"/>
        </w:rPr>
        <w:t>Amici Curiae.</w:t>
      </w:r>
      <w:r w:rsidRPr="00954547">
        <w:rPr>
          <w:lang w:val="en-US"/>
        </w:rPr>
        <w:t xml:space="preserve"> </w:t>
      </w:r>
      <w:r w:rsidR="00E76B1A" w:rsidRPr="00954547">
        <w:rPr>
          <w:lang w:val="en-US"/>
        </w:rPr>
        <w:t>The Court</w:t>
      </w:r>
      <w:r w:rsidRPr="00954547">
        <w:rPr>
          <w:lang w:val="en-US"/>
        </w:rPr>
        <w:t xml:space="preserve"> rec</w:t>
      </w:r>
      <w:r w:rsidR="003E4981" w:rsidRPr="00954547">
        <w:rPr>
          <w:lang w:val="en-US"/>
        </w:rPr>
        <w:t>eived</w:t>
      </w:r>
      <w:r w:rsidRPr="00954547">
        <w:rPr>
          <w:lang w:val="en-US"/>
        </w:rPr>
        <w:t xml:space="preserve"> 58 </w:t>
      </w:r>
      <w:r w:rsidRPr="00954547">
        <w:rPr>
          <w:i/>
          <w:lang w:val="en-US"/>
        </w:rPr>
        <w:t>amicus curiae</w:t>
      </w:r>
      <w:r w:rsidR="003E4981" w:rsidRPr="00954547">
        <w:rPr>
          <w:i/>
          <w:lang w:val="en-US"/>
        </w:rPr>
        <w:t xml:space="preserve"> </w:t>
      </w:r>
      <w:r w:rsidR="003E4981" w:rsidRPr="00954547">
        <w:rPr>
          <w:iCs/>
          <w:lang w:val="en-US"/>
        </w:rPr>
        <w:t>briefs</w:t>
      </w:r>
      <w:r w:rsidRPr="00954547">
        <w:rPr>
          <w:rStyle w:val="FootnoteReference"/>
          <w:color w:val="auto"/>
          <w:lang w:val="en-US"/>
        </w:rPr>
        <w:footnoteReference w:id="7"/>
      </w:r>
      <w:r w:rsidRPr="00954547">
        <w:rPr>
          <w:lang w:val="en-US"/>
        </w:rPr>
        <w:t xml:space="preserve"> </w:t>
      </w:r>
      <w:r w:rsidR="003E4981" w:rsidRPr="00954547">
        <w:rPr>
          <w:lang w:val="en-US"/>
        </w:rPr>
        <w:t>submitted by</w:t>
      </w:r>
      <w:r w:rsidRPr="00954547">
        <w:rPr>
          <w:lang w:val="en-US"/>
        </w:rPr>
        <w:t xml:space="preserve">: 1) </w:t>
      </w:r>
      <w:r w:rsidR="003E4981" w:rsidRPr="00954547">
        <w:rPr>
          <w:lang w:val="en-US"/>
        </w:rPr>
        <w:t>the</w:t>
      </w:r>
      <w:r w:rsidRPr="00954547">
        <w:rPr>
          <w:lang w:val="en-US"/>
        </w:rPr>
        <w:t xml:space="preserve"> European Centre for Law and Justice (ECLJ)</w:t>
      </w:r>
      <w:r w:rsidR="003E4981" w:rsidRPr="00954547">
        <w:rPr>
          <w:lang w:val="en-US"/>
        </w:rPr>
        <w:t>;</w:t>
      </w:r>
      <w:r w:rsidRPr="00954547">
        <w:rPr>
          <w:rStyle w:val="FootnoteReference"/>
          <w:color w:val="auto"/>
          <w:lang w:val="en-US"/>
        </w:rPr>
        <w:footnoteReference w:id="8"/>
      </w:r>
      <w:r w:rsidRPr="00954547">
        <w:rPr>
          <w:lang w:val="en-US"/>
        </w:rPr>
        <w:t xml:space="preserve"> 2)</w:t>
      </w:r>
      <w:r w:rsidR="003E4981" w:rsidRPr="00954547">
        <w:rPr>
          <w:lang w:val="en-US"/>
        </w:rPr>
        <w:t xml:space="preserve"> </w:t>
      </w:r>
      <w:r w:rsidRPr="00954547">
        <w:rPr>
          <w:lang w:val="en-US"/>
        </w:rPr>
        <w:t>María Lina Carrera, Gloria Orrego Hoyos</w:t>
      </w:r>
      <w:r w:rsidR="0078694F" w:rsidRPr="00954547">
        <w:rPr>
          <w:lang w:val="en-US"/>
        </w:rPr>
        <w:t xml:space="preserve"> and </w:t>
      </w:r>
      <w:r w:rsidRPr="00954547">
        <w:rPr>
          <w:lang w:val="en-US"/>
        </w:rPr>
        <w:t>Natalia Saralegui Ferrante</w:t>
      </w:r>
      <w:r w:rsidR="003E4981" w:rsidRPr="00954547">
        <w:rPr>
          <w:lang w:val="en-US"/>
        </w:rPr>
        <w:t>;</w:t>
      </w:r>
      <w:r w:rsidRPr="00954547">
        <w:rPr>
          <w:rStyle w:val="FootnoteReference"/>
          <w:color w:val="auto"/>
          <w:lang w:val="en-US"/>
        </w:rPr>
        <w:footnoteReference w:id="9"/>
      </w:r>
      <w:r w:rsidRPr="00954547">
        <w:rPr>
          <w:lang w:val="en-US"/>
        </w:rPr>
        <w:t xml:space="preserve"> 3) </w:t>
      </w:r>
      <w:r w:rsidR="003E4981" w:rsidRPr="00954547">
        <w:rPr>
          <w:lang w:val="en-US"/>
        </w:rPr>
        <w:t>the</w:t>
      </w:r>
      <w:r w:rsidRPr="00954547">
        <w:rPr>
          <w:lang w:val="en-US"/>
        </w:rPr>
        <w:t xml:space="preserve"> Fundación Nueva Democracia</w:t>
      </w:r>
      <w:r w:rsidR="003E4981" w:rsidRPr="00954547">
        <w:rPr>
          <w:lang w:val="en-US"/>
        </w:rPr>
        <w:t>;</w:t>
      </w:r>
      <w:r w:rsidRPr="00954547">
        <w:rPr>
          <w:rStyle w:val="FootnoteReference"/>
          <w:color w:val="auto"/>
          <w:lang w:val="en-US"/>
        </w:rPr>
        <w:footnoteReference w:id="10"/>
      </w:r>
      <w:r w:rsidRPr="00954547">
        <w:rPr>
          <w:lang w:val="en-US"/>
        </w:rPr>
        <w:t xml:space="preserve"> 4) </w:t>
      </w:r>
      <w:r w:rsidR="003E4981" w:rsidRPr="00954547">
        <w:rPr>
          <w:lang w:val="en-US"/>
        </w:rPr>
        <w:t>the</w:t>
      </w:r>
      <w:r w:rsidRPr="00954547">
        <w:rPr>
          <w:lang w:val="en-US"/>
        </w:rPr>
        <w:t xml:space="preserve"> Pasos por la Vida</w:t>
      </w:r>
      <w:r w:rsidR="006F36A5" w:rsidRPr="00954547">
        <w:rPr>
          <w:lang w:val="en-US"/>
        </w:rPr>
        <w:t xml:space="preserve"> civil association</w:t>
      </w:r>
      <w:r w:rsidR="003E4981" w:rsidRPr="00954547">
        <w:rPr>
          <w:lang w:val="en-US"/>
        </w:rPr>
        <w:t>;</w:t>
      </w:r>
      <w:r w:rsidRPr="00954547">
        <w:rPr>
          <w:rStyle w:val="FootnoteReference"/>
          <w:color w:val="auto"/>
          <w:lang w:val="en-US"/>
        </w:rPr>
        <w:footnoteReference w:id="11"/>
      </w:r>
      <w:r w:rsidRPr="00954547">
        <w:rPr>
          <w:lang w:val="en-US"/>
        </w:rPr>
        <w:t xml:space="preserve"> 5) </w:t>
      </w:r>
      <w:r w:rsidR="00653769" w:rsidRPr="00954547">
        <w:rPr>
          <w:lang w:val="en-US"/>
        </w:rPr>
        <w:t>Lawyers for Life and other organizations;</w:t>
      </w:r>
      <w:r w:rsidRPr="00954547">
        <w:rPr>
          <w:rStyle w:val="FootnoteReference"/>
          <w:color w:val="auto"/>
          <w:lang w:val="en-US"/>
        </w:rPr>
        <w:footnoteReference w:id="12"/>
      </w:r>
      <w:r w:rsidRPr="00954547">
        <w:rPr>
          <w:lang w:val="en-US"/>
        </w:rPr>
        <w:t xml:space="preserve"> 6) </w:t>
      </w:r>
      <w:r w:rsidR="00653769" w:rsidRPr="00954547">
        <w:rPr>
          <w:lang w:val="en-US"/>
        </w:rPr>
        <w:t>the</w:t>
      </w:r>
      <w:r w:rsidRPr="00954547">
        <w:rPr>
          <w:lang w:val="en-US"/>
        </w:rPr>
        <w:t xml:space="preserve"> Asociación </w:t>
      </w:r>
      <w:r w:rsidR="00122F55" w:rsidRPr="00954547">
        <w:rPr>
          <w:lang w:val="en-US"/>
        </w:rPr>
        <w:t>Salud</w:t>
      </w:r>
      <w:r w:rsidR="0078694F" w:rsidRPr="00954547">
        <w:rPr>
          <w:lang w:val="en-US"/>
        </w:rPr>
        <w:t xml:space="preserve"> </w:t>
      </w:r>
      <w:r w:rsidR="00DA09CA" w:rsidRPr="00954547">
        <w:rPr>
          <w:lang w:val="en-US"/>
        </w:rPr>
        <w:t>y</w:t>
      </w:r>
      <w:r w:rsidR="0078694F" w:rsidRPr="00954547">
        <w:rPr>
          <w:lang w:val="en-US"/>
        </w:rPr>
        <w:t xml:space="preserve"> </w:t>
      </w:r>
      <w:r w:rsidRPr="00954547">
        <w:rPr>
          <w:lang w:val="en-US"/>
        </w:rPr>
        <w:t>Familia</w:t>
      </w:r>
      <w:r w:rsidR="00653769" w:rsidRPr="00954547">
        <w:rPr>
          <w:lang w:val="en-US"/>
        </w:rPr>
        <w:t>;</w:t>
      </w:r>
      <w:r w:rsidRPr="00954547">
        <w:rPr>
          <w:rStyle w:val="FootnoteReference"/>
          <w:color w:val="auto"/>
          <w:lang w:val="en-US"/>
        </w:rPr>
        <w:footnoteReference w:id="13"/>
      </w:r>
      <w:r w:rsidRPr="00954547">
        <w:rPr>
          <w:lang w:val="en-US"/>
        </w:rPr>
        <w:t xml:space="preserve"> 7) Crece Por Mi País</w:t>
      </w:r>
      <w:r w:rsidR="0078694F" w:rsidRPr="00954547">
        <w:rPr>
          <w:lang w:val="en-US"/>
        </w:rPr>
        <w:t xml:space="preserve"> and </w:t>
      </w:r>
      <w:r w:rsidR="00653769" w:rsidRPr="00954547">
        <w:rPr>
          <w:lang w:val="en-US"/>
        </w:rPr>
        <w:t>other organizations</w:t>
      </w:r>
      <w:r w:rsidRPr="00954547">
        <w:rPr>
          <w:lang w:val="en-US"/>
        </w:rPr>
        <w:t xml:space="preserve">, </w:t>
      </w:r>
      <w:r w:rsidR="00653769" w:rsidRPr="00954547">
        <w:rPr>
          <w:lang w:val="en-US"/>
        </w:rPr>
        <w:t xml:space="preserve">together with members of the Legislative Assembly </w:t>
      </w:r>
      <w:r w:rsidR="00607E12" w:rsidRPr="00954547">
        <w:rPr>
          <w:lang w:val="en-US"/>
        </w:rPr>
        <w:t xml:space="preserve">of the </w:t>
      </w:r>
      <w:r w:rsidR="00B8393C" w:rsidRPr="00954547">
        <w:rPr>
          <w:lang w:val="en-US"/>
        </w:rPr>
        <w:t>Republic of</w:t>
      </w:r>
      <w:r w:rsidRPr="00954547">
        <w:rPr>
          <w:lang w:val="en-US"/>
        </w:rPr>
        <w:t xml:space="preserve"> Costa Rica</w:t>
      </w:r>
      <w:r w:rsidR="00653769" w:rsidRPr="00954547">
        <w:rPr>
          <w:lang w:val="en-US"/>
        </w:rPr>
        <w:t>;</w:t>
      </w:r>
      <w:r w:rsidRPr="00954547">
        <w:rPr>
          <w:rStyle w:val="FootnoteReference"/>
          <w:color w:val="auto"/>
          <w:lang w:val="en-US"/>
        </w:rPr>
        <w:footnoteReference w:id="14"/>
      </w:r>
      <w:r w:rsidRPr="00954547">
        <w:rPr>
          <w:b/>
          <w:lang w:val="en-US"/>
        </w:rPr>
        <w:t xml:space="preserve"> </w:t>
      </w:r>
      <w:r w:rsidRPr="00954547">
        <w:rPr>
          <w:lang w:val="en-US"/>
        </w:rPr>
        <w:t xml:space="preserve">8) </w:t>
      </w:r>
      <w:r w:rsidR="00653769" w:rsidRPr="00954547">
        <w:rPr>
          <w:lang w:val="en-US"/>
        </w:rPr>
        <w:t>the</w:t>
      </w:r>
      <w:r w:rsidRPr="00954547">
        <w:rPr>
          <w:lang w:val="en-US"/>
        </w:rPr>
        <w:t xml:space="preserve"> Asociación para la Promoción de los Derechos Civiles (PRODECI)</w:t>
      </w:r>
      <w:r w:rsidR="00653769" w:rsidRPr="00954547">
        <w:rPr>
          <w:lang w:val="en-US"/>
        </w:rPr>
        <w:t>;</w:t>
      </w:r>
      <w:r w:rsidRPr="00954547">
        <w:rPr>
          <w:rStyle w:val="FootnoteReference"/>
          <w:color w:val="auto"/>
          <w:lang w:val="en-US"/>
        </w:rPr>
        <w:footnoteReference w:id="15"/>
      </w:r>
      <w:r w:rsidRPr="00954547">
        <w:rPr>
          <w:b/>
          <w:lang w:val="en-US"/>
        </w:rPr>
        <w:t xml:space="preserve"> </w:t>
      </w:r>
      <w:r w:rsidRPr="00954547">
        <w:rPr>
          <w:lang w:val="en-US"/>
        </w:rPr>
        <w:t>9) Corina Giacomello</w:t>
      </w:r>
      <w:r w:rsidR="00653769" w:rsidRPr="00954547">
        <w:rPr>
          <w:lang w:val="en-US"/>
        </w:rPr>
        <w:t>;</w:t>
      </w:r>
      <w:r w:rsidRPr="00954547">
        <w:rPr>
          <w:rStyle w:val="FootnoteReference"/>
          <w:color w:val="auto"/>
          <w:lang w:val="en-US"/>
        </w:rPr>
        <w:footnoteReference w:id="16"/>
      </w:r>
      <w:r w:rsidRPr="00954547">
        <w:rPr>
          <w:b/>
          <w:lang w:val="en-US"/>
        </w:rPr>
        <w:t xml:space="preserve"> </w:t>
      </w:r>
      <w:r w:rsidRPr="00954547">
        <w:rPr>
          <w:lang w:val="en-US"/>
        </w:rPr>
        <w:t xml:space="preserve">10) </w:t>
      </w:r>
      <w:r w:rsidR="00653769" w:rsidRPr="00954547">
        <w:rPr>
          <w:lang w:val="en-US"/>
        </w:rPr>
        <w:t>the</w:t>
      </w:r>
      <w:r w:rsidRPr="00954547">
        <w:rPr>
          <w:lang w:val="en-US"/>
        </w:rPr>
        <w:t xml:space="preserve"> </w:t>
      </w:r>
      <w:r w:rsidR="006320DD" w:rsidRPr="00954547">
        <w:rPr>
          <w:rFonts w:cs="Open Sans"/>
          <w:shd w:val="clear" w:color="auto" w:fill="FFFFFF"/>
          <w:lang w:val="en-US"/>
        </w:rPr>
        <w:t>Latin American Consortium against Unsafe Abortion</w:t>
      </w:r>
      <w:r w:rsidRPr="00954547">
        <w:rPr>
          <w:lang w:val="en-US"/>
        </w:rPr>
        <w:t xml:space="preserve"> </w:t>
      </w:r>
      <w:r w:rsidR="006F36A5" w:rsidRPr="00954547">
        <w:rPr>
          <w:lang w:val="en-US"/>
        </w:rPr>
        <w:t>(</w:t>
      </w:r>
      <w:r w:rsidRPr="00954547">
        <w:rPr>
          <w:lang w:val="en-US"/>
        </w:rPr>
        <w:t>CLACAI</w:t>
      </w:r>
      <w:r w:rsidR="006F36A5" w:rsidRPr="00954547">
        <w:rPr>
          <w:lang w:val="en-US"/>
        </w:rPr>
        <w:t>)</w:t>
      </w:r>
      <w:r w:rsidR="00653769" w:rsidRPr="00954547">
        <w:rPr>
          <w:lang w:val="en-US"/>
        </w:rPr>
        <w:t>;</w:t>
      </w:r>
      <w:r w:rsidRPr="00954547">
        <w:rPr>
          <w:rStyle w:val="FootnoteReference"/>
          <w:color w:val="auto"/>
          <w:lang w:val="en-US"/>
        </w:rPr>
        <w:footnoteReference w:id="17"/>
      </w:r>
      <w:r w:rsidRPr="00954547">
        <w:rPr>
          <w:lang w:val="en-US"/>
        </w:rPr>
        <w:t xml:space="preserve"> 11) Álvaro Paul</w:t>
      </w:r>
      <w:r w:rsidR="0078694F" w:rsidRPr="00954547">
        <w:rPr>
          <w:lang w:val="en-US"/>
        </w:rPr>
        <w:t xml:space="preserve"> and </w:t>
      </w:r>
      <w:r w:rsidRPr="00954547">
        <w:rPr>
          <w:lang w:val="en-US"/>
        </w:rPr>
        <w:t>Felipe Soza</w:t>
      </w:r>
      <w:r w:rsidR="00653769" w:rsidRPr="00954547">
        <w:rPr>
          <w:lang w:val="en-US"/>
        </w:rPr>
        <w:t>;</w:t>
      </w:r>
      <w:r w:rsidRPr="00954547">
        <w:rPr>
          <w:rStyle w:val="FootnoteReference"/>
          <w:color w:val="auto"/>
          <w:lang w:val="en-US"/>
        </w:rPr>
        <w:footnoteReference w:id="18"/>
      </w:r>
      <w:r w:rsidRPr="00954547">
        <w:rPr>
          <w:b/>
          <w:lang w:val="en-US"/>
        </w:rPr>
        <w:t xml:space="preserve"> </w:t>
      </w:r>
      <w:r w:rsidRPr="00954547">
        <w:rPr>
          <w:lang w:val="en-US"/>
        </w:rPr>
        <w:t xml:space="preserve">12) </w:t>
      </w:r>
      <w:r w:rsidR="00653769" w:rsidRPr="00954547">
        <w:rPr>
          <w:lang w:val="en-US"/>
        </w:rPr>
        <w:t xml:space="preserve">the Center for International Human Rights of the </w:t>
      </w:r>
      <w:r w:rsidRPr="00954547">
        <w:rPr>
          <w:lang w:val="en-US"/>
        </w:rPr>
        <w:t>Pritzker</w:t>
      </w:r>
      <w:r w:rsidR="00653769" w:rsidRPr="00954547">
        <w:rPr>
          <w:lang w:val="en-US"/>
        </w:rPr>
        <w:t xml:space="preserve"> </w:t>
      </w:r>
      <w:r w:rsidR="006F36A5" w:rsidRPr="00954547">
        <w:rPr>
          <w:lang w:val="en-US"/>
        </w:rPr>
        <w:t xml:space="preserve">School of </w:t>
      </w:r>
      <w:r w:rsidR="00653769" w:rsidRPr="00954547">
        <w:rPr>
          <w:lang w:val="en-US"/>
        </w:rPr>
        <w:t>Law at</w:t>
      </w:r>
      <w:r w:rsidRPr="00954547">
        <w:rPr>
          <w:lang w:val="en-US"/>
        </w:rPr>
        <w:t xml:space="preserve"> Northwestern</w:t>
      </w:r>
      <w:r w:rsidR="00C90D62" w:rsidRPr="00954547">
        <w:rPr>
          <w:lang w:val="en-US"/>
        </w:rPr>
        <w:t xml:space="preserve"> University</w:t>
      </w:r>
      <w:r w:rsidR="0078694F" w:rsidRPr="00954547">
        <w:rPr>
          <w:lang w:val="en-US"/>
        </w:rPr>
        <w:t xml:space="preserve"> and </w:t>
      </w:r>
      <w:r w:rsidR="00C90D62" w:rsidRPr="00954547">
        <w:rPr>
          <w:lang w:val="en-US"/>
        </w:rPr>
        <w:t>the Clooney Foundation for Justice</w:t>
      </w:r>
      <w:r w:rsidR="006F36A5" w:rsidRPr="00954547">
        <w:rPr>
          <w:lang w:val="en-US"/>
        </w:rPr>
        <w:t>;</w:t>
      </w:r>
      <w:r w:rsidRPr="00954547">
        <w:rPr>
          <w:rStyle w:val="FootnoteReference"/>
          <w:color w:val="auto"/>
          <w:lang w:val="en-US"/>
        </w:rPr>
        <w:footnoteReference w:id="19"/>
      </w:r>
      <w:r w:rsidRPr="00954547">
        <w:rPr>
          <w:lang w:val="en-US"/>
        </w:rPr>
        <w:t xml:space="preserve"> 13) </w:t>
      </w:r>
      <w:r w:rsidR="00653769" w:rsidRPr="00954547">
        <w:rPr>
          <w:lang w:val="en-US"/>
        </w:rPr>
        <w:t>the Asociaci</w:t>
      </w:r>
      <w:r w:rsidR="004148F5" w:rsidRPr="00954547">
        <w:rPr>
          <w:lang w:val="en-US"/>
        </w:rPr>
        <w:t>ó</w:t>
      </w:r>
      <w:r w:rsidR="00653769" w:rsidRPr="00954547">
        <w:rPr>
          <w:lang w:val="en-US"/>
        </w:rPr>
        <w:t>n</w:t>
      </w:r>
      <w:r w:rsidRPr="00954547">
        <w:rPr>
          <w:lang w:val="en-US"/>
        </w:rPr>
        <w:t xml:space="preserve"> Española de Abogados Cristianos</w:t>
      </w:r>
      <w:r w:rsidR="006F36A5" w:rsidRPr="00954547">
        <w:rPr>
          <w:lang w:val="en-US"/>
        </w:rPr>
        <w:t>;</w:t>
      </w:r>
      <w:r w:rsidRPr="00954547">
        <w:rPr>
          <w:rStyle w:val="FootnoteReference"/>
          <w:color w:val="auto"/>
          <w:lang w:val="en-US"/>
        </w:rPr>
        <w:footnoteReference w:id="20"/>
      </w:r>
      <w:r w:rsidRPr="00954547">
        <w:rPr>
          <w:lang w:val="en-US"/>
        </w:rPr>
        <w:t xml:space="preserve"> 14) National Advocates for Pregnant Women</w:t>
      </w:r>
      <w:r w:rsidR="006F36A5" w:rsidRPr="00954547">
        <w:rPr>
          <w:lang w:val="en-US"/>
        </w:rPr>
        <w:t>;</w:t>
      </w:r>
      <w:r w:rsidRPr="00954547">
        <w:rPr>
          <w:rStyle w:val="FootnoteReference"/>
          <w:color w:val="auto"/>
          <w:lang w:val="en-US"/>
        </w:rPr>
        <w:footnoteReference w:id="21"/>
      </w:r>
      <w:r w:rsidRPr="00954547">
        <w:rPr>
          <w:lang w:val="en-US"/>
        </w:rPr>
        <w:t xml:space="preserve"> 15) </w:t>
      </w:r>
      <w:r w:rsidR="00E76B1A" w:rsidRPr="00954547">
        <w:rPr>
          <w:lang w:val="en-US"/>
        </w:rPr>
        <w:t xml:space="preserve">the </w:t>
      </w:r>
      <w:r w:rsidR="00AE462A" w:rsidRPr="00954547">
        <w:rPr>
          <w:lang w:val="en-US"/>
        </w:rPr>
        <w:t xml:space="preserve">International </w:t>
      </w:r>
      <w:r w:rsidR="00E76B1A" w:rsidRPr="00954547">
        <w:rPr>
          <w:lang w:val="en-US"/>
        </w:rPr>
        <w:t>Commission</w:t>
      </w:r>
      <w:r w:rsidRPr="00954547">
        <w:rPr>
          <w:lang w:val="en-US"/>
        </w:rPr>
        <w:t xml:space="preserve"> </w:t>
      </w:r>
      <w:r w:rsidR="00AE462A" w:rsidRPr="00954547">
        <w:rPr>
          <w:lang w:val="en-US"/>
        </w:rPr>
        <w:t>of Jurists;</w:t>
      </w:r>
      <w:r w:rsidRPr="00954547">
        <w:rPr>
          <w:rStyle w:val="FootnoteReference"/>
          <w:color w:val="auto"/>
          <w:lang w:val="en-US"/>
        </w:rPr>
        <w:footnoteReference w:id="22"/>
      </w:r>
      <w:r w:rsidRPr="00954547">
        <w:rPr>
          <w:b/>
          <w:lang w:val="en-US"/>
        </w:rPr>
        <w:t xml:space="preserve"> </w:t>
      </w:r>
      <w:r w:rsidRPr="00954547">
        <w:rPr>
          <w:lang w:val="en-US"/>
        </w:rPr>
        <w:t>16) Herman Duarte</w:t>
      </w:r>
      <w:r w:rsidR="00AE462A" w:rsidRPr="00954547">
        <w:rPr>
          <w:lang w:val="en-US"/>
        </w:rPr>
        <w:t>;</w:t>
      </w:r>
      <w:r w:rsidRPr="00954547">
        <w:rPr>
          <w:rStyle w:val="FootnoteReference"/>
          <w:color w:val="auto"/>
          <w:lang w:val="en-US"/>
        </w:rPr>
        <w:footnoteReference w:id="23"/>
      </w:r>
      <w:r w:rsidRPr="00954547">
        <w:rPr>
          <w:b/>
          <w:lang w:val="en-US"/>
        </w:rPr>
        <w:t xml:space="preserve"> </w:t>
      </w:r>
      <w:r w:rsidRPr="00954547">
        <w:rPr>
          <w:lang w:val="en-US"/>
        </w:rPr>
        <w:t xml:space="preserve">17) </w:t>
      </w:r>
      <w:r w:rsidR="00AE462A" w:rsidRPr="00954547">
        <w:rPr>
          <w:lang w:val="en-US"/>
        </w:rPr>
        <w:t>the</w:t>
      </w:r>
      <w:r w:rsidRPr="00954547">
        <w:rPr>
          <w:lang w:val="en-US"/>
        </w:rPr>
        <w:t xml:space="preserve"> “Feminist</w:t>
      </w:r>
      <w:r w:rsidR="00AE462A" w:rsidRPr="00954547">
        <w:rPr>
          <w:lang w:val="en-US"/>
        </w:rPr>
        <w:t xml:space="preserve"> Criminal Doctrine</w:t>
      </w:r>
      <w:r w:rsidRPr="00954547">
        <w:rPr>
          <w:lang w:val="en-US"/>
        </w:rPr>
        <w:t xml:space="preserve">” </w:t>
      </w:r>
      <w:r w:rsidR="00DA09CA" w:rsidRPr="00954547">
        <w:rPr>
          <w:lang w:val="en-US"/>
        </w:rPr>
        <w:t>r</w:t>
      </w:r>
      <w:r w:rsidR="00AE462A" w:rsidRPr="00954547">
        <w:rPr>
          <w:lang w:val="en-US"/>
        </w:rPr>
        <w:t xml:space="preserve">esearch group of the Law School at the </w:t>
      </w:r>
      <w:r w:rsidRPr="00954547">
        <w:rPr>
          <w:lang w:val="en-US"/>
        </w:rPr>
        <w:t>Universidad de Buenos Aires</w:t>
      </w:r>
      <w:r w:rsidR="00AE462A" w:rsidRPr="00954547">
        <w:rPr>
          <w:lang w:val="en-US"/>
        </w:rPr>
        <w:t>;</w:t>
      </w:r>
      <w:r w:rsidRPr="00954547">
        <w:rPr>
          <w:rStyle w:val="FootnoteReference"/>
          <w:color w:val="auto"/>
          <w:lang w:val="en-US"/>
        </w:rPr>
        <w:footnoteReference w:id="24"/>
      </w:r>
      <w:r w:rsidRPr="00954547">
        <w:rPr>
          <w:b/>
          <w:lang w:val="en-US"/>
        </w:rPr>
        <w:t xml:space="preserve"> </w:t>
      </w:r>
      <w:r w:rsidRPr="00954547">
        <w:rPr>
          <w:lang w:val="en-US"/>
        </w:rPr>
        <w:t xml:space="preserve">18) </w:t>
      </w:r>
      <w:r w:rsidR="00AE462A" w:rsidRPr="00954547">
        <w:rPr>
          <w:lang w:val="en-US"/>
        </w:rPr>
        <w:t>the</w:t>
      </w:r>
      <w:r w:rsidRPr="00954547">
        <w:rPr>
          <w:lang w:val="en-US"/>
        </w:rPr>
        <w:t xml:space="preserve"> </w:t>
      </w:r>
      <w:r w:rsidR="00AE462A" w:rsidRPr="00954547">
        <w:rPr>
          <w:lang w:val="en-US"/>
        </w:rPr>
        <w:t>Latin American Network of Catholics for the Right to Decide;</w:t>
      </w:r>
      <w:r w:rsidRPr="00954547">
        <w:rPr>
          <w:rStyle w:val="FootnoteReference"/>
          <w:color w:val="auto"/>
          <w:lang w:val="en-US"/>
        </w:rPr>
        <w:footnoteReference w:id="25"/>
      </w:r>
      <w:r w:rsidRPr="00954547">
        <w:rPr>
          <w:lang w:val="en-US"/>
        </w:rPr>
        <w:t xml:space="preserve"> 19) XUMEK</w:t>
      </w:r>
      <w:r w:rsidR="00AE462A" w:rsidRPr="00954547">
        <w:rPr>
          <w:lang w:val="en-US"/>
        </w:rPr>
        <w:t>, association for the promotion and protection of human rights;</w:t>
      </w:r>
      <w:r w:rsidRPr="00954547">
        <w:rPr>
          <w:rStyle w:val="FootnoteReference"/>
          <w:color w:val="auto"/>
          <w:lang w:val="en-US"/>
        </w:rPr>
        <w:footnoteReference w:id="26"/>
      </w:r>
      <w:r w:rsidRPr="00954547">
        <w:rPr>
          <w:b/>
          <w:lang w:val="en-US"/>
        </w:rPr>
        <w:t xml:space="preserve"> </w:t>
      </w:r>
      <w:r w:rsidRPr="00954547">
        <w:rPr>
          <w:lang w:val="en-US"/>
        </w:rPr>
        <w:t xml:space="preserve">20) </w:t>
      </w:r>
      <w:r w:rsidR="00AE462A" w:rsidRPr="00954547">
        <w:rPr>
          <w:lang w:val="en-US"/>
        </w:rPr>
        <w:t>the</w:t>
      </w:r>
      <w:r w:rsidRPr="00954547">
        <w:rPr>
          <w:lang w:val="en-US"/>
        </w:rPr>
        <w:t xml:space="preserve"> Centro de Bioética, Persona</w:t>
      </w:r>
      <w:r w:rsidR="0078694F" w:rsidRPr="00954547">
        <w:rPr>
          <w:lang w:val="en-US"/>
        </w:rPr>
        <w:t xml:space="preserve"> </w:t>
      </w:r>
      <w:r w:rsidR="00AE462A" w:rsidRPr="00954547">
        <w:rPr>
          <w:lang w:val="en-US"/>
        </w:rPr>
        <w:t>y</w:t>
      </w:r>
      <w:r w:rsidR="0078694F" w:rsidRPr="00954547">
        <w:rPr>
          <w:lang w:val="en-US"/>
        </w:rPr>
        <w:t xml:space="preserve"> </w:t>
      </w:r>
      <w:r w:rsidRPr="00954547">
        <w:rPr>
          <w:lang w:val="en-US"/>
        </w:rPr>
        <w:t>Familia</w:t>
      </w:r>
      <w:r w:rsidR="0087533F" w:rsidRPr="00954547">
        <w:rPr>
          <w:lang w:val="en-US"/>
        </w:rPr>
        <w:t>;</w:t>
      </w:r>
      <w:r w:rsidRPr="00954547">
        <w:rPr>
          <w:rStyle w:val="FootnoteReference"/>
          <w:color w:val="auto"/>
          <w:lang w:val="en-US"/>
        </w:rPr>
        <w:footnoteReference w:id="27"/>
      </w:r>
      <w:r w:rsidRPr="00954547">
        <w:rPr>
          <w:lang w:val="en-US"/>
        </w:rPr>
        <w:t xml:space="preserve"> 21) Centro </w:t>
      </w:r>
      <w:r w:rsidR="00DA09CA" w:rsidRPr="00954547">
        <w:rPr>
          <w:lang w:val="en-US"/>
        </w:rPr>
        <w:t>d</w:t>
      </w:r>
      <w:r w:rsidRPr="00954547">
        <w:rPr>
          <w:lang w:val="en-US"/>
        </w:rPr>
        <w:t>e Vida</w:t>
      </w:r>
      <w:r w:rsidR="00DA09CA" w:rsidRPr="00954547">
        <w:rPr>
          <w:lang w:val="en-US"/>
        </w:rPr>
        <w:t xml:space="preserve"> civil association</w:t>
      </w:r>
      <w:r w:rsidR="0078694F" w:rsidRPr="00954547">
        <w:rPr>
          <w:lang w:val="en-US"/>
        </w:rPr>
        <w:t xml:space="preserve"> and </w:t>
      </w:r>
      <w:r w:rsidR="00653769" w:rsidRPr="00954547">
        <w:rPr>
          <w:lang w:val="en-US"/>
        </w:rPr>
        <w:t xml:space="preserve">other </w:t>
      </w:r>
      <w:r w:rsidR="0087533F" w:rsidRPr="00954547">
        <w:rPr>
          <w:lang w:val="en-US"/>
        </w:rPr>
        <w:t>organisations;</w:t>
      </w:r>
      <w:r w:rsidRPr="00954547">
        <w:rPr>
          <w:rStyle w:val="FootnoteReference"/>
          <w:color w:val="auto"/>
          <w:lang w:val="en-US"/>
        </w:rPr>
        <w:footnoteReference w:id="28"/>
      </w:r>
      <w:r w:rsidRPr="00954547">
        <w:rPr>
          <w:lang w:val="en-US"/>
        </w:rPr>
        <w:t xml:space="preserve"> 22) Ana María Idárraga</w:t>
      </w:r>
      <w:r w:rsidR="0078694F" w:rsidRPr="00954547">
        <w:rPr>
          <w:lang w:val="en-US"/>
        </w:rPr>
        <w:t xml:space="preserve"> and </w:t>
      </w:r>
      <w:r w:rsidRPr="00954547">
        <w:rPr>
          <w:lang w:val="en-US"/>
        </w:rPr>
        <w:t>ot</w:t>
      </w:r>
      <w:r w:rsidR="0087533F" w:rsidRPr="00954547">
        <w:rPr>
          <w:lang w:val="en-US"/>
        </w:rPr>
        <w:t>hers;</w:t>
      </w:r>
      <w:r w:rsidRPr="00954547">
        <w:rPr>
          <w:rStyle w:val="FootnoteReference"/>
          <w:color w:val="auto"/>
          <w:lang w:val="en-US"/>
        </w:rPr>
        <w:footnoteReference w:id="29"/>
      </w:r>
      <w:r w:rsidRPr="00954547">
        <w:rPr>
          <w:lang w:val="en-US"/>
        </w:rPr>
        <w:t xml:space="preserve">23) </w:t>
      </w:r>
      <w:r w:rsidR="0087533F" w:rsidRPr="00954547">
        <w:rPr>
          <w:lang w:val="en-US"/>
        </w:rPr>
        <w:t xml:space="preserve">the </w:t>
      </w:r>
      <w:r w:rsidR="00616EBF" w:rsidRPr="00954547">
        <w:rPr>
          <w:lang w:val="en-US"/>
        </w:rPr>
        <w:t>Women for Women Foundation;</w:t>
      </w:r>
      <w:r w:rsidRPr="00954547">
        <w:rPr>
          <w:rStyle w:val="FootnoteReference"/>
          <w:color w:val="auto"/>
          <w:lang w:val="en-US"/>
        </w:rPr>
        <w:footnoteReference w:id="30"/>
      </w:r>
      <w:r w:rsidRPr="00954547">
        <w:rPr>
          <w:lang w:val="en-US"/>
        </w:rPr>
        <w:t xml:space="preserve"> 24) Philip Alston</w:t>
      </w:r>
      <w:r w:rsidR="0078694F" w:rsidRPr="00954547">
        <w:rPr>
          <w:lang w:val="en-US"/>
        </w:rPr>
        <w:t xml:space="preserve"> and </w:t>
      </w:r>
      <w:r w:rsidRPr="00954547">
        <w:rPr>
          <w:lang w:val="en-US"/>
        </w:rPr>
        <w:t>Leah Motzkin</w:t>
      </w:r>
      <w:r w:rsidR="00616EBF" w:rsidRPr="00954547">
        <w:rPr>
          <w:lang w:val="en-US"/>
        </w:rPr>
        <w:t>;</w:t>
      </w:r>
      <w:r w:rsidRPr="00954547">
        <w:rPr>
          <w:rStyle w:val="FootnoteReference"/>
          <w:color w:val="auto"/>
          <w:lang w:val="en-US"/>
        </w:rPr>
        <w:footnoteReference w:id="31"/>
      </w:r>
      <w:r w:rsidRPr="00954547">
        <w:rPr>
          <w:lang w:val="en-US"/>
        </w:rPr>
        <w:t xml:space="preserve"> 25) </w:t>
      </w:r>
      <w:r w:rsidR="00616EBF" w:rsidRPr="00954547">
        <w:rPr>
          <w:lang w:val="en-US"/>
        </w:rPr>
        <w:t>the</w:t>
      </w:r>
      <w:r w:rsidRPr="00954547">
        <w:rPr>
          <w:lang w:val="en-US"/>
        </w:rPr>
        <w:t xml:space="preserve"> Sí a la Vida</w:t>
      </w:r>
      <w:r w:rsidR="0078694F" w:rsidRPr="00954547">
        <w:rPr>
          <w:lang w:val="en-US"/>
        </w:rPr>
        <w:t xml:space="preserve"> </w:t>
      </w:r>
      <w:r w:rsidR="00616EBF" w:rsidRPr="00954547">
        <w:rPr>
          <w:lang w:val="en-US"/>
        </w:rPr>
        <w:t xml:space="preserve">Foundation </w:t>
      </w:r>
      <w:r w:rsidR="0078694F" w:rsidRPr="00954547">
        <w:rPr>
          <w:lang w:val="en-US"/>
        </w:rPr>
        <w:t xml:space="preserve">and </w:t>
      </w:r>
      <w:r w:rsidR="00653769" w:rsidRPr="00954547">
        <w:rPr>
          <w:lang w:val="en-US"/>
        </w:rPr>
        <w:t xml:space="preserve">other </w:t>
      </w:r>
      <w:r w:rsidR="00616EBF" w:rsidRPr="00954547">
        <w:rPr>
          <w:lang w:val="en-US"/>
        </w:rPr>
        <w:t>organisations;</w:t>
      </w:r>
      <w:r w:rsidRPr="00954547">
        <w:rPr>
          <w:rStyle w:val="FootnoteReference"/>
          <w:color w:val="auto"/>
          <w:lang w:val="en-US"/>
        </w:rPr>
        <w:footnoteReference w:id="32"/>
      </w:r>
      <w:r w:rsidRPr="00954547">
        <w:rPr>
          <w:lang w:val="en-US"/>
        </w:rPr>
        <w:t xml:space="preserve"> 26) Women’s Link Worldwide</w:t>
      </w:r>
      <w:r w:rsidR="00616EBF" w:rsidRPr="00954547">
        <w:rPr>
          <w:lang w:val="en-US"/>
        </w:rPr>
        <w:t>;</w:t>
      </w:r>
      <w:r w:rsidRPr="00954547">
        <w:rPr>
          <w:rStyle w:val="FootnoteReference"/>
          <w:color w:val="auto"/>
          <w:lang w:val="en-US"/>
        </w:rPr>
        <w:footnoteReference w:id="33"/>
      </w:r>
      <w:r w:rsidRPr="00954547">
        <w:rPr>
          <w:b/>
          <w:lang w:val="en-US"/>
        </w:rPr>
        <w:t xml:space="preserve"> </w:t>
      </w:r>
      <w:r w:rsidRPr="00954547">
        <w:rPr>
          <w:lang w:val="en-US"/>
        </w:rPr>
        <w:t>27) Kendall Ariana López Peña</w:t>
      </w:r>
      <w:r w:rsidR="00616EBF" w:rsidRPr="00954547">
        <w:rPr>
          <w:lang w:val="en-US"/>
        </w:rPr>
        <w:t>;</w:t>
      </w:r>
      <w:r w:rsidRPr="00954547">
        <w:rPr>
          <w:rStyle w:val="FootnoteReference"/>
          <w:color w:val="auto"/>
          <w:lang w:val="en-US"/>
        </w:rPr>
        <w:footnoteReference w:id="34"/>
      </w:r>
      <w:r w:rsidRPr="00954547">
        <w:rPr>
          <w:lang w:val="en-US"/>
        </w:rPr>
        <w:t xml:space="preserve"> 28) Anis - Instituto de Bioética</w:t>
      </w:r>
      <w:r w:rsidR="00616EBF" w:rsidRPr="00954547">
        <w:rPr>
          <w:lang w:val="en-US"/>
        </w:rPr>
        <w:t>/</w:t>
      </w:r>
      <w:r w:rsidRPr="00954547">
        <w:rPr>
          <w:lang w:val="en-US"/>
        </w:rPr>
        <w:t>Cravinas,</w:t>
      </w:r>
      <w:r w:rsidR="0078694F" w:rsidRPr="00954547">
        <w:rPr>
          <w:lang w:val="en-US"/>
        </w:rPr>
        <w:t xml:space="preserve"> and </w:t>
      </w:r>
      <w:r w:rsidR="00304779" w:rsidRPr="00954547">
        <w:rPr>
          <w:lang w:val="en-US"/>
        </w:rPr>
        <w:t>the Practical course on h</w:t>
      </w:r>
      <w:r w:rsidR="00616EBF" w:rsidRPr="00954547">
        <w:rPr>
          <w:lang w:val="en-US"/>
        </w:rPr>
        <w:t xml:space="preserve">uman </w:t>
      </w:r>
      <w:r w:rsidR="00304779" w:rsidRPr="00954547">
        <w:rPr>
          <w:lang w:val="en-US"/>
        </w:rPr>
        <w:t xml:space="preserve">rights and sexual and reproductive rights </w:t>
      </w:r>
      <w:r w:rsidR="00616EBF" w:rsidRPr="00954547">
        <w:rPr>
          <w:lang w:val="en-US"/>
        </w:rPr>
        <w:t>– Legal Clinic at the</w:t>
      </w:r>
      <w:r w:rsidRPr="00954547">
        <w:rPr>
          <w:lang w:val="en-US"/>
        </w:rPr>
        <w:t xml:space="preserve"> Universidade d</w:t>
      </w:r>
      <w:r w:rsidR="00304779" w:rsidRPr="00954547">
        <w:rPr>
          <w:lang w:val="en-US"/>
        </w:rPr>
        <w:t>e</w:t>
      </w:r>
      <w:r w:rsidRPr="00954547">
        <w:rPr>
          <w:lang w:val="en-US"/>
        </w:rPr>
        <w:t xml:space="preserve"> Brasília</w:t>
      </w:r>
      <w:r w:rsidR="00616EBF" w:rsidRPr="00954547">
        <w:rPr>
          <w:lang w:val="en-US"/>
        </w:rPr>
        <w:t>;</w:t>
      </w:r>
      <w:r w:rsidRPr="00954547">
        <w:rPr>
          <w:rStyle w:val="FootnoteReference"/>
          <w:color w:val="auto"/>
          <w:lang w:val="en-US"/>
        </w:rPr>
        <w:footnoteReference w:id="35"/>
      </w:r>
      <w:r w:rsidRPr="00954547">
        <w:rPr>
          <w:lang w:val="en-US"/>
        </w:rPr>
        <w:t xml:space="preserve"> 29) </w:t>
      </w:r>
      <w:r w:rsidR="00616EBF" w:rsidRPr="00954547">
        <w:rPr>
          <w:lang w:val="en-US"/>
        </w:rPr>
        <w:t xml:space="preserve">the International Planned Parenthood Federation </w:t>
      </w:r>
      <w:r w:rsidR="0078694F" w:rsidRPr="00954547">
        <w:rPr>
          <w:lang w:val="en-US"/>
        </w:rPr>
        <w:t xml:space="preserve">and </w:t>
      </w:r>
      <w:r w:rsidR="00653769" w:rsidRPr="00954547">
        <w:rPr>
          <w:lang w:val="en-US"/>
        </w:rPr>
        <w:t xml:space="preserve">other </w:t>
      </w:r>
      <w:r w:rsidR="00616EBF" w:rsidRPr="00954547">
        <w:rPr>
          <w:lang w:val="en-US"/>
        </w:rPr>
        <w:t>organisations;</w:t>
      </w:r>
      <w:r w:rsidRPr="00954547">
        <w:rPr>
          <w:rStyle w:val="FootnoteReference"/>
          <w:color w:val="auto"/>
          <w:lang w:val="en-US"/>
        </w:rPr>
        <w:footnoteReference w:id="36"/>
      </w:r>
      <w:r w:rsidRPr="00954547">
        <w:rPr>
          <w:lang w:val="en-US"/>
        </w:rPr>
        <w:t xml:space="preserve"> 30) </w:t>
      </w:r>
      <w:r w:rsidR="00304779" w:rsidRPr="00954547">
        <w:rPr>
          <w:lang w:val="en-US"/>
        </w:rPr>
        <w:t xml:space="preserve">the </w:t>
      </w:r>
      <w:r w:rsidR="003B37C8" w:rsidRPr="00954547">
        <w:rPr>
          <w:rStyle w:val="Emphasis"/>
          <w:i w:val="0"/>
          <w:iCs w:val="0"/>
          <w:color w:val="auto"/>
          <w:shd w:val="clear" w:color="auto" w:fill="FFFFFF"/>
          <w:lang w:val="en-US"/>
        </w:rPr>
        <w:t>Swedish Association</w:t>
      </w:r>
      <w:r w:rsidR="003B37C8" w:rsidRPr="00954547">
        <w:rPr>
          <w:color w:val="auto"/>
          <w:shd w:val="clear" w:color="auto" w:fill="FFFFFF"/>
          <w:lang w:val="en-US"/>
        </w:rPr>
        <w:t> for </w:t>
      </w:r>
      <w:r w:rsidR="003B37C8" w:rsidRPr="00954547">
        <w:rPr>
          <w:rStyle w:val="Emphasis"/>
          <w:i w:val="0"/>
          <w:iCs w:val="0"/>
          <w:color w:val="auto"/>
          <w:shd w:val="clear" w:color="auto" w:fill="FFFFFF"/>
          <w:lang w:val="en-US"/>
        </w:rPr>
        <w:t>Sexuality Education</w:t>
      </w:r>
      <w:r w:rsidR="003B37C8" w:rsidRPr="00954547">
        <w:rPr>
          <w:lang w:val="en-US"/>
        </w:rPr>
        <w:t>;</w:t>
      </w:r>
      <w:r w:rsidRPr="00954547">
        <w:rPr>
          <w:rStyle w:val="FootnoteReference"/>
          <w:color w:val="auto"/>
          <w:lang w:val="en-US"/>
        </w:rPr>
        <w:footnoteReference w:id="37"/>
      </w:r>
      <w:r w:rsidRPr="00954547">
        <w:rPr>
          <w:lang w:val="en-US"/>
        </w:rPr>
        <w:t xml:space="preserve"> 31) </w:t>
      </w:r>
      <w:r w:rsidR="003B37C8" w:rsidRPr="00954547">
        <w:rPr>
          <w:lang w:val="en-US"/>
        </w:rPr>
        <w:t>members of</w:t>
      </w:r>
      <w:r w:rsidRPr="00954547">
        <w:rPr>
          <w:lang w:val="en-US"/>
        </w:rPr>
        <w:t xml:space="preserve"> Congres</w:t>
      </w:r>
      <w:r w:rsidR="003B37C8" w:rsidRPr="00954547">
        <w:rPr>
          <w:lang w:val="en-US"/>
        </w:rPr>
        <w:t>s</w:t>
      </w:r>
      <w:r w:rsidR="00607E12" w:rsidRPr="00954547">
        <w:rPr>
          <w:lang w:val="en-US"/>
        </w:rPr>
        <w:t xml:space="preserve"> of the </w:t>
      </w:r>
      <w:r w:rsidR="00B8393C" w:rsidRPr="00954547">
        <w:rPr>
          <w:lang w:val="en-US"/>
        </w:rPr>
        <w:t>Republic of</w:t>
      </w:r>
      <w:r w:rsidRPr="00954547">
        <w:rPr>
          <w:lang w:val="en-US"/>
        </w:rPr>
        <w:t xml:space="preserve"> Colombia</w:t>
      </w:r>
      <w:r w:rsidR="003B37C8" w:rsidRPr="00954547">
        <w:rPr>
          <w:lang w:val="en-US"/>
        </w:rPr>
        <w:t>;</w:t>
      </w:r>
      <w:r w:rsidRPr="00954547">
        <w:rPr>
          <w:rStyle w:val="FootnoteReference"/>
          <w:color w:val="auto"/>
          <w:lang w:val="en-US"/>
        </w:rPr>
        <w:footnoteReference w:id="38"/>
      </w:r>
      <w:r w:rsidRPr="00954547">
        <w:rPr>
          <w:lang w:val="en-US"/>
        </w:rPr>
        <w:t xml:space="preserve"> 32) Amn</w:t>
      </w:r>
      <w:r w:rsidR="003B37C8" w:rsidRPr="00954547">
        <w:rPr>
          <w:lang w:val="en-US"/>
        </w:rPr>
        <w:t>esty</w:t>
      </w:r>
      <w:r w:rsidRPr="00954547">
        <w:rPr>
          <w:lang w:val="en-US"/>
        </w:rPr>
        <w:t xml:space="preserve"> Interna</w:t>
      </w:r>
      <w:r w:rsidR="003B37C8" w:rsidRPr="00954547">
        <w:rPr>
          <w:lang w:val="en-US"/>
        </w:rPr>
        <w:t>t</w:t>
      </w:r>
      <w:r w:rsidRPr="00954547">
        <w:rPr>
          <w:lang w:val="en-US"/>
        </w:rPr>
        <w:t>ional</w:t>
      </w:r>
      <w:r w:rsidR="003B37C8" w:rsidRPr="00954547">
        <w:rPr>
          <w:lang w:val="en-US"/>
        </w:rPr>
        <w:t>;</w:t>
      </w:r>
      <w:r w:rsidRPr="00954547">
        <w:rPr>
          <w:rStyle w:val="FootnoteReference"/>
          <w:color w:val="auto"/>
          <w:lang w:val="en-US"/>
        </w:rPr>
        <w:footnoteReference w:id="39"/>
      </w:r>
      <w:r w:rsidR="008D14D1" w:rsidRPr="00954547">
        <w:rPr>
          <w:lang w:val="en-US"/>
        </w:rPr>
        <w:t xml:space="preserve"> </w:t>
      </w:r>
      <w:r w:rsidRPr="00954547">
        <w:rPr>
          <w:lang w:val="en-US"/>
        </w:rPr>
        <w:t xml:space="preserve">33) </w:t>
      </w:r>
      <w:r w:rsidR="00B6299C" w:rsidRPr="00954547">
        <w:rPr>
          <w:lang w:val="en-US"/>
        </w:rPr>
        <w:t>the</w:t>
      </w:r>
      <w:r w:rsidRPr="00954547">
        <w:rPr>
          <w:lang w:val="en-US"/>
        </w:rPr>
        <w:t xml:space="preserve"> Iniciativa Colectiva 1600s</w:t>
      </w:r>
      <w:r w:rsidR="00F500B8" w:rsidRPr="00954547">
        <w:rPr>
          <w:lang w:val="en-US"/>
        </w:rPr>
        <w:t>;</w:t>
      </w:r>
      <w:r w:rsidRPr="00954547">
        <w:rPr>
          <w:rStyle w:val="FootnoteReference"/>
          <w:color w:val="auto"/>
          <w:lang w:val="en-US"/>
        </w:rPr>
        <w:footnoteReference w:id="40"/>
      </w:r>
      <w:r w:rsidRPr="00954547">
        <w:rPr>
          <w:lang w:val="en-US"/>
        </w:rPr>
        <w:t xml:space="preserve"> 34) Latinx Bioethics</w:t>
      </w:r>
      <w:r w:rsidR="00F500B8" w:rsidRPr="00954547">
        <w:rPr>
          <w:lang w:val="en-US"/>
        </w:rPr>
        <w:t>;</w:t>
      </w:r>
      <w:r w:rsidRPr="00954547">
        <w:rPr>
          <w:rStyle w:val="FootnoteReference"/>
          <w:color w:val="auto"/>
          <w:lang w:val="en-US"/>
        </w:rPr>
        <w:footnoteReference w:id="41"/>
      </w:r>
      <w:r w:rsidRPr="00954547">
        <w:rPr>
          <w:lang w:val="en-US"/>
        </w:rPr>
        <w:t xml:space="preserve"> 35) Centro de Estudios Legales</w:t>
      </w:r>
      <w:r w:rsidR="0078694F" w:rsidRPr="00954547">
        <w:rPr>
          <w:lang w:val="en-US"/>
        </w:rPr>
        <w:t xml:space="preserve"> and </w:t>
      </w:r>
      <w:r w:rsidRPr="00954547">
        <w:rPr>
          <w:lang w:val="en-US"/>
        </w:rPr>
        <w:t>Sociales (CELS)</w:t>
      </w:r>
      <w:r w:rsidR="00F500B8" w:rsidRPr="00954547">
        <w:rPr>
          <w:lang w:val="en-US"/>
        </w:rPr>
        <w:t>;</w:t>
      </w:r>
      <w:r w:rsidRPr="00954547">
        <w:rPr>
          <w:rStyle w:val="FootnoteReference"/>
          <w:color w:val="auto"/>
          <w:lang w:val="en-US"/>
        </w:rPr>
        <w:footnoteReference w:id="42"/>
      </w:r>
      <w:r w:rsidRPr="00954547">
        <w:rPr>
          <w:b/>
          <w:lang w:val="en-US"/>
        </w:rPr>
        <w:t xml:space="preserve"> </w:t>
      </w:r>
      <w:r w:rsidRPr="00954547">
        <w:rPr>
          <w:lang w:val="en-US"/>
        </w:rPr>
        <w:t>36) Ricardo Bach de Chaza</w:t>
      </w:r>
      <w:r w:rsidR="00FC72C0" w:rsidRPr="00954547">
        <w:rPr>
          <w:lang w:val="en-US"/>
        </w:rPr>
        <w:t>l</w:t>
      </w:r>
      <w:r w:rsidR="00F500B8" w:rsidRPr="00954547">
        <w:rPr>
          <w:lang w:val="en-US"/>
        </w:rPr>
        <w:t>;</w:t>
      </w:r>
      <w:r w:rsidRPr="00954547">
        <w:rPr>
          <w:rStyle w:val="FootnoteReference"/>
          <w:lang w:val="en-US"/>
        </w:rPr>
        <w:footnoteReference w:id="43"/>
      </w:r>
      <w:r w:rsidRPr="00954547">
        <w:rPr>
          <w:lang w:val="en-US"/>
        </w:rPr>
        <w:t xml:space="preserve"> 37) Max Silva Abbott</w:t>
      </w:r>
      <w:r w:rsidR="00F500B8" w:rsidRPr="00954547">
        <w:rPr>
          <w:lang w:val="en-US"/>
        </w:rPr>
        <w:t>;</w:t>
      </w:r>
      <w:r w:rsidRPr="00954547">
        <w:rPr>
          <w:rStyle w:val="FootnoteReference"/>
          <w:color w:val="auto"/>
          <w:lang w:val="en-US"/>
        </w:rPr>
        <w:footnoteReference w:id="44"/>
      </w:r>
      <w:r w:rsidR="008D14D1" w:rsidRPr="00954547">
        <w:rPr>
          <w:b/>
          <w:lang w:val="en-US"/>
        </w:rPr>
        <w:t xml:space="preserve"> </w:t>
      </w:r>
      <w:r w:rsidRPr="00954547">
        <w:rPr>
          <w:lang w:val="en-US"/>
        </w:rPr>
        <w:t>38) Baker &amp; McKenzie SAS</w:t>
      </w:r>
      <w:r w:rsidR="0078694F" w:rsidRPr="00954547">
        <w:rPr>
          <w:lang w:val="en-US"/>
        </w:rPr>
        <w:t xml:space="preserve"> and </w:t>
      </w:r>
      <w:r w:rsidRPr="00954547">
        <w:rPr>
          <w:lang w:val="en-US"/>
        </w:rPr>
        <w:t>ot</w:t>
      </w:r>
      <w:r w:rsidR="00F500B8" w:rsidRPr="00954547">
        <w:rPr>
          <w:lang w:val="en-US"/>
        </w:rPr>
        <w:t>hers;</w:t>
      </w:r>
      <w:r w:rsidRPr="00954547">
        <w:rPr>
          <w:rStyle w:val="FootnoteReference"/>
          <w:color w:val="auto"/>
          <w:lang w:val="en-US"/>
        </w:rPr>
        <w:footnoteReference w:id="45"/>
      </w:r>
      <w:r w:rsidRPr="00954547">
        <w:rPr>
          <w:lang w:val="en-US"/>
        </w:rPr>
        <w:t xml:space="preserve"> 39) </w:t>
      </w:r>
      <w:r w:rsidR="00F500B8" w:rsidRPr="00954547">
        <w:rPr>
          <w:lang w:val="en-US"/>
        </w:rPr>
        <w:t>the</w:t>
      </w:r>
      <w:r w:rsidRPr="00954547">
        <w:rPr>
          <w:lang w:val="en-US"/>
        </w:rPr>
        <w:t xml:space="preserve"> Centro de Apoyo</w:t>
      </w:r>
      <w:r w:rsidR="0078694F" w:rsidRPr="00954547">
        <w:rPr>
          <w:lang w:val="en-US"/>
        </w:rPr>
        <w:t xml:space="preserve"> </w:t>
      </w:r>
      <w:r w:rsidR="00F500B8" w:rsidRPr="00954547">
        <w:rPr>
          <w:lang w:val="en-US"/>
        </w:rPr>
        <w:t>y</w:t>
      </w:r>
      <w:r w:rsidR="0078694F" w:rsidRPr="00954547">
        <w:rPr>
          <w:lang w:val="en-US"/>
        </w:rPr>
        <w:t xml:space="preserve"> </w:t>
      </w:r>
      <w:r w:rsidRPr="00954547">
        <w:rPr>
          <w:lang w:val="en-US"/>
        </w:rPr>
        <w:t xml:space="preserve">Protección de los </w:t>
      </w:r>
      <w:r w:rsidR="00A65EE1" w:rsidRPr="00954547">
        <w:rPr>
          <w:lang w:val="en-US"/>
        </w:rPr>
        <w:t>D</w:t>
      </w:r>
      <w:r w:rsidRPr="00954547">
        <w:rPr>
          <w:lang w:val="en-US"/>
        </w:rPr>
        <w:t xml:space="preserve">erechos </w:t>
      </w:r>
      <w:r w:rsidR="00A65EE1" w:rsidRPr="00954547">
        <w:rPr>
          <w:lang w:val="en-US"/>
        </w:rPr>
        <w:t>H</w:t>
      </w:r>
      <w:r w:rsidRPr="00954547">
        <w:rPr>
          <w:lang w:val="en-US"/>
        </w:rPr>
        <w:t>umanos SURKUNA</w:t>
      </w:r>
      <w:r w:rsidR="00F500B8" w:rsidRPr="00954547">
        <w:rPr>
          <w:lang w:val="en-US"/>
        </w:rPr>
        <w:t>;</w:t>
      </w:r>
      <w:r w:rsidRPr="00954547">
        <w:rPr>
          <w:rStyle w:val="FootnoteReference"/>
          <w:color w:val="auto"/>
          <w:lang w:val="en-US"/>
        </w:rPr>
        <w:footnoteReference w:id="46"/>
      </w:r>
      <w:r w:rsidR="008D14D1" w:rsidRPr="00954547">
        <w:rPr>
          <w:b/>
          <w:lang w:val="en-US"/>
        </w:rPr>
        <w:t xml:space="preserve"> </w:t>
      </w:r>
      <w:r w:rsidRPr="00954547">
        <w:rPr>
          <w:lang w:val="en-US"/>
        </w:rPr>
        <w:t xml:space="preserve">40) </w:t>
      </w:r>
      <w:r w:rsidR="00F500B8" w:rsidRPr="00954547">
        <w:rPr>
          <w:lang w:val="en-US"/>
        </w:rPr>
        <w:t xml:space="preserve">the Human Rights Observatory and the Legal Clinic at the </w:t>
      </w:r>
      <w:r w:rsidRPr="00954547">
        <w:rPr>
          <w:lang w:val="en-US"/>
        </w:rPr>
        <w:t>Universidad de Valladolid</w:t>
      </w:r>
      <w:r w:rsidR="00F500B8" w:rsidRPr="00954547">
        <w:rPr>
          <w:lang w:val="en-US"/>
        </w:rPr>
        <w:t>;</w:t>
      </w:r>
      <w:r w:rsidRPr="00954547">
        <w:rPr>
          <w:rStyle w:val="FootnoteReference"/>
          <w:color w:val="auto"/>
          <w:lang w:val="en-US"/>
        </w:rPr>
        <w:footnoteReference w:id="47"/>
      </w:r>
      <w:r w:rsidRPr="00954547">
        <w:rPr>
          <w:lang w:val="en-US"/>
        </w:rPr>
        <w:t xml:space="preserve"> 41) Alda Facio Montejo</w:t>
      </w:r>
      <w:r w:rsidR="00F500B8" w:rsidRPr="00954547">
        <w:rPr>
          <w:lang w:val="en-US"/>
        </w:rPr>
        <w:t>;</w:t>
      </w:r>
      <w:r w:rsidRPr="00954547">
        <w:rPr>
          <w:rStyle w:val="FootnoteReference"/>
          <w:color w:val="auto"/>
          <w:lang w:val="en-US"/>
        </w:rPr>
        <w:footnoteReference w:id="48"/>
      </w:r>
      <w:r w:rsidR="008D14D1" w:rsidRPr="00954547">
        <w:rPr>
          <w:b/>
          <w:lang w:val="en-US"/>
        </w:rPr>
        <w:t xml:space="preserve"> </w:t>
      </w:r>
      <w:r w:rsidRPr="00954547">
        <w:rPr>
          <w:lang w:val="en-US"/>
        </w:rPr>
        <w:t>42)</w:t>
      </w:r>
      <w:r w:rsidR="00F500B8" w:rsidRPr="00954547">
        <w:rPr>
          <w:lang w:val="en-US"/>
        </w:rPr>
        <w:t xml:space="preserve"> the International Network for Economic Social and Cultural Rights </w:t>
      </w:r>
      <w:r w:rsidR="00273524" w:rsidRPr="00954547">
        <w:rPr>
          <w:lang w:val="en-US"/>
        </w:rPr>
        <w:t>(</w:t>
      </w:r>
      <w:r w:rsidR="00F500B8" w:rsidRPr="00954547">
        <w:rPr>
          <w:lang w:val="en-US"/>
        </w:rPr>
        <w:t>ESCR Net</w:t>
      </w:r>
      <w:r w:rsidR="00273524" w:rsidRPr="00954547">
        <w:rPr>
          <w:lang w:val="en-US"/>
        </w:rPr>
        <w:t>);</w:t>
      </w:r>
      <w:r w:rsidRPr="00954547">
        <w:rPr>
          <w:rStyle w:val="FootnoteReference"/>
          <w:color w:val="auto"/>
          <w:lang w:val="en-US"/>
        </w:rPr>
        <w:footnoteReference w:id="49"/>
      </w:r>
      <w:r w:rsidRPr="00954547">
        <w:rPr>
          <w:lang w:val="en-US"/>
        </w:rPr>
        <w:t xml:space="preserve"> 43) </w:t>
      </w:r>
      <w:r w:rsidR="00273524" w:rsidRPr="00954547">
        <w:rPr>
          <w:lang w:val="en-US"/>
        </w:rPr>
        <w:t xml:space="preserve">the World Organization against Torture </w:t>
      </w:r>
      <w:r w:rsidRPr="00954547">
        <w:rPr>
          <w:lang w:val="en-US"/>
        </w:rPr>
        <w:t>(OMCT)</w:t>
      </w:r>
      <w:r w:rsidR="0078694F" w:rsidRPr="00954547">
        <w:rPr>
          <w:lang w:val="en-US"/>
        </w:rPr>
        <w:t xml:space="preserve"> and </w:t>
      </w:r>
      <w:r w:rsidR="00273524" w:rsidRPr="00954547">
        <w:rPr>
          <w:lang w:val="en-US"/>
        </w:rPr>
        <w:t>the</w:t>
      </w:r>
      <w:r w:rsidRPr="00954547">
        <w:rPr>
          <w:lang w:val="en-US"/>
        </w:rPr>
        <w:t xml:space="preserve"> </w:t>
      </w:r>
      <w:r w:rsidR="00273524" w:rsidRPr="00954547">
        <w:rPr>
          <w:lang w:val="en-US"/>
        </w:rPr>
        <w:t>Latin America Litigators’ Group against Torture;</w:t>
      </w:r>
      <w:r w:rsidRPr="00954547">
        <w:rPr>
          <w:rStyle w:val="FootnoteReference"/>
          <w:color w:val="auto"/>
          <w:lang w:val="en-US"/>
        </w:rPr>
        <w:footnoteReference w:id="50"/>
      </w:r>
      <w:r w:rsidRPr="00954547">
        <w:rPr>
          <w:lang w:val="en-US"/>
        </w:rPr>
        <w:t xml:space="preserve"> 44) </w:t>
      </w:r>
      <w:r w:rsidR="00273524" w:rsidRPr="00954547">
        <w:rPr>
          <w:lang w:val="en-US"/>
        </w:rPr>
        <w:t>the Due Process of L</w:t>
      </w:r>
      <w:r w:rsidR="002810F8" w:rsidRPr="00954547">
        <w:rPr>
          <w:lang w:val="en-US"/>
        </w:rPr>
        <w:t>a</w:t>
      </w:r>
      <w:r w:rsidR="00273524" w:rsidRPr="00954547">
        <w:rPr>
          <w:lang w:val="en-US"/>
        </w:rPr>
        <w:t>w Foundation (</w:t>
      </w:r>
      <w:r w:rsidRPr="00954547">
        <w:rPr>
          <w:lang w:val="en-US"/>
        </w:rPr>
        <w:t>DPLF</w:t>
      </w:r>
      <w:r w:rsidR="00273524" w:rsidRPr="00954547">
        <w:rPr>
          <w:lang w:val="en-US"/>
        </w:rPr>
        <w:t>);</w:t>
      </w:r>
      <w:r w:rsidRPr="00954547">
        <w:rPr>
          <w:rStyle w:val="FootnoteReference"/>
          <w:color w:val="auto"/>
          <w:lang w:val="en-US"/>
        </w:rPr>
        <w:footnoteReference w:id="51"/>
      </w:r>
      <w:r w:rsidRPr="00954547">
        <w:rPr>
          <w:lang w:val="en-US"/>
        </w:rPr>
        <w:t xml:space="preserve"> 45)</w:t>
      </w:r>
      <w:r w:rsidR="002810F8" w:rsidRPr="00954547">
        <w:rPr>
          <w:lang w:val="en-US"/>
        </w:rPr>
        <w:t xml:space="preserve"> the Gender, Law and Society Research Group and the Human Rights Group at the </w:t>
      </w:r>
      <w:r w:rsidRPr="00954547">
        <w:rPr>
          <w:lang w:val="en-US"/>
        </w:rPr>
        <w:t>Universidad Externado de Colombia</w:t>
      </w:r>
      <w:r w:rsidR="002810F8" w:rsidRPr="00954547">
        <w:rPr>
          <w:lang w:val="en-US"/>
        </w:rPr>
        <w:t>;</w:t>
      </w:r>
      <w:r w:rsidRPr="00954547">
        <w:rPr>
          <w:rStyle w:val="FootnoteReference"/>
          <w:color w:val="auto"/>
          <w:lang w:val="en-US"/>
        </w:rPr>
        <w:footnoteReference w:id="52"/>
      </w:r>
      <w:r w:rsidRPr="00954547">
        <w:rPr>
          <w:b/>
          <w:lang w:val="en-US"/>
        </w:rPr>
        <w:t xml:space="preserve"> </w:t>
      </w:r>
      <w:r w:rsidRPr="00954547">
        <w:rPr>
          <w:lang w:val="en-US"/>
        </w:rPr>
        <w:t xml:space="preserve">46) </w:t>
      </w:r>
      <w:r w:rsidR="002810F8" w:rsidRPr="00954547">
        <w:rPr>
          <w:lang w:val="en-US"/>
        </w:rPr>
        <w:t>Lawyers without Borders Canada;</w:t>
      </w:r>
      <w:r w:rsidRPr="00954547">
        <w:rPr>
          <w:rStyle w:val="FootnoteReference"/>
          <w:color w:val="auto"/>
          <w:lang w:val="en-US"/>
        </w:rPr>
        <w:footnoteReference w:id="53"/>
      </w:r>
      <w:r w:rsidRPr="00954547">
        <w:rPr>
          <w:lang w:val="en-US"/>
        </w:rPr>
        <w:t xml:space="preserve"> 47) </w:t>
      </w:r>
      <w:r w:rsidR="00E76B1A" w:rsidRPr="00954547">
        <w:rPr>
          <w:lang w:val="en-US"/>
        </w:rPr>
        <w:t xml:space="preserve">the </w:t>
      </w:r>
      <w:r w:rsidR="002810F8" w:rsidRPr="00954547">
        <w:rPr>
          <w:lang w:val="en-US"/>
        </w:rPr>
        <w:t xml:space="preserve">Human Rights </w:t>
      </w:r>
      <w:r w:rsidR="00E76B1A" w:rsidRPr="00954547">
        <w:rPr>
          <w:lang w:val="en-US"/>
        </w:rPr>
        <w:t>Commission</w:t>
      </w:r>
      <w:r w:rsidRPr="00954547">
        <w:rPr>
          <w:lang w:val="en-US"/>
        </w:rPr>
        <w:t xml:space="preserve"> </w:t>
      </w:r>
      <w:r w:rsidR="002810F8" w:rsidRPr="00954547">
        <w:rPr>
          <w:lang w:val="en-US"/>
        </w:rPr>
        <w:t>of Mexico City;</w:t>
      </w:r>
      <w:r w:rsidRPr="00954547">
        <w:rPr>
          <w:rStyle w:val="FootnoteReference"/>
          <w:color w:val="auto"/>
          <w:lang w:val="en-US"/>
        </w:rPr>
        <w:footnoteReference w:id="54"/>
      </w:r>
      <w:r w:rsidRPr="00954547">
        <w:rPr>
          <w:lang w:val="en-US"/>
        </w:rPr>
        <w:t xml:space="preserve"> 48) </w:t>
      </w:r>
      <w:r w:rsidR="002810F8" w:rsidRPr="00954547">
        <w:rPr>
          <w:lang w:val="en-US"/>
        </w:rPr>
        <w:t xml:space="preserve">the </w:t>
      </w:r>
      <w:r w:rsidRPr="00954547">
        <w:rPr>
          <w:lang w:val="en-US"/>
        </w:rPr>
        <w:t>Centro por la Justicia, Democracia e Igualdad (CEJUDI)</w:t>
      </w:r>
      <w:r w:rsidR="00CD298A" w:rsidRPr="00954547">
        <w:rPr>
          <w:lang w:val="en-US"/>
        </w:rPr>
        <w:t>;</w:t>
      </w:r>
      <w:r w:rsidRPr="00954547">
        <w:rPr>
          <w:rStyle w:val="FootnoteReference"/>
          <w:color w:val="auto"/>
          <w:lang w:val="en-US"/>
        </w:rPr>
        <w:footnoteReference w:id="55"/>
      </w:r>
      <w:r w:rsidRPr="00954547">
        <w:rPr>
          <w:lang w:val="en-US"/>
        </w:rPr>
        <w:t xml:space="preserve"> 49) Mileidy Alvarado Arias, </w:t>
      </w:r>
      <w:r w:rsidR="00CD298A" w:rsidRPr="00954547">
        <w:rPr>
          <w:lang w:val="en-US"/>
        </w:rPr>
        <w:t>congresswoman</w:t>
      </w:r>
      <w:r w:rsidR="00607E12" w:rsidRPr="00954547">
        <w:rPr>
          <w:lang w:val="en-US"/>
        </w:rPr>
        <w:t xml:space="preserve"> of the </w:t>
      </w:r>
      <w:r w:rsidR="00B8393C" w:rsidRPr="00954547">
        <w:rPr>
          <w:lang w:val="en-US"/>
        </w:rPr>
        <w:t>Republic of</w:t>
      </w:r>
      <w:r w:rsidRPr="00954547">
        <w:rPr>
          <w:lang w:val="en-US"/>
        </w:rPr>
        <w:t xml:space="preserve"> Costa Rica</w:t>
      </w:r>
      <w:r w:rsidR="00CD298A" w:rsidRPr="00954547">
        <w:rPr>
          <w:lang w:val="en-US"/>
        </w:rPr>
        <w:t>;</w:t>
      </w:r>
      <w:r w:rsidRPr="00954547">
        <w:rPr>
          <w:rStyle w:val="FootnoteReference"/>
          <w:color w:val="auto"/>
          <w:lang w:val="en-US"/>
        </w:rPr>
        <w:footnoteReference w:id="56"/>
      </w:r>
      <w:r w:rsidRPr="00954547">
        <w:rPr>
          <w:b/>
          <w:lang w:val="en-US"/>
        </w:rPr>
        <w:t xml:space="preserve"> </w:t>
      </w:r>
      <w:r w:rsidRPr="00954547">
        <w:rPr>
          <w:lang w:val="en-US"/>
        </w:rPr>
        <w:t>50) International Academy of Family Lawyers</w:t>
      </w:r>
      <w:r w:rsidR="00CD298A" w:rsidRPr="00954547">
        <w:rPr>
          <w:lang w:val="en-US"/>
        </w:rPr>
        <w:t>;</w:t>
      </w:r>
      <w:r w:rsidRPr="00954547">
        <w:rPr>
          <w:rStyle w:val="FootnoteReference"/>
          <w:color w:val="auto"/>
          <w:lang w:val="en-US"/>
        </w:rPr>
        <w:footnoteReference w:id="57"/>
      </w:r>
      <w:r w:rsidRPr="00954547">
        <w:rPr>
          <w:b/>
          <w:lang w:val="en-US"/>
        </w:rPr>
        <w:t xml:space="preserve"> </w:t>
      </w:r>
      <w:r w:rsidRPr="00954547">
        <w:rPr>
          <w:lang w:val="en-US"/>
        </w:rPr>
        <w:t xml:space="preserve">51) </w:t>
      </w:r>
      <w:r w:rsidR="00CD298A" w:rsidRPr="00954547">
        <w:rPr>
          <w:lang w:val="en-US"/>
        </w:rPr>
        <w:t>the Human Rights Clinic at the</w:t>
      </w:r>
      <w:r w:rsidRPr="00954547">
        <w:rPr>
          <w:lang w:val="en-US"/>
        </w:rPr>
        <w:t xml:space="preserve"> Universidad de Santa Clara</w:t>
      </w:r>
      <w:r w:rsidR="00CD298A" w:rsidRPr="00954547">
        <w:rPr>
          <w:lang w:val="en-US"/>
        </w:rPr>
        <w:t>;</w:t>
      </w:r>
      <w:r w:rsidRPr="00954547">
        <w:rPr>
          <w:rStyle w:val="FootnoteReference"/>
          <w:color w:val="auto"/>
          <w:lang w:val="en-US"/>
        </w:rPr>
        <w:footnoteReference w:id="58"/>
      </w:r>
      <w:r w:rsidRPr="00954547">
        <w:rPr>
          <w:b/>
          <w:lang w:val="en-US"/>
        </w:rPr>
        <w:t xml:space="preserve"> </w:t>
      </w:r>
      <w:r w:rsidRPr="00954547">
        <w:rPr>
          <w:lang w:val="en-US"/>
        </w:rPr>
        <w:t>52) Synerg</w:t>
      </w:r>
      <w:r w:rsidR="00CD298A" w:rsidRPr="00954547">
        <w:rPr>
          <w:lang w:val="en-US"/>
        </w:rPr>
        <w:t xml:space="preserve">y – Initiatives for Human Rights </w:t>
      </w:r>
      <w:r w:rsidR="0078694F" w:rsidRPr="00954547">
        <w:rPr>
          <w:lang w:val="en-US"/>
        </w:rPr>
        <w:t xml:space="preserve">and </w:t>
      </w:r>
      <w:r w:rsidR="00653769" w:rsidRPr="00954547">
        <w:rPr>
          <w:lang w:val="en-US"/>
        </w:rPr>
        <w:t>other organizations</w:t>
      </w:r>
      <w:r w:rsidR="00CD298A" w:rsidRPr="00954547">
        <w:rPr>
          <w:lang w:val="en-US"/>
        </w:rPr>
        <w:t>;</w:t>
      </w:r>
      <w:r w:rsidRPr="00954547">
        <w:rPr>
          <w:rStyle w:val="FootnoteReference"/>
          <w:color w:val="auto"/>
          <w:lang w:val="en-US"/>
        </w:rPr>
        <w:footnoteReference w:id="59"/>
      </w:r>
      <w:r w:rsidRPr="00954547">
        <w:rPr>
          <w:b/>
          <w:lang w:val="en-US"/>
        </w:rPr>
        <w:t xml:space="preserve"> </w:t>
      </w:r>
      <w:r w:rsidRPr="00954547">
        <w:rPr>
          <w:lang w:val="en-US"/>
        </w:rPr>
        <w:t xml:space="preserve">53) </w:t>
      </w:r>
      <w:r w:rsidR="006947A0" w:rsidRPr="00954547">
        <w:rPr>
          <w:lang w:val="en-US"/>
        </w:rPr>
        <w:t>the</w:t>
      </w:r>
      <w:r w:rsidRPr="00954547">
        <w:rPr>
          <w:lang w:val="en-US"/>
        </w:rPr>
        <w:t xml:space="preserve"> Iniciativa Americana por la Justicia (IAJ)</w:t>
      </w:r>
      <w:r w:rsidR="0078694F" w:rsidRPr="00954547">
        <w:rPr>
          <w:lang w:val="en-US"/>
        </w:rPr>
        <w:t xml:space="preserve"> and </w:t>
      </w:r>
      <w:r w:rsidR="006947A0" w:rsidRPr="00954547">
        <w:rPr>
          <w:lang w:val="en-US"/>
        </w:rPr>
        <w:t>the</w:t>
      </w:r>
      <w:r w:rsidRPr="00954547">
        <w:rPr>
          <w:lang w:val="en-US"/>
        </w:rPr>
        <w:t xml:space="preserve"> Centro de Promoción</w:t>
      </w:r>
      <w:r w:rsidR="0078694F" w:rsidRPr="00954547">
        <w:rPr>
          <w:lang w:val="en-US"/>
        </w:rPr>
        <w:t xml:space="preserve"> </w:t>
      </w:r>
      <w:r w:rsidR="006947A0" w:rsidRPr="00954547">
        <w:rPr>
          <w:lang w:val="en-US"/>
        </w:rPr>
        <w:t>y</w:t>
      </w:r>
      <w:r w:rsidR="0078694F" w:rsidRPr="00954547">
        <w:rPr>
          <w:lang w:val="en-US"/>
        </w:rPr>
        <w:t xml:space="preserve"> </w:t>
      </w:r>
      <w:r w:rsidRPr="00954547">
        <w:rPr>
          <w:lang w:val="en-US"/>
        </w:rPr>
        <w:t>Defensa de los Derechos Sexuales</w:t>
      </w:r>
      <w:r w:rsidR="0078694F" w:rsidRPr="00954547">
        <w:rPr>
          <w:lang w:val="en-US"/>
        </w:rPr>
        <w:t xml:space="preserve"> </w:t>
      </w:r>
      <w:r w:rsidR="006947A0" w:rsidRPr="00954547">
        <w:rPr>
          <w:lang w:val="en-US"/>
        </w:rPr>
        <w:t>y</w:t>
      </w:r>
      <w:r w:rsidR="0078694F" w:rsidRPr="00954547">
        <w:rPr>
          <w:lang w:val="en-US"/>
        </w:rPr>
        <w:t xml:space="preserve"> </w:t>
      </w:r>
      <w:r w:rsidRPr="00954547">
        <w:rPr>
          <w:lang w:val="en-US"/>
        </w:rPr>
        <w:t>Reproductivos (PROMSEX)</w:t>
      </w:r>
      <w:r w:rsidR="006947A0" w:rsidRPr="00954547">
        <w:rPr>
          <w:lang w:val="en-US"/>
        </w:rPr>
        <w:t>;</w:t>
      </w:r>
      <w:r w:rsidRPr="00954547">
        <w:rPr>
          <w:rStyle w:val="FootnoteReference"/>
          <w:color w:val="auto"/>
          <w:lang w:val="en-US"/>
        </w:rPr>
        <w:footnoteReference w:id="60"/>
      </w:r>
      <w:r w:rsidRPr="00954547">
        <w:rPr>
          <w:lang w:val="en-US"/>
        </w:rPr>
        <w:t xml:space="preserve"> 54) </w:t>
      </w:r>
      <w:r w:rsidR="006947A0" w:rsidRPr="00954547">
        <w:rPr>
          <w:lang w:val="en-US"/>
        </w:rPr>
        <w:t>the</w:t>
      </w:r>
      <w:r w:rsidRPr="00954547">
        <w:rPr>
          <w:lang w:val="en-US"/>
        </w:rPr>
        <w:t xml:space="preserve"> Equipo Latinoamericano de Justicia</w:t>
      </w:r>
      <w:r w:rsidR="0078694F" w:rsidRPr="00954547">
        <w:rPr>
          <w:lang w:val="en-US"/>
        </w:rPr>
        <w:t xml:space="preserve"> </w:t>
      </w:r>
      <w:r w:rsidR="006947A0" w:rsidRPr="00954547">
        <w:rPr>
          <w:lang w:val="en-US"/>
        </w:rPr>
        <w:t>y</w:t>
      </w:r>
      <w:r w:rsidR="0078694F" w:rsidRPr="00954547">
        <w:rPr>
          <w:lang w:val="en-US"/>
        </w:rPr>
        <w:t xml:space="preserve"> </w:t>
      </w:r>
      <w:r w:rsidRPr="00954547">
        <w:rPr>
          <w:lang w:val="en-US"/>
        </w:rPr>
        <w:t>Género (ELA)</w:t>
      </w:r>
      <w:r w:rsidR="006947A0" w:rsidRPr="00954547">
        <w:rPr>
          <w:lang w:val="en-US"/>
        </w:rPr>
        <w:t>;</w:t>
      </w:r>
      <w:r w:rsidRPr="00954547">
        <w:rPr>
          <w:rStyle w:val="FootnoteReference"/>
          <w:color w:val="auto"/>
          <w:lang w:val="en-US"/>
        </w:rPr>
        <w:footnoteReference w:id="61"/>
      </w:r>
      <w:r w:rsidRPr="00954547">
        <w:rPr>
          <w:b/>
          <w:lang w:val="en-US"/>
        </w:rPr>
        <w:t xml:space="preserve"> </w:t>
      </w:r>
      <w:r w:rsidRPr="00954547">
        <w:rPr>
          <w:lang w:val="en-US"/>
        </w:rPr>
        <w:t xml:space="preserve">55) </w:t>
      </w:r>
      <w:r w:rsidR="006947A0" w:rsidRPr="00954547">
        <w:rPr>
          <w:lang w:val="en-US"/>
        </w:rPr>
        <w:t>the</w:t>
      </w:r>
      <w:r w:rsidRPr="00954547">
        <w:rPr>
          <w:lang w:val="en-US"/>
        </w:rPr>
        <w:t xml:space="preserve"> Comunidad de Derechos Humanos</w:t>
      </w:r>
      <w:r w:rsidR="0078694F" w:rsidRPr="00954547">
        <w:rPr>
          <w:lang w:val="en-US"/>
        </w:rPr>
        <w:t xml:space="preserve"> and </w:t>
      </w:r>
      <w:r w:rsidR="00653769" w:rsidRPr="00954547">
        <w:rPr>
          <w:lang w:val="en-US"/>
        </w:rPr>
        <w:t>other organizations</w:t>
      </w:r>
      <w:r w:rsidR="006947A0" w:rsidRPr="00954547">
        <w:rPr>
          <w:lang w:val="en-US"/>
        </w:rPr>
        <w:t>;</w:t>
      </w:r>
      <w:r w:rsidRPr="00954547">
        <w:rPr>
          <w:rStyle w:val="FootnoteReference"/>
          <w:color w:val="auto"/>
          <w:lang w:val="en-US"/>
        </w:rPr>
        <w:footnoteReference w:id="62"/>
      </w:r>
      <w:r w:rsidRPr="00954547">
        <w:rPr>
          <w:lang w:val="en-US"/>
        </w:rPr>
        <w:t xml:space="preserve"> 56) </w:t>
      </w:r>
      <w:r w:rsidR="00C17510" w:rsidRPr="00954547">
        <w:rPr>
          <w:lang w:val="en-US"/>
        </w:rPr>
        <w:t>t</w:t>
      </w:r>
      <w:r w:rsidR="006947A0" w:rsidRPr="00954547">
        <w:rPr>
          <w:lang w:val="en-US"/>
        </w:rPr>
        <w:t>he International Federation of Gynecology and Obstetrics;</w:t>
      </w:r>
      <w:r w:rsidRPr="00954547">
        <w:rPr>
          <w:rStyle w:val="FootnoteReference"/>
          <w:color w:val="auto"/>
          <w:lang w:val="en-US"/>
        </w:rPr>
        <w:footnoteReference w:id="63"/>
      </w:r>
      <w:r w:rsidRPr="00954547">
        <w:rPr>
          <w:lang w:val="en-US"/>
        </w:rPr>
        <w:t xml:space="preserve"> 57) Shirley Díaz Mejías, </w:t>
      </w:r>
      <w:r w:rsidR="00752998" w:rsidRPr="00954547">
        <w:rPr>
          <w:lang w:val="en-US"/>
        </w:rPr>
        <w:t xml:space="preserve">congresswoman of the </w:t>
      </w:r>
      <w:r w:rsidR="00B8393C" w:rsidRPr="00954547">
        <w:rPr>
          <w:lang w:val="en-US"/>
        </w:rPr>
        <w:t>Republic of</w:t>
      </w:r>
      <w:r w:rsidRPr="00954547">
        <w:rPr>
          <w:lang w:val="en-US"/>
        </w:rPr>
        <w:t xml:space="preserve"> Costa Rica</w:t>
      </w:r>
      <w:r w:rsidR="00752998" w:rsidRPr="00954547">
        <w:rPr>
          <w:lang w:val="en-US"/>
        </w:rPr>
        <w:t>,</w:t>
      </w:r>
      <w:r w:rsidRPr="00954547">
        <w:rPr>
          <w:rStyle w:val="FootnoteReference"/>
          <w:color w:val="auto"/>
          <w:lang w:val="en-US"/>
        </w:rPr>
        <w:footnoteReference w:id="64"/>
      </w:r>
      <w:r w:rsidR="0078694F" w:rsidRPr="00954547">
        <w:rPr>
          <w:lang w:val="en-US"/>
        </w:rPr>
        <w:t xml:space="preserve"> and </w:t>
      </w:r>
      <w:r w:rsidRPr="00954547">
        <w:rPr>
          <w:lang w:val="en-US"/>
        </w:rPr>
        <w:t xml:space="preserve">58) </w:t>
      </w:r>
      <w:r w:rsidR="00752998" w:rsidRPr="00954547">
        <w:rPr>
          <w:lang w:val="en-US"/>
        </w:rPr>
        <w:t>the Clinic on Litigation before International Systems for the Protection of Human Rights</w:t>
      </w:r>
      <w:r w:rsidRPr="00954547">
        <w:rPr>
          <w:lang w:val="en-US"/>
        </w:rPr>
        <w:t xml:space="preserve"> </w:t>
      </w:r>
      <w:r w:rsidR="00752998" w:rsidRPr="00954547">
        <w:rPr>
          <w:lang w:val="en-US"/>
        </w:rPr>
        <w:t>(</w:t>
      </w:r>
      <w:r w:rsidRPr="00954547">
        <w:rPr>
          <w:lang w:val="en-US"/>
        </w:rPr>
        <w:t>SELIDH</w:t>
      </w:r>
      <w:r w:rsidR="00752998" w:rsidRPr="00954547">
        <w:rPr>
          <w:lang w:val="en-US"/>
        </w:rPr>
        <w:t xml:space="preserve">) of the Faculty of Law and Political Science at the </w:t>
      </w:r>
      <w:r w:rsidRPr="00954547">
        <w:rPr>
          <w:lang w:val="en-US"/>
        </w:rPr>
        <w:t xml:space="preserve">Universidad de Antioquia </w:t>
      </w:r>
      <w:r w:rsidR="00752998" w:rsidRPr="00954547">
        <w:rPr>
          <w:lang w:val="en-US"/>
        </w:rPr>
        <w:t>in association with the</w:t>
      </w:r>
      <w:r w:rsidRPr="00954547">
        <w:rPr>
          <w:lang w:val="en-US"/>
        </w:rPr>
        <w:t xml:space="preserve"> Bolívar en Falda</w:t>
      </w:r>
      <w:r w:rsidR="00EB06ED" w:rsidRPr="00954547">
        <w:rPr>
          <w:lang w:val="en-US"/>
        </w:rPr>
        <w:t xml:space="preserve"> feminist organization.</w:t>
      </w:r>
      <w:r w:rsidRPr="00954547">
        <w:rPr>
          <w:rStyle w:val="FootnoteReference"/>
          <w:color w:val="auto"/>
          <w:lang w:val="en-US"/>
        </w:rPr>
        <w:footnoteReference w:id="65"/>
      </w:r>
      <w:r w:rsidRPr="00954547">
        <w:rPr>
          <w:lang w:val="en-US"/>
        </w:rPr>
        <w:t xml:space="preserve"> </w:t>
      </w:r>
    </w:p>
    <w:p w14:paraId="1291EE47" w14:textId="0AB3603C" w:rsidR="00433F11" w:rsidRPr="00954547" w:rsidRDefault="001464F7" w:rsidP="000365EC">
      <w:pPr>
        <w:pStyle w:val="Numberedparagraphs"/>
        <w:numPr>
          <w:ilvl w:val="0"/>
          <w:numId w:val="13"/>
        </w:numPr>
        <w:tabs>
          <w:tab w:val="clear" w:pos="720"/>
          <w:tab w:val="left" w:pos="567"/>
        </w:tabs>
        <w:rPr>
          <w:b/>
          <w:color w:val="auto"/>
          <w:lang w:val="en-US"/>
        </w:rPr>
      </w:pPr>
      <w:r w:rsidRPr="00954547">
        <w:rPr>
          <w:i/>
          <w:iCs/>
          <w:color w:val="auto"/>
          <w:lang w:val="en-US"/>
        </w:rPr>
        <w:t>Alleged supervening facts.</w:t>
      </w:r>
      <w:r w:rsidR="00433F11" w:rsidRPr="00954547">
        <w:rPr>
          <w:i/>
          <w:iCs/>
          <w:color w:val="auto"/>
          <w:lang w:val="en-US"/>
        </w:rPr>
        <w:t xml:space="preserve"> </w:t>
      </w:r>
      <w:r w:rsidRPr="00954547">
        <w:rPr>
          <w:color w:val="auto"/>
          <w:lang w:val="en-US"/>
        </w:rPr>
        <w:t>On April 8, May</w:t>
      </w:r>
      <w:r w:rsidR="00B05FDF" w:rsidRPr="00954547">
        <w:rPr>
          <w:color w:val="auto"/>
          <w:lang w:val="en-US"/>
        </w:rPr>
        <w:t xml:space="preserve"> 13</w:t>
      </w:r>
      <w:r w:rsidR="0078694F" w:rsidRPr="00954547">
        <w:rPr>
          <w:color w:val="auto"/>
          <w:lang w:val="en-US"/>
        </w:rPr>
        <w:t xml:space="preserve"> and </w:t>
      </w:r>
      <w:r w:rsidRPr="00954547">
        <w:rPr>
          <w:color w:val="auto"/>
          <w:lang w:val="en-US"/>
        </w:rPr>
        <w:t xml:space="preserve">December </w:t>
      </w:r>
      <w:r w:rsidR="00B05FDF" w:rsidRPr="00954547">
        <w:rPr>
          <w:color w:val="auto"/>
          <w:lang w:val="en-US"/>
        </w:rPr>
        <w:t>23</w:t>
      </w:r>
      <w:r w:rsidR="00D837F9" w:rsidRPr="00954547">
        <w:rPr>
          <w:color w:val="auto"/>
          <w:lang w:val="en-US"/>
        </w:rPr>
        <w:t xml:space="preserve">, </w:t>
      </w:r>
      <w:r w:rsidR="00B05FDF" w:rsidRPr="00954547">
        <w:rPr>
          <w:color w:val="auto"/>
          <w:lang w:val="en-US"/>
        </w:rPr>
        <w:t>2020</w:t>
      </w:r>
      <w:r w:rsidR="00D837F9" w:rsidRPr="00954547">
        <w:rPr>
          <w:color w:val="auto"/>
          <w:lang w:val="en-US"/>
        </w:rPr>
        <w:t>,</w:t>
      </w:r>
      <w:r w:rsidR="00B05FDF" w:rsidRPr="00954547">
        <w:rPr>
          <w:color w:val="auto"/>
          <w:lang w:val="en-US"/>
        </w:rPr>
        <w:t xml:space="preserve"> </w:t>
      </w:r>
      <w:r w:rsidR="00B8393C" w:rsidRPr="00954547">
        <w:rPr>
          <w:color w:val="auto"/>
          <w:lang w:val="en-US"/>
        </w:rPr>
        <w:t xml:space="preserve">the </w:t>
      </w:r>
      <w:r w:rsidR="006E0D5E" w:rsidRPr="00954547">
        <w:rPr>
          <w:color w:val="auto"/>
          <w:lang w:val="en-US"/>
        </w:rPr>
        <w:t>representatives</w:t>
      </w:r>
      <w:r w:rsidR="00B05FDF" w:rsidRPr="00954547">
        <w:rPr>
          <w:color w:val="auto"/>
          <w:lang w:val="en-US"/>
        </w:rPr>
        <w:t xml:space="preserve"> </w:t>
      </w:r>
      <w:r w:rsidR="00D837F9" w:rsidRPr="00954547">
        <w:rPr>
          <w:color w:val="auto"/>
          <w:lang w:val="en-US"/>
        </w:rPr>
        <w:t>forwarded information on alleged supervening facts.</w:t>
      </w:r>
      <w:r w:rsidR="00B05FDF" w:rsidRPr="00954547">
        <w:rPr>
          <w:rStyle w:val="FootnoteReference"/>
          <w:color w:val="auto"/>
          <w:lang w:val="en-US"/>
        </w:rPr>
        <w:footnoteReference w:id="66"/>
      </w:r>
      <w:r w:rsidR="00B05FDF" w:rsidRPr="00954547">
        <w:rPr>
          <w:color w:val="auto"/>
          <w:lang w:val="en-US"/>
        </w:rPr>
        <w:t xml:space="preserve">  </w:t>
      </w:r>
    </w:p>
    <w:p w14:paraId="036EE4CD" w14:textId="7630C02A" w:rsidR="00433F11" w:rsidRPr="00954547" w:rsidRDefault="00D837F9" w:rsidP="000365EC">
      <w:pPr>
        <w:pStyle w:val="Numberedparagraphs"/>
        <w:numPr>
          <w:ilvl w:val="0"/>
          <w:numId w:val="13"/>
        </w:numPr>
        <w:tabs>
          <w:tab w:val="clear" w:pos="720"/>
          <w:tab w:val="left" w:pos="567"/>
        </w:tabs>
        <w:rPr>
          <w:b/>
          <w:color w:val="auto"/>
          <w:lang w:val="en-US"/>
        </w:rPr>
      </w:pPr>
      <w:r w:rsidRPr="00954547">
        <w:rPr>
          <w:i/>
          <w:iCs/>
          <w:color w:val="auto"/>
          <w:lang w:val="en-US"/>
        </w:rPr>
        <w:t>Final written a</w:t>
      </w:r>
      <w:r w:rsidR="00B8393C" w:rsidRPr="00954547">
        <w:rPr>
          <w:i/>
          <w:iCs/>
          <w:color w:val="auto"/>
          <w:lang w:val="en-US"/>
        </w:rPr>
        <w:t>rguments</w:t>
      </w:r>
      <w:r w:rsidR="0078694F" w:rsidRPr="00954547">
        <w:rPr>
          <w:i/>
          <w:iCs/>
          <w:color w:val="auto"/>
          <w:lang w:val="en-US"/>
        </w:rPr>
        <w:t xml:space="preserve"> and </w:t>
      </w:r>
      <w:r w:rsidR="00B8393C" w:rsidRPr="00954547">
        <w:rPr>
          <w:i/>
          <w:iCs/>
          <w:color w:val="auto"/>
          <w:lang w:val="en-US"/>
        </w:rPr>
        <w:t>observations</w:t>
      </w:r>
      <w:r w:rsidR="00433F11" w:rsidRPr="00954547">
        <w:rPr>
          <w:i/>
          <w:iCs/>
          <w:color w:val="auto"/>
          <w:lang w:val="en-US"/>
        </w:rPr>
        <w:t xml:space="preserve">. </w:t>
      </w:r>
      <w:r w:rsidRPr="00954547">
        <w:rPr>
          <w:color w:val="auto"/>
          <w:lang w:val="en-US"/>
        </w:rPr>
        <w:t>On April 12,</w:t>
      </w:r>
      <w:r w:rsidR="00433F11" w:rsidRPr="00954547">
        <w:rPr>
          <w:color w:val="auto"/>
          <w:lang w:val="en-US"/>
        </w:rPr>
        <w:t xml:space="preserve"> 2021</w:t>
      </w:r>
      <w:r w:rsidRPr="00954547">
        <w:rPr>
          <w:color w:val="auto"/>
          <w:lang w:val="en-US"/>
        </w:rPr>
        <w:t>,</w:t>
      </w:r>
      <w:r w:rsidR="00433F11" w:rsidRPr="00954547">
        <w:rPr>
          <w:color w:val="auto"/>
          <w:lang w:val="en-US"/>
        </w:rPr>
        <w:t xml:space="preserve"> </w:t>
      </w:r>
      <w:r w:rsidR="00B8393C" w:rsidRPr="00954547">
        <w:rPr>
          <w:color w:val="auto"/>
          <w:lang w:val="en-US"/>
        </w:rPr>
        <w:t>the State</w:t>
      </w:r>
      <w:r w:rsidR="00433F11" w:rsidRPr="00954547">
        <w:rPr>
          <w:color w:val="auto"/>
          <w:lang w:val="en-US"/>
        </w:rPr>
        <w:t xml:space="preserve">, </w:t>
      </w:r>
      <w:r w:rsidR="00B8393C" w:rsidRPr="00954547">
        <w:rPr>
          <w:color w:val="auto"/>
          <w:lang w:val="en-US"/>
        </w:rPr>
        <w:t xml:space="preserve">the </w:t>
      </w:r>
      <w:r w:rsidR="006E0D5E" w:rsidRPr="00954547">
        <w:rPr>
          <w:color w:val="auto"/>
          <w:lang w:val="en-US"/>
        </w:rPr>
        <w:t>representatives</w:t>
      </w:r>
      <w:r w:rsidR="0078694F" w:rsidRPr="00954547">
        <w:rPr>
          <w:color w:val="auto"/>
          <w:lang w:val="en-US"/>
        </w:rPr>
        <w:t xml:space="preserve"> and </w:t>
      </w:r>
      <w:r w:rsidR="00E76B1A" w:rsidRPr="00954547">
        <w:rPr>
          <w:color w:val="auto"/>
          <w:lang w:val="en-US"/>
        </w:rPr>
        <w:t>the Commission</w:t>
      </w:r>
      <w:r w:rsidR="00433F11" w:rsidRPr="00954547">
        <w:rPr>
          <w:color w:val="auto"/>
          <w:lang w:val="en-US"/>
        </w:rPr>
        <w:t xml:space="preserve">, </w:t>
      </w:r>
      <w:r w:rsidRPr="00954547">
        <w:rPr>
          <w:color w:val="auto"/>
          <w:lang w:val="en-US"/>
        </w:rPr>
        <w:t>respectively, forwarded their final written arguments and observations with annexes.</w:t>
      </w:r>
    </w:p>
    <w:p w14:paraId="504C3921" w14:textId="4EAA89DB" w:rsidR="00433F11" w:rsidRPr="00954547" w:rsidRDefault="00B8393C" w:rsidP="000365EC">
      <w:pPr>
        <w:pStyle w:val="Numberedparagraphs"/>
        <w:numPr>
          <w:ilvl w:val="0"/>
          <w:numId w:val="13"/>
        </w:numPr>
        <w:tabs>
          <w:tab w:val="clear" w:pos="720"/>
          <w:tab w:val="left" w:pos="567"/>
        </w:tabs>
        <w:rPr>
          <w:color w:val="auto"/>
          <w:lang w:val="en-US"/>
        </w:rPr>
      </w:pPr>
      <w:r w:rsidRPr="00954547">
        <w:rPr>
          <w:i/>
          <w:iCs/>
          <w:color w:val="auto"/>
          <w:lang w:val="en-US"/>
        </w:rPr>
        <w:t>Observations</w:t>
      </w:r>
      <w:r w:rsidR="00433F11" w:rsidRPr="00954547">
        <w:rPr>
          <w:i/>
          <w:iCs/>
          <w:color w:val="auto"/>
          <w:lang w:val="en-US"/>
        </w:rPr>
        <w:t xml:space="preserve"> </w:t>
      </w:r>
      <w:r w:rsidR="00D837F9" w:rsidRPr="00954547">
        <w:rPr>
          <w:i/>
          <w:iCs/>
          <w:color w:val="auto"/>
          <w:lang w:val="en-US"/>
        </w:rPr>
        <w:t>on the annexes to the final written</w:t>
      </w:r>
      <w:r w:rsidR="00433F11" w:rsidRPr="00954547">
        <w:rPr>
          <w:i/>
          <w:iCs/>
          <w:color w:val="auto"/>
          <w:lang w:val="en-US"/>
        </w:rPr>
        <w:t xml:space="preserve"> </w:t>
      </w:r>
      <w:r w:rsidRPr="00954547">
        <w:rPr>
          <w:i/>
          <w:iCs/>
          <w:color w:val="auto"/>
          <w:lang w:val="en-US"/>
        </w:rPr>
        <w:t>arguments</w:t>
      </w:r>
      <w:r w:rsidR="00433F11" w:rsidRPr="00954547">
        <w:rPr>
          <w:i/>
          <w:iCs/>
          <w:color w:val="auto"/>
          <w:lang w:val="en-US"/>
        </w:rPr>
        <w:t xml:space="preserve">. </w:t>
      </w:r>
      <w:r w:rsidR="00D837F9" w:rsidRPr="00954547">
        <w:rPr>
          <w:color w:val="auto"/>
          <w:lang w:val="en-US"/>
        </w:rPr>
        <w:t>On March 14,</w:t>
      </w:r>
      <w:r w:rsidR="00433F11" w:rsidRPr="00954547">
        <w:rPr>
          <w:color w:val="auto"/>
          <w:lang w:val="en-US"/>
        </w:rPr>
        <w:t xml:space="preserve"> 2021</w:t>
      </w:r>
      <w:r w:rsidR="00D837F9" w:rsidRPr="00954547">
        <w:rPr>
          <w:color w:val="auto"/>
          <w:lang w:val="en-US"/>
        </w:rPr>
        <w:t>,</w:t>
      </w:r>
      <w:r w:rsidR="00433F11" w:rsidRPr="00954547">
        <w:rPr>
          <w:color w:val="auto"/>
          <w:lang w:val="en-US"/>
        </w:rPr>
        <w:t xml:space="preserve"> </w:t>
      </w:r>
      <w:r w:rsidRPr="00954547">
        <w:rPr>
          <w:color w:val="auto"/>
          <w:lang w:val="en-US"/>
        </w:rPr>
        <w:t xml:space="preserve">the </w:t>
      </w:r>
      <w:r w:rsidR="006E0D5E" w:rsidRPr="00954547">
        <w:rPr>
          <w:color w:val="auto"/>
          <w:lang w:val="en-US"/>
        </w:rPr>
        <w:t>representatives</w:t>
      </w:r>
      <w:r w:rsidR="00433F11" w:rsidRPr="00954547">
        <w:rPr>
          <w:color w:val="auto"/>
          <w:lang w:val="en-US"/>
        </w:rPr>
        <w:t xml:space="preserve"> present</w:t>
      </w:r>
      <w:r w:rsidR="00D837F9" w:rsidRPr="00954547">
        <w:rPr>
          <w:color w:val="auto"/>
          <w:lang w:val="en-US"/>
        </w:rPr>
        <w:t xml:space="preserve">ed their </w:t>
      </w:r>
      <w:r w:rsidRPr="00954547">
        <w:rPr>
          <w:color w:val="auto"/>
          <w:lang w:val="en-US"/>
        </w:rPr>
        <w:t>observations</w:t>
      </w:r>
      <w:r w:rsidR="00433F11" w:rsidRPr="00954547">
        <w:rPr>
          <w:color w:val="auto"/>
          <w:lang w:val="en-US"/>
        </w:rPr>
        <w:t xml:space="preserve"> </w:t>
      </w:r>
      <w:r w:rsidR="00D837F9" w:rsidRPr="00954547">
        <w:rPr>
          <w:color w:val="auto"/>
          <w:lang w:val="en-US"/>
        </w:rPr>
        <w:t xml:space="preserve">on the annexes sent by </w:t>
      </w:r>
      <w:r w:rsidRPr="00954547">
        <w:rPr>
          <w:color w:val="auto"/>
          <w:lang w:val="en-US"/>
        </w:rPr>
        <w:t>the State</w:t>
      </w:r>
      <w:r w:rsidR="00433F11" w:rsidRPr="00954547">
        <w:rPr>
          <w:color w:val="auto"/>
          <w:lang w:val="en-US"/>
        </w:rPr>
        <w:t xml:space="preserve"> </w:t>
      </w:r>
      <w:r w:rsidR="00D837F9" w:rsidRPr="00954547">
        <w:rPr>
          <w:color w:val="auto"/>
          <w:lang w:val="en-US"/>
        </w:rPr>
        <w:t>with its final written</w:t>
      </w:r>
      <w:r w:rsidR="00433F11" w:rsidRPr="00954547">
        <w:rPr>
          <w:color w:val="auto"/>
          <w:lang w:val="en-US"/>
        </w:rPr>
        <w:t xml:space="preserve"> </w:t>
      </w:r>
      <w:r w:rsidRPr="00954547">
        <w:rPr>
          <w:color w:val="auto"/>
          <w:lang w:val="en-US"/>
        </w:rPr>
        <w:t>arguments</w:t>
      </w:r>
      <w:r w:rsidR="00433F11" w:rsidRPr="00954547">
        <w:rPr>
          <w:color w:val="auto"/>
          <w:lang w:val="en-US"/>
        </w:rPr>
        <w:t xml:space="preserve">. </w:t>
      </w:r>
    </w:p>
    <w:p w14:paraId="17388AB8" w14:textId="3F546058" w:rsidR="00433F11" w:rsidRPr="00954547" w:rsidRDefault="00D837F9" w:rsidP="000365EC">
      <w:pPr>
        <w:pStyle w:val="Numberedparagraphs"/>
        <w:numPr>
          <w:ilvl w:val="0"/>
          <w:numId w:val="13"/>
        </w:numPr>
        <w:tabs>
          <w:tab w:val="clear" w:pos="720"/>
          <w:tab w:val="left" w:pos="567"/>
        </w:tabs>
        <w:rPr>
          <w:color w:val="auto"/>
          <w:lang w:val="en-US"/>
        </w:rPr>
      </w:pPr>
      <w:r w:rsidRPr="00954547">
        <w:rPr>
          <w:i/>
          <w:iCs/>
          <w:color w:val="auto"/>
          <w:lang w:val="en-US"/>
        </w:rPr>
        <w:t>Helpful evidence and information.</w:t>
      </w:r>
      <w:r w:rsidR="00433F11" w:rsidRPr="00954547">
        <w:rPr>
          <w:color w:val="auto"/>
          <w:lang w:val="en-US"/>
        </w:rPr>
        <w:t xml:space="preserve"> </w:t>
      </w:r>
      <w:r w:rsidRPr="00954547">
        <w:rPr>
          <w:color w:val="auto"/>
          <w:lang w:val="en-US"/>
        </w:rPr>
        <w:t>On March 12</w:t>
      </w:r>
      <w:r w:rsidR="0078694F" w:rsidRPr="00954547">
        <w:rPr>
          <w:color w:val="auto"/>
          <w:lang w:val="en-US"/>
        </w:rPr>
        <w:t xml:space="preserve"> and </w:t>
      </w:r>
      <w:r w:rsidRPr="00954547">
        <w:rPr>
          <w:color w:val="auto"/>
          <w:lang w:val="en-US"/>
        </w:rPr>
        <w:t>September</w:t>
      </w:r>
      <w:r w:rsidR="00B05FDF" w:rsidRPr="00954547">
        <w:rPr>
          <w:color w:val="auto"/>
          <w:lang w:val="en-US"/>
        </w:rPr>
        <w:t xml:space="preserve"> 14</w:t>
      </w:r>
      <w:r w:rsidRPr="00954547">
        <w:rPr>
          <w:color w:val="auto"/>
          <w:lang w:val="en-US"/>
        </w:rPr>
        <w:t xml:space="preserve">, </w:t>
      </w:r>
      <w:r w:rsidR="00B05FDF" w:rsidRPr="00954547">
        <w:rPr>
          <w:color w:val="auto"/>
          <w:lang w:val="en-US"/>
        </w:rPr>
        <w:t>2021</w:t>
      </w:r>
      <w:r w:rsidRPr="00954547">
        <w:rPr>
          <w:color w:val="auto"/>
          <w:lang w:val="en-US"/>
        </w:rPr>
        <w:t>,</w:t>
      </w:r>
      <w:r w:rsidR="00B05FDF" w:rsidRPr="00954547">
        <w:rPr>
          <w:color w:val="auto"/>
          <w:lang w:val="en-US"/>
        </w:rPr>
        <w:t xml:space="preserve"> </w:t>
      </w:r>
      <w:r w:rsidR="00A42A4C" w:rsidRPr="00954547">
        <w:rPr>
          <w:color w:val="auto"/>
          <w:lang w:val="en-US"/>
        </w:rPr>
        <w:t>the President</w:t>
      </w:r>
      <w:r w:rsidR="00607E12" w:rsidRPr="00954547">
        <w:rPr>
          <w:color w:val="auto"/>
          <w:lang w:val="en-US"/>
        </w:rPr>
        <w:t xml:space="preserve"> of the </w:t>
      </w:r>
      <w:r w:rsidR="00E76B1A" w:rsidRPr="00954547">
        <w:rPr>
          <w:color w:val="auto"/>
          <w:lang w:val="en-US"/>
        </w:rPr>
        <w:t>Court</w:t>
      </w:r>
      <w:r w:rsidR="00B05FDF" w:rsidRPr="00954547">
        <w:rPr>
          <w:color w:val="auto"/>
          <w:lang w:val="en-US"/>
        </w:rPr>
        <w:t xml:space="preserve"> </w:t>
      </w:r>
      <w:r w:rsidRPr="00954547">
        <w:rPr>
          <w:color w:val="auto"/>
          <w:lang w:val="en-US"/>
        </w:rPr>
        <w:t>asked</w:t>
      </w:r>
      <w:r w:rsidR="00A94F95" w:rsidRPr="00954547">
        <w:rPr>
          <w:color w:val="auto"/>
          <w:lang w:val="en-US"/>
        </w:rPr>
        <w:t xml:space="preserve"> the State</w:t>
      </w:r>
      <w:r w:rsidR="0078694F" w:rsidRPr="00954547">
        <w:rPr>
          <w:color w:val="auto"/>
          <w:lang w:val="en-US"/>
        </w:rPr>
        <w:t xml:space="preserve"> and</w:t>
      </w:r>
      <w:r w:rsidR="00B05FDF" w:rsidRPr="00954547">
        <w:rPr>
          <w:color w:val="auto"/>
          <w:lang w:val="en-US"/>
        </w:rPr>
        <w:t xml:space="preserve"> </w:t>
      </w:r>
      <w:r w:rsidR="00B8393C" w:rsidRPr="00954547">
        <w:rPr>
          <w:color w:val="auto"/>
          <w:lang w:val="en-US"/>
        </w:rPr>
        <w:t xml:space="preserve">the </w:t>
      </w:r>
      <w:r w:rsidR="006E0D5E" w:rsidRPr="00954547">
        <w:rPr>
          <w:color w:val="auto"/>
          <w:lang w:val="en-US"/>
        </w:rPr>
        <w:t>representatives</w:t>
      </w:r>
      <w:r w:rsidR="00B05FDF" w:rsidRPr="00954547">
        <w:rPr>
          <w:color w:val="auto"/>
          <w:lang w:val="en-US"/>
        </w:rPr>
        <w:t xml:space="preserve"> </w:t>
      </w:r>
      <w:r w:rsidRPr="00954547">
        <w:rPr>
          <w:color w:val="auto"/>
          <w:lang w:val="en-US"/>
        </w:rPr>
        <w:t>to submit helpful documentation</w:t>
      </w:r>
      <w:r w:rsidR="00B05FDF" w:rsidRPr="00954547">
        <w:rPr>
          <w:color w:val="auto"/>
          <w:lang w:val="en-US"/>
        </w:rPr>
        <w:t xml:space="preserve">. </w:t>
      </w:r>
      <w:r w:rsidRPr="00954547">
        <w:rPr>
          <w:color w:val="auto"/>
          <w:lang w:val="en-US"/>
        </w:rPr>
        <w:t xml:space="preserve">This information was forwarded on April 12 and September 27, </w:t>
      </w:r>
      <w:r w:rsidR="00B05FDF" w:rsidRPr="00954547">
        <w:rPr>
          <w:color w:val="auto"/>
          <w:lang w:val="en-US"/>
        </w:rPr>
        <w:t>2021, respectiv</w:t>
      </w:r>
      <w:r w:rsidRPr="00954547">
        <w:rPr>
          <w:color w:val="auto"/>
          <w:lang w:val="en-US"/>
        </w:rPr>
        <w:t>ely.</w:t>
      </w:r>
      <w:r w:rsidR="00B05FDF" w:rsidRPr="00954547">
        <w:rPr>
          <w:color w:val="auto"/>
          <w:lang w:val="en-US"/>
        </w:rPr>
        <w:t xml:space="preserve"> </w:t>
      </w:r>
    </w:p>
    <w:p w14:paraId="6F2E859D" w14:textId="080EB207" w:rsidR="00433F11" w:rsidRPr="00954547" w:rsidRDefault="00433F11" w:rsidP="000365EC">
      <w:pPr>
        <w:pStyle w:val="Numberedparagraphs"/>
        <w:numPr>
          <w:ilvl w:val="0"/>
          <w:numId w:val="13"/>
        </w:numPr>
        <w:tabs>
          <w:tab w:val="clear" w:pos="720"/>
          <w:tab w:val="left" w:pos="567"/>
        </w:tabs>
        <w:rPr>
          <w:color w:val="auto"/>
          <w:lang w:val="en-US"/>
        </w:rPr>
      </w:pPr>
      <w:r w:rsidRPr="00954547">
        <w:rPr>
          <w:i/>
          <w:iCs/>
          <w:color w:val="auto"/>
          <w:lang w:val="en-US"/>
        </w:rPr>
        <w:t>Delibera</w:t>
      </w:r>
      <w:r w:rsidR="00D837F9" w:rsidRPr="00954547">
        <w:rPr>
          <w:i/>
          <w:iCs/>
          <w:color w:val="auto"/>
          <w:lang w:val="en-US"/>
        </w:rPr>
        <w:t>tion of th</w:t>
      </w:r>
      <w:r w:rsidR="00C951CD" w:rsidRPr="00954547">
        <w:rPr>
          <w:i/>
          <w:iCs/>
          <w:color w:val="auto"/>
          <w:lang w:val="en-US"/>
        </w:rPr>
        <w:t>e</w:t>
      </w:r>
      <w:r w:rsidR="00D837F9" w:rsidRPr="00954547">
        <w:rPr>
          <w:i/>
          <w:iCs/>
          <w:color w:val="auto"/>
          <w:lang w:val="en-US"/>
        </w:rPr>
        <w:t xml:space="preserve"> case. </w:t>
      </w:r>
      <w:r w:rsidR="00E76B1A" w:rsidRPr="00954547">
        <w:rPr>
          <w:color w:val="auto"/>
          <w:lang w:val="en-US"/>
        </w:rPr>
        <w:t>The Court</w:t>
      </w:r>
      <w:r w:rsidRPr="00954547">
        <w:rPr>
          <w:color w:val="auto"/>
          <w:lang w:val="en-US"/>
        </w:rPr>
        <w:t xml:space="preserve"> </w:t>
      </w:r>
      <w:r w:rsidR="00D837F9" w:rsidRPr="00954547">
        <w:rPr>
          <w:color w:val="auto"/>
          <w:lang w:val="en-US"/>
        </w:rPr>
        <w:t xml:space="preserve">began deliberating on </w:t>
      </w:r>
      <w:r w:rsidR="004B6621" w:rsidRPr="00954547">
        <w:rPr>
          <w:color w:val="auto"/>
          <w:lang w:val="en-US"/>
        </w:rPr>
        <w:t>this judgment</w:t>
      </w:r>
      <w:r w:rsidRPr="00954547">
        <w:rPr>
          <w:color w:val="auto"/>
          <w:lang w:val="en-US"/>
        </w:rPr>
        <w:t xml:space="preserve"> </w:t>
      </w:r>
      <w:r w:rsidR="00041C12" w:rsidRPr="00954547">
        <w:rPr>
          <w:color w:val="auto"/>
          <w:lang w:val="en-US"/>
        </w:rPr>
        <w:t>in a virtual session on October 12,</w:t>
      </w:r>
      <w:r w:rsidRPr="00954547">
        <w:rPr>
          <w:color w:val="auto"/>
          <w:lang w:val="en-US"/>
        </w:rPr>
        <w:t xml:space="preserve"> 2021</w:t>
      </w:r>
      <w:r w:rsidR="00041C12" w:rsidRPr="00954547">
        <w:rPr>
          <w:color w:val="auto"/>
          <w:lang w:val="en-US"/>
        </w:rPr>
        <w:t>.</w:t>
      </w:r>
      <w:r w:rsidRPr="00954547">
        <w:rPr>
          <w:rStyle w:val="FootnoteReference"/>
          <w:color w:val="auto"/>
          <w:lang w:val="en-US"/>
        </w:rPr>
        <w:footnoteReference w:id="67"/>
      </w:r>
    </w:p>
    <w:p w14:paraId="66C8D0E4" w14:textId="501E046C" w:rsidR="00433F11" w:rsidRPr="00954547" w:rsidRDefault="00433F11" w:rsidP="00386B24">
      <w:pPr>
        <w:pStyle w:val="Heading1"/>
        <w:tabs>
          <w:tab w:val="left" w:pos="567"/>
        </w:tabs>
      </w:pPr>
      <w:bookmarkStart w:id="9" w:name="_Toc74298431"/>
      <w:bookmarkStart w:id="10" w:name="_Toc106353880"/>
      <w:r w:rsidRPr="00954547">
        <w:t>III</w:t>
      </w:r>
      <w:r w:rsidRPr="00954547">
        <w:br/>
      </w:r>
      <w:r w:rsidR="00041C12" w:rsidRPr="00954547">
        <w:t>JURISDICTION</w:t>
      </w:r>
      <w:bookmarkEnd w:id="9"/>
      <w:bookmarkEnd w:id="10"/>
    </w:p>
    <w:p w14:paraId="20BCB45B" w14:textId="7830E73B" w:rsidR="00433F11" w:rsidRPr="00954547" w:rsidRDefault="00E76B1A" w:rsidP="000365EC">
      <w:pPr>
        <w:pStyle w:val="Numberedparagraphs"/>
        <w:numPr>
          <w:ilvl w:val="0"/>
          <w:numId w:val="13"/>
        </w:numPr>
        <w:tabs>
          <w:tab w:val="clear" w:pos="720"/>
          <w:tab w:val="left" w:pos="567"/>
        </w:tabs>
        <w:rPr>
          <w:color w:val="auto"/>
          <w:lang w:val="en-US"/>
        </w:rPr>
      </w:pPr>
      <w:r w:rsidRPr="00954547">
        <w:rPr>
          <w:color w:val="auto"/>
          <w:lang w:val="en-US"/>
        </w:rPr>
        <w:t>The Court</w:t>
      </w:r>
      <w:r w:rsidR="00433F11" w:rsidRPr="00954547">
        <w:rPr>
          <w:color w:val="auto"/>
          <w:lang w:val="en-US"/>
        </w:rPr>
        <w:t xml:space="preserve"> </w:t>
      </w:r>
      <w:r w:rsidR="00041C12" w:rsidRPr="00954547">
        <w:rPr>
          <w:color w:val="auto"/>
          <w:lang w:val="en-US"/>
        </w:rPr>
        <w:t>has jurisdiction to hear this case, pursuant to Article</w:t>
      </w:r>
      <w:r w:rsidR="00433F11" w:rsidRPr="00954547">
        <w:rPr>
          <w:color w:val="auto"/>
          <w:lang w:val="en-US"/>
        </w:rPr>
        <w:t xml:space="preserve"> 62</w:t>
      </w:r>
      <w:r w:rsidR="00041C12" w:rsidRPr="00954547">
        <w:rPr>
          <w:color w:val="auto"/>
          <w:lang w:val="en-US"/>
        </w:rPr>
        <w:t>(</w:t>
      </w:r>
      <w:r w:rsidR="00433F11" w:rsidRPr="00954547">
        <w:rPr>
          <w:color w:val="auto"/>
          <w:lang w:val="en-US"/>
        </w:rPr>
        <w:t>3</w:t>
      </w:r>
      <w:r w:rsidR="00041C12" w:rsidRPr="00954547">
        <w:rPr>
          <w:color w:val="auto"/>
          <w:lang w:val="en-US"/>
        </w:rPr>
        <w:t>)</w:t>
      </w:r>
      <w:r w:rsidR="00433F11" w:rsidRPr="00954547">
        <w:rPr>
          <w:color w:val="auto"/>
          <w:lang w:val="en-US"/>
        </w:rPr>
        <w:t xml:space="preserve"> </w:t>
      </w:r>
      <w:r w:rsidR="005E0FD1" w:rsidRPr="00954547">
        <w:rPr>
          <w:color w:val="auto"/>
          <w:lang w:val="en-US"/>
        </w:rPr>
        <w:t>of the Convention</w:t>
      </w:r>
      <w:r w:rsidR="00433F11" w:rsidRPr="00954547">
        <w:rPr>
          <w:color w:val="auto"/>
          <w:lang w:val="en-US"/>
        </w:rPr>
        <w:t xml:space="preserve">, </w:t>
      </w:r>
      <w:r w:rsidR="00041C12" w:rsidRPr="00954547">
        <w:rPr>
          <w:color w:val="auto"/>
          <w:lang w:val="en-US"/>
        </w:rPr>
        <w:t>because</w:t>
      </w:r>
      <w:r w:rsidR="00433F11" w:rsidRPr="00954547">
        <w:rPr>
          <w:color w:val="auto"/>
          <w:lang w:val="en-US"/>
        </w:rPr>
        <w:t xml:space="preserve"> El Salvador </w:t>
      </w:r>
      <w:r w:rsidR="00041C12" w:rsidRPr="00954547">
        <w:rPr>
          <w:color w:val="auto"/>
          <w:lang w:val="en-US"/>
        </w:rPr>
        <w:t xml:space="preserve">has been a State Party to this instrument since June 23, 1978, and accepted the contentious jurisdiction </w:t>
      </w:r>
      <w:r w:rsidR="00607E12" w:rsidRPr="00954547">
        <w:rPr>
          <w:color w:val="auto"/>
          <w:lang w:val="en-US"/>
        </w:rPr>
        <w:t xml:space="preserve">of the </w:t>
      </w:r>
      <w:bookmarkStart w:id="11" w:name="_Toc74298432"/>
      <w:r w:rsidRPr="00954547">
        <w:rPr>
          <w:color w:val="auto"/>
          <w:lang w:val="en-US"/>
        </w:rPr>
        <w:t>Court</w:t>
      </w:r>
      <w:r w:rsidR="00433F11" w:rsidRPr="00954547">
        <w:rPr>
          <w:color w:val="auto"/>
          <w:lang w:val="en-US"/>
        </w:rPr>
        <w:t xml:space="preserve"> </w:t>
      </w:r>
      <w:r w:rsidR="00041C12" w:rsidRPr="00954547">
        <w:rPr>
          <w:color w:val="auto"/>
          <w:lang w:val="en-US"/>
        </w:rPr>
        <w:t>on June 6,</w:t>
      </w:r>
      <w:r w:rsidR="00433F11" w:rsidRPr="00954547">
        <w:rPr>
          <w:color w:val="auto"/>
          <w:lang w:val="en-US"/>
        </w:rPr>
        <w:t xml:space="preserve"> 1995.</w:t>
      </w:r>
      <w:r w:rsidR="009118CA" w:rsidRPr="00954547">
        <w:rPr>
          <w:color w:val="auto"/>
          <w:lang w:val="en-US"/>
        </w:rPr>
        <w:t xml:space="preserve"> </w:t>
      </w:r>
      <w:r w:rsidR="00041C12" w:rsidRPr="00954547">
        <w:rPr>
          <w:lang w:val="en-US"/>
        </w:rPr>
        <w:t>In addition</w:t>
      </w:r>
      <w:r w:rsidR="009118CA" w:rsidRPr="00954547">
        <w:rPr>
          <w:lang w:val="en-US"/>
        </w:rPr>
        <w:t xml:space="preserve">, </w:t>
      </w:r>
      <w:r w:rsidR="00B8393C" w:rsidRPr="00954547">
        <w:rPr>
          <w:lang w:val="en-US"/>
        </w:rPr>
        <w:t>the State</w:t>
      </w:r>
      <w:r w:rsidR="009118CA" w:rsidRPr="00954547">
        <w:rPr>
          <w:lang w:val="en-US"/>
        </w:rPr>
        <w:t xml:space="preserve"> deposit</w:t>
      </w:r>
      <w:r w:rsidR="00041C12" w:rsidRPr="00954547">
        <w:rPr>
          <w:lang w:val="en-US"/>
        </w:rPr>
        <w:t xml:space="preserve">ed its instrument ratifying </w:t>
      </w:r>
      <w:r w:rsidR="005E0FD1" w:rsidRPr="00954547">
        <w:rPr>
          <w:lang w:val="en-US"/>
        </w:rPr>
        <w:t xml:space="preserve">the </w:t>
      </w:r>
      <w:r w:rsidR="00041C12" w:rsidRPr="00954547">
        <w:rPr>
          <w:lang w:val="en-US"/>
        </w:rPr>
        <w:t>Inter-American Convention for the Prevention, Punishment and Eradication of Violence against Women</w:t>
      </w:r>
      <w:r w:rsidR="00B05FDF" w:rsidRPr="00954547">
        <w:rPr>
          <w:lang w:val="en-US"/>
        </w:rPr>
        <w:t xml:space="preserve"> “Conven</w:t>
      </w:r>
      <w:r w:rsidR="00B91E14" w:rsidRPr="00954547">
        <w:rPr>
          <w:lang w:val="en-US"/>
        </w:rPr>
        <w:t>tion of</w:t>
      </w:r>
      <w:r w:rsidR="00B05FDF" w:rsidRPr="00954547">
        <w:rPr>
          <w:lang w:val="en-US"/>
        </w:rPr>
        <w:t xml:space="preserve"> Belé</w:t>
      </w:r>
      <w:r w:rsidR="009118CA" w:rsidRPr="00954547">
        <w:rPr>
          <w:lang w:val="en-US"/>
        </w:rPr>
        <w:t>m do Par</w:t>
      </w:r>
      <w:r w:rsidR="00B05FDF" w:rsidRPr="00954547">
        <w:rPr>
          <w:lang w:val="en-US"/>
        </w:rPr>
        <w:t>á</w:t>
      </w:r>
      <w:r w:rsidR="009118CA" w:rsidRPr="00954547">
        <w:rPr>
          <w:lang w:val="en-US"/>
        </w:rPr>
        <w:t xml:space="preserve">” </w:t>
      </w:r>
      <w:r w:rsidR="00B91E14" w:rsidRPr="00954547">
        <w:rPr>
          <w:lang w:val="en-US"/>
        </w:rPr>
        <w:t>on January</w:t>
      </w:r>
      <w:r w:rsidR="009118CA" w:rsidRPr="00954547">
        <w:rPr>
          <w:lang w:val="en-US"/>
        </w:rPr>
        <w:t xml:space="preserve"> 26</w:t>
      </w:r>
      <w:r w:rsidR="00B91E14" w:rsidRPr="00954547">
        <w:rPr>
          <w:lang w:val="en-US"/>
        </w:rPr>
        <w:t xml:space="preserve">, </w:t>
      </w:r>
      <w:r w:rsidR="009118CA" w:rsidRPr="00954547">
        <w:rPr>
          <w:lang w:val="en-US"/>
        </w:rPr>
        <w:t>1996</w:t>
      </w:r>
      <w:r w:rsidR="00577F57" w:rsidRPr="00954547">
        <w:rPr>
          <w:lang w:val="en-US"/>
        </w:rPr>
        <w:t>.</w:t>
      </w:r>
    </w:p>
    <w:p w14:paraId="5A383AA4" w14:textId="33E73432" w:rsidR="0064114B" w:rsidRPr="00954547" w:rsidRDefault="009118CA" w:rsidP="00386B24">
      <w:pPr>
        <w:pStyle w:val="Heading1"/>
        <w:tabs>
          <w:tab w:val="left" w:pos="567"/>
        </w:tabs>
      </w:pPr>
      <w:bookmarkStart w:id="12" w:name="_Toc106353881"/>
      <w:bookmarkEnd w:id="11"/>
      <w:r w:rsidRPr="00954547">
        <w:t>I</w:t>
      </w:r>
      <w:r w:rsidR="00CF5A9D" w:rsidRPr="00954547">
        <w:t>V</w:t>
      </w:r>
      <w:r w:rsidR="0031387C" w:rsidRPr="00954547">
        <w:br/>
      </w:r>
      <w:r w:rsidR="00A70DC4" w:rsidRPr="00954547">
        <w:t>PRELIMINARY OBJECTIONS</w:t>
      </w:r>
      <w:bookmarkEnd w:id="12"/>
    </w:p>
    <w:p w14:paraId="29FE55DA" w14:textId="4664695F" w:rsidR="004736EA" w:rsidRPr="00954547" w:rsidRDefault="00B8393C" w:rsidP="003A0C7A">
      <w:pPr>
        <w:pStyle w:val="Numberedparagraphs"/>
        <w:tabs>
          <w:tab w:val="left" w:pos="567"/>
        </w:tabs>
        <w:rPr>
          <w:lang w:val="en-US"/>
        </w:rPr>
      </w:pPr>
      <w:r w:rsidRPr="00954547">
        <w:rPr>
          <w:lang w:val="en-US"/>
        </w:rPr>
        <w:t>The State</w:t>
      </w:r>
      <w:r w:rsidR="0064114B" w:rsidRPr="00954547">
        <w:rPr>
          <w:b/>
          <w:i/>
          <w:lang w:val="en-US"/>
        </w:rPr>
        <w:t xml:space="preserve"> </w:t>
      </w:r>
      <w:r w:rsidR="00231D4E" w:rsidRPr="00954547">
        <w:rPr>
          <w:lang w:val="en-US"/>
        </w:rPr>
        <w:t>filed three</w:t>
      </w:r>
      <w:r w:rsidR="004736EA" w:rsidRPr="00954547">
        <w:rPr>
          <w:lang w:val="en-US"/>
        </w:rPr>
        <w:t xml:space="preserve"> </w:t>
      </w:r>
      <w:r w:rsidR="00A70DC4" w:rsidRPr="00954547">
        <w:rPr>
          <w:lang w:val="en-US"/>
        </w:rPr>
        <w:t>preliminary objections</w:t>
      </w:r>
      <w:r w:rsidR="00231D4E" w:rsidRPr="00954547">
        <w:rPr>
          <w:lang w:val="en-US"/>
        </w:rPr>
        <w:t>.</w:t>
      </w:r>
      <w:r w:rsidR="004736EA" w:rsidRPr="00954547">
        <w:rPr>
          <w:rStyle w:val="FootnoteReference"/>
          <w:rFonts w:cs="Times New Roman"/>
          <w:lang w:val="en-US"/>
        </w:rPr>
        <w:footnoteReference w:id="68"/>
      </w:r>
      <w:r w:rsidR="00231D4E" w:rsidRPr="00954547">
        <w:rPr>
          <w:lang w:val="en-US"/>
        </w:rPr>
        <w:t xml:space="preserve"> One of them concerned the factual framework of the case. Since this is unrelated to the Court’s jurisdiction and the requirements for the admissibility of the case, it does not constitute a </w:t>
      </w:r>
      <w:r w:rsidR="00A70DC4" w:rsidRPr="00954547">
        <w:rPr>
          <w:lang w:val="en-US"/>
        </w:rPr>
        <w:t>preliminary objection</w:t>
      </w:r>
      <w:r w:rsidR="00231D4E" w:rsidRPr="00954547">
        <w:rPr>
          <w:lang w:val="en-US"/>
        </w:rPr>
        <w:t>.</w:t>
      </w:r>
      <w:r w:rsidR="004736EA" w:rsidRPr="00954547">
        <w:rPr>
          <w:rStyle w:val="FootnoteReference"/>
          <w:lang w:val="en-US"/>
        </w:rPr>
        <w:footnoteReference w:id="69"/>
      </w:r>
      <w:r w:rsidR="00231D4E" w:rsidRPr="00954547">
        <w:rPr>
          <w:lang w:val="en-US"/>
        </w:rPr>
        <w:t xml:space="preserve"> Therefore, it will be analyzed as a preliminary consideration</w:t>
      </w:r>
      <w:r w:rsidR="004736EA" w:rsidRPr="00954547">
        <w:rPr>
          <w:lang w:val="en-US"/>
        </w:rPr>
        <w:t xml:space="preserve"> </w:t>
      </w:r>
      <w:r w:rsidR="003A0C7A" w:rsidRPr="00954547">
        <w:rPr>
          <w:lang w:val="en-US"/>
        </w:rPr>
        <w:t>(</w:t>
      </w:r>
      <w:r w:rsidR="004736EA" w:rsidRPr="00954547">
        <w:rPr>
          <w:i/>
          <w:lang w:val="en-US"/>
        </w:rPr>
        <w:t xml:space="preserve">infra </w:t>
      </w:r>
      <w:r w:rsidR="00B10E5A" w:rsidRPr="00954547">
        <w:rPr>
          <w:lang w:val="en-US"/>
        </w:rPr>
        <w:t>paras.</w:t>
      </w:r>
      <w:r w:rsidR="004736EA" w:rsidRPr="00954547">
        <w:rPr>
          <w:lang w:val="en-US"/>
        </w:rPr>
        <w:t xml:space="preserve"> </w:t>
      </w:r>
      <w:r w:rsidR="00EF6921" w:rsidRPr="00954547">
        <w:rPr>
          <w:lang w:val="en-US"/>
        </w:rPr>
        <w:fldChar w:fldCharType="begin"/>
      </w:r>
      <w:r w:rsidR="00EF6921" w:rsidRPr="00954547">
        <w:rPr>
          <w:lang w:val="en-US"/>
        </w:rPr>
        <w:instrText xml:space="preserve"> REF _Ref87963539 \r \h </w:instrText>
      </w:r>
      <w:r w:rsidR="00793F65" w:rsidRPr="00954547">
        <w:rPr>
          <w:lang w:val="en-US"/>
        </w:rPr>
        <w:instrText xml:space="preserve"> \* MERGEFORMAT </w:instrText>
      </w:r>
      <w:r w:rsidR="00EF6921" w:rsidRPr="00954547">
        <w:rPr>
          <w:lang w:val="en-US"/>
        </w:rPr>
      </w:r>
      <w:r w:rsidR="00EF6921" w:rsidRPr="00954547">
        <w:rPr>
          <w:lang w:val="en-US"/>
        </w:rPr>
        <w:fldChar w:fldCharType="separate"/>
      </w:r>
      <w:r w:rsidR="000E4488" w:rsidRPr="00954547">
        <w:rPr>
          <w:lang w:val="en-US"/>
        </w:rPr>
        <w:t>27</w:t>
      </w:r>
      <w:r w:rsidR="00EF6921" w:rsidRPr="00954547">
        <w:rPr>
          <w:lang w:val="en-US"/>
        </w:rPr>
        <w:fldChar w:fldCharType="end"/>
      </w:r>
      <w:r w:rsidR="00EF6921" w:rsidRPr="00954547">
        <w:rPr>
          <w:lang w:val="en-US"/>
        </w:rPr>
        <w:t xml:space="preserve"> </w:t>
      </w:r>
      <w:r w:rsidR="003A0C7A" w:rsidRPr="00954547">
        <w:rPr>
          <w:lang w:val="en-US"/>
        </w:rPr>
        <w:t>to</w:t>
      </w:r>
      <w:r w:rsidR="00EF6921" w:rsidRPr="00954547">
        <w:rPr>
          <w:lang w:val="en-US"/>
        </w:rPr>
        <w:t xml:space="preserve"> </w:t>
      </w:r>
      <w:r w:rsidR="00EF6921" w:rsidRPr="00954547">
        <w:rPr>
          <w:lang w:val="en-US"/>
        </w:rPr>
        <w:fldChar w:fldCharType="begin"/>
      </w:r>
      <w:r w:rsidR="00EF6921" w:rsidRPr="00954547">
        <w:rPr>
          <w:lang w:val="en-US"/>
        </w:rPr>
        <w:instrText xml:space="preserve"> REF _Ref87963543 \r \h </w:instrText>
      </w:r>
      <w:r w:rsidR="00793F65" w:rsidRPr="00954547">
        <w:rPr>
          <w:lang w:val="en-US"/>
        </w:rPr>
        <w:instrText xml:space="preserve"> \* MERGEFORMAT </w:instrText>
      </w:r>
      <w:r w:rsidR="00EF6921" w:rsidRPr="00954547">
        <w:rPr>
          <w:lang w:val="en-US"/>
        </w:rPr>
      </w:r>
      <w:r w:rsidR="00EF6921" w:rsidRPr="00954547">
        <w:rPr>
          <w:lang w:val="en-US"/>
        </w:rPr>
        <w:fldChar w:fldCharType="separate"/>
      </w:r>
      <w:r w:rsidR="000E4488" w:rsidRPr="00954547">
        <w:rPr>
          <w:lang w:val="en-US"/>
        </w:rPr>
        <w:t>30</w:t>
      </w:r>
      <w:r w:rsidR="00EF6921" w:rsidRPr="00954547">
        <w:rPr>
          <w:lang w:val="en-US"/>
        </w:rPr>
        <w:fldChar w:fldCharType="end"/>
      </w:r>
      <w:r w:rsidR="004736EA" w:rsidRPr="00954547">
        <w:rPr>
          <w:lang w:val="en-US"/>
        </w:rPr>
        <w:t xml:space="preserve">). </w:t>
      </w:r>
      <w:r w:rsidR="003A0C7A" w:rsidRPr="00954547">
        <w:rPr>
          <w:lang w:val="en-US"/>
        </w:rPr>
        <w:t xml:space="preserve">The other objections will be analyzed as follows: (a) the alleged time-barred presentation of the petition, and (b) the </w:t>
      </w:r>
      <w:r w:rsidR="008E430B" w:rsidRPr="00954547">
        <w:rPr>
          <w:lang w:val="en-US"/>
        </w:rPr>
        <w:t xml:space="preserve">Commission’s </w:t>
      </w:r>
      <w:r w:rsidR="003A0C7A" w:rsidRPr="00954547">
        <w:rPr>
          <w:lang w:val="en-US"/>
        </w:rPr>
        <w:t>alleged failure to assess the progress made in compl</w:t>
      </w:r>
      <w:r w:rsidR="005A6BC0" w:rsidRPr="00954547">
        <w:rPr>
          <w:lang w:val="en-US"/>
        </w:rPr>
        <w:t>ying</w:t>
      </w:r>
      <w:r w:rsidR="003A0C7A" w:rsidRPr="00954547">
        <w:rPr>
          <w:lang w:val="en-US"/>
        </w:rPr>
        <w:t xml:space="preserve"> with </w:t>
      </w:r>
      <w:r w:rsidR="005E0FD1" w:rsidRPr="00954547">
        <w:rPr>
          <w:lang w:val="en-US"/>
        </w:rPr>
        <w:t xml:space="preserve">the </w:t>
      </w:r>
      <w:r w:rsidR="00A94F95" w:rsidRPr="00954547">
        <w:rPr>
          <w:lang w:val="en-US"/>
        </w:rPr>
        <w:t>Merits Report</w:t>
      </w:r>
      <w:r w:rsidR="004736EA" w:rsidRPr="00954547">
        <w:rPr>
          <w:lang w:val="en-US"/>
        </w:rPr>
        <w:t>.</w:t>
      </w:r>
    </w:p>
    <w:p w14:paraId="257076D2" w14:textId="16145719" w:rsidR="0064114B" w:rsidRPr="00954547" w:rsidRDefault="003A0C7A" w:rsidP="00386B24">
      <w:pPr>
        <w:pStyle w:val="Heading2"/>
        <w:keepNext w:val="0"/>
        <w:numPr>
          <w:ilvl w:val="0"/>
          <w:numId w:val="4"/>
        </w:numPr>
        <w:tabs>
          <w:tab w:val="clear" w:pos="1134"/>
          <w:tab w:val="left" w:pos="567"/>
        </w:tabs>
        <w:spacing w:line="276" w:lineRule="auto"/>
        <w:ind w:left="1134" w:hanging="567"/>
        <w:jc w:val="both"/>
        <w:rPr>
          <w:lang w:val="en-US"/>
        </w:rPr>
      </w:pPr>
      <w:bookmarkStart w:id="13" w:name="_Toc106353882"/>
      <w:r w:rsidRPr="00954547">
        <w:rPr>
          <w:lang w:val="en-US"/>
        </w:rPr>
        <w:t>Alleged time-barred presentation of the petition</w:t>
      </w:r>
      <w:bookmarkEnd w:id="13"/>
    </w:p>
    <w:p w14:paraId="668B1933" w14:textId="3281CF95" w:rsidR="0064114B" w:rsidRPr="00954547" w:rsidRDefault="0064114B" w:rsidP="00367FB1">
      <w:pPr>
        <w:pStyle w:val="Heading3"/>
        <w:tabs>
          <w:tab w:val="left" w:pos="567"/>
        </w:tabs>
      </w:pPr>
      <w:bookmarkStart w:id="14" w:name="_Toc106353883"/>
      <w:r w:rsidRPr="00954547">
        <w:t>A.1</w:t>
      </w:r>
      <w:r w:rsidRPr="00954547">
        <w:rPr>
          <w:rStyle w:val="Heading3Char"/>
        </w:rPr>
        <w:t xml:space="preserve"> </w:t>
      </w:r>
      <w:r w:rsidR="00367FB1" w:rsidRPr="00954547">
        <w:rPr>
          <w:rStyle w:val="Heading3Char"/>
        </w:rPr>
        <w:tab/>
      </w:r>
      <w:r w:rsidR="00B8393C" w:rsidRPr="00954547">
        <w:rPr>
          <w:rStyle w:val="Heading3Char"/>
          <w:b/>
        </w:rPr>
        <w:t>Arguments</w:t>
      </w:r>
      <w:r w:rsidR="003A0C7A" w:rsidRPr="00954547">
        <w:rPr>
          <w:rStyle w:val="Heading3Char"/>
          <w:b/>
        </w:rPr>
        <w:t xml:space="preserve"> of the parties and the</w:t>
      </w:r>
      <w:r w:rsidR="00607E12" w:rsidRPr="00954547">
        <w:rPr>
          <w:rStyle w:val="Heading3Char"/>
          <w:b/>
        </w:rPr>
        <w:t xml:space="preserve"> </w:t>
      </w:r>
      <w:r w:rsidR="00E76B1A" w:rsidRPr="00954547">
        <w:rPr>
          <w:rStyle w:val="Heading3Char"/>
          <w:b/>
        </w:rPr>
        <w:t>Commission</w:t>
      </w:r>
      <w:bookmarkEnd w:id="14"/>
    </w:p>
    <w:p w14:paraId="01529B3D" w14:textId="5DBAD2F7" w:rsidR="0064114B" w:rsidRPr="00954547" w:rsidRDefault="00B8393C" w:rsidP="00386B24">
      <w:pPr>
        <w:pStyle w:val="Numberedparagraphs"/>
        <w:tabs>
          <w:tab w:val="left" w:pos="567"/>
        </w:tabs>
        <w:rPr>
          <w:rFonts w:cs="Times New Roman"/>
          <w:lang w:val="en-US"/>
        </w:rPr>
      </w:pPr>
      <w:r w:rsidRPr="00954547">
        <w:rPr>
          <w:lang w:val="en-US"/>
        </w:rPr>
        <w:t xml:space="preserve">The </w:t>
      </w:r>
      <w:r w:rsidRPr="00954547">
        <w:rPr>
          <w:b/>
          <w:bCs/>
          <w:i/>
          <w:iCs/>
          <w:lang w:val="en-US"/>
        </w:rPr>
        <w:t>State</w:t>
      </w:r>
      <w:r w:rsidR="0064114B" w:rsidRPr="00954547">
        <w:rPr>
          <w:lang w:val="en-US"/>
        </w:rPr>
        <w:t xml:space="preserve"> </w:t>
      </w:r>
      <w:r w:rsidR="003A0C7A" w:rsidRPr="00954547">
        <w:rPr>
          <w:lang w:val="en-US"/>
        </w:rPr>
        <w:t>indicated that</w:t>
      </w:r>
      <w:r w:rsidR="0064114B" w:rsidRPr="00954547">
        <w:rPr>
          <w:lang w:val="en-US"/>
        </w:rPr>
        <w:t xml:space="preserve"> “</w:t>
      </w:r>
      <w:r w:rsidR="003A0C7A" w:rsidRPr="00954547">
        <w:rPr>
          <w:lang w:val="en-US"/>
        </w:rPr>
        <w:t xml:space="preserve">the </w:t>
      </w:r>
      <w:r w:rsidR="008E430B" w:rsidRPr="00954547">
        <w:rPr>
          <w:lang w:val="en-US"/>
        </w:rPr>
        <w:t>sentence</w:t>
      </w:r>
      <w:r w:rsidR="003A0C7A" w:rsidRPr="00954547">
        <w:rPr>
          <w:lang w:val="en-US"/>
        </w:rPr>
        <w:t xml:space="preserve"> became final on August 26,</w:t>
      </w:r>
      <w:r w:rsidR="0064114B" w:rsidRPr="00954547">
        <w:rPr>
          <w:lang w:val="en-US"/>
        </w:rPr>
        <w:t xml:space="preserve"> 2008</w:t>
      </w:r>
      <w:r w:rsidR="003A0C7A" w:rsidRPr="00954547">
        <w:rPr>
          <w:lang w:val="en-US"/>
        </w:rPr>
        <w:t xml:space="preserve">, and </w:t>
      </w:r>
      <w:r w:rsidR="00060952" w:rsidRPr="00954547">
        <w:rPr>
          <w:lang w:val="en-US"/>
        </w:rPr>
        <w:t>was in effect until her death on April 30,</w:t>
      </w:r>
      <w:r w:rsidR="0064114B" w:rsidRPr="00954547">
        <w:rPr>
          <w:lang w:val="en-US"/>
        </w:rPr>
        <w:t xml:space="preserve"> 2010</w:t>
      </w:r>
      <w:r w:rsidR="008E430B" w:rsidRPr="00954547">
        <w:rPr>
          <w:lang w:val="en-US"/>
        </w:rPr>
        <w:t>.</w:t>
      </w:r>
      <w:r w:rsidR="0064114B" w:rsidRPr="00954547">
        <w:rPr>
          <w:lang w:val="en-US"/>
        </w:rPr>
        <w:t xml:space="preserve"> </w:t>
      </w:r>
      <w:r w:rsidR="008E430B" w:rsidRPr="00954547">
        <w:rPr>
          <w:lang w:val="en-US"/>
        </w:rPr>
        <w:t>H</w:t>
      </w:r>
      <w:r w:rsidR="00060952" w:rsidRPr="00954547">
        <w:rPr>
          <w:lang w:val="en-US"/>
        </w:rPr>
        <w:t xml:space="preserve">owever, the petition was not lodged before </w:t>
      </w:r>
      <w:r w:rsidR="00E76B1A" w:rsidRPr="00954547">
        <w:rPr>
          <w:lang w:val="en-US"/>
        </w:rPr>
        <w:t>the Commission</w:t>
      </w:r>
      <w:r w:rsidR="0064114B" w:rsidRPr="00954547">
        <w:rPr>
          <w:lang w:val="en-US"/>
        </w:rPr>
        <w:t xml:space="preserve"> </w:t>
      </w:r>
      <w:r w:rsidR="004E7FFD" w:rsidRPr="00954547">
        <w:rPr>
          <w:lang w:val="en-US"/>
        </w:rPr>
        <w:t>[…]</w:t>
      </w:r>
      <w:r w:rsidR="00060952" w:rsidRPr="00954547">
        <w:rPr>
          <w:lang w:val="en-US"/>
        </w:rPr>
        <w:t xml:space="preserve"> until</w:t>
      </w:r>
      <w:r w:rsidR="00607E12" w:rsidRPr="00954547">
        <w:rPr>
          <w:lang w:val="en-US"/>
        </w:rPr>
        <w:t xml:space="preserve"> March 21,</w:t>
      </w:r>
      <w:r w:rsidR="00060952" w:rsidRPr="00954547">
        <w:rPr>
          <w:lang w:val="en-US"/>
        </w:rPr>
        <w:t xml:space="preserve"> </w:t>
      </w:r>
      <w:r w:rsidR="0064114B" w:rsidRPr="00954547">
        <w:rPr>
          <w:lang w:val="en-US"/>
        </w:rPr>
        <w:t xml:space="preserve">2012, </w:t>
      </w:r>
      <w:r w:rsidR="00060952" w:rsidRPr="00954547">
        <w:rPr>
          <w:lang w:val="en-US"/>
        </w:rPr>
        <w:t xml:space="preserve">almost four years after the </w:t>
      </w:r>
      <w:r w:rsidR="008E430B" w:rsidRPr="00954547">
        <w:rPr>
          <w:lang w:val="en-US"/>
        </w:rPr>
        <w:t>sentence</w:t>
      </w:r>
      <w:r w:rsidR="00060952" w:rsidRPr="00954547">
        <w:rPr>
          <w:lang w:val="en-US"/>
        </w:rPr>
        <w:t xml:space="preserve"> had become final and almost two years after</w:t>
      </w:r>
      <w:r w:rsidR="0064114B" w:rsidRPr="00954547">
        <w:rPr>
          <w:lang w:val="en-US"/>
        </w:rPr>
        <w:t xml:space="preserve"> Manuela</w:t>
      </w:r>
      <w:r w:rsidR="00060952" w:rsidRPr="00954547">
        <w:rPr>
          <w:lang w:val="en-US"/>
        </w:rPr>
        <w:t>’s death.</w:t>
      </w:r>
      <w:r w:rsidR="0064114B" w:rsidRPr="00954547">
        <w:rPr>
          <w:lang w:val="en-US"/>
        </w:rPr>
        <w:t xml:space="preserve">” </w:t>
      </w:r>
      <w:r w:rsidRPr="00954547">
        <w:rPr>
          <w:lang w:val="en-US"/>
        </w:rPr>
        <w:t>The State</w:t>
      </w:r>
      <w:r w:rsidR="0064114B" w:rsidRPr="00954547">
        <w:rPr>
          <w:rFonts w:cs="Times New Roman"/>
          <w:lang w:val="en-US"/>
        </w:rPr>
        <w:t xml:space="preserve"> </w:t>
      </w:r>
      <w:r w:rsidR="008E430B" w:rsidRPr="00954547">
        <w:rPr>
          <w:rFonts w:cs="Times New Roman"/>
          <w:lang w:val="en-US"/>
        </w:rPr>
        <w:t xml:space="preserve">emphasized </w:t>
      </w:r>
      <w:r w:rsidR="00060952" w:rsidRPr="00954547">
        <w:rPr>
          <w:rFonts w:cs="Times New Roman"/>
          <w:lang w:val="en-US"/>
        </w:rPr>
        <w:t>that</w:t>
      </w:r>
      <w:r w:rsidR="0064114B" w:rsidRPr="00954547">
        <w:rPr>
          <w:rFonts w:cs="Times New Roman"/>
          <w:lang w:val="en-US"/>
        </w:rPr>
        <w:t xml:space="preserve"> </w:t>
      </w:r>
      <w:r w:rsidR="00E76B1A" w:rsidRPr="00954547">
        <w:rPr>
          <w:rFonts w:cs="Times New Roman"/>
          <w:lang w:val="en-US"/>
        </w:rPr>
        <w:t>the Commission</w:t>
      </w:r>
      <w:r w:rsidR="004A6EA3" w:rsidRPr="00954547">
        <w:rPr>
          <w:rFonts w:cs="Times New Roman"/>
          <w:lang w:val="en-US"/>
        </w:rPr>
        <w:t xml:space="preserve"> </w:t>
      </w:r>
      <w:r w:rsidR="00060952" w:rsidRPr="00954547">
        <w:rPr>
          <w:rFonts w:cs="Times New Roman"/>
          <w:lang w:val="en-US"/>
        </w:rPr>
        <w:t xml:space="preserve">had considered that, in the instant case, the </w:t>
      </w:r>
      <w:r w:rsidR="00607E12" w:rsidRPr="00954547">
        <w:rPr>
          <w:rFonts w:cs="Times New Roman"/>
          <w:lang w:val="en-US"/>
        </w:rPr>
        <w:t>petition</w:t>
      </w:r>
      <w:r w:rsidR="004A6EA3" w:rsidRPr="00954547">
        <w:rPr>
          <w:rFonts w:cs="Times New Roman"/>
          <w:lang w:val="en-US"/>
        </w:rPr>
        <w:t xml:space="preserve"> </w:t>
      </w:r>
      <w:r w:rsidR="00060952" w:rsidRPr="00954547">
        <w:rPr>
          <w:rFonts w:cs="Times New Roman"/>
          <w:lang w:val="en-US"/>
        </w:rPr>
        <w:t>had been lodged within a reasonable time, but</w:t>
      </w:r>
      <w:r w:rsidR="008E430B" w:rsidRPr="00954547">
        <w:rPr>
          <w:rFonts w:cs="Times New Roman"/>
          <w:lang w:val="en-US"/>
        </w:rPr>
        <w:t xml:space="preserve"> had</w:t>
      </w:r>
      <w:r w:rsidR="00060952" w:rsidRPr="00954547">
        <w:rPr>
          <w:rFonts w:cs="Times New Roman"/>
          <w:lang w:val="en-US"/>
        </w:rPr>
        <w:t xml:space="preserve"> “</w:t>
      </w:r>
      <w:r w:rsidR="009C16A1" w:rsidRPr="00954547">
        <w:rPr>
          <w:rFonts w:cs="Times New Roman"/>
          <w:lang w:val="en-US"/>
        </w:rPr>
        <w:t>failed to provide the grounds or the reasons for its decision.”</w:t>
      </w:r>
    </w:p>
    <w:p w14:paraId="6C1C22BC" w14:textId="158397FD" w:rsidR="00BA7CA4" w:rsidRPr="00954547" w:rsidRDefault="00B8393C" w:rsidP="00386B24">
      <w:pPr>
        <w:pStyle w:val="Numberedparagraphs"/>
        <w:tabs>
          <w:tab w:val="left" w:pos="567"/>
        </w:tabs>
        <w:rPr>
          <w:rFonts w:cs="Times New Roman"/>
          <w:lang w:val="en-US"/>
        </w:rPr>
      </w:pPr>
      <w:r w:rsidRPr="00954547">
        <w:rPr>
          <w:lang w:val="en-US"/>
        </w:rPr>
        <w:t xml:space="preserve">The </w:t>
      </w:r>
      <w:r w:rsidR="006E0D5E" w:rsidRPr="00954547">
        <w:rPr>
          <w:b/>
          <w:bCs/>
          <w:i/>
          <w:iCs/>
          <w:lang w:val="en-US"/>
        </w:rPr>
        <w:t>representatives</w:t>
      </w:r>
      <w:r w:rsidR="0064114B" w:rsidRPr="00954547">
        <w:rPr>
          <w:lang w:val="en-US"/>
        </w:rPr>
        <w:t xml:space="preserve"> a</w:t>
      </w:r>
      <w:r w:rsidR="00BA7CA4" w:rsidRPr="00954547">
        <w:rPr>
          <w:lang w:val="en-US"/>
        </w:rPr>
        <w:t>rgued that it was contradictory to argue the failure to exhaust domestic remedies before the Commission and, then, allege failure to comply with the time limit of six months to lodge a petition, because this contravened the principle of estoppel. Added to this, in the case of Manuela “the petition was lodged within the six-month time frame established in Article 46(1)(b) of the [Convention],</w:t>
      </w:r>
      <w:r w:rsidR="003D24A2" w:rsidRPr="00954547">
        <w:rPr>
          <w:lang w:val="en-US"/>
        </w:rPr>
        <w:t xml:space="preserve"> </w:t>
      </w:r>
      <w:r w:rsidR="008E430B" w:rsidRPr="00954547">
        <w:rPr>
          <w:lang w:val="en-US"/>
        </w:rPr>
        <w:t>of the</w:t>
      </w:r>
      <w:r w:rsidR="003D24A2" w:rsidRPr="00954547">
        <w:rPr>
          <w:lang w:val="en-US"/>
        </w:rPr>
        <w:t xml:space="preserve"> notification of the ruling that dismissed the appeal for review of the </w:t>
      </w:r>
      <w:r w:rsidR="008E430B" w:rsidRPr="00954547">
        <w:rPr>
          <w:lang w:val="en-US"/>
        </w:rPr>
        <w:t>sentence</w:t>
      </w:r>
      <w:r w:rsidR="003D24A2" w:rsidRPr="00954547">
        <w:rPr>
          <w:lang w:val="en-US"/>
        </w:rPr>
        <w:t xml:space="preserve"> in 2012. Furthermore, claiming that Manuela should have presented the petition less than 6 months </w:t>
      </w:r>
      <w:r w:rsidR="00B3464F" w:rsidRPr="00954547">
        <w:rPr>
          <w:lang w:val="en-US"/>
        </w:rPr>
        <w:t>after</w:t>
      </w:r>
      <w:r w:rsidR="003D24A2" w:rsidRPr="00954547">
        <w:rPr>
          <w:lang w:val="en-US"/>
        </w:rPr>
        <w:t xml:space="preserve"> the final criminal conviction would be contrary to the interests of justice and would </w:t>
      </w:r>
      <w:r w:rsidR="00B3464F" w:rsidRPr="00954547">
        <w:rPr>
          <w:lang w:val="en-US"/>
        </w:rPr>
        <w:t xml:space="preserve">have </w:t>
      </w:r>
      <w:r w:rsidR="003D24A2" w:rsidRPr="00954547">
        <w:rPr>
          <w:lang w:val="en-US"/>
        </w:rPr>
        <w:t>constituted a disproportionate burden on the [presumed] victim.”</w:t>
      </w:r>
    </w:p>
    <w:p w14:paraId="5F911BB2" w14:textId="7EDA560A" w:rsidR="007232D8" w:rsidRPr="00954547" w:rsidRDefault="00E76B1A" w:rsidP="00386B24">
      <w:pPr>
        <w:pStyle w:val="Numberedparagraphs"/>
        <w:tabs>
          <w:tab w:val="left" w:pos="567"/>
        </w:tabs>
        <w:rPr>
          <w:rFonts w:cs="Times New Roman"/>
          <w:lang w:val="en-US"/>
        </w:rPr>
      </w:pPr>
      <w:r w:rsidRPr="00954547">
        <w:rPr>
          <w:lang w:val="en-US"/>
        </w:rPr>
        <w:t xml:space="preserve">The </w:t>
      </w:r>
      <w:r w:rsidRPr="00954547">
        <w:rPr>
          <w:b/>
          <w:bCs/>
          <w:i/>
          <w:iCs/>
          <w:lang w:val="en-US"/>
        </w:rPr>
        <w:t>Commission</w:t>
      </w:r>
      <w:r w:rsidR="0064114B" w:rsidRPr="00954547">
        <w:rPr>
          <w:lang w:val="en-US"/>
        </w:rPr>
        <w:t xml:space="preserve"> </w:t>
      </w:r>
      <w:r w:rsidR="003D24A2" w:rsidRPr="00954547">
        <w:rPr>
          <w:lang w:val="en-US"/>
        </w:rPr>
        <w:t xml:space="preserve">indicated that the objection was time-barred because it should have been filed during the initial stages of the admissibility procedure before </w:t>
      </w:r>
      <w:r w:rsidRPr="00954547">
        <w:rPr>
          <w:lang w:val="en-US"/>
        </w:rPr>
        <w:t>the Commission</w:t>
      </w:r>
      <w:r w:rsidR="0064114B" w:rsidRPr="00954547">
        <w:rPr>
          <w:lang w:val="en-US"/>
        </w:rPr>
        <w:t xml:space="preserve">. </w:t>
      </w:r>
      <w:r w:rsidR="003D24A2" w:rsidRPr="00954547">
        <w:rPr>
          <w:lang w:val="en-US"/>
        </w:rPr>
        <w:t>The</w:t>
      </w:r>
      <w:r w:rsidRPr="00954547">
        <w:rPr>
          <w:lang w:val="en-US"/>
        </w:rPr>
        <w:t xml:space="preserve"> Commission</w:t>
      </w:r>
      <w:r w:rsidR="0064114B" w:rsidRPr="00954547">
        <w:rPr>
          <w:lang w:val="en-US"/>
        </w:rPr>
        <w:t xml:space="preserve"> </w:t>
      </w:r>
      <w:r w:rsidR="003D24A2" w:rsidRPr="00954547">
        <w:rPr>
          <w:lang w:val="en-US"/>
        </w:rPr>
        <w:t xml:space="preserve">also underlined that, when applying </w:t>
      </w:r>
      <w:r w:rsidR="00A17F8C" w:rsidRPr="00954547">
        <w:rPr>
          <w:lang w:val="en-US"/>
        </w:rPr>
        <w:t>Article</w:t>
      </w:r>
      <w:r w:rsidR="0064114B" w:rsidRPr="00954547">
        <w:rPr>
          <w:lang w:val="en-US"/>
        </w:rPr>
        <w:t xml:space="preserve"> 46</w:t>
      </w:r>
      <w:r w:rsidR="003D24A2" w:rsidRPr="00954547">
        <w:rPr>
          <w:lang w:val="en-US"/>
        </w:rPr>
        <w:t>(</w:t>
      </w:r>
      <w:r w:rsidR="0064114B" w:rsidRPr="00954547">
        <w:rPr>
          <w:lang w:val="en-US"/>
        </w:rPr>
        <w:t>2</w:t>
      </w:r>
      <w:r w:rsidR="003D24A2" w:rsidRPr="00954547">
        <w:rPr>
          <w:lang w:val="en-US"/>
        </w:rPr>
        <w:t>)(</w:t>
      </w:r>
      <w:r w:rsidR="0064114B" w:rsidRPr="00954547">
        <w:rPr>
          <w:lang w:val="en-US"/>
        </w:rPr>
        <w:t>b</w:t>
      </w:r>
      <w:r w:rsidR="003D24A2" w:rsidRPr="00954547">
        <w:rPr>
          <w:lang w:val="en-US"/>
        </w:rPr>
        <w:t>)</w:t>
      </w:r>
      <w:r w:rsidR="0064114B" w:rsidRPr="00954547">
        <w:rPr>
          <w:lang w:val="en-US"/>
        </w:rPr>
        <w:t>)</w:t>
      </w:r>
      <w:r w:rsidR="005E0FD1" w:rsidRPr="00954547">
        <w:rPr>
          <w:lang w:val="en-US"/>
        </w:rPr>
        <w:t xml:space="preserve"> of the American Convention</w:t>
      </w:r>
      <w:r w:rsidR="0078694F" w:rsidRPr="00954547">
        <w:rPr>
          <w:lang w:val="en-US"/>
        </w:rPr>
        <w:t xml:space="preserve"> and </w:t>
      </w:r>
      <w:r w:rsidR="0064114B" w:rsidRPr="00954547">
        <w:rPr>
          <w:lang w:val="en-US"/>
        </w:rPr>
        <w:t>determin</w:t>
      </w:r>
      <w:r w:rsidR="003D24A2" w:rsidRPr="00954547">
        <w:rPr>
          <w:lang w:val="en-US"/>
        </w:rPr>
        <w:t xml:space="preserve">ing that the </w:t>
      </w:r>
      <w:r w:rsidR="00607E12" w:rsidRPr="00954547">
        <w:rPr>
          <w:lang w:val="en-US"/>
        </w:rPr>
        <w:t>petition</w:t>
      </w:r>
      <w:r w:rsidR="0064114B" w:rsidRPr="00954547">
        <w:rPr>
          <w:lang w:val="en-US"/>
        </w:rPr>
        <w:t xml:space="preserve"> </w:t>
      </w:r>
      <w:r w:rsidR="003D24A2" w:rsidRPr="00954547">
        <w:rPr>
          <w:lang w:val="en-US"/>
        </w:rPr>
        <w:t>had been lodged within a reasonable time, it took into account that</w:t>
      </w:r>
      <w:r w:rsidR="0064114B" w:rsidRPr="00954547">
        <w:rPr>
          <w:lang w:val="en-US"/>
        </w:rPr>
        <w:t>: “</w:t>
      </w:r>
      <w:r w:rsidR="003D24A2" w:rsidRPr="00954547">
        <w:rPr>
          <w:lang w:val="en-US"/>
        </w:rPr>
        <w:t>(</w:t>
      </w:r>
      <w:r w:rsidR="0064114B" w:rsidRPr="00954547">
        <w:rPr>
          <w:lang w:val="en-US"/>
        </w:rPr>
        <w:t xml:space="preserve">1) </w:t>
      </w:r>
      <w:r w:rsidR="003D24A2" w:rsidRPr="00954547">
        <w:rPr>
          <w:lang w:val="en-US"/>
        </w:rPr>
        <w:t xml:space="preserve">the petition was lodged </w:t>
      </w:r>
      <w:r w:rsidR="00607E12" w:rsidRPr="00954547">
        <w:rPr>
          <w:lang w:val="en-US"/>
        </w:rPr>
        <w:t>on March 21,</w:t>
      </w:r>
      <w:r w:rsidR="003D24A2" w:rsidRPr="00954547">
        <w:rPr>
          <w:lang w:val="en-US"/>
        </w:rPr>
        <w:t xml:space="preserve"> </w:t>
      </w:r>
      <w:r w:rsidR="0064114B" w:rsidRPr="00954547">
        <w:rPr>
          <w:lang w:val="en-US"/>
        </w:rPr>
        <w:t xml:space="preserve">2012; </w:t>
      </w:r>
      <w:r w:rsidR="003D24A2" w:rsidRPr="00954547">
        <w:rPr>
          <w:lang w:val="en-US"/>
        </w:rPr>
        <w:t>(</w:t>
      </w:r>
      <w:r w:rsidR="0064114B" w:rsidRPr="00954547">
        <w:rPr>
          <w:lang w:val="en-US"/>
        </w:rPr>
        <w:t xml:space="preserve">2) </w:t>
      </w:r>
      <w:r w:rsidR="003D24A2" w:rsidRPr="00954547">
        <w:rPr>
          <w:lang w:val="en-US"/>
        </w:rPr>
        <w:t>regarding the facts, it is on record that these occurred on February 27,</w:t>
      </w:r>
      <w:r w:rsidR="0064114B" w:rsidRPr="00954547">
        <w:rPr>
          <w:lang w:val="en-US"/>
        </w:rPr>
        <w:t xml:space="preserve"> 2008</w:t>
      </w:r>
      <w:r w:rsidR="003D24A2" w:rsidRPr="00954547">
        <w:rPr>
          <w:lang w:val="en-US"/>
        </w:rPr>
        <w:t>,</w:t>
      </w:r>
      <w:r w:rsidR="0078694F" w:rsidRPr="00954547">
        <w:rPr>
          <w:lang w:val="en-US"/>
        </w:rPr>
        <w:t xml:space="preserve"> and </w:t>
      </w:r>
      <w:r w:rsidR="007232D8" w:rsidRPr="00954547">
        <w:rPr>
          <w:lang w:val="en-US"/>
        </w:rPr>
        <w:t>that the victim was convicted to 30 years’ imprisonment for the offense of aggravated homicide on August 11,</w:t>
      </w:r>
      <w:r w:rsidR="0064114B" w:rsidRPr="00954547">
        <w:rPr>
          <w:lang w:val="en-US"/>
        </w:rPr>
        <w:t xml:space="preserve"> 2008; </w:t>
      </w:r>
      <w:r w:rsidR="007232D8" w:rsidRPr="00954547">
        <w:rPr>
          <w:lang w:val="en-US"/>
        </w:rPr>
        <w:t>(</w:t>
      </w:r>
      <w:r w:rsidR="0064114B" w:rsidRPr="00954547">
        <w:rPr>
          <w:lang w:val="en-US"/>
        </w:rPr>
        <w:t xml:space="preserve">3) </w:t>
      </w:r>
      <w:r w:rsidR="007232D8" w:rsidRPr="00954547">
        <w:rPr>
          <w:lang w:val="en-US"/>
        </w:rPr>
        <w:t xml:space="preserve">no ordinary remedy existed that would have permitted contesting the </w:t>
      </w:r>
      <w:r w:rsidR="00B3464F" w:rsidRPr="00954547">
        <w:rPr>
          <w:lang w:val="en-US"/>
        </w:rPr>
        <w:t>sentence</w:t>
      </w:r>
      <w:r w:rsidR="007232D8" w:rsidRPr="00954547">
        <w:rPr>
          <w:lang w:val="en-US"/>
        </w:rPr>
        <w:t xml:space="preserve"> pursuant to </w:t>
      </w:r>
      <w:r w:rsidR="00A17F8C" w:rsidRPr="00954547">
        <w:rPr>
          <w:lang w:val="en-US"/>
        </w:rPr>
        <w:t>Article</w:t>
      </w:r>
      <w:r w:rsidR="0064114B" w:rsidRPr="00954547">
        <w:rPr>
          <w:lang w:val="en-US"/>
        </w:rPr>
        <w:t xml:space="preserve"> 8</w:t>
      </w:r>
      <w:r w:rsidR="007232D8" w:rsidRPr="00954547">
        <w:rPr>
          <w:lang w:val="en-US"/>
        </w:rPr>
        <w:t>(</w:t>
      </w:r>
      <w:r w:rsidR="0064114B" w:rsidRPr="00954547">
        <w:rPr>
          <w:lang w:val="en-US"/>
        </w:rPr>
        <w:t>2</w:t>
      </w:r>
      <w:r w:rsidR="007232D8" w:rsidRPr="00954547">
        <w:rPr>
          <w:lang w:val="en-US"/>
        </w:rPr>
        <w:t>)(</w:t>
      </w:r>
      <w:r w:rsidR="0064114B" w:rsidRPr="00954547">
        <w:rPr>
          <w:lang w:val="en-US"/>
        </w:rPr>
        <w:t xml:space="preserve">h). </w:t>
      </w:r>
      <w:r w:rsidR="007232D8" w:rsidRPr="00954547">
        <w:rPr>
          <w:lang w:val="en-US"/>
        </w:rPr>
        <w:t xml:space="preserve">In addition, the victim was unable to </w:t>
      </w:r>
      <w:r w:rsidR="00B3464F" w:rsidRPr="00954547">
        <w:rPr>
          <w:lang w:val="en-US"/>
        </w:rPr>
        <w:t>benefit from</w:t>
      </w:r>
      <w:r w:rsidR="007232D8" w:rsidRPr="00954547">
        <w:rPr>
          <w:lang w:val="en-US"/>
        </w:rPr>
        <w:t xml:space="preserve"> the special remedy of cassation that was available because her defense counsel </w:t>
      </w:r>
      <w:r w:rsidR="00970CC4" w:rsidRPr="00954547">
        <w:rPr>
          <w:lang w:val="en-US"/>
        </w:rPr>
        <w:t xml:space="preserve">failed to file this remedy </w:t>
      </w:r>
      <w:r w:rsidR="00475351" w:rsidRPr="00954547">
        <w:rPr>
          <w:lang w:val="en-US"/>
        </w:rPr>
        <w:t>or to advise</w:t>
      </w:r>
      <w:r w:rsidR="00970CC4" w:rsidRPr="00954547">
        <w:rPr>
          <w:lang w:val="en-US"/>
        </w:rPr>
        <w:t xml:space="preserve"> her or her family that this rather limited remedy existed to contest </w:t>
      </w:r>
      <w:r w:rsidR="007C6856" w:rsidRPr="00954547">
        <w:rPr>
          <w:lang w:val="en-US"/>
        </w:rPr>
        <w:t>her</w:t>
      </w:r>
      <w:r w:rsidR="00970CC4" w:rsidRPr="00954547">
        <w:rPr>
          <w:lang w:val="en-US"/>
        </w:rPr>
        <w:t xml:space="preserve"> </w:t>
      </w:r>
      <w:r w:rsidR="007C6856" w:rsidRPr="00954547">
        <w:rPr>
          <w:lang w:val="en-US"/>
        </w:rPr>
        <w:t>sentence</w:t>
      </w:r>
      <w:r w:rsidR="00970CC4" w:rsidRPr="00954547">
        <w:rPr>
          <w:lang w:val="en-US"/>
        </w:rPr>
        <w:t xml:space="preserve">, and (4) the [presumed] victim died on April 30, 2010, after suffering from </w:t>
      </w:r>
      <w:r w:rsidR="00086913" w:rsidRPr="00954547">
        <w:rPr>
          <w:lang w:val="en-US"/>
        </w:rPr>
        <w:t>Hodgkin’s lymphoma</w:t>
      </w:r>
      <w:r w:rsidR="00970CC4" w:rsidRPr="00954547">
        <w:rPr>
          <w:lang w:val="en-US"/>
        </w:rPr>
        <w:t xml:space="preserve"> in a context in which a series of violation</w:t>
      </w:r>
      <w:r w:rsidR="007C6856" w:rsidRPr="00954547">
        <w:rPr>
          <w:lang w:val="en-US"/>
        </w:rPr>
        <w:t>s</w:t>
      </w:r>
      <w:r w:rsidR="00970CC4" w:rsidRPr="00954547">
        <w:rPr>
          <w:lang w:val="en-US"/>
        </w:rPr>
        <w:t xml:space="preserve"> of </w:t>
      </w:r>
      <w:r w:rsidR="007C6856" w:rsidRPr="00954547">
        <w:rPr>
          <w:lang w:val="en-US"/>
        </w:rPr>
        <w:t>her</w:t>
      </w:r>
      <w:r w:rsidR="00970CC4" w:rsidRPr="00954547">
        <w:rPr>
          <w:lang w:val="en-US"/>
        </w:rPr>
        <w:t xml:space="preserve"> right to health </w:t>
      </w:r>
      <w:r w:rsidR="004C4730" w:rsidRPr="00954547">
        <w:rPr>
          <w:lang w:val="en-US"/>
        </w:rPr>
        <w:t xml:space="preserve">were alleged </w:t>
      </w:r>
      <w:r w:rsidR="00970CC4" w:rsidRPr="00954547">
        <w:rPr>
          <w:lang w:val="en-US"/>
        </w:rPr>
        <w:t>while she was deprived of liberty, and there was a total failure to clarify her death while in State</w:t>
      </w:r>
      <w:r w:rsidR="007C6856" w:rsidRPr="00954547">
        <w:rPr>
          <w:lang w:val="en-US"/>
        </w:rPr>
        <w:t xml:space="preserve"> </w:t>
      </w:r>
      <w:r w:rsidR="00970CC4" w:rsidRPr="00954547">
        <w:rPr>
          <w:lang w:val="en-US"/>
        </w:rPr>
        <w:t>custody.”</w:t>
      </w:r>
    </w:p>
    <w:p w14:paraId="18B27D31" w14:textId="5D8965D5" w:rsidR="0064114B" w:rsidRPr="00954547" w:rsidRDefault="0064114B" w:rsidP="00386B24">
      <w:pPr>
        <w:pStyle w:val="Heading3"/>
        <w:tabs>
          <w:tab w:val="left" w:pos="567"/>
        </w:tabs>
      </w:pPr>
      <w:bookmarkStart w:id="15" w:name="_Toc106353884"/>
      <w:r w:rsidRPr="00954547">
        <w:t xml:space="preserve">A.2 </w:t>
      </w:r>
      <w:r w:rsidRPr="00954547">
        <w:tab/>
      </w:r>
      <w:r w:rsidR="00B8393C" w:rsidRPr="00954547">
        <w:t>Considerations</w:t>
      </w:r>
      <w:r w:rsidR="00607E12" w:rsidRPr="00954547">
        <w:t xml:space="preserve"> of the </w:t>
      </w:r>
      <w:r w:rsidR="00E76B1A" w:rsidRPr="00954547">
        <w:t>Court</w:t>
      </w:r>
      <w:bookmarkEnd w:id="15"/>
    </w:p>
    <w:p w14:paraId="12799267" w14:textId="15072765" w:rsidR="0064114B" w:rsidRPr="00954547" w:rsidRDefault="00E76B1A" w:rsidP="008B063D">
      <w:pPr>
        <w:pStyle w:val="Numberedparagraphs"/>
        <w:tabs>
          <w:tab w:val="left" w:pos="567"/>
        </w:tabs>
        <w:rPr>
          <w:rFonts w:cs="Times New Roman"/>
          <w:lang w:val="en-US"/>
        </w:rPr>
      </w:pPr>
      <w:bookmarkStart w:id="16" w:name="_Ref86675478"/>
      <w:r w:rsidRPr="00954547">
        <w:rPr>
          <w:lang w:val="en-US"/>
        </w:rPr>
        <w:t>The Court</w:t>
      </w:r>
      <w:r w:rsidR="0064114B" w:rsidRPr="00954547">
        <w:rPr>
          <w:lang w:val="en-US"/>
        </w:rPr>
        <w:t xml:space="preserve"> ha</w:t>
      </w:r>
      <w:r w:rsidR="00475351" w:rsidRPr="00954547">
        <w:rPr>
          <w:lang w:val="en-US"/>
        </w:rPr>
        <w:t xml:space="preserve">s indicated that the conditions for the admissibility of petition </w:t>
      </w:r>
      <w:r w:rsidR="0064114B" w:rsidRPr="00954547">
        <w:rPr>
          <w:lang w:val="en-US"/>
        </w:rPr>
        <w:t>(</w:t>
      </w:r>
      <w:r w:rsidR="00A17F8C" w:rsidRPr="00954547">
        <w:rPr>
          <w:lang w:val="en-US"/>
        </w:rPr>
        <w:t>Article</w:t>
      </w:r>
      <w:r w:rsidR="0064114B" w:rsidRPr="00954547">
        <w:rPr>
          <w:lang w:val="en-US"/>
        </w:rPr>
        <w:t xml:space="preserve">s 44 </w:t>
      </w:r>
      <w:r w:rsidR="00475351" w:rsidRPr="00954547">
        <w:rPr>
          <w:lang w:val="en-US"/>
        </w:rPr>
        <w:t>to</w:t>
      </w:r>
      <w:r w:rsidR="0064114B" w:rsidRPr="00954547">
        <w:rPr>
          <w:lang w:val="en-US"/>
        </w:rPr>
        <w:t xml:space="preserve"> 46</w:t>
      </w:r>
      <w:r w:rsidR="005E0FD1" w:rsidRPr="00954547">
        <w:rPr>
          <w:lang w:val="en-US"/>
        </w:rPr>
        <w:t xml:space="preserve"> of the American Convention</w:t>
      </w:r>
      <w:r w:rsidR="0064114B" w:rsidRPr="00954547">
        <w:rPr>
          <w:lang w:val="en-US"/>
        </w:rPr>
        <w:t>) con</w:t>
      </w:r>
      <w:r w:rsidR="00475351" w:rsidRPr="00954547">
        <w:rPr>
          <w:lang w:val="en-US"/>
        </w:rPr>
        <w:t xml:space="preserve">stitute a guarantee to ensure that the parties are able to exercise their </w:t>
      </w:r>
      <w:r w:rsidR="00D4015D" w:rsidRPr="00954547">
        <w:rPr>
          <w:lang w:val="en-US"/>
        </w:rPr>
        <w:t>right to defense</w:t>
      </w:r>
      <w:r w:rsidR="00475351" w:rsidRPr="00954547">
        <w:rPr>
          <w:lang w:val="en-US"/>
        </w:rPr>
        <w:t xml:space="preserve"> during the proceedings,</w:t>
      </w:r>
      <w:r w:rsidR="0064114B" w:rsidRPr="00954547">
        <w:rPr>
          <w:rStyle w:val="FootnoteReference"/>
          <w:rFonts w:eastAsiaTheme="majorEastAsia"/>
          <w:lang w:val="en-US"/>
        </w:rPr>
        <w:footnoteReference w:id="70"/>
      </w:r>
      <w:r w:rsidR="00475351" w:rsidRPr="00954547">
        <w:rPr>
          <w:lang w:val="en-US"/>
        </w:rPr>
        <w:t xml:space="preserve"> and </w:t>
      </w:r>
      <w:r w:rsidR="008B063D" w:rsidRPr="00954547">
        <w:rPr>
          <w:lang w:val="en-US"/>
        </w:rPr>
        <w:t>are of a preclusive nature in cases in which the Commission processes the admissibility and the merits of a case separately.</w:t>
      </w:r>
      <w:r w:rsidR="0064114B" w:rsidRPr="00954547">
        <w:rPr>
          <w:rStyle w:val="FootnoteReference"/>
          <w:rFonts w:eastAsiaTheme="majorEastAsia"/>
          <w:lang w:val="en-US"/>
        </w:rPr>
        <w:footnoteReference w:id="71"/>
      </w:r>
      <w:r w:rsidR="008B063D" w:rsidRPr="00954547">
        <w:rPr>
          <w:lang w:val="en-US"/>
        </w:rPr>
        <w:t xml:space="preserve"> Thus, an objection concerning the alleged failure to comply with the time limit for lodging the petition must be presented explicitly at the admissibility stage of the case.</w:t>
      </w:r>
      <w:r w:rsidR="0064114B" w:rsidRPr="00954547">
        <w:rPr>
          <w:rStyle w:val="FootnoteReference"/>
          <w:rFonts w:eastAsiaTheme="majorEastAsia"/>
          <w:lang w:val="en-US"/>
        </w:rPr>
        <w:footnoteReference w:id="72"/>
      </w:r>
      <w:bookmarkEnd w:id="16"/>
    </w:p>
    <w:p w14:paraId="5CF22579" w14:textId="405C915A" w:rsidR="0064114B" w:rsidRPr="00954547" w:rsidRDefault="008B063D" w:rsidP="00386B24">
      <w:pPr>
        <w:pStyle w:val="Numberedparagraphs"/>
        <w:tabs>
          <w:tab w:val="left" w:pos="567"/>
        </w:tabs>
        <w:rPr>
          <w:rFonts w:cs="Times New Roman"/>
          <w:lang w:val="en-US"/>
        </w:rPr>
      </w:pPr>
      <w:bookmarkStart w:id="17" w:name="_Ref86675482"/>
      <w:r w:rsidRPr="00954547">
        <w:rPr>
          <w:lang w:val="en-US"/>
        </w:rPr>
        <w:t>In the instant case</w:t>
      </w:r>
      <w:r w:rsidR="0064114B" w:rsidRPr="00954547">
        <w:rPr>
          <w:lang w:val="en-US"/>
        </w:rPr>
        <w:t xml:space="preserve">, </w:t>
      </w:r>
      <w:r w:rsidR="00607E12" w:rsidRPr="00954547">
        <w:rPr>
          <w:lang w:val="en-US"/>
        </w:rPr>
        <w:t xml:space="preserve">the </w:t>
      </w:r>
      <w:r w:rsidR="00B8393C" w:rsidRPr="00954547">
        <w:rPr>
          <w:lang w:val="en-US"/>
        </w:rPr>
        <w:t>State</w:t>
      </w:r>
      <w:r w:rsidRPr="00954547">
        <w:rPr>
          <w:lang w:val="en-US"/>
        </w:rPr>
        <w:t>’s arguments concerning the time-barred nature of the petition were not presented at the appropriate procedural moment; that is, at the admissibility stage of the case</w:t>
      </w:r>
      <w:r w:rsidR="0064114B" w:rsidRPr="00954547">
        <w:rPr>
          <w:lang w:val="en-US"/>
        </w:rPr>
        <w:t xml:space="preserve">. </w:t>
      </w:r>
      <w:r w:rsidRPr="00954547">
        <w:rPr>
          <w:lang w:val="en-US"/>
        </w:rPr>
        <w:t>In fact</w:t>
      </w:r>
      <w:r w:rsidR="0064114B" w:rsidRPr="00954547">
        <w:rPr>
          <w:lang w:val="en-US"/>
        </w:rPr>
        <w:t xml:space="preserve">, </w:t>
      </w:r>
      <w:r w:rsidR="00E76B1A" w:rsidRPr="00954547">
        <w:rPr>
          <w:lang w:val="en-US"/>
        </w:rPr>
        <w:t>the Court</w:t>
      </w:r>
      <w:r w:rsidR="0064114B" w:rsidRPr="00954547">
        <w:rPr>
          <w:lang w:val="en-US"/>
        </w:rPr>
        <w:t xml:space="preserve"> not</w:t>
      </w:r>
      <w:r w:rsidR="005A6BC0" w:rsidRPr="00954547">
        <w:rPr>
          <w:lang w:val="en-US"/>
        </w:rPr>
        <w:t>es that</w:t>
      </w:r>
      <w:r w:rsidR="0064114B" w:rsidRPr="00954547">
        <w:rPr>
          <w:lang w:val="en-US"/>
        </w:rPr>
        <w:t xml:space="preserve"> </w:t>
      </w:r>
      <w:r w:rsidR="00B8393C" w:rsidRPr="00954547">
        <w:rPr>
          <w:lang w:val="en-US"/>
        </w:rPr>
        <w:t>the State</w:t>
      </w:r>
      <w:r w:rsidR="0064114B" w:rsidRPr="00954547">
        <w:rPr>
          <w:lang w:val="en-US"/>
        </w:rPr>
        <w:t xml:space="preserve"> </w:t>
      </w:r>
      <w:r w:rsidR="005A6BC0" w:rsidRPr="00954547">
        <w:rPr>
          <w:lang w:val="en-US"/>
        </w:rPr>
        <w:t>first mentioned the a</w:t>
      </w:r>
      <w:r w:rsidR="003A0C7A" w:rsidRPr="00954547">
        <w:rPr>
          <w:lang w:val="en-US"/>
        </w:rPr>
        <w:t>lleged time-barred presentation of the petition</w:t>
      </w:r>
      <w:r w:rsidR="0064114B" w:rsidRPr="00954547">
        <w:rPr>
          <w:lang w:val="en-US"/>
        </w:rPr>
        <w:t xml:space="preserve"> </w:t>
      </w:r>
      <w:r w:rsidR="005A6BC0" w:rsidRPr="00954547">
        <w:rPr>
          <w:lang w:val="en-US"/>
        </w:rPr>
        <w:t>in a communication sent to</w:t>
      </w:r>
      <w:r w:rsidR="0064114B" w:rsidRPr="00954547">
        <w:rPr>
          <w:lang w:val="en-US"/>
        </w:rPr>
        <w:t xml:space="preserve"> </w:t>
      </w:r>
      <w:r w:rsidR="00E76B1A" w:rsidRPr="00954547">
        <w:rPr>
          <w:lang w:val="en-US"/>
        </w:rPr>
        <w:t>the Inter-American Commission</w:t>
      </w:r>
      <w:r w:rsidR="00A42A4C" w:rsidRPr="00954547">
        <w:rPr>
          <w:lang w:val="en-US"/>
        </w:rPr>
        <w:t xml:space="preserve"> on </w:t>
      </w:r>
      <w:r w:rsidR="00E76B1A" w:rsidRPr="00954547">
        <w:rPr>
          <w:lang w:val="en-US"/>
        </w:rPr>
        <w:t>Human Rights</w:t>
      </w:r>
      <w:r w:rsidR="005A6BC0" w:rsidRPr="00954547">
        <w:rPr>
          <w:lang w:val="en-US"/>
        </w:rPr>
        <w:t xml:space="preserve"> on June 26, 2017.</w:t>
      </w:r>
      <w:r w:rsidR="0064114B" w:rsidRPr="00954547">
        <w:rPr>
          <w:rStyle w:val="FootnoteReference"/>
          <w:lang w:val="en-US"/>
        </w:rPr>
        <w:footnoteReference w:id="73"/>
      </w:r>
      <w:r w:rsidR="005A6BC0" w:rsidRPr="00954547">
        <w:rPr>
          <w:lang w:val="en-US"/>
        </w:rPr>
        <w:t xml:space="preserve"> That communication was sent after the issue of </w:t>
      </w:r>
      <w:r w:rsidR="00607E12" w:rsidRPr="00954547">
        <w:rPr>
          <w:lang w:val="en-US"/>
        </w:rPr>
        <w:t>Admissibility Report</w:t>
      </w:r>
      <w:r w:rsidR="0064114B" w:rsidRPr="00954547">
        <w:rPr>
          <w:lang w:val="en-US"/>
        </w:rPr>
        <w:t xml:space="preserve"> No. 29/17 </w:t>
      </w:r>
      <w:r w:rsidR="005A6BC0" w:rsidRPr="00954547">
        <w:rPr>
          <w:lang w:val="en-US"/>
        </w:rPr>
        <w:t>o</w:t>
      </w:r>
      <w:r w:rsidR="004C4730" w:rsidRPr="00954547">
        <w:rPr>
          <w:lang w:val="en-US"/>
        </w:rPr>
        <w:t>f</w:t>
      </w:r>
      <w:r w:rsidR="0064114B" w:rsidRPr="00954547">
        <w:rPr>
          <w:lang w:val="en-US"/>
        </w:rPr>
        <w:t xml:space="preserve"> </w:t>
      </w:r>
      <w:r w:rsidR="00A94F95" w:rsidRPr="00954547">
        <w:rPr>
          <w:lang w:val="en-US"/>
        </w:rPr>
        <w:t>March 18,</w:t>
      </w:r>
      <w:r w:rsidR="0064114B" w:rsidRPr="00954547">
        <w:rPr>
          <w:lang w:val="en-US"/>
        </w:rPr>
        <w:t xml:space="preserve"> 2017. </w:t>
      </w:r>
      <w:r w:rsidR="005A6BC0" w:rsidRPr="00954547">
        <w:rPr>
          <w:lang w:val="en-US"/>
        </w:rPr>
        <w:t xml:space="preserve">Therefore, </w:t>
      </w:r>
      <w:r w:rsidR="00E76B1A" w:rsidRPr="00954547">
        <w:rPr>
          <w:lang w:val="en-US"/>
        </w:rPr>
        <w:t>the Court</w:t>
      </w:r>
      <w:r w:rsidR="0064114B" w:rsidRPr="00954547">
        <w:rPr>
          <w:lang w:val="en-US"/>
        </w:rPr>
        <w:t xml:space="preserve"> </w:t>
      </w:r>
      <w:r w:rsidR="005A6BC0" w:rsidRPr="00954547">
        <w:rPr>
          <w:lang w:val="en-US"/>
        </w:rPr>
        <w:t>considers that the</w:t>
      </w:r>
      <w:r w:rsidR="0064114B" w:rsidRPr="00954547">
        <w:rPr>
          <w:lang w:val="en-US"/>
        </w:rPr>
        <w:t xml:space="preserve"> </w:t>
      </w:r>
      <w:r w:rsidR="00A70DC4" w:rsidRPr="00954547">
        <w:rPr>
          <w:lang w:val="en-US"/>
        </w:rPr>
        <w:t>preliminary objection</w:t>
      </w:r>
      <w:r w:rsidR="0064114B" w:rsidRPr="00954547">
        <w:rPr>
          <w:lang w:val="en-US"/>
        </w:rPr>
        <w:t xml:space="preserve"> </w:t>
      </w:r>
      <w:r w:rsidR="005A6BC0" w:rsidRPr="00954547">
        <w:rPr>
          <w:lang w:val="en-US"/>
        </w:rPr>
        <w:t>filed by</w:t>
      </w:r>
      <w:r w:rsidR="0064114B" w:rsidRPr="00954547">
        <w:rPr>
          <w:lang w:val="en-US"/>
        </w:rPr>
        <w:t xml:space="preserve"> </w:t>
      </w:r>
      <w:r w:rsidR="00B8393C" w:rsidRPr="00954547">
        <w:rPr>
          <w:lang w:val="en-US"/>
        </w:rPr>
        <w:t>the State</w:t>
      </w:r>
      <w:r w:rsidR="0064114B" w:rsidRPr="00954547">
        <w:rPr>
          <w:lang w:val="en-US"/>
        </w:rPr>
        <w:t xml:space="preserve"> </w:t>
      </w:r>
      <w:bookmarkEnd w:id="17"/>
      <w:r w:rsidR="005A6BC0" w:rsidRPr="00954547">
        <w:rPr>
          <w:lang w:val="en-US"/>
        </w:rPr>
        <w:t>is inadmissible.</w:t>
      </w:r>
    </w:p>
    <w:p w14:paraId="50948BAA" w14:textId="66B2E671" w:rsidR="0064114B" w:rsidRPr="00954547" w:rsidRDefault="004C4730" w:rsidP="001C328F">
      <w:pPr>
        <w:pStyle w:val="Heading2"/>
        <w:keepNext w:val="0"/>
        <w:numPr>
          <w:ilvl w:val="0"/>
          <w:numId w:val="4"/>
        </w:numPr>
        <w:tabs>
          <w:tab w:val="clear" w:pos="1134"/>
          <w:tab w:val="left" w:pos="567"/>
        </w:tabs>
        <w:ind w:left="1134" w:hanging="567"/>
        <w:jc w:val="both"/>
        <w:rPr>
          <w:lang w:val="en-US"/>
        </w:rPr>
      </w:pPr>
      <w:bookmarkStart w:id="18" w:name="_Toc106353885"/>
      <w:r w:rsidRPr="00954547">
        <w:rPr>
          <w:lang w:val="en-US"/>
        </w:rPr>
        <w:t>The Commission’s alleged failure to assess</w:t>
      </w:r>
      <w:r w:rsidR="005A6BC0" w:rsidRPr="00954547">
        <w:rPr>
          <w:lang w:val="en-US"/>
        </w:rPr>
        <w:t xml:space="preserve"> the progress made in complying with</w:t>
      </w:r>
      <w:r w:rsidR="005E0FD1" w:rsidRPr="00954547">
        <w:rPr>
          <w:lang w:val="en-US"/>
        </w:rPr>
        <w:t xml:space="preserve"> the </w:t>
      </w:r>
      <w:r w:rsidR="00A94F95" w:rsidRPr="00954547">
        <w:rPr>
          <w:lang w:val="en-US"/>
        </w:rPr>
        <w:t>Merits Report</w:t>
      </w:r>
      <w:bookmarkEnd w:id="18"/>
    </w:p>
    <w:p w14:paraId="6DBEEA7F" w14:textId="010FD28B" w:rsidR="0064114B" w:rsidRPr="00954547" w:rsidRDefault="00BC2440" w:rsidP="002800A5">
      <w:pPr>
        <w:pStyle w:val="Heading3"/>
        <w:tabs>
          <w:tab w:val="left" w:pos="567"/>
        </w:tabs>
      </w:pPr>
      <w:bookmarkStart w:id="19" w:name="_Toc106353886"/>
      <w:r w:rsidRPr="00954547">
        <w:t>B.1</w:t>
      </w:r>
      <w:r w:rsidR="0064114B" w:rsidRPr="00954547">
        <w:t xml:space="preserve"> </w:t>
      </w:r>
      <w:r w:rsidR="0064114B" w:rsidRPr="00954547">
        <w:tab/>
      </w:r>
      <w:r w:rsidR="00B8393C" w:rsidRPr="00954547">
        <w:t>Arguments</w:t>
      </w:r>
      <w:r w:rsidR="003A0C7A" w:rsidRPr="00954547">
        <w:t xml:space="preserve"> of the parties and the</w:t>
      </w:r>
      <w:r w:rsidR="00607E12" w:rsidRPr="00954547">
        <w:t xml:space="preserve"> </w:t>
      </w:r>
      <w:r w:rsidR="00E76B1A" w:rsidRPr="00954547">
        <w:t>Commission</w:t>
      </w:r>
      <w:bookmarkEnd w:id="19"/>
    </w:p>
    <w:p w14:paraId="50370000" w14:textId="501E21D4" w:rsidR="0064114B" w:rsidRPr="00954547" w:rsidRDefault="00B8393C" w:rsidP="00386B24">
      <w:pPr>
        <w:pStyle w:val="Numberedparagraphs"/>
        <w:tabs>
          <w:tab w:val="left" w:pos="567"/>
        </w:tabs>
        <w:rPr>
          <w:b/>
          <w:lang w:val="en-US"/>
        </w:rPr>
      </w:pPr>
      <w:r w:rsidRPr="00954547">
        <w:rPr>
          <w:lang w:val="en-US"/>
        </w:rPr>
        <w:t xml:space="preserve">The </w:t>
      </w:r>
      <w:r w:rsidRPr="00954547">
        <w:rPr>
          <w:b/>
          <w:bCs/>
          <w:i/>
          <w:iCs/>
          <w:lang w:val="en-US"/>
        </w:rPr>
        <w:t>State</w:t>
      </w:r>
      <w:r w:rsidR="0064114B" w:rsidRPr="00954547">
        <w:rPr>
          <w:lang w:val="en-US"/>
        </w:rPr>
        <w:t xml:space="preserve"> </w:t>
      </w:r>
      <w:r w:rsidR="001C328F" w:rsidRPr="00954547">
        <w:rPr>
          <w:lang w:val="en-US"/>
        </w:rPr>
        <w:t>alleged that</w:t>
      </w:r>
      <w:r w:rsidR="0064114B" w:rsidRPr="00954547">
        <w:rPr>
          <w:lang w:val="en-US"/>
        </w:rPr>
        <w:t xml:space="preserve"> </w:t>
      </w:r>
      <w:r w:rsidR="00E76B1A" w:rsidRPr="00954547">
        <w:rPr>
          <w:lang w:val="en-US"/>
        </w:rPr>
        <w:t>the Commission</w:t>
      </w:r>
      <w:r w:rsidR="0064114B" w:rsidRPr="00954547">
        <w:rPr>
          <w:lang w:val="en-US"/>
        </w:rPr>
        <w:t xml:space="preserve"> </w:t>
      </w:r>
      <w:r w:rsidR="001C328F" w:rsidRPr="00954547">
        <w:rPr>
          <w:lang w:val="en-US"/>
        </w:rPr>
        <w:t xml:space="preserve">had not complied with the provisions of </w:t>
      </w:r>
      <w:r w:rsidR="00A17F8C" w:rsidRPr="00954547">
        <w:rPr>
          <w:lang w:val="en-US"/>
        </w:rPr>
        <w:t>Article</w:t>
      </w:r>
      <w:r w:rsidR="0064114B" w:rsidRPr="00954547">
        <w:rPr>
          <w:lang w:val="en-US"/>
        </w:rPr>
        <w:t xml:space="preserve"> 35 </w:t>
      </w:r>
      <w:r w:rsidR="006E0D5E" w:rsidRPr="00954547">
        <w:rPr>
          <w:lang w:val="en-US"/>
        </w:rPr>
        <w:t>of the Court’s Rules of Procedure</w:t>
      </w:r>
      <w:r w:rsidR="001C328F" w:rsidRPr="00954547">
        <w:rPr>
          <w:lang w:val="en-US"/>
        </w:rPr>
        <w:t>, because it had failed to indicate that the State had forwarded a report on</w:t>
      </w:r>
      <w:r w:rsidR="004E7FFD" w:rsidRPr="00954547">
        <w:rPr>
          <w:lang w:val="en-US"/>
        </w:rPr>
        <w:t xml:space="preserve"> </w:t>
      </w:r>
      <w:r w:rsidR="001C328F" w:rsidRPr="00954547">
        <w:rPr>
          <w:lang w:val="en-US"/>
        </w:rPr>
        <w:t>April 3,</w:t>
      </w:r>
      <w:r w:rsidR="004E7FFD" w:rsidRPr="00954547">
        <w:rPr>
          <w:lang w:val="en-US"/>
        </w:rPr>
        <w:t xml:space="preserve"> 2019, </w:t>
      </w:r>
      <w:r w:rsidR="001C328F" w:rsidRPr="00954547">
        <w:rPr>
          <w:lang w:val="en-US"/>
        </w:rPr>
        <w:t xml:space="preserve">which </w:t>
      </w:r>
      <w:r w:rsidR="004E7FFD" w:rsidRPr="00954547">
        <w:rPr>
          <w:lang w:val="en-US"/>
        </w:rPr>
        <w:t>“cont</w:t>
      </w:r>
      <w:r w:rsidR="001C328F" w:rsidRPr="00954547">
        <w:rPr>
          <w:lang w:val="en-US"/>
        </w:rPr>
        <w:t>ained information on the specific actions taken to expedite the recommendations</w:t>
      </w:r>
      <w:r w:rsidR="003A5B27" w:rsidRPr="00954547">
        <w:rPr>
          <w:lang w:val="en-US"/>
        </w:rPr>
        <w:t xml:space="preserve"> made in </w:t>
      </w:r>
      <w:r w:rsidR="00A94F95" w:rsidRPr="00954547">
        <w:rPr>
          <w:lang w:val="en-US"/>
        </w:rPr>
        <w:t>the Merits Report</w:t>
      </w:r>
      <w:r w:rsidR="003A5B27" w:rsidRPr="00954547">
        <w:rPr>
          <w:lang w:val="en-US"/>
        </w:rPr>
        <w:t>.</w:t>
      </w:r>
      <w:r w:rsidR="004E7FFD" w:rsidRPr="00954547">
        <w:rPr>
          <w:lang w:val="en-US"/>
        </w:rPr>
        <w:t>”</w:t>
      </w:r>
      <w:r w:rsidR="003A5B27" w:rsidRPr="00954547">
        <w:rPr>
          <w:lang w:val="en-US"/>
        </w:rPr>
        <w:t xml:space="preserve"> Therefore, it argued that</w:t>
      </w:r>
      <w:r w:rsidR="0064114B" w:rsidRPr="00954547">
        <w:rPr>
          <w:lang w:val="en-US"/>
        </w:rPr>
        <w:t xml:space="preserve"> “</w:t>
      </w:r>
      <w:r w:rsidR="00E76B1A" w:rsidRPr="00954547">
        <w:rPr>
          <w:lang w:val="en-US"/>
        </w:rPr>
        <w:t>the Commission</w:t>
      </w:r>
      <w:r w:rsidR="0064114B" w:rsidRPr="00954547">
        <w:rPr>
          <w:lang w:val="en-US"/>
        </w:rPr>
        <w:t xml:space="preserve"> </w:t>
      </w:r>
      <w:r w:rsidR="003A5B27" w:rsidRPr="00954547">
        <w:rPr>
          <w:lang w:val="en-US"/>
        </w:rPr>
        <w:t>had not complied with the provisions of</w:t>
      </w:r>
      <w:r w:rsidR="0064114B" w:rsidRPr="00954547">
        <w:rPr>
          <w:lang w:val="en-US"/>
        </w:rPr>
        <w:t xml:space="preserve"> </w:t>
      </w:r>
      <w:r w:rsidR="00A17F8C" w:rsidRPr="00954547">
        <w:rPr>
          <w:lang w:val="en-US"/>
        </w:rPr>
        <w:t>Article</w:t>
      </w:r>
      <w:r w:rsidR="0064114B" w:rsidRPr="00954547">
        <w:rPr>
          <w:lang w:val="en-US"/>
        </w:rPr>
        <w:t xml:space="preserve"> 35 </w:t>
      </w:r>
      <w:r w:rsidR="006E0D5E" w:rsidRPr="00954547">
        <w:rPr>
          <w:lang w:val="en-US"/>
        </w:rPr>
        <w:t>of the Court’s Rules of Procedure</w:t>
      </w:r>
      <w:r w:rsidR="003A5B27" w:rsidRPr="00954547">
        <w:rPr>
          <w:lang w:val="en-US"/>
        </w:rPr>
        <w:t xml:space="preserve"> which establish the requirements for the presentation of a case.” </w:t>
      </w:r>
      <w:r w:rsidRPr="00954547">
        <w:rPr>
          <w:lang w:val="en-US"/>
        </w:rPr>
        <w:t xml:space="preserve">The </w:t>
      </w:r>
      <w:r w:rsidR="006E0D5E" w:rsidRPr="00954547">
        <w:rPr>
          <w:b/>
          <w:bCs/>
          <w:i/>
          <w:iCs/>
          <w:lang w:val="en-US"/>
        </w:rPr>
        <w:t>representatives</w:t>
      </w:r>
      <w:r w:rsidR="0064114B" w:rsidRPr="00954547">
        <w:rPr>
          <w:lang w:val="en-US"/>
        </w:rPr>
        <w:t xml:space="preserve"> </w:t>
      </w:r>
      <w:r w:rsidR="003A5B27" w:rsidRPr="00954547">
        <w:rPr>
          <w:lang w:val="en-US"/>
        </w:rPr>
        <w:t>argued that</w:t>
      </w:r>
      <w:r w:rsidR="0064114B" w:rsidRPr="00954547">
        <w:rPr>
          <w:lang w:val="en-US"/>
        </w:rPr>
        <w:t xml:space="preserve"> “</w:t>
      </w:r>
      <w:r w:rsidR="003A5B27" w:rsidRPr="00954547">
        <w:rPr>
          <w:lang w:val="en-US"/>
        </w:rPr>
        <w:t>the possible failure to comply with</w:t>
      </w:r>
      <w:r w:rsidR="00041C12" w:rsidRPr="00954547">
        <w:rPr>
          <w:lang w:val="en-US"/>
        </w:rPr>
        <w:t xml:space="preserve"> Article</w:t>
      </w:r>
      <w:r w:rsidR="0064114B" w:rsidRPr="00954547">
        <w:rPr>
          <w:lang w:val="en-US"/>
        </w:rPr>
        <w:t xml:space="preserve"> 35</w:t>
      </w:r>
      <w:r w:rsidR="003A5B27" w:rsidRPr="00954547">
        <w:rPr>
          <w:lang w:val="en-US"/>
        </w:rPr>
        <w:t>(</w:t>
      </w:r>
      <w:r w:rsidR="0064114B" w:rsidRPr="00954547">
        <w:rPr>
          <w:lang w:val="en-US"/>
        </w:rPr>
        <w:t>c</w:t>
      </w:r>
      <w:r w:rsidR="003A5B27" w:rsidRPr="00954547">
        <w:rPr>
          <w:lang w:val="en-US"/>
        </w:rPr>
        <w:t>)</w:t>
      </w:r>
      <w:r w:rsidR="0064114B" w:rsidRPr="00954547">
        <w:rPr>
          <w:lang w:val="en-US"/>
        </w:rPr>
        <w:t xml:space="preserve"> </w:t>
      </w:r>
      <w:r w:rsidR="006E0D5E" w:rsidRPr="00954547">
        <w:rPr>
          <w:lang w:val="en-US"/>
        </w:rPr>
        <w:t>of the Court’s Rules of Procedure</w:t>
      </w:r>
      <w:r w:rsidR="003A5B27" w:rsidRPr="00954547">
        <w:rPr>
          <w:lang w:val="en-US"/>
        </w:rPr>
        <w:t xml:space="preserve"> does not constitute</w:t>
      </w:r>
      <w:r w:rsidR="0064114B" w:rsidRPr="00954547">
        <w:rPr>
          <w:lang w:val="en-US"/>
        </w:rPr>
        <w:t xml:space="preserve">, </w:t>
      </w:r>
      <w:r w:rsidR="0064114B" w:rsidRPr="00954547">
        <w:rPr>
          <w:i/>
          <w:lang w:val="en-US"/>
        </w:rPr>
        <w:t>per se</w:t>
      </w:r>
      <w:r w:rsidR="0064114B" w:rsidRPr="00954547">
        <w:rPr>
          <w:lang w:val="en-US"/>
        </w:rPr>
        <w:t xml:space="preserve">, </w:t>
      </w:r>
      <w:r w:rsidR="003A5B27" w:rsidRPr="00954547">
        <w:rPr>
          <w:lang w:val="en-US"/>
        </w:rPr>
        <w:t xml:space="preserve">an obstacle to the admissibility of the case” and that, anyway, </w:t>
      </w:r>
      <w:r w:rsidR="0064114B" w:rsidRPr="00954547">
        <w:rPr>
          <w:lang w:val="en-US"/>
        </w:rPr>
        <w:t xml:space="preserve">“El Salvador </w:t>
      </w:r>
      <w:r w:rsidR="003A5B27" w:rsidRPr="00954547">
        <w:rPr>
          <w:lang w:val="en-US"/>
        </w:rPr>
        <w:t xml:space="preserve">has not presented any argument to substantiate how the supposed failure to comply with this provision might have affected its defense.” </w:t>
      </w:r>
      <w:r w:rsidR="00E76B1A" w:rsidRPr="00954547">
        <w:rPr>
          <w:lang w:val="en-US"/>
        </w:rPr>
        <w:t xml:space="preserve">The </w:t>
      </w:r>
      <w:r w:rsidR="00E76B1A" w:rsidRPr="00954547">
        <w:rPr>
          <w:b/>
          <w:bCs/>
          <w:i/>
          <w:iCs/>
          <w:lang w:val="en-US"/>
        </w:rPr>
        <w:t>Commission</w:t>
      </w:r>
      <w:r w:rsidR="0064114B" w:rsidRPr="00954547">
        <w:rPr>
          <w:lang w:val="en-US"/>
        </w:rPr>
        <w:t xml:space="preserve"> </w:t>
      </w:r>
      <w:r w:rsidR="003A5B27" w:rsidRPr="00954547">
        <w:rPr>
          <w:lang w:val="en-US"/>
        </w:rPr>
        <w:t>argued that</w:t>
      </w:r>
      <w:r w:rsidR="0064114B" w:rsidRPr="00954547">
        <w:rPr>
          <w:lang w:val="en-US"/>
        </w:rPr>
        <w:t xml:space="preserve"> “</w:t>
      </w:r>
      <w:r w:rsidR="003A5B27" w:rsidRPr="00954547">
        <w:rPr>
          <w:lang w:val="en-US"/>
        </w:rPr>
        <w:t xml:space="preserve">the decision to submit a case to the Court forms part of the Commission’s sphere of autonomy as established in </w:t>
      </w:r>
      <w:r w:rsidR="00041C12" w:rsidRPr="00954547">
        <w:rPr>
          <w:lang w:val="en-US"/>
        </w:rPr>
        <w:t>Article</w:t>
      </w:r>
      <w:r w:rsidR="0064114B" w:rsidRPr="00954547">
        <w:rPr>
          <w:lang w:val="en-US"/>
        </w:rPr>
        <w:t xml:space="preserve"> 51</w:t>
      </w:r>
      <w:r w:rsidR="005E0FD1" w:rsidRPr="00954547">
        <w:rPr>
          <w:lang w:val="en-US"/>
        </w:rPr>
        <w:t xml:space="preserve"> of the American Convention</w:t>
      </w:r>
      <w:r w:rsidR="0078694F" w:rsidRPr="00954547">
        <w:rPr>
          <w:lang w:val="en-US"/>
        </w:rPr>
        <w:t xml:space="preserve"> and </w:t>
      </w:r>
      <w:r w:rsidR="003A5B27" w:rsidRPr="00954547">
        <w:rPr>
          <w:lang w:val="en-US"/>
        </w:rPr>
        <w:t xml:space="preserve">is </w:t>
      </w:r>
      <w:r w:rsidR="000E3723" w:rsidRPr="00954547">
        <w:rPr>
          <w:lang w:val="en-US"/>
        </w:rPr>
        <w:t>taken</w:t>
      </w:r>
      <w:r w:rsidR="003A5B27" w:rsidRPr="00954547">
        <w:rPr>
          <w:lang w:val="en-US"/>
        </w:rPr>
        <w:t xml:space="preserve"> in strict compliance with </w:t>
      </w:r>
      <w:r w:rsidR="00041C12" w:rsidRPr="00954547">
        <w:rPr>
          <w:lang w:val="en-US"/>
        </w:rPr>
        <w:t>Article</w:t>
      </w:r>
      <w:r w:rsidR="004E7FFD" w:rsidRPr="00954547">
        <w:rPr>
          <w:lang w:val="en-US"/>
        </w:rPr>
        <w:t xml:space="preserve"> 35 </w:t>
      </w:r>
      <w:r w:rsidR="006E0D5E" w:rsidRPr="00954547">
        <w:rPr>
          <w:lang w:val="en-US"/>
        </w:rPr>
        <w:t>of the Court’s Rules of Procedure</w:t>
      </w:r>
      <w:r w:rsidR="003A5B27" w:rsidRPr="00954547">
        <w:rPr>
          <w:lang w:val="en-US"/>
        </w:rPr>
        <w:t>.</w:t>
      </w:r>
      <w:r w:rsidR="004E7FFD" w:rsidRPr="00954547">
        <w:rPr>
          <w:lang w:val="en-US"/>
        </w:rPr>
        <w:t xml:space="preserve">” </w:t>
      </w:r>
      <w:r w:rsidR="00E76B1A" w:rsidRPr="00954547">
        <w:rPr>
          <w:lang w:val="en-US"/>
        </w:rPr>
        <w:t>The Commission</w:t>
      </w:r>
      <w:r w:rsidR="0097107C" w:rsidRPr="00954547">
        <w:rPr>
          <w:lang w:val="en-US"/>
        </w:rPr>
        <w:t xml:space="preserve"> also argued that: (</w:t>
      </w:r>
      <w:r w:rsidR="0064114B" w:rsidRPr="00954547">
        <w:rPr>
          <w:lang w:val="en-US"/>
        </w:rPr>
        <w:t xml:space="preserve">i) </w:t>
      </w:r>
      <w:r w:rsidR="0097107C" w:rsidRPr="00954547">
        <w:rPr>
          <w:lang w:val="en-US"/>
        </w:rPr>
        <w:t>in April</w:t>
      </w:r>
      <w:r w:rsidR="0064114B" w:rsidRPr="00954547">
        <w:rPr>
          <w:lang w:val="en-US"/>
        </w:rPr>
        <w:t xml:space="preserve"> 2019</w:t>
      </w:r>
      <w:r w:rsidR="0097107C" w:rsidRPr="00954547">
        <w:rPr>
          <w:lang w:val="en-US"/>
        </w:rPr>
        <w:t>,</w:t>
      </w:r>
      <w:r w:rsidR="0064114B" w:rsidRPr="00954547">
        <w:rPr>
          <w:lang w:val="en-US"/>
        </w:rPr>
        <w:t xml:space="preserve"> </w:t>
      </w:r>
      <w:r w:rsidRPr="00954547">
        <w:rPr>
          <w:lang w:val="en-US"/>
        </w:rPr>
        <w:t>the State</w:t>
      </w:r>
      <w:r w:rsidR="0064114B" w:rsidRPr="00954547">
        <w:rPr>
          <w:lang w:val="en-US"/>
        </w:rPr>
        <w:t xml:space="preserve"> present</w:t>
      </w:r>
      <w:r w:rsidR="0097107C" w:rsidRPr="00954547">
        <w:rPr>
          <w:lang w:val="en-US"/>
        </w:rPr>
        <w:t>ed a report on compliance with</w:t>
      </w:r>
      <w:r w:rsidR="000E3723" w:rsidRPr="00954547">
        <w:rPr>
          <w:lang w:val="en-US"/>
        </w:rPr>
        <w:t xml:space="preserve"> the</w:t>
      </w:r>
      <w:r w:rsidR="0097107C" w:rsidRPr="00954547">
        <w:rPr>
          <w:lang w:val="en-US"/>
        </w:rPr>
        <w:t xml:space="preserve"> recommendations </w:t>
      </w:r>
      <w:r w:rsidR="005E0FD1" w:rsidRPr="00954547">
        <w:rPr>
          <w:lang w:val="en-US"/>
        </w:rPr>
        <w:t xml:space="preserve">of the </w:t>
      </w:r>
      <w:r w:rsidR="00A94F95" w:rsidRPr="00954547">
        <w:rPr>
          <w:lang w:val="en-US"/>
        </w:rPr>
        <w:t>Merits Report</w:t>
      </w:r>
      <w:r w:rsidR="0078694F" w:rsidRPr="00954547">
        <w:rPr>
          <w:lang w:val="en-US"/>
        </w:rPr>
        <w:t xml:space="preserve"> and </w:t>
      </w:r>
      <w:r w:rsidR="0097107C" w:rsidRPr="00954547">
        <w:rPr>
          <w:lang w:val="en-US"/>
        </w:rPr>
        <w:t xml:space="preserve">on April 24, </w:t>
      </w:r>
      <w:r w:rsidR="0064114B" w:rsidRPr="00954547">
        <w:rPr>
          <w:lang w:val="en-US"/>
        </w:rPr>
        <w:t>2019</w:t>
      </w:r>
      <w:r w:rsidR="0097107C" w:rsidRPr="00954547">
        <w:rPr>
          <w:lang w:val="en-US"/>
        </w:rPr>
        <w:t>,</w:t>
      </w:r>
      <w:r w:rsidR="0064114B" w:rsidRPr="00954547">
        <w:rPr>
          <w:lang w:val="en-US"/>
        </w:rPr>
        <w:t xml:space="preserve"> </w:t>
      </w:r>
      <w:r w:rsidR="00E76B1A" w:rsidRPr="00954547">
        <w:rPr>
          <w:lang w:val="en-US"/>
        </w:rPr>
        <w:t>the Commission</w:t>
      </w:r>
      <w:r w:rsidR="0064114B" w:rsidRPr="00954547">
        <w:rPr>
          <w:lang w:val="en-US"/>
        </w:rPr>
        <w:t xml:space="preserve"> </w:t>
      </w:r>
      <w:r w:rsidR="0097107C" w:rsidRPr="00954547">
        <w:rPr>
          <w:lang w:val="en-US"/>
        </w:rPr>
        <w:t xml:space="preserve">granted it a three-month extension to move forward in complying with </w:t>
      </w:r>
      <w:r w:rsidR="005E0FD1" w:rsidRPr="00954547">
        <w:rPr>
          <w:lang w:val="en-US"/>
        </w:rPr>
        <w:t xml:space="preserve">the </w:t>
      </w:r>
      <w:r w:rsidR="00A94F95" w:rsidRPr="00954547">
        <w:rPr>
          <w:lang w:val="en-US"/>
        </w:rPr>
        <w:t>Merits Report</w:t>
      </w:r>
      <w:r w:rsidR="0064114B" w:rsidRPr="00954547">
        <w:rPr>
          <w:lang w:val="en-US"/>
        </w:rPr>
        <w:t>,</w:t>
      </w:r>
      <w:r w:rsidR="0097107C" w:rsidRPr="00954547">
        <w:rPr>
          <w:lang w:val="en-US"/>
        </w:rPr>
        <w:t xml:space="preserve"> but when this time frame expired, the State failed to request another extension, and (ii) although </w:t>
      </w:r>
      <w:r w:rsidR="00E76B1A" w:rsidRPr="00954547">
        <w:rPr>
          <w:lang w:val="en-US"/>
        </w:rPr>
        <w:t>the Commission</w:t>
      </w:r>
      <w:r w:rsidR="0064114B" w:rsidRPr="00954547">
        <w:rPr>
          <w:lang w:val="en-US"/>
        </w:rPr>
        <w:t xml:space="preserve"> </w:t>
      </w:r>
      <w:r w:rsidR="0097107C" w:rsidRPr="00954547">
        <w:rPr>
          <w:lang w:val="en-US"/>
        </w:rPr>
        <w:t xml:space="preserve">appreciated the State’s report of April 2019, this “did not demonstrate substantive progress in complying with the recommendations </w:t>
      </w:r>
      <w:r w:rsidR="005E0FD1" w:rsidRPr="00954547">
        <w:rPr>
          <w:lang w:val="en-US"/>
        </w:rPr>
        <w:t xml:space="preserve">of the </w:t>
      </w:r>
      <w:r w:rsidR="00A94F95" w:rsidRPr="00954547">
        <w:rPr>
          <w:lang w:val="en-US"/>
        </w:rPr>
        <w:t>Merits Report</w:t>
      </w:r>
      <w:r w:rsidR="0064114B" w:rsidRPr="00954547">
        <w:rPr>
          <w:lang w:val="en-US"/>
        </w:rPr>
        <w:t xml:space="preserve">”. </w:t>
      </w:r>
    </w:p>
    <w:p w14:paraId="6907CF32" w14:textId="52CCF1A2" w:rsidR="0064114B" w:rsidRPr="00954547" w:rsidRDefault="0064114B" w:rsidP="00386B24">
      <w:pPr>
        <w:pStyle w:val="Heading3"/>
        <w:tabs>
          <w:tab w:val="left" w:pos="567"/>
        </w:tabs>
      </w:pPr>
      <w:bookmarkStart w:id="20" w:name="_Toc106353887"/>
      <w:r w:rsidRPr="00954547">
        <w:t xml:space="preserve">B.2 </w:t>
      </w:r>
      <w:r w:rsidRPr="00954547">
        <w:tab/>
      </w:r>
      <w:r w:rsidR="00B8393C" w:rsidRPr="00954547">
        <w:t>Considerations</w:t>
      </w:r>
      <w:r w:rsidR="00607E12" w:rsidRPr="00954547">
        <w:t xml:space="preserve"> of the </w:t>
      </w:r>
      <w:r w:rsidR="00E76B1A" w:rsidRPr="00954547">
        <w:t>Court</w:t>
      </w:r>
      <w:bookmarkEnd w:id="20"/>
    </w:p>
    <w:p w14:paraId="6BA4B124" w14:textId="63AF1F26" w:rsidR="0064114B" w:rsidRPr="00954547" w:rsidRDefault="00E76B1A" w:rsidP="00595507">
      <w:pPr>
        <w:pStyle w:val="Numberedparagraphs"/>
        <w:tabs>
          <w:tab w:val="left" w:pos="567"/>
        </w:tabs>
        <w:rPr>
          <w:b/>
          <w:lang w:val="en-US"/>
        </w:rPr>
      </w:pPr>
      <w:bookmarkStart w:id="21" w:name="_Ref86675527"/>
      <w:r w:rsidRPr="00954547">
        <w:rPr>
          <w:lang w:val="en-US"/>
        </w:rPr>
        <w:t>The Court</w:t>
      </w:r>
      <w:r w:rsidR="0064114B" w:rsidRPr="00954547">
        <w:rPr>
          <w:lang w:val="en-US"/>
        </w:rPr>
        <w:t xml:space="preserve"> observ</w:t>
      </w:r>
      <w:r w:rsidR="0097107C" w:rsidRPr="00954547">
        <w:rPr>
          <w:lang w:val="en-US"/>
        </w:rPr>
        <w:t xml:space="preserve">es that, when submitting this case, </w:t>
      </w:r>
      <w:r w:rsidRPr="00954547">
        <w:rPr>
          <w:lang w:val="en-US"/>
        </w:rPr>
        <w:t>the Commission</w:t>
      </w:r>
      <w:r w:rsidR="0064114B" w:rsidRPr="00954547">
        <w:rPr>
          <w:lang w:val="en-US"/>
        </w:rPr>
        <w:t xml:space="preserve"> </w:t>
      </w:r>
      <w:r w:rsidR="0097107C" w:rsidRPr="00954547">
        <w:rPr>
          <w:lang w:val="en-US"/>
        </w:rPr>
        <w:t xml:space="preserve">indicated that it had no “information </w:t>
      </w:r>
      <w:r w:rsidR="000E3723" w:rsidRPr="00954547">
        <w:rPr>
          <w:lang w:val="en-US"/>
        </w:rPr>
        <w:t>that any</w:t>
      </w:r>
      <w:r w:rsidR="0097107C" w:rsidRPr="00954547">
        <w:rPr>
          <w:lang w:val="en-US"/>
        </w:rPr>
        <w:t xml:space="preserve"> substantive progress </w:t>
      </w:r>
      <w:r w:rsidR="000E3723" w:rsidRPr="00954547">
        <w:rPr>
          <w:lang w:val="en-US"/>
        </w:rPr>
        <w:t xml:space="preserve">has been made </w:t>
      </w:r>
      <w:r w:rsidR="0097107C" w:rsidRPr="00954547">
        <w:rPr>
          <w:lang w:val="en-US"/>
        </w:rPr>
        <w:t xml:space="preserve">in complying with the recommendations </w:t>
      </w:r>
      <w:r w:rsidR="005E0FD1" w:rsidRPr="00954547">
        <w:rPr>
          <w:lang w:val="en-US"/>
        </w:rPr>
        <w:t xml:space="preserve">of the </w:t>
      </w:r>
      <w:r w:rsidR="00A94F95" w:rsidRPr="00954547">
        <w:rPr>
          <w:lang w:val="en-US"/>
        </w:rPr>
        <w:t>Merits Report</w:t>
      </w:r>
      <w:r w:rsidR="00595507" w:rsidRPr="00954547">
        <w:rPr>
          <w:lang w:val="en-US"/>
        </w:rPr>
        <w:t>.</w:t>
      </w:r>
      <w:r w:rsidR="0064114B" w:rsidRPr="00954547">
        <w:rPr>
          <w:lang w:val="en-US"/>
        </w:rPr>
        <w:t>”</w:t>
      </w:r>
      <w:r w:rsidR="00595507" w:rsidRPr="00954547">
        <w:rPr>
          <w:lang w:val="en-US"/>
        </w:rPr>
        <w:t xml:space="preserve"> The President</w:t>
      </w:r>
      <w:r w:rsidR="0064114B" w:rsidRPr="00954547">
        <w:rPr>
          <w:lang w:val="en-US"/>
        </w:rPr>
        <w:t xml:space="preserve"> </w:t>
      </w:r>
      <w:r w:rsidR="00607E12" w:rsidRPr="00954547">
        <w:rPr>
          <w:lang w:val="en-US"/>
        </w:rPr>
        <w:t xml:space="preserve">of the </w:t>
      </w:r>
      <w:r w:rsidRPr="00954547">
        <w:rPr>
          <w:lang w:val="en-US"/>
        </w:rPr>
        <w:t>Court</w:t>
      </w:r>
      <w:r w:rsidR="0064114B" w:rsidRPr="00954547">
        <w:rPr>
          <w:lang w:val="en-US"/>
        </w:rPr>
        <w:t xml:space="preserve"> consider</w:t>
      </w:r>
      <w:r w:rsidR="00595507" w:rsidRPr="00954547">
        <w:rPr>
          <w:lang w:val="en-US"/>
        </w:rPr>
        <w:t>ed that, when submitted the case, the Commission had met the requirements stipulated in</w:t>
      </w:r>
      <w:r w:rsidR="0064114B" w:rsidRPr="00954547">
        <w:rPr>
          <w:lang w:val="en-US"/>
        </w:rPr>
        <w:t xml:space="preserve"> </w:t>
      </w:r>
      <w:r w:rsidR="00A17F8C" w:rsidRPr="00954547">
        <w:rPr>
          <w:lang w:val="en-US"/>
        </w:rPr>
        <w:t>Article</w:t>
      </w:r>
      <w:r w:rsidR="0064114B" w:rsidRPr="00954547">
        <w:rPr>
          <w:lang w:val="en-US"/>
        </w:rPr>
        <w:t xml:space="preserve"> 35 </w:t>
      </w:r>
      <w:r w:rsidR="006E0D5E" w:rsidRPr="00954547">
        <w:rPr>
          <w:lang w:val="en-US"/>
        </w:rPr>
        <w:t>of the Court’s Rules of Procedure</w:t>
      </w:r>
      <w:r w:rsidR="0064114B" w:rsidRPr="00954547">
        <w:rPr>
          <w:lang w:val="en-US"/>
        </w:rPr>
        <w:t xml:space="preserve"> </w:t>
      </w:r>
      <w:r w:rsidR="00595507" w:rsidRPr="00954547">
        <w:rPr>
          <w:lang w:val="en-US"/>
        </w:rPr>
        <w:t xml:space="preserve">and, consequently, required the Secretariat to notify the submission of the case. Similarly, the Court considers that, when indicating in the letter submitting the case that it had no “information </w:t>
      </w:r>
      <w:r w:rsidR="000E3723" w:rsidRPr="00954547">
        <w:rPr>
          <w:lang w:val="en-US"/>
        </w:rPr>
        <w:t xml:space="preserve">that any substantive progress has been made </w:t>
      </w:r>
      <w:r w:rsidR="00595507" w:rsidRPr="00954547">
        <w:rPr>
          <w:lang w:val="en-US"/>
        </w:rPr>
        <w:t xml:space="preserve">in complying with the recommendations of the Merits Report,” </w:t>
      </w:r>
      <w:r w:rsidRPr="00954547">
        <w:rPr>
          <w:lang w:val="en-US"/>
        </w:rPr>
        <w:t>the Commission</w:t>
      </w:r>
      <w:r w:rsidR="00595507" w:rsidRPr="00954547">
        <w:rPr>
          <w:lang w:val="en-US"/>
        </w:rPr>
        <w:t xml:space="preserve"> had met the requirements of </w:t>
      </w:r>
      <w:r w:rsidR="00A17F8C" w:rsidRPr="00954547">
        <w:rPr>
          <w:lang w:val="en-US"/>
        </w:rPr>
        <w:t>Article</w:t>
      </w:r>
      <w:r w:rsidR="0064114B" w:rsidRPr="00954547">
        <w:rPr>
          <w:lang w:val="en-US"/>
        </w:rPr>
        <w:t xml:space="preserve"> 35</w:t>
      </w:r>
      <w:r w:rsidR="00595507" w:rsidRPr="00954547">
        <w:rPr>
          <w:lang w:val="en-US"/>
        </w:rPr>
        <w:t>(</w:t>
      </w:r>
      <w:r w:rsidR="0064114B" w:rsidRPr="00954547">
        <w:rPr>
          <w:lang w:val="en-US"/>
        </w:rPr>
        <w:t>1</w:t>
      </w:r>
      <w:r w:rsidR="00595507" w:rsidRPr="00954547">
        <w:rPr>
          <w:lang w:val="en-US"/>
        </w:rPr>
        <w:t>)(</w:t>
      </w:r>
      <w:r w:rsidR="0064114B" w:rsidRPr="00954547">
        <w:rPr>
          <w:lang w:val="en-US"/>
        </w:rPr>
        <w:t>c</w:t>
      </w:r>
      <w:r w:rsidR="00595507" w:rsidRPr="00954547">
        <w:rPr>
          <w:lang w:val="en-US"/>
        </w:rPr>
        <w:t xml:space="preserve">) of the Rules of Procedure. Based on these considerations, the Court rejects this </w:t>
      </w:r>
      <w:r w:rsidR="00A70DC4" w:rsidRPr="00954547">
        <w:rPr>
          <w:lang w:val="en-US"/>
        </w:rPr>
        <w:t>preliminary objection</w:t>
      </w:r>
      <w:bookmarkEnd w:id="21"/>
      <w:r w:rsidR="00595507" w:rsidRPr="00954547">
        <w:rPr>
          <w:lang w:val="en-US"/>
        </w:rPr>
        <w:t>.</w:t>
      </w:r>
      <w:r w:rsidR="004E7FFD" w:rsidRPr="00954547">
        <w:rPr>
          <w:rStyle w:val="FootnoteReference"/>
          <w:lang w:val="en-US"/>
        </w:rPr>
        <w:footnoteReference w:id="74"/>
      </w:r>
    </w:p>
    <w:p w14:paraId="5149EE9A" w14:textId="5D7ED1AC" w:rsidR="00662CB3" w:rsidRPr="00954547" w:rsidRDefault="00662CB3" w:rsidP="00662CB3">
      <w:pPr>
        <w:pStyle w:val="Heading1"/>
      </w:pPr>
      <w:bookmarkStart w:id="22" w:name="_Toc106353888"/>
      <w:r w:rsidRPr="00954547">
        <w:t>V</w:t>
      </w:r>
      <w:r w:rsidRPr="00954547">
        <w:br/>
      </w:r>
      <w:r w:rsidR="00595507" w:rsidRPr="00954547">
        <w:t>PRELIMINARY CONSIDERATION</w:t>
      </w:r>
      <w:bookmarkEnd w:id="22"/>
    </w:p>
    <w:p w14:paraId="728B9EBF" w14:textId="535F0F4A" w:rsidR="00BC2440" w:rsidRPr="00954547" w:rsidRDefault="00B8393C" w:rsidP="00662CB3">
      <w:pPr>
        <w:pStyle w:val="Heading2"/>
        <w:rPr>
          <w:lang w:val="en-US"/>
        </w:rPr>
      </w:pPr>
      <w:bookmarkStart w:id="23" w:name="_Toc106353889"/>
      <w:r w:rsidRPr="00954547">
        <w:rPr>
          <w:lang w:val="en-US"/>
        </w:rPr>
        <w:t>Arguments</w:t>
      </w:r>
      <w:r w:rsidR="003A0C7A" w:rsidRPr="00954547">
        <w:rPr>
          <w:lang w:val="en-US"/>
        </w:rPr>
        <w:t xml:space="preserve"> of the parties and the</w:t>
      </w:r>
      <w:r w:rsidR="00607E12" w:rsidRPr="00954547">
        <w:rPr>
          <w:lang w:val="en-US"/>
        </w:rPr>
        <w:t xml:space="preserve"> </w:t>
      </w:r>
      <w:r w:rsidR="00E76B1A" w:rsidRPr="00954547">
        <w:rPr>
          <w:lang w:val="en-US"/>
        </w:rPr>
        <w:t>Commission</w:t>
      </w:r>
      <w:bookmarkEnd w:id="23"/>
    </w:p>
    <w:p w14:paraId="298E11B3" w14:textId="56E5C1F8" w:rsidR="0064114B" w:rsidRPr="00954547" w:rsidRDefault="00B8393C" w:rsidP="00386B24">
      <w:pPr>
        <w:pStyle w:val="Numberedparagraphs"/>
        <w:tabs>
          <w:tab w:val="left" w:pos="567"/>
        </w:tabs>
        <w:rPr>
          <w:lang w:val="en-US"/>
        </w:rPr>
      </w:pPr>
      <w:r w:rsidRPr="00954547">
        <w:rPr>
          <w:lang w:val="en-US"/>
        </w:rPr>
        <w:t xml:space="preserve">The </w:t>
      </w:r>
      <w:r w:rsidRPr="00954547">
        <w:rPr>
          <w:b/>
          <w:bCs/>
          <w:i/>
          <w:iCs/>
          <w:lang w:val="en-US"/>
        </w:rPr>
        <w:t>State</w:t>
      </w:r>
      <w:r w:rsidR="0064114B" w:rsidRPr="00954547">
        <w:rPr>
          <w:lang w:val="en-US"/>
        </w:rPr>
        <w:t xml:space="preserve"> </w:t>
      </w:r>
      <w:r w:rsidR="00A30CA9" w:rsidRPr="00954547">
        <w:rPr>
          <w:lang w:val="en-US"/>
        </w:rPr>
        <w:t>argued that</w:t>
      </w:r>
      <w:r w:rsidR="0064114B" w:rsidRPr="00954547">
        <w:rPr>
          <w:lang w:val="en-US"/>
        </w:rPr>
        <w:t xml:space="preserve"> “[</w:t>
      </w:r>
      <w:r w:rsidR="00A30CA9" w:rsidRPr="00954547">
        <w:rPr>
          <w:lang w:val="en-US"/>
        </w:rPr>
        <w:t>t</w:t>
      </w:r>
      <w:r w:rsidR="0064114B" w:rsidRPr="00954547">
        <w:rPr>
          <w:lang w:val="en-US"/>
        </w:rPr>
        <w:t>]</w:t>
      </w:r>
      <w:r w:rsidR="00A30CA9" w:rsidRPr="00954547">
        <w:rPr>
          <w:lang w:val="en-US"/>
        </w:rPr>
        <w:t xml:space="preserve">he facts examined by </w:t>
      </w:r>
      <w:r w:rsidR="00E76B1A" w:rsidRPr="00954547">
        <w:rPr>
          <w:lang w:val="en-US"/>
        </w:rPr>
        <w:t>the Commission</w:t>
      </w:r>
      <w:r w:rsidR="00A30CA9" w:rsidRPr="00954547">
        <w:rPr>
          <w:lang w:val="en-US"/>
        </w:rPr>
        <w:t xml:space="preserve">, based on which it determined the presumed responsibility </w:t>
      </w:r>
      <w:r w:rsidR="00607E12" w:rsidRPr="00954547">
        <w:rPr>
          <w:lang w:val="en-US"/>
        </w:rPr>
        <w:t xml:space="preserve">of the </w:t>
      </w:r>
      <w:r w:rsidRPr="00954547">
        <w:rPr>
          <w:lang w:val="en-US"/>
        </w:rPr>
        <w:t>State</w:t>
      </w:r>
      <w:r w:rsidR="0064114B" w:rsidRPr="00954547">
        <w:rPr>
          <w:lang w:val="en-US"/>
        </w:rPr>
        <w:t xml:space="preserve"> </w:t>
      </w:r>
      <w:r w:rsidR="00A30CA9" w:rsidRPr="00954547">
        <w:rPr>
          <w:lang w:val="en-US"/>
        </w:rPr>
        <w:t>of</w:t>
      </w:r>
      <w:r w:rsidR="0064114B" w:rsidRPr="00954547">
        <w:rPr>
          <w:lang w:val="en-US"/>
        </w:rPr>
        <w:t xml:space="preserve"> El Salvador, </w:t>
      </w:r>
      <w:r w:rsidR="00A30CA9" w:rsidRPr="00954547">
        <w:rPr>
          <w:lang w:val="en-US"/>
        </w:rPr>
        <w:t xml:space="preserve">are circumscribed to the criminal proceedings against </w:t>
      </w:r>
      <w:r w:rsidR="0064114B" w:rsidRPr="00954547">
        <w:rPr>
          <w:lang w:val="en-US"/>
        </w:rPr>
        <w:t>Manuela</w:t>
      </w:r>
      <w:r w:rsidR="0078694F" w:rsidRPr="00954547">
        <w:rPr>
          <w:lang w:val="en-US"/>
        </w:rPr>
        <w:t xml:space="preserve"> and </w:t>
      </w:r>
      <w:r w:rsidR="00A30CA9" w:rsidRPr="00954547">
        <w:rPr>
          <w:lang w:val="en-US"/>
        </w:rPr>
        <w:t>her conviction for the offense of aggravated homicide</w:t>
      </w:r>
      <w:r w:rsidR="0064114B" w:rsidRPr="00954547">
        <w:rPr>
          <w:lang w:val="en-US"/>
        </w:rPr>
        <w:t xml:space="preserve">, </w:t>
      </w:r>
      <w:r w:rsidR="00A30CA9" w:rsidRPr="00954547">
        <w:rPr>
          <w:lang w:val="en-US"/>
        </w:rPr>
        <w:t xml:space="preserve">to her health care, and to her subsequent decease while in the custody </w:t>
      </w:r>
      <w:r w:rsidR="00607E12" w:rsidRPr="00954547">
        <w:rPr>
          <w:lang w:val="en-US"/>
        </w:rPr>
        <w:t xml:space="preserve">of the </w:t>
      </w:r>
      <w:r w:rsidRPr="00954547">
        <w:rPr>
          <w:lang w:val="en-US"/>
        </w:rPr>
        <w:t>State</w:t>
      </w:r>
      <w:r w:rsidR="00A30CA9" w:rsidRPr="00954547">
        <w:rPr>
          <w:lang w:val="en-US"/>
        </w:rPr>
        <w:t>.</w:t>
      </w:r>
      <w:r w:rsidR="0064114B" w:rsidRPr="00954547">
        <w:rPr>
          <w:lang w:val="en-US"/>
        </w:rPr>
        <w:t>”</w:t>
      </w:r>
      <w:r w:rsidR="004E7FFD" w:rsidRPr="00954547">
        <w:rPr>
          <w:b/>
          <w:lang w:val="en-US"/>
        </w:rPr>
        <w:t xml:space="preserve"> </w:t>
      </w:r>
      <w:r w:rsidR="00B66AA2" w:rsidRPr="00954547">
        <w:rPr>
          <w:lang w:val="en-US"/>
        </w:rPr>
        <w:t>It stressed that</w:t>
      </w:r>
      <w:r w:rsidR="0064114B" w:rsidRPr="00954547">
        <w:rPr>
          <w:lang w:val="en-US"/>
        </w:rPr>
        <w:t xml:space="preserve"> </w:t>
      </w:r>
      <w:r w:rsidR="00E76B1A" w:rsidRPr="00954547">
        <w:rPr>
          <w:lang w:val="en-US"/>
        </w:rPr>
        <w:t>the Commission</w:t>
      </w:r>
      <w:r w:rsidR="0064114B" w:rsidRPr="00954547">
        <w:rPr>
          <w:lang w:val="en-US"/>
        </w:rPr>
        <w:t xml:space="preserve"> </w:t>
      </w:r>
      <w:r w:rsidR="00B66AA2" w:rsidRPr="00954547">
        <w:rPr>
          <w:lang w:val="en-US"/>
        </w:rPr>
        <w:t xml:space="preserve">had considered that it would not examine the context of the criminalization of abortion because </w:t>
      </w:r>
      <w:r w:rsidR="0064114B" w:rsidRPr="00954547">
        <w:rPr>
          <w:lang w:val="en-US"/>
        </w:rPr>
        <w:t>Manuela</w:t>
      </w:r>
      <w:r w:rsidR="00B66AA2" w:rsidRPr="00954547">
        <w:rPr>
          <w:lang w:val="en-US"/>
        </w:rPr>
        <w:t xml:space="preserve"> was convicted of aggravated homicide</w:t>
      </w:r>
      <w:r w:rsidR="0064114B" w:rsidRPr="00954547">
        <w:rPr>
          <w:lang w:val="en-US"/>
        </w:rPr>
        <w:t>.</w:t>
      </w:r>
      <w:r w:rsidR="00B66AA2" w:rsidRPr="00954547">
        <w:rPr>
          <w:b/>
          <w:lang w:val="en-US"/>
        </w:rPr>
        <w:t xml:space="preserve"> </w:t>
      </w:r>
      <w:r w:rsidR="00B66AA2" w:rsidRPr="00954547">
        <w:rPr>
          <w:lang w:val="en-US"/>
        </w:rPr>
        <w:t xml:space="preserve">It argued that, despite this, </w:t>
      </w:r>
      <w:r w:rsidRPr="00954547">
        <w:rPr>
          <w:lang w:val="en-US"/>
        </w:rPr>
        <w:t xml:space="preserve">the </w:t>
      </w:r>
      <w:r w:rsidR="006E0D5E" w:rsidRPr="00954547">
        <w:rPr>
          <w:lang w:val="en-US"/>
        </w:rPr>
        <w:t>representatives</w:t>
      </w:r>
      <w:r w:rsidR="0064114B" w:rsidRPr="00954547">
        <w:rPr>
          <w:lang w:val="en-US"/>
        </w:rPr>
        <w:t xml:space="preserve"> </w:t>
      </w:r>
      <w:r w:rsidR="00B66AA2" w:rsidRPr="00954547">
        <w:rPr>
          <w:lang w:val="en-US"/>
        </w:rPr>
        <w:t>had included within the context facts relating to the</w:t>
      </w:r>
      <w:r w:rsidR="0064114B" w:rsidRPr="00954547">
        <w:rPr>
          <w:lang w:val="en-US"/>
        </w:rPr>
        <w:t xml:space="preserve"> “criminaliza</w:t>
      </w:r>
      <w:r w:rsidR="00B66AA2" w:rsidRPr="00954547">
        <w:rPr>
          <w:lang w:val="en-US"/>
        </w:rPr>
        <w:t>tio</w:t>
      </w:r>
      <w:r w:rsidR="0064114B" w:rsidRPr="00954547">
        <w:rPr>
          <w:lang w:val="en-US"/>
        </w:rPr>
        <w:t xml:space="preserve">n </w:t>
      </w:r>
      <w:r w:rsidR="00B66AA2" w:rsidRPr="00954547">
        <w:rPr>
          <w:lang w:val="en-US"/>
        </w:rPr>
        <w:t>of obstetric emergencies</w:t>
      </w:r>
      <w:r w:rsidR="0064114B" w:rsidRPr="00954547">
        <w:rPr>
          <w:lang w:val="en-US"/>
        </w:rPr>
        <w:t xml:space="preserve"> </w:t>
      </w:r>
      <w:r w:rsidR="00B66AA2" w:rsidRPr="00954547">
        <w:rPr>
          <w:lang w:val="en-US"/>
        </w:rPr>
        <w:t>i</w:t>
      </w:r>
      <w:r w:rsidR="0064114B" w:rsidRPr="00954547">
        <w:rPr>
          <w:lang w:val="en-US"/>
        </w:rPr>
        <w:t>n El Salvador</w:t>
      </w:r>
      <w:r w:rsidR="00B66AA2" w:rsidRPr="00954547">
        <w:rPr>
          <w:lang w:val="en-US"/>
        </w:rPr>
        <w:t>.</w:t>
      </w:r>
      <w:r w:rsidR="0064114B" w:rsidRPr="00954547">
        <w:rPr>
          <w:lang w:val="en-US"/>
        </w:rPr>
        <w:t xml:space="preserve">” </w:t>
      </w:r>
      <w:r w:rsidRPr="00954547">
        <w:rPr>
          <w:rFonts w:cs="Times New Roman"/>
          <w:lang w:val="en-US"/>
        </w:rPr>
        <w:t>The State</w:t>
      </w:r>
      <w:r w:rsidR="00B66AA2" w:rsidRPr="00954547">
        <w:rPr>
          <w:rFonts w:cs="Times New Roman"/>
          <w:lang w:val="en-US"/>
        </w:rPr>
        <w:t xml:space="preserve"> argued that those facts did not form part of the factual framework</w:t>
      </w:r>
      <w:r w:rsidR="0064114B" w:rsidRPr="00954547">
        <w:rPr>
          <w:rFonts w:cs="Times New Roman"/>
          <w:lang w:val="en-US"/>
        </w:rPr>
        <w:t xml:space="preserve"> </w:t>
      </w:r>
      <w:r w:rsidR="00B66AA2" w:rsidRPr="00954547">
        <w:rPr>
          <w:rFonts w:cs="Times New Roman"/>
          <w:lang w:val="en-US"/>
        </w:rPr>
        <w:t>of the case.</w:t>
      </w:r>
      <w:r w:rsidR="00427AB5" w:rsidRPr="00954547">
        <w:rPr>
          <w:rStyle w:val="FootnoteReference"/>
          <w:rFonts w:cs="Times New Roman"/>
          <w:lang w:val="en-US"/>
        </w:rPr>
        <w:footnoteReference w:id="75"/>
      </w:r>
    </w:p>
    <w:p w14:paraId="4A49D239" w14:textId="717C4BF9" w:rsidR="0064114B" w:rsidRPr="00954547" w:rsidRDefault="00B8393C" w:rsidP="00782D4C">
      <w:pPr>
        <w:pStyle w:val="Numberedparagraphs"/>
        <w:tabs>
          <w:tab w:val="left" w:pos="567"/>
        </w:tabs>
        <w:rPr>
          <w:lang w:val="en-US"/>
        </w:rPr>
      </w:pPr>
      <w:r w:rsidRPr="00954547">
        <w:rPr>
          <w:lang w:val="en-US"/>
        </w:rPr>
        <w:t xml:space="preserve">The </w:t>
      </w:r>
      <w:r w:rsidR="006E0D5E" w:rsidRPr="00954547">
        <w:rPr>
          <w:b/>
          <w:bCs/>
          <w:i/>
          <w:iCs/>
          <w:lang w:val="en-US"/>
        </w:rPr>
        <w:t>representatives</w:t>
      </w:r>
      <w:r w:rsidR="0064114B" w:rsidRPr="00954547">
        <w:rPr>
          <w:lang w:val="en-US"/>
        </w:rPr>
        <w:t xml:space="preserve"> a</w:t>
      </w:r>
      <w:r w:rsidR="00B66AA2" w:rsidRPr="00954547">
        <w:rPr>
          <w:lang w:val="en-US"/>
        </w:rPr>
        <w:t>rgued that the contextual information that the State sought to exclude</w:t>
      </w:r>
      <w:r w:rsidR="00720FF6" w:rsidRPr="00954547">
        <w:rPr>
          <w:lang w:val="en-US"/>
        </w:rPr>
        <w:t xml:space="preserve"> from the factual framework corresponded to facts that explain</w:t>
      </w:r>
      <w:r w:rsidR="00B26091" w:rsidRPr="00954547">
        <w:rPr>
          <w:lang w:val="en-US"/>
        </w:rPr>
        <w:t>ed</w:t>
      </w:r>
      <w:r w:rsidR="00720FF6" w:rsidRPr="00954547">
        <w:rPr>
          <w:lang w:val="en-US"/>
        </w:rPr>
        <w:t xml:space="preserve"> and clarif</w:t>
      </w:r>
      <w:r w:rsidR="00B26091" w:rsidRPr="00954547">
        <w:rPr>
          <w:lang w:val="en-US"/>
        </w:rPr>
        <w:t>ied</w:t>
      </w:r>
      <w:r w:rsidR="00720FF6" w:rsidRPr="00954547">
        <w:rPr>
          <w:lang w:val="en-US"/>
        </w:rPr>
        <w:t xml:space="preserve"> the facts mentioned in the submission of the case and the Merits Report presented by the Commission. They emphasized that “the Commission itself, in the letter submitting the case, indicated that the instant case should be analyzed ‘within the framework of the known context in El Salvador of the criminalization of abortion.’</w:t>
      </w:r>
      <w:r w:rsidR="0064114B" w:rsidRPr="00954547">
        <w:rPr>
          <w:lang w:val="en-US"/>
        </w:rPr>
        <w:t>”</w:t>
      </w:r>
      <w:r w:rsidR="00720FF6" w:rsidRPr="00954547">
        <w:rPr>
          <w:lang w:val="en-US"/>
        </w:rPr>
        <w:t xml:space="preserve"> They also argued that, in </w:t>
      </w:r>
      <w:r w:rsidR="00A94F95" w:rsidRPr="00954547">
        <w:rPr>
          <w:lang w:val="en-US"/>
        </w:rPr>
        <w:t>the Merits Report</w:t>
      </w:r>
      <w:r w:rsidR="0064114B" w:rsidRPr="00954547">
        <w:rPr>
          <w:lang w:val="en-US"/>
        </w:rPr>
        <w:t xml:space="preserve">, </w:t>
      </w:r>
      <w:r w:rsidR="00E76B1A" w:rsidRPr="00954547">
        <w:rPr>
          <w:lang w:val="en-US"/>
        </w:rPr>
        <w:t>the Commission</w:t>
      </w:r>
      <w:r w:rsidR="00720FF6" w:rsidRPr="00954547">
        <w:rPr>
          <w:lang w:val="en-US"/>
        </w:rPr>
        <w:t xml:space="preserve"> had</w:t>
      </w:r>
      <w:r w:rsidR="0064114B" w:rsidRPr="00954547">
        <w:rPr>
          <w:lang w:val="en-US"/>
        </w:rPr>
        <w:t xml:space="preserve">: </w:t>
      </w:r>
      <w:r w:rsidR="00720FF6" w:rsidRPr="00954547">
        <w:rPr>
          <w:lang w:val="en-US"/>
        </w:rPr>
        <w:t>(</w:t>
      </w:r>
      <w:r w:rsidR="0064114B" w:rsidRPr="00954547">
        <w:rPr>
          <w:lang w:val="en-US"/>
        </w:rPr>
        <w:t>1) “</w:t>
      </w:r>
      <w:r w:rsidR="00720FF6" w:rsidRPr="00954547">
        <w:rPr>
          <w:lang w:val="en-US"/>
        </w:rPr>
        <w:t xml:space="preserve">underlined that the severity of El Salvador’s criminal laws meant that ‘women are prosecuted for the offense of abortion or for the offense of homicide in proceedings in which different guarantees </w:t>
      </w:r>
      <w:r w:rsidR="00B429ED" w:rsidRPr="00954547">
        <w:rPr>
          <w:lang w:val="en-US"/>
        </w:rPr>
        <w:t xml:space="preserve">of due process </w:t>
      </w:r>
      <w:r w:rsidR="00720FF6" w:rsidRPr="00954547">
        <w:rPr>
          <w:lang w:val="en-US"/>
        </w:rPr>
        <w:t xml:space="preserve">are violated and </w:t>
      </w:r>
      <w:r w:rsidR="002A54F0" w:rsidRPr="00954547">
        <w:rPr>
          <w:lang w:val="en-US"/>
        </w:rPr>
        <w:t>pretrial</w:t>
      </w:r>
      <w:r w:rsidR="00720FF6" w:rsidRPr="00954547">
        <w:rPr>
          <w:lang w:val="en-US"/>
        </w:rPr>
        <w:t xml:space="preserve"> detention is used abusively,’” and (2)</w:t>
      </w:r>
      <w:r w:rsidR="000D43AC" w:rsidRPr="00954547">
        <w:rPr>
          <w:lang w:val="en-US"/>
        </w:rPr>
        <w:t xml:space="preserve"> “referred to a series of rulings on the way in which the rights of women are not ensured when they seek medical </w:t>
      </w:r>
      <w:r w:rsidR="00B26091" w:rsidRPr="00954547">
        <w:rPr>
          <w:lang w:val="en-US"/>
        </w:rPr>
        <w:t>attention</w:t>
      </w:r>
      <w:r w:rsidR="000D43AC" w:rsidRPr="00954547">
        <w:rPr>
          <w:lang w:val="en-US"/>
        </w:rPr>
        <w:t xml:space="preserve">.” Therefore, they considered that “all the facts recounted in the pleadings and motions brief </w:t>
      </w:r>
      <w:r w:rsidR="00782D4C" w:rsidRPr="00954547">
        <w:rPr>
          <w:lang w:val="en-US"/>
        </w:rPr>
        <w:t>fall within</w:t>
      </w:r>
      <w:r w:rsidR="00B66AA2" w:rsidRPr="00954547">
        <w:rPr>
          <w:lang w:val="en-US"/>
        </w:rPr>
        <w:t xml:space="preserve"> the factual framework</w:t>
      </w:r>
      <w:r w:rsidR="0064114B" w:rsidRPr="00954547">
        <w:rPr>
          <w:lang w:val="en-US"/>
        </w:rPr>
        <w:t xml:space="preserve"> </w:t>
      </w:r>
      <w:r w:rsidR="00B26091" w:rsidRPr="00954547">
        <w:rPr>
          <w:lang w:val="en-US"/>
        </w:rPr>
        <w:t xml:space="preserve">that </w:t>
      </w:r>
      <w:r w:rsidR="00E76B1A" w:rsidRPr="00954547">
        <w:rPr>
          <w:lang w:val="en-US"/>
        </w:rPr>
        <w:t>the Commission</w:t>
      </w:r>
      <w:r w:rsidR="00B26091" w:rsidRPr="00954547">
        <w:rPr>
          <w:lang w:val="en-US"/>
        </w:rPr>
        <w:t xml:space="preserve"> submitted</w:t>
      </w:r>
      <w:r w:rsidR="0064114B" w:rsidRPr="00954547">
        <w:rPr>
          <w:lang w:val="en-US"/>
        </w:rPr>
        <w:t xml:space="preserve"> </w:t>
      </w:r>
      <w:r w:rsidR="00782D4C" w:rsidRPr="00954547">
        <w:rPr>
          <w:lang w:val="en-US"/>
        </w:rPr>
        <w:t>to the Court and should be taken into account by the Court when analyzing the case.</w:t>
      </w:r>
      <w:r w:rsidR="0064114B" w:rsidRPr="00954547">
        <w:rPr>
          <w:lang w:val="en-US"/>
        </w:rPr>
        <w:t>”</w:t>
      </w:r>
    </w:p>
    <w:p w14:paraId="2B7EB469" w14:textId="310BA080" w:rsidR="00782D4C" w:rsidRPr="00954547" w:rsidRDefault="00E76B1A" w:rsidP="00386B24">
      <w:pPr>
        <w:pStyle w:val="Numberedparagraphs"/>
        <w:tabs>
          <w:tab w:val="left" w:pos="567"/>
        </w:tabs>
        <w:rPr>
          <w:lang w:val="en-US"/>
        </w:rPr>
      </w:pPr>
      <w:r w:rsidRPr="00954547">
        <w:rPr>
          <w:lang w:val="en-US"/>
        </w:rPr>
        <w:t xml:space="preserve">The </w:t>
      </w:r>
      <w:r w:rsidRPr="00954547">
        <w:rPr>
          <w:b/>
          <w:bCs/>
          <w:i/>
          <w:iCs/>
          <w:lang w:val="en-US"/>
        </w:rPr>
        <w:t>Commission</w:t>
      </w:r>
      <w:r w:rsidR="0064114B" w:rsidRPr="00954547">
        <w:rPr>
          <w:b/>
          <w:bCs/>
          <w:i/>
          <w:iCs/>
          <w:lang w:val="en-US"/>
        </w:rPr>
        <w:t xml:space="preserve"> </w:t>
      </w:r>
      <w:r w:rsidR="0064114B" w:rsidRPr="00954547">
        <w:rPr>
          <w:lang w:val="en-US"/>
        </w:rPr>
        <w:t>argu</w:t>
      </w:r>
      <w:r w:rsidR="00782D4C" w:rsidRPr="00954547">
        <w:rPr>
          <w:lang w:val="en-US"/>
        </w:rPr>
        <w:t>ed that the said information “is related to the section on context in the Merits Report, as well as to the facts of the said decision, and contribute</w:t>
      </w:r>
      <w:r w:rsidR="00B26091" w:rsidRPr="00954547">
        <w:rPr>
          <w:lang w:val="en-US"/>
        </w:rPr>
        <w:t>s</w:t>
      </w:r>
      <w:r w:rsidR="00782D4C" w:rsidRPr="00954547">
        <w:rPr>
          <w:lang w:val="en-US"/>
        </w:rPr>
        <w:t xml:space="preserve"> to clarifying or explaining th</w:t>
      </w:r>
      <w:r w:rsidR="00B26091" w:rsidRPr="00954547">
        <w:rPr>
          <w:lang w:val="en-US"/>
        </w:rPr>
        <w:t>ose facts</w:t>
      </w:r>
      <w:r w:rsidR="00782D4C" w:rsidRPr="00954547">
        <w:rPr>
          <w:lang w:val="en-US"/>
        </w:rPr>
        <w:t>. Furthermore, the Commission considers that […] the said contextual information may be useful to enable the Court: (1) to adequately characterize the facts and assess the international responsibility of the State; (2) understand and assess the evidence, and (3) determine the measures of reparation.</w:t>
      </w:r>
      <w:r w:rsidR="00DD50D1" w:rsidRPr="00954547">
        <w:rPr>
          <w:lang w:val="en-US"/>
        </w:rPr>
        <w:t>”</w:t>
      </w:r>
    </w:p>
    <w:p w14:paraId="50E5A72F" w14:textId="44C4E35D" w:rsidR="00BC2440" w:rsidRPr="00954547" w:rsidRDefault="00B8393C" w:rsidP="00662CB3">
      <w:pPr>
        <w:pStyle w:val="Heading2"/>
        <w:tabs>
          <w:tab w:val="left" w:pos="567"/>
        </w:tabs>
        <w:rPr>
          <w:lang w:val="en-US"/>
        </w:rPr>
      </w:pPr>
      <w:bookmarkStart w:id="24" w:name="_Toc106353890"/>
      <w:r w:rsidRPr="00954547">
        <w:rPr>
          <w:lang w:val="en-US"/>
        </w:rPr>
        <w:t>Considerations</w:t>
      </w:r>
      <w:r w:rsidR="00607E12" w:rsidRPr="00954547">
        <w:rPr>
          <w:lang w:val="en-US"/>
        </w:rPr>
        <w:t xml:space="preserve"> of the </w:t>
      </w:r>
      <w:r w:rsidR="00E76B1A" w:rsidRPr="00954547">
        <w:rPr>
          <w:lang w:val="en-US"/>
        </w:rPr>
        <w:t>Court</w:t>
      </w:r>
      <w:bookmarkEnd w:id="24"/>
    </w:p>
    <w:p w14:paraId="53F1AF4D" w14:textId="67A25436" w:rsidR="0064114B" w:rsidRPr="00954547" w:rsidRDefault="00DD50D1" w:rsidP="00DD50D1">
      <w:pPr>
        <w:pStyle w:val="Numberedparagraphs"/>
        <w:tabs>
          <w:tab w:val="left" w:pos="567"/>
        </w:tabs>
        <w:rPr>
          <w:color w:val="auto"/>
          <w:lang w:val="en-US"/>
        </w:rPr>
      </w:pPr>
      <w:bookmarkStart w:id="25" w:name="_Ref87963539"/>
      <w:r w:rsidRPr="00954547">
        <w:rPr>
          <w:lang w:val="en-US"/>
        </w:rPr>
        <w:t xml:space="preserve">This Court has established that </w:t>
      </w:r>
      <w:r w:rsidR="00B66AA2" w:rsidRPr="00954547">
        <w:rPr>
          <w:lang w:val="en-US"/>
        </w:rPr>
        <w:t>the factual framework</w:t>
      </w:r>
      <w:r w:rsidR="0064114B" w:rsidRPr="00954547">
        <w:rPr>
          <w:lang w:val="en-US"/>
        </w:rPr>
        <w:t xml:space="preserve"> </w:t>
      </w:r>
      <w:r w:rsidRPr="00954547">
        <w:rPr>
          <w:lang w:val="en-US"/>
        </w:rPr>
        <w:t xml:space="preserve">for the proceedings before it is constituted by the facts contained in </w:t>
      </w:r>
      <w:r w:rsidR="00A94F95" w:rsidRPr="00954547">
        <w:rPr>
          <w:lang w:val="en-US"/>
        </w:rPr>
        <w:t>the Merits Report</w:t>
      </w:r>
      <w:r w:rsidR="0064114B" w:rsidRPr="00954547">
        <w:rPr>
          <w:lang w:val="en-US"/>
        </w:rPr>
        <w:t xml:space="preserve"> </w:t>
      </w:r>
      <w:r w:rsidRPr="00954547">
        <w:rPr>
          <w:lang w:val="en-US"/>
        </w:rPr>
        <w:t xml:space="preserve">submitted to the Court’s consideration; therefore, it is not admissible to allege new facts that differ from those described in the said report, without prejudice to presenting facts that explain, clarify or reject those that have been mentioned in the </w:t>
      </w:r>
      <w:r w:rsidR="0004125B" w:rsidRPr="00954547">
        <w:rPr>
          <w:lang w:val="en-US"/>
        </w:rPr>
        <w:t>report</w:t>
      </w:r>
      <w:r w:rsidRPr="00954547">
        <w:rPr>
          <w:lang w:val="en-US"/>
        </w:rPr>
        <w:t>, or that re</w:t>
      </w:r>
      <w:r w:rsidR="0004125B" w:rsidRPr="00954547">
        <w:rPr>
          <w:lang w:val="en-US"/>
        </w:rPr>
        <w:t>late</w:t>
      </w:r>
      <w:r w:rsidRPr="00954547">
        <w:rPr>
          <w:lang w:val="en-US"/>
        </w:rPr>
        <w:t xml:space="preserve"> to the claims of the petitioner (also called “complementary facts”). The exception to this principle are facts referred to as supervening facts,</w:t>
      </w:r>
      <w:r w:rsidR="0004125B" w:rsidRPr="00954547">
        <w:rPr>
          <w:lang w:val="en-US"/>
        </w:rPr>
        <w:t xml:space="preserve"> and these</w:t>
      </w:r>
      <w:r w:rsidRPr="00954547">
        <w:rPr>
          <w:lang w:val="en-US"/>
        </w:rPr>
        <w:t xml:space="preserve"> may be forwarded to the court at any stage of the proceedings before judgment has been delivered.</w:t>
      </w:r>
      <w:r w:rsidR="0064114B" w:rsidRPr="00954547">
        <w:rPr>
          <w:rStyle w:val="FootnoteReference"/>
          <w:lang w:val="en-US"/>
        </w:rPr>
        <w:footnoteReference w:id="76"/>
      </w:r>
      <w:r w:rsidRPr="00954547">
        <w:rPr>
          <w:lang w:val="en-US"/>
        </w:rPr>
        <w:t xml:space="preserve"> Ultimately, it corresponds to the Court to decide, in each case, on the admissibility of arguments concerning the factual framework in order to safeguard the procedural balance between the parties.</w:t>
      </w:r>
      <w:r w:rsidR="0064114B" w:rsidRPr="00954547">
        <w:rPr>
          <w:rStyle w:val="FootnoteReference"/>
          <w:color w:val="auto"/>
          <w:lang w:val="en-US"/>
        </w:rPr>
        <w:footnoteReference w:id="77"/>
      </w:r>
      <w:bookmarkEnd w:id="25"/>
    </w:p>
    <w:p w14:paraId="79DF0711" w14:textId="3D9B56C7" w:rsidR="0064114B" w:rsidRPr="00954547" w:rsidRDefault="00DD50D1" w:rsidP="00386B24">
      <w:pPr>
        <w:pStyle w:val="Numberedparagraphs"/>
        <w:tabs>
          <w:tab w:val="left" w:pos="567"/>
        </w:tabs>
        <w:rPr>
          <w:lang w:val="en-US"/>
        </w:rPr>
      </w:pPr>
      <w:r w:rsidRPr="00954547">
        <w:rPr>
          <w:color w:val="auto"/>
          <w:lang w:val="en-US"/>
        </w:rPr>
        <w:t>In th</w:t>
      </w:r>
      <w:r w:rsidR="00EC21D1" w:rsidRPr="00954547">
        <w:rPr>
          <w:color w:val="auto"/>
          <w:lang w:val="en-US"/>
        </w:rPr>
        <w:t>is</w:t>
      </w:r>
      <w:r w:rsidRPr="00954547">
        <w:rPr>
          <w:color w:val="auto"/>
          <w:lang w:val="en-US"/>
        </w:rPr>
        <w:t xml:space="preserve"> case, a dispute exists regarding the inclusi</w:t>
      </w:r>
      <w:r w:rsidR="00015F7C" w:rsidRPr="00954547">
        <w:rPr>
          <w:color w:val="auto"/>
          <w:lang w:val="en-US"/>
        </w:rPr>
        <w:t>o</w:t>
      </w:r>
      <w:r w:rsidRPr="00954547">
        <w:rPr>
          <w:color w:val="auto"/>
          <w:lang w:val="en-US"/>
        </w:rPr>
        <w:t xml:space="preserve">n of various contextual facts by </w:t>
      </w:r>
      <w:r w:rsidR="00607E12" w:rsidRPr="00954547">
        <w:rPr>
          <w:color w:val="auto"/>
          <w:lang w:val="en-US"/>
        </w:rPr>
        <w:t xml:space="preserve">the </w:t>
      </w:r>
      <w:r w:rsidR="006E0D5E" w:rsidRPr="00954547">
        <w:rPr>
          <w:color w:val="auto"/>
          <w:lang w:val="en-US"/>
        </w:rPr>
        <w:t>representatives</w:t>
      </w:r>
      <w:r w:rsidR="0064114B" w:rsidRPr="00954547">
        <w:rPr>
          <w:lang w:val="en-US"/>
        </w:rPr>
        <w:t xml:space="preserve">. </w:t>
      </w:r>
      <w:r w:rsidRPr="00954547">
        <w:rPr>
          <w:lang w:val="en-US"/>
        </w:rPr>
        <w:t>I</w:t>
      </w:r>
      <w:r w:rsidR="00EF6921" w:rsidRPr="00954547">
        <w:rPr>
          <w:lang w:val="en-US"/>
        </w:rPr>
        <w:t>n</w:t>
      </w:r>
      <w:r w:rsidR="0064114B" w:rsidRPr="00954547">
        <w:rPr>
          <w:lang w:val="en-US"/>
        </w:rPr>
        <w:t xml:space="preserve"> particular, </w:t>
      </w:r>
      <w:r w:rsidR="00B8393C" w:rsidRPr="00954547">
        <w:rPr>
          <w:lang w:val="en-US"/>
        </w:rPr>
        <w:t>the State</w:t>
      </w:r>
      <w:r w:rsidR="0064114B" w:rsidRPr="00954547">
        <w:rPr>
          <w:lang w:val="en-US"/>
        </w:rPr>
        <w:t xml:space="preserve"> </w:t>
      </w:r>
      <w:r w:rsidRPr="00954547">
        <w:rPr>
          <w:lang w:val="en-US"/>
        </w:rPr>
        <w:t xml:space="preserve">has asked that the Court exclude the </w:t>
      </w:r>
      <w:r w:rsidR="00EC21D1" w:rsidRPr="00954547">
        <w:rPr>
          <w:lang w:val="en-US"/>
        </w:rPr>
        <w:t>facts</w:t>
      </w:r>
      <w:r w:rsidRPr="00954547">
        <w:rPr>
          <w:lang w:val="en-US"/>
        </w:rPr>
        <w:t xml:space="preserve"> </w:t>
      </w:r>
      <w:r w:rsidR="005E59F3" w:rsidRPr="00954547">
        <w:rPr>
          <w:lang w:val="en-US"/>
        </w:rPr>
        <w:t>described</w:t>
      </w:r>
      <w:r w:rsidRPr="00954547">
        <w:rPr>
          <w:lang w:val="en-US"/>
        </w:rPr>
        <w:t xml:space="preserve"> by </w:t>
      </w:r>
      <w:r w:rsidR="00B8393C" w:rsidRPr="00954547">
        <w:rPr>
          <w:lang w:val="en-US"/>
        </w:rPr>
        <w:t xml:space="preserve">the </w:t>
      </w:r>
      <w:r w:rsidR="006E0D5E" w:rsidRPr="00954547">
        <w:rPr>
          <w:lang w:val="en-US"/>
        </w:rPr>
        <w:t>representatives</w:t>
      </w:r>
      <w:r w:rsidRPr="00954547">
        <w:rPr>
          <w:lang w:val="en-US"/>
        </w:rPr>
        <w:t xml:space="preserve"> </w:t>
      </w:r>
      <w:r w:rsidR="00015F7C" w:rsidRPr="00954547">
        <w:rPr>
          <w:lang w:val="en-US"/>
        </w:rPr>
        <w:t>in</w:t>
      </w:r>
      <w:r w:rsidRPr="00954547">
        <w:rPr>
          <w:lang w:val="en-US"/>
        </w:rPr>
        <w:t xml:space="preserve"> the section on the </w:t>
      </w:r>
      <w:r w:rsidR="0064114B" w:rsidRPr="00954547">
        <w:rPr>
          <w:lang w:val="en-US"/>
        </w:rPr>
        <w:t>“</w:t>
      </w:r>
      <w:r w:rsidRPr="00954547">
        <w:rPr>
          <w:lang w:val="en-US"/>
        </w:rPr>
        <w:t>criminalization</w:t>
      </w:r>
      <w:r w:rsidR="0064114B" w:rsidRPr="00954547">
        <w:rPr>
          <w:lang w:val="en-US"/>
        </w:rPr>
        <w:t xml:space="preserve"> </w:t>
      </w:r>
      <w:r w:rsidR="00B66AA2" w:rsidRPr="00954547">
        <w:rPr>
          <w:lang w:val="en-US"/>
        </w:rPr>
        <w:t>of obstetric emergencies</w:t>
      </w:r>
      <w:r w:rsidR="0064114B" w:rsidRPr="00954547">
        <w:rPr>
          <w:lang w:val="en-US"/>
        </w:rPr>
        <w:t xml:space="preserve"> </w:t>
      </w:r>
      <w:r w:rsidR="00015F7C" w:rsidRPr="00954547">
        <w:rPr>
          <w:lang w:val="en-US"/>
        </w:rPr>
        <w:t>in El Salvador,</w:t>
      </w:r>
      <w:r w:rsidR="0064114B" w:rsidRPr="00954547">
        <w:rPr>
          <w:lang w:val="en-US"/>
        </w:rPr>
        <w:t>” “</w:t>
      </w:r>
      <w:r w:rsidR="00015F7C" w:rsidRPr="00954547">
        <w:rPr>
          <w:lang w:val="en-US"/>
        </w:rPr>
        <w:t>in which</w:t>
      </w:r>
      <w:r w:rsidR="0004125B" w:rsidRPr="00954547">
        <w:rPr>
          <w:lang w:val="en-US"/>
        </w:rPr>
        <w:t xml:space="preserve"> </w:t>
      </w:r>
      <w:r w:rsidR="00015F7C" w:rsidRPr="00954547">
        <w:rPr>
          <w:lang w:val="en-US"/>
        </w:rPr>
        <w:t xml:space="preserve">they describe obstetric emergencies, the concept and </w:t>
      </w:r>
      <w:r w:rsidR="005E59F3" w:rsidRPr="00954547">
        <w:rPr>
          <w:lang w:val="en-US"/>
        </w:rPr>
        <w:t>approach</w:t>
      </w:r>
      <w:r w:rsidR="00015F7C" w:rsidRPr="00954547">
        <w:rPr>
          <w:lang w:val="en-US"/>
        </w:rPr>
        <w:t xml:space="preserve">; the absolute prohibition of abortion in </w:t>
      </w:r>
      <w:r w:rsidR="0064114B" w:rsidRPr="00954547">
        <w:rPr>
          <w:lang w:val="en-US"/>
        </w:rPr>
        <w:t>El Salvador</w:t>
      </w:r>
      <w:r w:rsidR="0078694F" w:rsidRPr="00954547">
        <w:rPr>
          <w:lang w:val="en-US"/>
        </w:rPr>
        <w:t xml:space="preserve"> and </w:t>
      </w:r>
      <w:r w:rsidR="00015F7C" w:rsidRPr="00954547">
        <w:rPr>
          <w:lang w:val="en-US"/>
        </w:rPr>
        <w:t xml:space="preserve">the </w:t>
      </w:r>
      <w:r w:rsidR="00015F7C" w:rsidRPr="00954547">
        <w:rPr>
          <w:i/>
          <w:iCs/>
          <w:lang w:val="en-US"/>
        </w:rPr>
        <w:t xml:space="preserve">de facto </w:t>
      </w:r>
      <w:r w:rsidRPr="00954547">
        <w:rPr>
          <w:lang w:val="en-US"/>
        </w:rPr>
        <w:t>criminalization</w:t>
      </w:r>
      <w:r w:rsidR="0064114B" w:rsidRPr="00954547">
        <w:rPr>
          <w:lang w:val="en-US"/>
        </w:rPr>
        <w:t xml:space="preserve"> </w:t>
      </w:r>
      <w:r w:rsidR="00B66AA2" w:rsidRPr="00954547">
        <w:rPr>
          <w:lang w:val="en-US"/>
        </w:rPr>
        <w:t>of obstetric emergencies</w:t>
      </w:r>
      <w:r w:rsidR="0064114B" w:rsidRPr="00954547">
        <w:rPr>
          <w:lang w:val="en-US"/>
        </w:rPr>
        <w:t xml:space="preserve">; </w:t>
      </w:r>
      <w:r w:rsidR="005315AC" w:rsidRPr="00954547">
        <w:rPr>
          <w:lang w:val="en-US"/>
        </w:rPr>
        <w:t>the consequences of</w:t>
      </w:r>
      <w:r w:rsidR="0064114B" w:rsidRPr="00954547">
        <w:rPr>
          <w:lang w:val="en-US"/>
        </w:rPr>
        <w:t xml:space="preserve"> </w:t>
      </w:r>
      <w:r w:rsidR="005315AC" w:rsidRPr="00954547">
        <w:rPr>
          <w:lang w:val="en-US"/>
        </w:rPr>
        <w:t>the absolute prohibition</w:t>
      </w:r>
      <w:r w:rsidR="0064114B" w:rsidRPr="00954547">
        <w:rPr>
          <w:lang w:val="en-US"/>
        </w:rPr>
        <w:t xml:space="preserve"> </w:t>
      </w:r>
      <w:r w:rsidR="005315AC" w:rsidRPr="00954547">
        <w:rPr>
          <w:lang w:val="en-US"/>
        </w:rPr>
        <w:t>of abortion and the alleged c</w:t>
      </w:r>
      <w:r w:rsidRPr="00954547">
        <w:rPr>
          <w:lang w:val="en-US"/>
        </w:rPr>
        <w:t>riminalization</w:t>
      </w:r>
      <w:r w:rsidR="0064114B" w:rsidRPr="00954547">
        <w:rPr>
          <w:lang w:val="en-US"/>
        </w:rPr>
        <w:t xml:space="preserve"> </w:t>
      </w:r>
      <w:r w:rsidR="00B66AA2" w:rsidRPr="00954547">
        <w:rPr>
          <w:lang w:val="en-US"/>
        </w:rPr>
        <w:t>of obstetric emergencies</w:t>
      </w:r>
      <w:r w:rsidR="0064114B" w:rsidRPr="00954547">
        <w:rPr>
          <w:lang w:val="en-US"/>
        </w:rPr>
        <w:t xml:space="preserve"> </w:t>
      </w:r>
      <w:r w:rsidR="005315AC" w:rsidRPr="00954547">
        <w:rPr>
          <w:lang w:val="en-US"/>
        </w:rPr>
        <w:t xml:space="preserve">on the exercise of the medical profession, and the barriers to access to justice for women criminalized </w:t>
      </w:r>
      <w:r w:rsidR="005E59F3" w:rsidRPr="00954547">
        <w:rPr>
          <w:lang w:val="en-US"/>
        </w:rPr>
        <w:t>due to</w:t>
      </w:r>
      <w:r w:rsidR="005315AC" w:rsidRPr="00954547">
        <w:rPr>
          <w:lang w:val="en-US"/>
        </w:rPr>
        <w:t xml:space="preserve"> suffer</w:t>
      </w:r>
      <w:r w:rsidR="005E59F3" w:rsidRPr="00954547">
        <w:rPr>
          <w:lang w:val="en-US"/>
        </w:rPr>
        <w:t>ing</w:t>
      </w:r>
      <w:r w:rsidR="005315AC" w:rsidRPr="00954547">
        <w:rPr>
          <w:lang w:val="en-US"/>
        </w:rPr>
        <w:t xml:space="preserve"> obstetric emergencies.”</w:t>
      </w:r>
    </w:p>
    <w:p w14:paraId="7C1F1F2B" w14:textId="16042D1C" w:rsidR="0064114B" w:rsidRPr="00954547" w:rsidRDefault="005315AC" w:rsidP="00EC21D1">
      <w:pPr>
        <w:pStyle w:val="Numberedparagraphs"/>
        <w:tabs>
          <w:tab w:val="left" w:pos="567"/>
        </w:tabs>
        <w:rPr>
          <w:lang w:val="en-US"/>
        </w:rPr>
      </w:pPr>
      <w:r w:rsidRPr="00954547">
        <w:rPr>
          <w:lang w:val="en-US"/>
        </w:rPr>
        <w:t>The Court note</w:t>
      </w:r>
      <w:r w:rsidR="0004125B" w:rsidRPr="00954547">
        <w:rPr>
          <w:lang w:val="en-US"/>
        </w:rPr>
        <w:t>s</w:t>
      </w:r>
      <w:r w:rsidRPr="00954547">
        <w:rPr>
          <w:lang w:val="en-US"/>
        </w:rPr>
        <w:t xml:space="preserve"> that, in the section on context </w:t>
      </w:r>
      <w:r w:rsidR="005E0FD1" w:rsidRPr="00954547">
        <w:rPr>
          <w:lang w:val="en-US"/>
        </w:rPr>
        <w:t xml:space="preserve">of the </w:t>
      </w:r>
      <w:r w:rsidR="00A94F95" w:rsidRPr="00954547">
        <w:rPr>
          <w:lang w:val="en-US"/>
        </w:rPr>
        <w:t>Merits Report</w:t>
      </w:r>
      <w:r w:rsidR="0064114B" w:rsidRPr="00954547">
        <w:rPr>
          <w:lang w:val="en-US"/>
        </w:rPr>
        <w:t xml:space="preserve">, </w:t>
      </w:r>
      <w:r w:rsidR="00E76B1A" w:rsidRPr="00954547">
        <w:rPr>
          <w:lang w:val="en-US"/>
        </w:rPr>
        <w:t>the Commission</w:t>
      </w:r>
      <w:r w:rsidR="0064114B" w:rsidRPr="00954547">
        <w:rPr>
          <w:lang w:val="en-US"/>
        </w:rPr>
        <w:t xml:space="preserve"> </w:t>
      </w:r>
      <w:r w:rsidR="000B3F9F" w:rsidRPr="00954547">
        <w:rPr>
          <w:lang w:val="en-US"/>
        </w:rPr>
        <w:t xml:space="preserve">indicated that “[g]iven that in this case Manuela was convicted of the </w:t>
      </w:r>
      <w:r w:rsidR="00C17C02" w:rsidRPr="00954547">
        <w:rPr>
          <w:lang w:val="en-US"/>
        </w:rPr>
        <w:t xml:space="preserve">crime </w:t>
      </w:r>
      <w:r w:rsidR="000B3F9F" w:rsidRPr="00954547">
        <w:rPr>
          <w:lang w:val="en-US"/>
        </w:rPr>
        <w:t xml:space="preserve">of homicide,” the Commission did not examine further the context </w:t>
      </w:r>
      <w:r w:rsidR="00720FF6" w:rsidRPr="00954547">
        <w:rPr>
          <w:rFonts w:cs="Times New Roman"/>
          <w:lang w:val="en-US"/>
        </w:rPr>
        <w:t>of the criminalization of abortion</w:t>
      </w:r>
      <w:r w:rsidR="007750E2" w:rsidRPr="00954547">
        <w:rPr>
          <w:rFonts w:cs="Times New Roman"/>
          <w:lang w:val="en-US"/>
        </w:rPr>
        <w:t xml:space="preserve"> </w:t>
      </w:r>
      <w:r w:rsidR="00015F7C" w:rsidRPr="00954547">
        <w:rPr>
          <w:rFonts w:cs="Times New Roman"/>
          <w:lang w:val="en-US"/>
        </w:rPr>
        <w:t>in El Salvador</w:t>
      </w:r>
      <w:r w:rsidR="006F56FD" w:rsidRPr="00954547">
        <w:rPr>
          <w:rFonts w:cs="Times New Roman"/>
          <w:lang w:val="en-US"/>
        </w:rPr>
        <w:t>.</w:t>
      </w:r>
      <w:r w:rsidR="0064114B" w:rsidRPr="00954547">
        <w:rPr>
          <w:rFonts w:cs="Times New Roman"/>
          <w:lang w:val="en-US"/>
        </w:rPr>
        <w:t xml:space="preserve"> </w:t>
      </w:r>
      <w:r w:rsidR="00C82722" w:rsidRPr="00954547">
        <w:rPr>
          <w:rFonts w:cs="Times New Roman"/>
          <w:lang w:val="en-US"/>
        </w:rPr>
        <w:t>However,</w:t>
      </w:r>
      <w:r w:rsidR="0064114B" w:rsidRPr="00954547">
        <w:rPr>
          <w:rFonts w:cs="Times New Roman"/>
          <w:lang w:val="en-US"/>
        </w:rPr>
        <w:t xml:space="preserve"> </w:t>
      </w:r>
      <w:r w:rsidR="00E76B1A" w:rsidRPr="00954547">
        <w:rPr>
          <w:rFonts w:cs="Times New Roman"/>
          <w:lang w:val="en-US"/>
        </w:rPr>
        <w:t>the Commission</w:t>
      </w:r>
      <w:r w:rsidR="0064114B" w:rsidRPr="00954547">
        <w:rPr>
          <w:rFonts w:cs="Times New Roman"/>
          <w:lang w:val="en-US"/>
        </w:rPr>
        <w:t xml:space="preserve"> </w:t>
      </w:r>
      <w:r w:rsidR="00C82722" w:rsidRPr="00954547">
        <w:rPr>
          <w:rFonts w:cs="Times New Roman"/>
          <w:lang w:val="en-US"/>
        </w:rPr>
        <w:t>underscored</w:t>
      </w:r>
      <w:r w:rsidR="0064114B" w:rsidRPr="00954547">
        <w:rPr>
          <w:rFonts w:cs="Times New Roman"/>
          <w:lang w:val="en-US"/>
        </w:rPr>
        <w:t xml:space="preserve"> “[</w:t>
      </w:r>
      <w:r w:rsidR="00C82722" w:rsidRPr="00954547">
        <w:rPr>
          <w:rFonts w:cs="Times New Roman"/>
          <w:lang w:val="en-US"/>
        </w:rPr>
        <w:t>t</w:t>
      </w:r>
      <w:r w:rsidR="0064114B" w:rsidRPr="00954547">
        <w:rPr>
          <w:rFonts w:cs="Times New Roman"/>
          <w:lang w:val="en-US"/>
        </w:rPr>
        <w:t>]</w:t>
      </w:r>
      <w:r w:rsidR="00C82722" w:rsidRPr="00954547">
        <w:rPr>
          <w:rFonts w:cs="Times New Roman"/>
          <w:lang w:val="en-US"/>
        </w:rPr>
        <w:t xml:space="preserve">he severity of </w:t>
      </w:r>
      <w:r w:rsidR="00B429ED" w:rsidRPr="00954547">
        <w:rPr>
          <w:rFonts w:cs="Times New Roman"/>
          <w:lang w:val="en-US"/>
        </w:rPr>
        <w:t>certain criminal laws in</w:t>
      </w:r>
      <w:r w:rsidR="00B429ED" w:rsidRPr="00954547">
        <w:rPr>
          <w:lang w:val="en-US"/>
        </w:rPr>
        <w:t xml:space="preserve"> </w:t>
      </w:r>
      <w:r w:rsidR="00C82722" w:rsidRPr="00954547">
        <w:rPr>
          <w:lang w:val="en-US"/>
        </w:rPr>
        <w:t>El Salvador</w:t>
      </w:r>
      <w:r w:rsidR="00B429ED" w:rsidRPr="00954547">
        <w:rPr>
          <w:lang w:val="en-US"/>
        </w:rPr>
        <w:t xml:space="preserve"> which</w:t>
      </w:r>
      <w:r w:rsidR="00C82722" w:rsidRPr="00954547">
        <w:rPr>
          <w:lang w:val="en-US"/>
        </w:rPr>
        <w:t xml:space="preserve"> meant that</w:t>
      </w:r>
      <w:r w:rsidR="00B429ED" w:rsidRPr="00954547">
        <w:rPr>
          <w:lang w:val="en-US"/>
        </w:rPr>
        <w:t xml:space="preserve">, at times, </w:t>
      </w:r>
      <w:r w:rsidR="00C82722" w:rsidRPr="00954547">
        <w:rPr>
          <w:lang w:val="en-US"/>
        </w:rPr>
        <w:t xml:space="preserve">women are prosecuted for the offense of abortion or for the </w:t>
      </w:r>
      <w:r w:rsidR="00C17C02" w:rsidRPr="00954547">
        <w:rPr>
          <w:lang w:val="en-US"/>
        </w:rPr>
        <w:t>crime</w:t>
      </w:r>
      <w:r w:rsidR="00C82722" w:rsidRPr="00954547">
        <w:rPr>
          <w:lang w:val="en-US"/>
        </w:rPr>
        <w:t xml:space="preserve"> of homicide in proceedings in which different</w:t>
      </w:r>
      <w:r w:rsidR="00CE2F94" w:rsidRPr="00954547">
        <w:rPr>
          <w:lang w:val="en-US"/>
        </w:rPr>
        <w:t xml:space="preserve"> due process</w:t>
      </w:r>
      <w:r w:rsidR="00C82722" w:rsidRPr="00954547">
        <w:rPr>
          <w:lang w:val="en-US"/>
        </w:rPr>
        <w:t xml:space="preserve"> guarantees</w:t>
      </w:r>
      <w:r w:rsidR="00B429ED" w:rsidRPr="00954547">
        <w:rPr>
          <w:lang w:val="en-US"/>
        </w:rPr>
        <w:t xml:space="preserve"> </w:t>
      </w:r>
      <w:r w:rsidR="00C82722" w:rsidRPr="00954547">
        <w:rPr>
          <w:lang w:val="en-US"/>
        </w:rPr>
        <w:t xml:space="preserve">are violated and </w:t>
      </w:r>
      <w:r w:rsidR="002A54F0" w:rsidRPr="00954547">
        <w:rPr>
          <w:lang w:val="en-US"/>
        </w:rPr>
        <w:t>pretrial</w:t>
      </w:r>
      <w:r w:rsidR="00C82722" w:rsidRPr="00954547">
        <w:rPr>
          <w:lang w:val="en-US"/>
        </w:rPr>
        <w:t xml:space="preserve"> detention is used abusively</w:t>
      </w:r>
      <w:r w:rsidR="00B429ED" w:rsidRPr="00954547">
        <w:rPr>
          <w:lang w:val="en-US"/>
        </w:rPr>
        <w:t>.” The Commission also included the opinions of the Committee on Economic, Social and Cultural Rights and the Committee for the Elimination of Discrimination against Women concerning the criminalization of abortion and its effects in El Salvador. They mentioned “cases in which women whose health was seriously at risk have turned to the health system and been reported on suspicion of having had an abortion</w:t>
      </w:r>
      <w:r w:rsidR="0045479B" w:rsidRPr="00954547">
        <w:rPr>
          <w:lang w:val="en-US"/>
        </w:rPr>
        <w:t>,</w:t>
      </w:r>
      <w:r w:rsidR="0064114B" w:rsidRPr="00954547">
        <w:rPr>
          <w:lang w:val="en-US"/>
        </w:rPr>
        <w:t>”</w:t>
      </w:r>
      <w:r w:rsidR="0078694F" w:rsidRPr="00954547">
        <w:rPr>
          <w:lang w:val="en-US"/>
        </w:rPr>
        <w:t xml:space="preserve"> and </w:t>
      </w:r>
      <w:r w:rsidR="0064114B" w:rsidRPr="00954547">
        <w:rPr>
          <w:lang w:val="en-US"/>
        </w:rPr>
        <w:t>“</w:t>
      </w:r>
      <w:r w:rsidR="0045479B" w:rsidRPr="00954547">
        <w:rPr>
          <w:lang w:val="en-US"/>
        </w:rPr>
        <w:t xml:space="preserve">the incarceration of women immediately after visiting </w:t>
      </w:r>
      <w:r w:rsidR="00A01712" w:rsidRPr="00954547">
        <w:rPr>
          <w:lang w:val="en-US"/>
        </w:rPr>
        <w:t>a</w:t>
      </w:r>
      <w:r w:rsidR="0045479B" w:rsidRPr="00954547">
        <w:rPr>
          <w:lang w:val="en-US"/>
        </w:rPr>
        <w:t xml:space="preserve"> hospital </w:t>
      </w:r>
      <w:r w:rsidR="00A01712" w:rsidRPr="00954547">
        <w:rPr>
          <w:lang w:val="en-US"/>
        </w:rPr>
        <w:t xml:space="preserve">to </w:t>
      </w:r>
      <w:r w:rsidR="0045479B" w:rsidRPr="00954547">
        <w:rPr>
          <w:lang w:val="en-US"/>
        </w:rPr>
        <w:t xml:space="preserve">seek medical </w:t>
      </w:r>
      <w:r w:rsidR="00CE2F94" w:rsidRPr="00954547">
        <w:rPr>
          <w:lang w:val="en-US"/>
        </w:rPr>
        <w:t>attention</w:t>
      </w:r>
      <w:r w:rsidR="0045479B" w:rsidRPr="00954547">
        <w:rPr>
          <w:lang w:val="en-US"/>
        </w:rPr>
        <w:t>, because the health care personnel report them for fear of themselves being punished.” The Commission also mentioned that</w:t>
      </w:r>
      <w:r w:rsidR="00EC21D1" w:rsidRPr="00954547">
        <w:rPr>
          <w:lang w:val="en-US"/>
        </w:rPr>
        <w:t xml:space="preserve"> it “has expressed its concern owing to possible violations of due process in cases of women who are </w:t>
      </w:r>
      <w:r w:rsidR="00A01712" w:rsidRPr="00954547">
        <w:rPr>
          <w:lang w:val="en-US"/>
        </w:rPr>
        <w:t xml:space="preserve">tried </w:t>
      </w:r>
      <w:r w:rsidR="00EC21D1" w:rsidRPr="00954547">
        <w:rPr>
          <w:lang w:val="en-US"/>
        </w:rPr>
        <w:t xml:space="preserve">and convicted for offenses related to abortion, including </w:t>
      </w:r>
      <w:r w:rsidR="00B66AA2" w:rsidRPr="00954547">
        <w:rPr>
          <w:lang w:val="en-US"/>
        </w:rPr>
        <w:t>aggravated homicide</w:t>
      </w:r>
      <w:r w:rsidR="00EC21D1" w:rsidRPr="00954547">
        <w:rPr>
          <w:lang w:val="en-US"/>
        </w:rPr>
        <w:t>.</w:t>
      </w:r>
      <w:r w:rsidR="0064114B" w:rsidRPr="00954547">
        <w:rPr>
          <w:lang w:val="en-US"/>
        </w:rPr>
        <w:t xml:space="preserve">” </w:t>
      </w:r>
    </w:p>
    <w:p w14:paraId="617D699B" w14:textId="76AF9968" w:rsidR="0064114B" w:rsidRPr="00954547" w:rsidRDefault="00EC21D1" w:rsidP="00BC441D">
      <w:pPr>
        <w:pStyle w:val="Numberedparagraphs"/>
        <w:tabs>
          <w:tab w:val="left" w:pos="567"/>
        </w:tabs>
        <w:rPr>
          <w:color w:val="auto"/>
          <w:lang w:val="en-US"/>
        </w:rPr>
      </w:pPr>
      <w:bookmarkStart w:id="26" w:name="_Ref87963543"/>
      <w:r w:rsidRPr="00954547">
        <w:rPr>
          <w:lang w:val="en-US"/>
        </w:rPr>
        <w:t xml:space="preserve">Consequently, </w:t>
      </w:r>
      <w:r w:rsidR="00E76B1A" w:rsidRPr="00954547">
        <w:rPr>
          <w:lang w:val="en-US"/>
        </w:rPr>
        <w:t>the Court</w:t>
      </w:r>
      <w:r w:rsidR="006F56FD" w:rsidRPr="00954547">
        <w:rPr>
          <w:lang w:val="en-US"/>
        </w:rPr>
        <w:t xml:space="preserve"> </w:t>
      </w:r>
      <w:r w:rsidRPr="00954547">
        <w:rPr>
          <w:lang w:val="en-US"/>
        </w:rPr>
        <w:t>notes that</w:t>
      </w:r>
      <w:r w:rsidR="0064114B" w:rsidRPr="00954547">
        <w:rPr>
          <w:lang w:val="en-US"/>
        </w:rPr>
        <w:t xml:space="preserve"> </w:t>
      </w:r>
      <w:r w:rsidR="00A94F95" w:rsidRPr="00954547">
        <w:rPr>
          <w:lang w:val="en-US"/>
        </w:rPr>
        <w:t xml:space="preserve">the </w:t>
      </w:r>
      <w:r w:rsidRPr="00954547">
        <w:rPr>
          <w:lang w:val="en-US"/>
        </w:rPr>
        <w:t xml:space="preserve">Commission’s </w:t>
      </w:r>
      <w:r w:rsidR="00A94F95" w:rsidRPr="00954547">
        <w:rPr>
          <w:lang w:val="en-US"/>
        </w:rPr>
        <w:t>Merits Report</w:t>
      </w:r>
      <w:r w:rsidR="00607E12" w:rsidRPr="00954547">
        <w:rPr>
          <w:lang w:val="en-US"/>
        </w:rPr>
        <w:t xml:space="preserve"> </w:t>
      </w:r>
      <w:r w:rsidRPr="00954547">
        <w:rPr>
          <w:lang w:val="en-US"/>
        </w:rPr>
        <w:t>includes the criminalization of abortion in El Salvador and the alleged effect of this in cases of obstetric emergencies and infanticide as part of the context of this case</w:t>
      </w:r>
      <w:r w:rsidR="00AB6C7B" w:rsidRPr="00954547">
        <w:rPr>
          <w:lang w:val="en-US"/>
        </w:rPr>
        <w:t xml:space="preserve">. </w:t>
      </w:r>
      <w:r w:rsidRPr="00954547">
        <w:rPr>
          <w:lang w:val="en-US"/>
        </w:rPr>
        <w:t xml:space="preserve">To the extent that the facts included by </w:t>
      </w:r>
      <w:r w:rsidR="00B8393C" w:rsidRPr="00954547">
        <w:rPr>
          <w:lang w:val="en-US"/>
        </w:rPr>
        <w:t xml:space="preserve">the </w:t>
      </w:r>
      <w:r w:rsidR="006E0D5E" w:rsidRPr="00954547">
        <w:rPr>
          <w:lang w:val="en-US"/>
        </w:rPr>
        <w:t>representatives</w:t>
      </w:r>
      <w:r w:rsidR="00272B6A" w:rsidRPr="00954547">
        <w:rPr>
          <w:lang w:val="en-US"/>
        </w:rPr>
        <w:t xml:space="preserve"> </w:t>
      </w:r>
      <w:r w:rsidRPr="00954547">
        <w:rPr>
          <w:lang w:val="en-US"/>
        </w:rPr>
        <w:t>are pertinent to explain and clarify the said context and its relationship to this case, the Court will take them into account</w:t>
      </w:r>
      <w:r w:rsidR="00BC2440" w:rsidRPr="00954547">
        <w:rPr>
          <w:color w:val="auto"/>
          <w:lang w:val="en-US"/>
        </w:rPr>
        <w:t>.</w:t>
      </w:r>
      <w:bookmarkEnd w:id="26"/>
    </w:p>
    <w:p w14:paraId="029E0EAD" w14:textId="7F0AB7EE" w:rsidR="009118CA" w:rsidRPr="00954547" w:rsidRDefault="009118CA" w:rsidP="009118CA">
      <w:pPr>
        <w:pStyle w:val="Heading1"/>
        <w:tabs>
          <w:tab w:val="left" w:pos="567"/>
        </w:tabs>
      </w:pPr>
      <w:bookmarkStart w:id="27" w:name="_Toc106353891"/>
      <w:r w:rsidRPr="00954547">
        <w:t>V</w:t>
      </w:r>
      <w:r w:rsidR="00EB564A" w:rsidRPr="00954547">
        <w:t>I</w:t>
      </w:r>
      <w:r w:rsidRPr="00954547">
        <w:br/>
      </w:r>
      <w:r w:rsidR="00041C12" w:rsidRPr="00954547">
        <w:t>EVIDENCE</w:t>
      </w:r>
      <w:bookmarkEnd w:id="27"/>
    </w:p>
    <w:p w14:paraId="04A5C10B" w14:textId="62105E0A" w:rsidR="009118CA" w:rsidRPr="00954547" w:rsidRDefault="005E59F3" w:rsidP="00D15788">
      <w:pPr>
        <w:pStyle w:val="Heading2"/>
        <w:keepNext w:val="0"/>
        <w:numPr>
          <w:ilvl w:val="1"/>
          <w:numId w:val="12"/>
        </w:numPr>
        <w:tabs>
          <w:tab w:val="left" w:pos="567"/>
        </w:tabs>
        <w:spacing w:after="200"/>
        <w:ind w:left="1134" w:hanging="567"/>
        <w:jc w:val="both"/>
        <w:rPr>
          <w:lang w:val="en-US"/>
        </w:rPr>
      </w:pPr>
      <w:bookmarkStart w:id="28" w:name="_Toc106353892"/>
      <w:r w:rsidRPr="00954547">
        <w:rPr>
          <w:lang w:val="en-US"/>
        </w:rPr>
        <w:t>Admissibility of the documentary evidence</w:t>
      </w:r>
      <w:bookmarkEnd w:id="28"/>
    </w:p>
    <w:p w14:paraId="77CE7AAE" w14:textId="75D0F7F0" w:rsidR="00D97A0A" w:rsidRPr="00954547" w:rsidRDefault="00E76B1A" w:rsidP="00D97A0A">
      <w:pPr>
        <w:pStyle w:val="Numberedparagraphs"/>
        <w:tabs>
          <w:tab w:val="clear" w:pos="720"/>
          <w:tab w:val="left" w:pos="567"/>
        </w:tabs>
        <w:rPr>
          <w:color w:val="auto"/>
          <w:lang w:val="en-US"/>
        </w:rPr>
      </w:pPr>
      <w:r w:rsidRPr="00954547">
        <w:rPr>
          <w:color w:val="auto"/>
          <w:lang w:val="en-US"/>
        </w:rPr>
        <w:t>The Court</w:t>
      </w:r>
      <w:r w:rsidR="009118CA" w:rsidRPr="00954547">
        <w:rPr>
          <w:color w:val="auto"/>
          <w:lang w:val="en-US"/>
        </w:rPr>
        <w:t xml:space="preserve"> rec</w:t>
      </w:r>
      <w:r w:rsidR="005E59F3" w:rsidRPr="00954547">
        <w:rPr>
          <w:color w:val="auto"/>
          <w:lang w:val="en-US"/>
        </w:rPr>
        <w:t xml:space="preserve">eived diverse documents presented as evidence by </w:t>
      </w:r>
      <w:r w:rsidRPr="00954547">
        <w:rPr>
          <w:color w:val="auto"/>
          <w:lang w:val="en-US"/>
        </w:rPr>
        <w:t>the Commission</w:t>
      </w:r>
      <w:r w:rsidR="009118CA" w:rsidRPr="00954547">
        <w:rPr>
          <w:color w:val="auto"/>
          <w:lang w:val="en-US"/>
        </w:rPr>
        <w:t xml:space="preserve">, </w:t>
      </w:r>
      <w:r w:rsidR="00B8393C" w:rsidRPr="00954547">
        <w:rPr>
          <w:color w:val="auto"/>
          <w:lang w:val="en-US"/>
        </w:rPr>
        <w:t xml:space="preserve">the </w:t>
      </w:r>
      <w:r w:rsidR="006E0D5E" w:rsidRPr="00954547">
        <w:rPr>
          <w:color w:val="auto"/>
          <w:lang w:val="en-US"/>
        </w:rPr>
        <w:t>representatives</w:t>
      </w:r>
      <w:r w:rsidR="0078694F" w:rsidRPr="00954547">
        <w:rPr>
          <w:color w:val="auto"/>
          <w:lang w:val="en-US"/>
        </w:rPr>
        <w:t xml:space="preserve"> and </w:t>
      </w:r>
      <w:r w:rsidR="00B8393C" w:rsidRPr="00954547">
        <w:rPr>
          <w:color w:val="auto"/>
          <w:lang w:val="en-US"/>
        </w:rPr>
        <w:t>the State</w:t>
      </w:r>
      <w:r w:rsidR="009118CA" w:rsidRPr="00954547">
        <w:rPr>
          <w:color w:val="auto"/>
          <w:lang w:val="en-US"/>
        </w:rPr>
        <w:t>, as</w:t>
      </w:r>
      <w:r w:rsidR="005E59F3" w:rsidRPr="00954547">
        <w:rPr>
          <w:color w:val="auto"/>
          <w:lang w:val="en-US"/>
        </w:rPr>
        <w:t xml:space="preserve"> well as those requested by the Court or its President as helpful evidence </w:t>
      </w:r>
      <w:r w:rsidR="00D15788" w:rsidRPr="00954547">
        <w:rPr>
          <w:color w:val="auto"/>
          <w:lang w:val="en-US"/>
        </w:rPr>
        <w:t>and</w:t>
      </w:r>
      <w:r w:rsidR="005E59F3" w:rsidRPr="00954547">
        <w:rPr>
          <w:color w:val="auto"/>
          <w:lang w:val="en-US"/>
        </w:rPr>
        <w:t>, as in other cases, it admits</w:t>
      </w:r>
      <w:r w:rsidR="00D15788" w:rsidRPr="00954547">
        <w:rPr>
          <w:color w:val="auto"/>
          <w:lang w:val="en-US"/>
        </w:rPr>
        <w:t xml:space="preserve"> these</w:t>
      </w:r>
      <w:r w:rsidR="005E59F3" w:rsidRPr="00954547">
        <w:rPr>
          <w:color w:val="auto"/>
          <w:lang w:val="en-US"/>
        </w:rPr>
        <w:t xml:space="preserve"> in the understanding that they were presented at the appropriate procedural moment </w:t>
      </w:r>
      <w:r w:rsidR="009118CA" w:rsidRPr="00954547">
        <w:rPr>
          <w:color w:val="auto"/>
          <w:lang w:val="en-US"/>
        </w:rPr>
        <w:t>(</w:t>
      </w:r>
      <w:r w:rsidR="00A17F8C" w:rsidRPr="00954547">
        <w:rPr>
          <w:color w:val="auto"/>
          <w:lang w:val="en-US"/>
        </w:rPr>
        <w:t>Article</w:t>
      </w:r>
      <w:r w:rsidR="009118CA" w:rsidRPr="00954547">
        <w:rPr>
          <w:color w:val="auto"/>
          <w:lang w:val="en-US"/>
        </w:rPr>
        <w:t xml:space="preserve"> 57 </w:t>
      </w:r>
      <w:r w:rsidR="005E59F3" w:rsidRPr="00954547">
        <w:rPr>
          <w:color w:val="auto"/>
          <w:lang w:val="en-US"/>
        </w:rPr>
        <w:t>of the Rules of Procedure</w:t>
      </w:r>
      <w:r w:rsidR="009118CA" w:rsidRPr="00954547">
        <w:rPr>
          <w:color w:val="auto"/>
          <w:lang w:val="en-US"/>
        </w:rPr>
        <w:t>)</w:t>
      </w:r>
      <w:r w:rsidR="009118CA" w:rsidRPr="00954547">
        <w:rPr>
          <w:rStyle w:val="FootnoteReference"/>
          <w:color w:val="auto"/>
          <w:lang w:val="en-US"/>
        </w:rPr>
        <w:footnoteReference w:id="78"/>
      </w:r>
      <w:r w:rsidR="0078694F" w:rsidRPr="00954547">
        <w:rPr>
          <w:color w:val="auto"/>
          <w:lang w:val="en-US"/>
        </w:rPr>
        <w:t xml:space="preserve"> and </w:t>
      </w:r>
      <w:r w:rsidR="005E59F3" w:rsidRPr="00954547">
        <w:rPr>
          <w:color w:val="auto"/>
          <w:lang w:val="en-US"/>
        </w:rPr>
        <w:t>that their admissibility was not contested or challenged.</w:t>
      </w:r>
    </w:p>
    <w:p w14:paraId="13CE3867" w14:textId="2D615B52" w:rsidR="009118CA" w:rsidRPr="00954547" w:rsidRDefault="005E59F3" w:rsidP="000365EC">
      <w:pPr>
        <w:pStyle w:val="Heading2"/>
        <w:keepNext w:val="0"/>
        <w:numPr>
          <w:ilvl w:val="1"/>
          <w:numId w:val="14"/>
        </w:numPr>
        <w:tabs>
          <w:tab w:val="left" w:pos="567"/>
        </w:tabs>
        <w:ind w:left="1134" w:hanging="567"/>
        <w:jc w:val="both"/>
        <w:rPr>
          <w:lang w:val="en-US"/>
        </w:rPr>
      </w:pPr>
      <w:bookmarkStart w:id="29" w:name="_Toc106353893"/>
      <w:r w:rsidRPr="00954547">
        <w:rPr>
          <w:lang w:val="en-US"/>
        </w:rPr>
        <w:t>Admissibility of the statements offered</w:t>
      </w:r>
      <w:bookmarkEnd w:id="29"/>
    </w:p>
    <w:p w14:paraId="69568C80" w14:textId="050DB68D" w:rsidR="009118CA" w:rsidRPr="00954547" w:rsidRDefault="00FF2DDD" w:rsidP="009118CA">
      <w:pPr>
        <w:pStyle w:val="Numberedparagraphs"/>
        <w:tabs>
          <w:tab w:val="clear" w:pos="720"/>
          <w:tab w:val="left" w:pos="567"/>
        </w:tabs>
        <w:rPr>
          <w:color w:val="auto"/>
          <w:lang w:val="en-US"/>
        </w:rPr>
      </w:pPr>
      <w:r w:rsidRPr="00954547">
        <w:rPr>
          <w:color w:val="auto"/>
          <w:lang w:val="en-US"/>
        </w:rPr>
        <w:t>This Court finds it pertinent to admit the statements made by affidavit</w:t>
      </w:r>
      <w:r w:rsidR="009118CA" w:rsidRPr="00954547">
        <w:rPr>
          <w:rStyle w:val="FootnoteReference"/>
          <w:color w:val="auto"/>
          <w:lang w:val="en-US"/>
        </w:rPr>
        <w:footnoteReference w:id="79"/>
      </w:r>
      <w:r w:rsidR="0078694F" w:rsidRPr="00954547">
        <w:rPr>
          <w:color w:val="auto"/>
          <w:lang w:val="en-US"/>
        </w:rPr>
        <w:t xml:space="preserve"> and </w:t>
      </w:r>
      <w:r w:rsidRPr="00954547">
        <w:rPr>
          <w:color w:val="auto"/>
          <w:lang w:val="en-US"/>
        </w:rPr>
        <w:t>during the</w:t>
      </w:r>
      <w:r w:rsidR="009118CA" w:rsidRPr="00954547">
        <w:rPr>
          <w:color w:val="auto"/>
          <w:lang w:val="en-US"/>
        </w:rPr>
        <w:t xml:space="preserve"> </w:t>
      </w:r>
      <w:r w:rsidR="00A70DC4" w:rsidRPr="00954547">
        <w:rPr>
          <w:color w:val="auto"/>
          <w:lang w:val="en-US"/>
        </w:rPr>
        <w:t>public hearing</w:t>
      </w:r>
      <w:r w:rsidRPr="00954547">
        <w:rPr>
          <w:color w:val="auto"/>
          <w:lang w:val="en-US"/>
        </w:rPr>
        <w:t>,</w:t>
      </w:r>
      <w:r w:rsidR="009118CA" w:rsidRPr="00954547">
        <w:rPr>
          <w:rStyle w:val="FootnoteReference"/>
          <w:color w:val="auto"/>
          <w:lang w:val="en-US"/>
        </w:rPr>
        <w:footnoteReference w:id="80"/>
      </w:r>
      <w:r w:rsidRPr="00954547">
        <w:rPr>
          <w:color w:val="auto"/>
          <w:lang w:val="en-US"/>
        </w:rPr>
        <w:t xml:space="preserve"> to the extent that they are in keeping with the purpose defined by the President in the order requiring them and the purpose of this case.</w:t>
      </w:r>
    </w:p>
    <w:p w14:paraId="3C646F1B" w14:textId="7CA3FA87" w:rsidR="004148F5" w:rsidRPr="00954547" w:rsidRDefault="00B8393C" w:rsidP="009118CA">
      <w:pPr>
        <w:pStyle w:val="Numberedparagraphs"/>
        <w:tabs>
          <w:tab w:val="clear" w:pos="720"/>
          <w:tab w:val="left" w:pos="567"/>
        </w:tabs>
        <w:rPr>
          <w:b/>
          <w:color w:val="auto"/>
          <w:lang w:val="en-US"/>
        </w:rPr>
      </w:pPr>
      <w:r w:rsidRPr="00954547">
        <w:rPr>
          <w:color w:val="auto"/>
          <w:lang w:val="en-US"/>
        </w:rPr>
        <w:t>The State</w:t>
      </w:r>
      <w:r w:rsidR="009118CA" w:rsidRPr="00954547">
        <w:rPr>
          <w:color w:val="auto"/>
          <w:lang w:val="en-US"/>
        </w:rPr>
        <w:t xml:space="preserve"> </w:t>
      </w:r>
      <w:r w:rsidR="004148F5" w:rsidRPr="00954547">
        <w:rPr>
          <w:color w:val="auto"/>
          <w:lang w:val="en-US"/>
        </w:rPr>
        <w:t xml:space="preserve">asked </w:t>
      </w:r>
      <w:r w:rsidR="00E76B1A" w:rsidRPr="00954547">
        <w:rPr>
          <w:color w:val="auto"/>
          <w:lang w:val="en-US"/>
        </w:rPr>
        <w:t>the Court</w:t>
      </w:r>
      <w:r w:rsidR="009118CA" w:rsidRPr="00954547">
        <w:rPr>
          <w:color w:val="auto"/>
          <w:lang w:val="en-US"/>
        </w:rPr>
        <w:t xml:space="preserve"> </w:t>
      </w:r>
      <w:r w:rsidR="004148F5" w:rsidRPr="00954547">
        <w:rPr>
          <w:color w:val="auto"/>
          <w:lang w:val="en-US"/>
        </w:rPr>
        <w:t xml:space="preserve">to exclude from its analysis the “brief submitted by Dr. Ortiz on April 9, 2021, because it was time-barred.” </w:t>
      </w:r>
      <w:r w:rsidR="00D43123" w:rsidRPr="00954547">
        <w:rPr>
          <w:color w:val="auto"/>
          <w:lang w:val="en-US"/>
        </w:rPr>
        <w:t>It</w:t>
      </w:r>
      <w:r w:rsidR="004148F5" w:rsidRPr="00954547">
        <w:rPr>
          <w:color w:val="auto"/>
          <w:lang w:val="en-US"/>
        </w:rPr>
        <w:t xml:space="preserve"> argued that the fact that </w:t>
      </w:r>
      <w:r w:rsidR="00D43123" w:rsidRPr="00954547">
        <w:rPr>
          <w:color w:val="auto"/>
          <w:lang w:val="en-US"/>
        </w:rPr>
        <w:t>this brief</w:t>
      </w:r>
      <w:r w:rsidR="004148F5" w:rsidRPr="00954547">
        <w:rPr>
          <w:color w:val="auto"/>
          <w:lang w:val="en-US"/>
        </w:rPr>
        <w:t xml:space="preserve"> was time-barred had had “a disproportionate impact on the State’s </w:t>
      </w:r>
      <w:r w:rsidR="00D4015D" w:rsidRPr="00954547">
        <w:rPr>
          <w:color w:val="auto"/>
          <w:lang w:val="en-US"/>
        </w:rPr>
        <w:t>right to defense</w:t>
      </w:r>
      <w:r w:rsidR="004148F5" w:rsidRPr="00954547">
        <w:rPr>
          <w:color w:val="auto"/>
          <w:lang w:val="en-US"/>
        </w:rPr>
        <w:t xml:space="preserve"> because it had not be granted adequate time to contest the evidence.”</w:t>
      </w:r>
    </w:p>
    <w:p w14:paraId="39BE5C98" w14:textId="78A78DC5" w:rsidR="009118CA" w:rsidRPr="00954547" w:rsidRDefault="004148F5" w:rsidP="00C45E86">
      <w:pPr>
        <w:pStyle w:val="Numberedparagraphs"/>
        <w:tabs>
          <w:tab w:val="clear" w:pos="720"/>
          <w:tab w:val="left" w:pos="567"/>
        </w:tabs>
        <w:rPr>
          <w:b/>
          <w:color w:val="auto"/>
          <w:lang w:val="en-US"/>
        </w:rPr>
      </w:pPr>
      <w:r w:rsidRPr="00954547">
        <w:rPr>
          <w:color w:val="auto"/>
          <w:lang w:val="en-US"/>
        </w:rPr>
        <w:t xml:space="preserve">In this regard, the Court recalls that the </w:t>
      </w:r>
      <w:r w:rsidR="00C45E86" w:rsidRPr="00954547">
        <w:rPr>
          <w:color w:val="auto"/>
          <w:lang w:val="en-US"/>
        </w:rPr>
        <w:t xml:space="preserve">President’s </w:t>
      </w:r>
      <w:r w:rsidRPr="00954547">
        <w:rPr>
          <w:color w:val="auto"/>
          <w:lang w:val="en-US"/>
        </w:rPr>
        <w:t>order requir</w:t>
      </w:r>
      <w:r w:rsidR="00C45E86" w:rsidRPr="00954547">
        <w:rPr>
          <w:color w:val="auto"/>
          <w:lang w:val="en-US"/>
        </w:rPr>
        <w:t>ed</w:t>
      </w:r>
      <w:r w:rsidRPr="00954547">
        <w:rPr>
          <w:color w:val="auto"/>
          <w:lang w:val="en-US"/>
        </w:rPr>
        <w:t xml:space="preserve"> those called</w:t>
      </w:r>
      <w:r w:rsidR="00C45E86" w:rsidRPr="00954547">
        <w:rPr>
          <w:color w:val="auto"/>
          <w:lang w:val="en-US"/>
        </w:rPr>
        <w:t xml:space="preserve"> </w:t>
      </w:r>
      <w:r w:rsidRPr="00954547">
        <w:rPr>
          <w:color w:val="auto"/>
          <w:lang w:val="en-US"/>
        </w:rPr>
        <w:t>on to provide expert opinions during the hearing</w:t>
      </w:r>
      <w:r w:rsidR="00C45E86" w:rsidRPr="00954547">
        <w:rPr>
          <w:color w:val="auto"/>
          <w:lang w:val="en-US"/>
        </w:rPr>
        <w:t xml:space="preserve"> to provide a written version of their opinion by March 4, 2021, at the latest</w:t>
      </w:r>
      <w:r w:rsidR="00D43123" w:rsidRPr="00954547">
        <w:rPr>
          <w:color w:val="auto"/>
          <w:lang w:val="en-US"/>
        </w:rPr>
        <w:t>, if they considered this appropriate</w:t>
      </w:r>
      <w:r w:rsidR="00C45E86" w:rsidRPr="00954547">
        <w:rPr>
          <w:color w:val="auto"/>
          <w:lang w:val="en-US"/>
        </w:rPr>
        <w:t>.</w:t>
      </w:r>
      <w:r w:rsidR="009118CA" w:rsidRPr="00954547">
        <w:rPr>
          <w:rStyle w:val="FootnoteReference"/>
          <w:color w:val="auto"/>
          <w:lang w:val="en-US"/>
        </w:rPr>
        <w:footnoteReference w:id="81"/>
      </w:r>
      <w:r w:rsidR="00C45E86" w:rsidRPr="00954547">
        <w:rPr>
          <w:color w:val="auto"/>
          <w:lang w:val="en-US"/>
        </w:rPr>
        <w:t xml:space="preserve"> On April 9, 2021, expert witness</w:t>
      </w:r>
      <w:r w:rsidR="009118CA" w:rsidRPr="00954547">
        <w:rPr>
          <w:color w:val="auto"/>
          <w:lang w:val="en-US"/>
        </w:rPr>
        <w:t xml:space="preserve"> Guillermo Antonio Ortiz Avendaño </w:t>
      </w:r>
      <w:r w:rsidR="00C45E86" w:rsidRPr="00954547">
        <w:rPr>
          <w:color w:val="auto"/>
          <w:lang w:val="en-US"/>
        </w:rPr>
        <w:t xml:space="preserve">forwarded a written version of his opinion. The Court notes that Mr. Ortiz did not justify the belated presentation of the written version of his opinion, </w:t>
      </w:r>
      <w:r w:rsidR="0078694F" w:rsidRPr="00954547">
        <w:rPr>
          <w:color w:val="auto"/>
          <w:lang w:val="en-US"/>
        </w:rPr>
        <w:t>and</w:t>
      </w:r>
      <w:r w:rsidR="00C45E86" w:rsidRPr="00954547">
        <w:rPr>
          <w:color w:val="auto"/>
          <w:lang w:val="en-US"/>
        </w:rPr>
        <w:t xml:space="preserve"> neither did</w:t>
      </w:r>
      <w:r w:rsidR="0078694F" w:rsidRPr="00954547">
        <w:rPr>
          <w:color w:val="auto"/>
          <w:lang w:val="en-US"/>
        </w:rPr>
        <w:t xml:space="preserve"> </w:t>
      </w:r>
      <w:r w:rsidR="00B8393C" w:rsidRPr="00954547">
        <w:rPr>
          <w:color w:val="auto"/>
          <w:lang w:val="en-US"/>
        </w:rPr>
        <w:t xml:space="preserve">the </w:t>
      </w:r>
      <w:r w:rsidR="006E0D5E" w:rsidRPr="00954547">
        <w:rPr>
          <w:color w:val="auto"/>
          <w:lang w:val="en-US"/>
        </w:rPr>
        <w:t>representatives</w:t>
      </w:r>
      <w:r w:rsidR="009118CA" w:rsidRPr="00954547">
        <w:rPr>
          <w:color w:val="auto"/>
          <w:lang w:val="en-US"/>
        </w:rPr>
        <w:t xml:space="preserve"> </w:t>
      </w:r>
      <w:r w:rsidR="00C45E86" w:rsidRPr="00954547">
        <w:rPr>
          <w:color w:val="auto"/>
          <w:lang w:val="en-US"/>
        </w:rPr>
        <w:t>submit any reasons for the delay</w:t>
      </w:r>
      <w:r w:rsidR="009118CA" w:rsidRPr="00954547">
        <w:rPr>
          <w:color w:val="auto"/>
          <w:lang w:val="en-US"/>
        </w:rPr>
        <w:t>.</w:t>
      </w:r>
      <w:r w:rsidR="00C45E86" w:rsidRPr="00954547">
        <w:rPr>
          <w:color w:val="auto"/>
          <w:lang w:val="en-US"/>
        </w:rPr>
        <w:t xml:space="preserve"> Consequently, the Court considers that the written versi</w:t>
      </w:r>
      <w:r w:rsidR="00AA0E9D" w:rsidRPr="00954547">
        <w:rPr>
          <w:color w:val="auto"/>
          <w:lang w:val="en-US"/>
        </w:rPr>
        <w:t>o</w:t>
      </w:r>
      <w:r w:rsidR="00C45E86" w:rsidRPr="00954547">
        <w:rPr>
          <w:color w:val="auto"/>
          <w:lang w:val="en-US"/>
        </w:rPr>
        <w:t xml:space="preserve">n of </w:t>
      </w:r>
      <w:r w:rsidR="00AA0E9D" w:rsidRPr="00954547">
        <w:rPr>
          <w:color w:val="auto"/>
          <w:lang w:val="en-US"/>
        </w:rPr>
        <w:t>the expert opinion of</w:t>
      </w:r>
      <w:r w:rsidR="009118CA" w:rsidRPr="00954547">
        <w:rPr>
          <w:color w:val="auto"/>
          <w:lang w:val="en-US"/>
        </w:rPr>
        <w:t xml:space="preserve"> Guillermo Ortiz </w:t>
      </w:r>
      <w:r w:rsidR="00AA0E9D" w:rsidRPr="00954547">
        <w:rPr>
          <w:color w:val="auto"/>
          <w:lang w:val="en-US"/>
        </w:rPr>
        <w:t xml:space="preserve">was time-barred </w:t>
      </w:r>
      <w:r w:rsidR="00AD6D48" w:rsidRPr="00954547">
        <w:rPr>
          <w:color w:val="auto"/>
          <w:lang w:val="en-US"/>
        </w:rPr>
        <w:t>and is therefore</w:t>
      </w:r>
      <w:r w:rsidR="00AA0E9D" w:rsidRPr="00954547">
        <w:rPr>
          <w:color w:val="auto"/>
          <w:lang w:val="en-US"/>
        </w:rPr>
        <w:t xml:space="preserve"> inadmissible and will only consider the opinion that he rendered during the </w:t>
      </w:r>
      <w:r w:rsidR="00A70DC4" w:rsidRPr="00954547">
        <w:rPr>
          <w:color w:val="auto"/>
          <w:lang w:val="en-US"/>
        </w:rPr>
        <w:t>public hearing</w:t>
      </w:r>
      <w:r w:rsidR="009118CA" w:rsidRPr="00954547">
        <w:rPr>
          <w:color w:val="auto"/>
          <w:lang w:val="en-US"/>
        </w:rPr>
        <w:t xml:space="preserve">. </w:t>
      </w:r>
    </w:p>
    <w:p w14:paraId="2EC27A0C" w14:textId="16D601C3" w:rsidR="0074732F" w:rsidRPr="00954547" w:rsidRDefault="00CF5A9D" w:rsidP="00386B24">
      <w:pPr>
        <w:pStyle w:val="Heading1"/>
        <w:tabs>
          <w:tab w:val="left" w:pos="567"/>
        </w:tabs>
      </w:pPr>
      <w:bookmarkStart w:id="30" w:name="_Toc106353894"/>
      <w:r w:rsidRPr="00954547">
        <w:t>V</w:t>
      </w:r>
      <w:r w:rsidR="00BC2440" w:rsidRPr="00954547">
        <w:t>I</w:t>
      </w:r>
      <w:r w:rsidR="00EB564A" w:rsidRPr="00954547">
        <w:t>I</w:t>
      </w:r>
      <w:r w:rsidR="0031387C" w:rsidRPr="00954547">
        <w:br/>
      </w:r>
      <w:r w:rsidR="00041C12" w:rsidRPr="00954547">
        <w:t>FACTS</w:t>
      </w:r>
      <w:bookmarkEnd w:id="0"/>
      <w:bookmarkEnd w:id="30"/>
    </w:p>
    <w:p w14:paraId="75D0ED08" w14:textId="0D0C1B33" w:rsidR="0074732F" w:rsidRPr="00954547" w:rsidRDefault="00C86FE5" w:rsidP="000365EC">
      <w:pPr>
        <w:pStyle w:val="Heading2"/>
        <w:numPr>
          <w:ilvl w:val="0"/>
          <w:numId w:val="20"/>
        </w:numPr>
        <w:tabs>
          <w:tab w:val="left" w:pos="567"/>
        </w:tabs>
        <w:ind w:left="567" w:firstLine="0"/>
        <w:rPr>
          <w:lang w:val="en-US"/>
        </w:rPr>
      </w:pPr>
      <w:bookmarkStart w:id="31" w:name="_Toc106353895"/>
      <w:r w:rsidRPr="00954547">
        <w:rPr>
          <w:lang w:val="en-US"/>
        </w:rPr>
        <w:t>Factual framework</w:t>
      </w:r>
      <w:bookmarkEnd w:id="31"/>
    </w:p>
    <w:p w14:paraId="05837E23" w14:textId="2A5B9910" w:rsidR="00164088" w:rsidRPr="00954547" w:rsidRDefault="00AD6D48" w:rsidP="00240BF2">
      <w:pPr>
        <w:pStyle w:val="Numberedparagraphs"/>
        <w:tabs>
          <w:tab w:val="left" w:pos="567"/>
        </w:tabs>
        <w:rPr>
          <w:rFonts w:eastAsiaTheme="minorHAnsi" w:cs="Cambria"/>
          <w:sz w:val="18"/>
          <w:szCs w:val="18"/>
          <w:lang w:val="en-US"/>
        </w:rPr>
      </w:pPr>
      <w:r w:rsidRPr="00954547">
        <w:rPr>
          <w:lang w:val="en-US"/>
        </w:rPr>
        <w:t>I</w:t>
      </w:r>
      <w:r w:rsidR="00164088" w:rsidRPr="00954547">
        <w:rPr>
          <w:lang w:val="en-US"/>
        </w:rPr>
        <w:t>n 1998</w:t>
      </w:r>
      <w:r w:rsidR="00060399" w:rsidRPr="00954547">
        <w:rPr>
          <w:lang w:val="en-US"/>
        </w:rPr>
        <w:t>,</w:t>
      </w:r>
      <w:r w:rsidR="00C86FE5" w:rsidRPr="00954547">
        <w:rPr>
          <w:lang w:val="en-US"/>
        </w:rPr>
        <w:t xml:space="preserve"> a new</w:t>
      </w:r>
      <w:r w:rsidR="00164088" w:rsidRPr="00954547">
        <w:rPr>
          <w:lang w:val="en-US"/>
        </w:rPr>
        <w:t xml:space="preserve"> </w:t>
      </w:r>
      <w:r w:rsidR="007D7721" w:rsidRPr="00954547">
        <w:rPr>
          <w:lang w:val="en-US"/>
        </w:rPr>
        <w:t>Criminal Code</w:t>
      </w:r>
      <w:r w:rsidR="00164088" w:rsidRPr="00954547">
        <w:rPr>
          <w:lang w:val="en-US"/>
        </w:rPr>
        <w:t xml:space="preserve"> </w:t>
      </w:r>
      <w:r w:rsidR="00C86FE5" w:rsidRPr="00954547">
        <w:rPr>
          <w:lang w:val="en-US"/>
        </w:rPr>
        <w:t>entered into force in El Salvador</w:t>
      </w:r>
      <w:r w:rsidR="00B5526E" w:rsidRPr="00954547">
        <w:rPr>
          <w:lang w:val="en-US"/>
        </w:rPr>
        <w:t xml:space="preserve"> which eliminated the </w:t>
      </w:r>
      <w:r w:rsidR="00240BF2" w:rsidRPr="00954547">
        <w:rPr>
          <w:lang w:val="en-US"/>
        </w:rPr>
        <w:t>grounds for</w:t>
      </w:r>
      <w:r w:rsidR="00B5526E" w:rsidRPr="00954547">
        <w:rPr>
          <w:lang w:val="en-US"/>
        </w:rPr>
        <w:t xml:space="preserve"> non-</w:t>
      </w:r>
      <w:r w:rsidR="002B24F9" w:rsidRPr="00954547">
        <w:rPr>
          <w:lang w:val="en-US"/>
        </w:rPr>
        <w:t>punishable</w:t>
      </w:r>
      <w:r w:rsidR="00B5526E" w:rsidRPr="00954547">
        <w:rPr>
          <w:lang w:val="en-US"/>
        </w:rPr>
        <w:t xml:space="preserve"> abortion,</w:t>
      </w:r>
      <w:r w:rsidR="00164088" w:rsidRPr="00954547">
        <w:rPr>
          <w:rStyle w:val="FootnoteReference"/>
          <w:rFonts w:cs="Tahoma"/>
          <w:lang w:val="en-US"/>
        </w:rPr>
        <w:footnoteReference w:id="82"/>
      </w:r>
      <w:r w:rsidR="0078694F" w:rsidRPr="00954547">
        <w:rPr>
          <w:lang w:val="en-US"/>
        </w:rPr>
        <w:t xml:space="preserve"> and </w:t>
      </w:r>
      <w:r w:rsidR="00240BF2" w:rsidRPr="00954547">
        <w:rPr>
          <w:lang w:val="en-US"/>
        </w:rPr>
        <w:t xml:space="preserve">also </w:t>
      </w:r>
      <w:r w:rsidR="00B5526E" w:rsidRPr="00954547">
        <w:rPr>
          <w:lang w:val="en-US"/>
        </w:rPr>
        <w:t xml:space="preserve">the classification </w:t>
      </w:r>
      <w:r w:rsidR="00240BF2" w:rsidRPr="00954547">
        <w:rPr>
          <w:lang w:val="en-US"/>
        </w:rPr>
        <w:t>as</w:t>
      </w:r>
      <w:r w:rsidR="00B5526E" w:rsidRPr="00954547">
        <w:rPr>
          <w:lang w:val="en-US"/>
        </w:rPr>
        <w:t xml:space="preserve"> mitigated homicide for cases in which a “mother kills her child during </w:t>
      </w:r>
      <w:r w:rsidR="00240BF2" w:rsidRPr="00954547">
        <w:rPr>
          <w:lang w:val="en-US"/>
        </w:rPr>
        <w:t>the delivery</w:t>
      </w:r>
      <w:r w:rsidR="00B5526E" w:rsidRPr="00954547">
        <w:rPr>
          <w:lang w:val="en-US"/>
        </w:rPr>
        <w:t xml:space="preserve"> or within the following seventy-two hours.</w:t>
      </w:r>
      <w:r w:rsidR="00164088" w:rsidRPr="00954547">
        <w:rPr>
          <w:lang w:val="en-US"/>
        </w:rPr>
        <w:t>”</w:t>
      </w:r>
      <w:r w:rsidR="00164088" w:rsidRPr="00954547">
        <w:rPr>
          <w:rStyle w:val="FootnoteReference"/>
          <w:rFonts w:cs="Tahoma"/>
          <w:lang w:val="en-US"/>
        </w:rPr>
        <w:footnoteReference w:id="83"/>
      </w:r>
      <w:r w:rsidR="00164088" w:rsidRPr="00954547">
        <w:rPr>
          <w:lang w:val="en-US"/>
        </w:rPr>
        <w:t xml:space="preserve"> </w:t>
      </w:r>
    </w:p>
    <w:p w14:paraId="208AC754" w14:textId="7A00380D" w:rsidR="00164088" w:rsidRPr="00954547" w:rsidRDefault="00B5526E" w:rsidP="00164088">
      <w:pPr>
        <w:pStyle w:val="Numberedparagraphs"/>
        <w:tabs>
          <w:tab w:val="left" w:pos="567"/>
        </w:tabs>
        <w:rPr>
          <w:lang w:val="en-US"/>
        </w:rPr>
      </w:pPr>
      <w:r w:rsidRPr="00954547">
        <w:rPr>
          <w:lang w:val="en-US"/>
        </w:rPr>
        <w:t>In this regard</w:t>
      </w:r>
      <w:r w:rsidR="00164088" w:rsidRPr="00954547">
        <w:rPr>
          <w:lang w:val="en-US"/>
        </w:rPr>
        <w:t>,</w:t>
      </w:r>
      <w:r w:rsidR="007D7721" w:rsidRPr="00954547">
        <w:rPr>
          <w:lang w:val="en-US"/>
        </w:rPr>
        <w:t xml:space="preserve"> the </w:t>
      </w:r>
      <w:r w:rsidRPr="00954547">
        <w:rPr>
          <w:lang w:val="en-US"/>
        </w:rPr>
        <w:t xml:space="preserve">1998 </w:t>
      </w:r>
      <w:r w:rsidR="007D7721" w:rsidRPr="00954547">
        <w:rPr>
          <w:lang w:val="en-US"/>
        </w:rPr>
        <w:t>Criminal Code</w:t>
      </w:r>
      <w:r w:rsidR="00164088" w:rsidRPr="00954547">
        <w:rPr>
          <w:lang w:val="en-US"/>
        </w:rPr>
        <w:t xml:space="preserve"> </w:t>
      </w:r>
      <w:r w:rsidRPr="00954547">
        <w:rPr>
          <w:lang w:val="en-US"/>
        </w:rPr>
        <w:t>establishes</w:t>
      </w:r>
      <w:r w:rsidR="00164088" w:rsidRPr="00954547">
        <w:rPr>
          <w:lang w:val="en-US"/>
        </w:rPr>
        <w:t>:</w:t>
      </w:r>
    </w:p>
    <w:p w14:paraId="070DA75A" w14:textId="75B5063D" w:rsidR="00164088" w:rsidRPr="00954547" w:rsidRDefault="00A17F8C" w:rsidP="00164088">
      <w:pPr>
        <w:pStyle w:val="ListParagraph"/>
        <w:numPr>
          <w:ilvl w:val="0"/>
          <w:numId w:val="0"/>
        </w:numPr>
        <w:ind w:left="567" w:right="616"/>
        <w:rPr>
          <w:rFonts w:cs="Tahoma"/>
          <w:sz w:val="18"/>
          <w:szCs w:val="18"/>
          <w:lang w:val="en-US"/>
        </w:rPr>
      </w:pPr>
      <w:r w:rsidRPr="00954547">
        <w:rPr>
          <w:rFonts w:cs="Tahoma"/>
          <w:sz w:val="18"/>
          <w:szCs w:val="18"/>
          <w:lang w:val="en-US"/>
        </w:rPr>
        <w:t>Article</w:t>
      </w:r>
      <w:r w:rsidR="00164088" w:rsidRPr="00954547">
        <w:rPr>
          <w:rFonts w:cs="Tahoma"/>
          <w:sz w:val="18"/>
          <w:szCs w:val="18"/>
          <w:lang w:val="en-US"/>
        </w:rPr>
        <w:t xml:space="preserve"> 128</w:t>
      </w:r>
      <w:r w:rsidR="00B5526E" w:rsidRPr="00954547">
        <w:rPr>
          <w:sz w:val="18"/>
          <w:szCs w:val="18"/>
          <w:bdr w:val="none" w:sz="0" w:space="0" w:color="auto"/>
          <w:lang w:val="en-US"/>
        </w:rPr>
        <w:t>.</w:t>
      </w:r>
      <w:r w:rsidR="00164088" w:rsidRPr="00954547">
        <w:rPr>
          <w:sz w:val="18"/>
          <w:szCs w:val="18"/>
          <w:bdr w:val="none" w:sz="0" w:space="0" w:color="auto"/>
          <w:lang w:val="en-US"/>
        </w:rPr>
        <w:t xml:space="preserve"> </w:t>
      </w:r>
      <w:r w:rsidR="00B5526E" w:rsidRPr="00954547">
        <w:rPr>
          <w:sz w:val="18"/>
          <w:szCs w:val="18"/>
          <w:bdr w:val="none" w:sz="0" w:space="0" w:color="auto"/>
          <w:lang w:val="en-US"/>
        </w:rPr>
        <w:t>Simple h</w:t>
      </w:r>
      <w:r w:rsidR="00164088" w:rsidRPr="00954547">
        <w:rPr>
          <w:sz w:val="18"/>
          <w:szCs w:val="18"/>
          <w:bdr w:val="none" w:sz="0" w:space="0" w:color="auto"/>
          <w:lang w:val="en-US"/>
        </w:rPr>
        <w:t>omicid</w:t>
      </w:r>
      <w:r w:rsidR="00B5526E" w:rsidRPr="00954547">
        <w:rPr>
          <w:sz w:val="18"/>
          <w:szCs w:val="18"/>
          <w:bdr w:val="none" w:sz="0" w:space="0" w:color="auto"/>
          <w:lang w:val="en-US"/>
        </w:rPr>
        <w:t>e</w:t>
      </w:r>
      <w:r w:rsidR="00164088" w:rsidRPr="00954547">
        <w:rPr>
          <w:sz w:val="18"/>
          <w:szCs w:val="18"/>
          <w:bdr w:val="none" w:sz="0" w:space="0" w:color="auto"/>
          <w:lang w:val="en-US"/>
        </w:rPr>
        <w:t xml:space="preserve">. </w:t>
      </w:r>
      <w:r w:rsidR="0085309F" w:rsidRPr="00954547">
        <w:rPr>
          <w:sz w:val="18"/>
          <w:szCs w:val="18"/>
          <w:bdr w:val="none" w:sz="0" w:space="0" w:color="auto"/>
          <w:lang w:val="en-US"/>
        </w:rPr>
        <w:t>Anyone who kills another person shall be sentenced to fifteen to twenty years’ imprisonment</w:t>
      </w:r>
      <w:r w:rsidR="00164088" w:rsidRPr="00954547">
        <w:rPr>
          <w:sz w:val="18"/>
          <w:szCs w:val="18"/>
          <w:bdr w:val="none" w:sz="0" w:space="0" w:color="auto"/>
          <w:lang w:val="en-US"/>
        </w:rPr>
        <w:t>.</w:t>
      </w:r>
      <w:r w:rsidR="00164088" w:rsidRPr="00954547">
        <w:rPr>
          <w:rFonts w:cs="Tahoma"/>
          <w:sz w:val="18"/>
          <w:szCs w:val="18"/>
          <w:lang w:val="en-US"/>
        </w:rPr>
        <w:t xml:space="preserve"> </w:t>
      </w:r>
    </w:p>
    <w:p w14:paraId="31D9E643" w14:textId="690C2400" w:rsidR="00164088" w:rsidRPr="00954547" w:rsidRDefault="00A17F8C" w:rsidP="00164088">
      <w:pPr>
        <w:pStyle w:val="ListParagraph"/>
        <w:numPr>
          <w:ilvl w:val="0"/>
          <w:numId w:val="0"/>
        </w:numPr>
        <w:ind w:left="567" w:right="616"/>
        <w:rPr>
          <w:sz w:val="18"/>
          <w:szCs w:val="18"/>
          <w:bdr w:val="none" w:sz="0" w:space="0" w:color="auto"/>
          <w:lang w:val="en-US"/>
        </w:rPr>
      </w:pPr>
      <w:r w:rsidRPr="00954547">
        <w:rPr>
          <w:rFonts w:cs="Tahoma"/>
          <w:sz w:val="18"/>
          <w:szCs w:val="18"/>
          <w:lang w:val="en-US"/>
        </w:rPr>
        <w:t>Article</w:t>
      </w:r>
      <w:r w:rsidR="00164088" w:rsidRPr="00954547">
        <w:rPr>
          <w:sz w:val="18"/>
          <w:szCs w:val="18"/>
          <w:bdr w:val="none" w:sz="0" w:space="0" w:color="auto"/>
          <w:lang w:val="en-US"/>
        </w:rPr>
        <w:t xml:space="preserve"> 129.</w:t>
      </w:r>
      <w:r w:rsidR="0085309F" w:rsidRPr="00954547">
        <w:rPr>
          <w:sz w:val="18"/>
          <w:szCs w:val="18"/>
          <w:bdr w:val="none" w:sz="0" w:space="0" w:color="auto"/>
          <w:lang w:val="en-US"/>
        </w:rPr>
        <w:t xml:space="preserve"> A</w:t>
      </w:r>
      <w:r w:rsidR="00B66AA2" w:rsidRPr="00954547">
        <w:rPr>
          <w:sz w:val="18"/>
          <w:szCs w:val="18"/>
          <w:bdr w:val="none" w:sz="0" w:space="0" w:color="auto"/>
          <w:lang w:val="en-US"/>
        </w:rPr>
        <w:t>ggravated homicide</w:t>
      </w:r>
      <w:r w:rsidR="00164088" w:rsidRPr="00954547">
        <w:rPr>
          <w:sz w:val="18"/>
          <w:szCs w:val="18"/>
          <w:bdr w:val="none" w:sz="0" w:space="0" w:color="auto"/>
          <w:lang w:val="en-US"/>
        </w:rPr>
        <w:t xml:space="preserve">. </w:t>
      </w:r>
      <w:r w:rsidR="0085309F" w:rsidRPr="00954547">
        <w:rPr>
          <w:sz w:val="18"/>
          <w:szCs w:val="18"/>
          <w:bdr w:val="none" w:sz="0" w:space="0" w:color="auto"/>
          <w:lang w:val="en-US"/>
        </w:rPr>
        <w:t>A</w:t>
      </w:r>
      <w:r w:rsidR="00B66AA2" w:rsidRPr="00954547">
        <w:rPr>
          <w:sz w:val="18"/>
          <w:szCs w:val="18"/>
          <w:bdr w:val="none" w:sz="0" w:space="0" w:color="auto"/>
          <w:lang w:val="en-US"/>
        </w:rPr>
        <w:t>ggravated homicide</w:t>
      </w:r>
      <w:r w:rsidR="00164088" w:rsidRPr="00954547">
        <w:rPr>
          <w:sz w:val="18"/>
          <w:szCs w:val="18"/>
          <w:bdr w:val="none" w:sz="0" w:space="0" w:color="auto"/>
          <w:lang w:val="en-US"/>
        </w:rPr>
        <w:t xml:space="preserve"> </w:t>
      </w:r>
      <w:r w:rsidR="0085309F" w:rsidRPr="00954547">
        <w:rPr>
          <w:sz w:val="18"/>
          <w:szCs w:val="18"/>
          <w:bdr w:val="none" w:sz="0" w:space="0" w:color="auto"/>
          <w:lang w:val="en-US"/>
        </w:rPr>
        <w:t>is considered to be homicide committed in any of the following circumstances:</w:t>
      </w:r>
    </w:p>
    <w:p w14:paraId="733A563C" w14:textId="60706C1D" w:rsidR="00164088" w:rsidRPr="00954547" w:rsidRDefault="0085309F" w:rsidP="001B246F">
      <w:pPr>
        <w:pStyle w:val="ListParagraph"/>
        <w:numPr>
          <w:ilvl w:val="0"/>
          <w:numId w:val="3"/>
        </w:numPr>
        <w:tabs>
          <w:tab w:val="left" w:pos="1134"/>
        </w:tabs>
        <w:ind w:left="1134" w:right="616" w:hanging="283"/>
        <w:rPr>
          <w:sz w:val="18"/>
          <w:szCs w:val="18"/>
          <w:bdr w:val="none" w:sz="0" w:space="0" w:color="auto"/>
          <w:lang w:val="en-US"/>
        </w:rPr>
      </w:pPr>
      <w:r w:rsidRPr="00954547">
        <w:rPr>
          <w:sz w:val="18"/>
          <w:szCs w:val="18"/>
          <w:bdr w:val="none" w:sz="0" w:space="0" w:color="auto"/>
          <w:lang w:val="en-US"/>
        </w:rPr>
        <w:t>Forebears or descendants</w:t>
      </w:r>
      <w:r w:rsidR="00164088" w:rsidRPr="00954547">
        <w:rPr>
          <w:sz w:val="18"/>
          <w:szCs w:val="18"/>
          <w:bdr w:val="none" w:sz="0" w:space="0" w:color="auto"/>
          <w:lang w:val="en-US"/>
        </w:rPr>
        <w:t xml:space="preserve"> […]</w:t>
      </w:r>
      <w:r w:rsidR="001B246F" w:rsidRPr="00954547">
        <w:rPr>
          <w:sz w:val="18"/>
          <w:szCs w:val="18"/>
          <w:bdr w:val="none" w:sz="0" w:space="0" w:color="auto"/>
          <w:lang w:val="en-US"/>
        </w:rPr>
        <w:t xml:space="preserve">. </w:t>
      </w:r>
      <w:r w:rsidRPr="00954547">
        <w:rPr>
          <w:sz w:val="18"/>
          <w:szCs w:val="18"/>
          <w:bdr w:val="none" w:sz="0" w:space="0" w:color="auto"/>
          <w:lang w:val="en-US"/>
        </w:rPr>
        <w:t xml:space="preserve">The </w:t>
      </w:r>
      <w:r w:rsidR="003C5082" w:rsidRPr="00954547">
        <w:rPr>
          <w:sz w:val="18"/>
          <w:szCs w:val="18"/>
          <w:bdr w:val="none" w:sz="0" w:space="0" w:color="auto"/>
          <w:lang w:val="en-US"/>
        </w:rPr>
        <w:t>sentence</w:t>
      </w:r>
      <w:r w:rsidRPr="00954547">
        <w:rPr>
          <w:sz w:val="18"/>
          <w:szCs w:val="18"/>
          <w:bdr w:val="none" w:sz="0" w:space="0" w:color="auto"/>
          <w:lang w:val="en-US"/>
        </w:rPr>
        <w:t xml:space="preserve"> shall be thirty to fifty years’ imprisonment.</w:t>
      </w:r>
      <w:r w:rsidR="00164088" w:rsidRPr="00954547">
        <w:rPr>
          <w:sz w:val="18"/>
          <w:szCs w:val="18"/>
          <w:bdr w:val="none" w:sz="0" w:space="0" w:color="auto"/>
          <w:lang w:val="en-US"/>
        </w:rPr>
        <w:t xml:space="preserve"> </w:t>
      </w:r>
      <w:r w:rsidR="00164088" w:rsidRPr="00954547">
        <w:rPr>
          <w:sz w:val="18"/>
          <w:szCs w:val="18"/>
          <w:bdr w:val="none" w:sz="0" w:space="0" w:color="auto"/>
        </w:rPr>
        <w:t>[…]</w:t>
      </w:r>
    </w:p>
    <w:p w14:paraId="1C83E044" w14:textId="0784144C" w:rsidR="0085309F" w:rsidRPr="00954547" w:rsidRDefault="00A17F8C" w:rsidP="00164088">
      <w:pPr>
        <w:pStyle w:val="ListParagraph"/>
        <w:numPr>
          <w:ilvl w:val="0"/>
          <w:numId w:val="0"/>
        </w:numPr>
        <w:ind w:left="567" w:right="616"/>
        <w:rPr>
          <w:rFonts w:cs="Tahoma"/>
          <w:sz w:val="18"/>
          <w:szCs w:val="18"/>
          <w:lang w:val="en-US"/>
        </w:rPr>
      </w:pPr>
      <w:r w:rsidRPr="00954547">
        <w:rPr>
          <w:rFonts w:cs="Tahoma"/>
          <w:sz w:val="18"/>
          <w:szCs w:val="18"/>
          <w:lang w:val="en-US"/>
        </w:rPr>
        <w:t>Article</w:t>
      </w:r>
      <w:r w:rsidR="00164088" w:rsidRPr="00954547">
        <w:rPr>
          <w:rFonts w:cs="Tahoma"/>
          <w:sz w:val="18"/>
          <w:szCs w:val="18"/>
          <w:lang w:val="en-US"/>
        </w:rPr>
        <w:t xml:space="preserve"> 133</w:t>
      </w:r>
      <w:r w:rsidR="00A72AD4" w:rsidRPr="00954547">
        <w:rPr>
          <w:rFonts w:cs="Tahoma"/>
          <w:sz w:val="18"/>
          <w:szCs w:val="18"/>
          <w:lang w:val="en-US"/>
        </w:rPr>
        <w:t>.</w:t>
      </w:r>
      <w:r w:rsidR="0085309F" w:rsidRPr="00954547">
        <w:rPr>
          <w:rFonts w:cs="Tahoma"/>
          <w:sz w:val="18"/>
          <w:szCs w:val="18"/>
          <w:lang w:val="en-US"/>
        </w:rPr>
        <w:t xml:space="preserve"> Self-induced and consented abortion. Anyone who </w:t>
      </w:r>
      <w:r w:rsidR="003C5082" w:rsidRPr="00954547">
        <w:rPr>
          <w:rFonts w:cs="Tahoma"/>
          <w:sz w:val="18"/>
          <w:szCs w:val="18"/>
          <w:lang w:val="en-US"/>
        </w:rPr>
        <w:t>causes</w:t>
      </w:r>
      <w:r w:rsidR="0085309F" w:rsidRPr="00954547">
        <w:rPr>
          <w:rFonts w:cs="Tahoma"/>
          <w:sz w:val="18"/>
          <w:szCs w:val="18"/>
          <w:lang w:val="en-US"/>
        </w:rPr>
        <w:t xml:space="preserve"> an abortion</w:t>
      </w:r>
      <w:r w:rsidR="003C5082" w:rsidRPr="00954547">
        <w:rPr>
          <w:rFonts w:cs="Tahoma"/>
          <w:sz w:val="18"/>
          <w:szCs w:val="18"/>
          <w:lang w:val="en-US"/>
        </w:rPr>
        <w:t xml:space="preserve"> with the consent of the woman or the woman who causes her own abortion or consents to another person performing this, shall be sentenced to two to eight </w:t>
      </w:r>
      <w:r w:rsidR="003C5082" w:rsidRPr="00954547">
        <w:rPr>
          <w:sz w:val="18"/>
          <w:szCs w:val="18"/>
          <w:bdr w:val="none" w:sz="0" w:space="0" w:color="auto"/>
          <w:lang w:val="en-US"/>
        </w:rPr>
        <w:t>years’ imprisonment.</w:t>
      </w:r>
    </w:p>
    <w:p w14:paraId="6207AB8B" w14:textId="60D92C44" w:rsidR="003C5082" w:rsidRPr="00954547" w:rsidRDefault="00A17F8C" w:rsidP="00A72AD4">
      <w:pPr>
        <w:pStyle w:val="ListParagraph"/>
        <w:numPr>
          <w:ilvl w:val="0"/>
          <w:numId w:val="0"/>
        </w:numPr>
        <w:ind w:left="567" w:right="616"/>
        <w:rPr>
          <w:sz w:val="18"/>
          <w:szCs w:val="18"/>
          <w:bdr w:val="none" w:sz="0" w:space="0" w:color="auto"/>
          <w:lang w:val="en-US"/>
        </w:rPr>
      </w:pPr>
      <w:r w:rsidRPr="00954547">
        <w:rPr>
          <w:rFonts w:cs="Tahoma"/>
          <w:sz w:val="18"/>
          <w:szCs w:val="18"/>
          <w:lang w:val="en-US"/>
        </w:rPr>
        <w:t>Article</w:t>
      </w:r>
      <w:r w:rsidR="00A72AD4" w:rsidRPr="00954547">
        <w:rPr>
          <w:rFonts w:cs="Tahoma"/>
          <w:sz w:val="18"/>
          <w:szCs w:val="18"/>
          <w:lang w:val="en-US"/>
        </w:rPr>
        <w:t xml:space="preserve"> 134.</w:t>
      </w:r>
      <w:r w:rsidR="00A72AD4" w:rsidRPr="00954547">
        <w:rPr>
          <w:sz w:val="18"/>
          <w:szCs w:val="18"/>
          <w:bdr w:val="none" w:sz="0" w:space="0" w:color="auto"/>
          <w:lang w:val="en-US"/>
        </w:rPr>
        <w:t xml:space="preserve"> </w:t>
      </w:r>
      <w:r w:rsidR="003C5082" w:rsidRPr="00954547">
        <w:rPr>
          <w:sz w:val="18"/>
          <w:szCs w:val="18"/>
          <w:bdr w:val="none" w:sz="0" w:space="0" w:color="auto"/>
          <w:lang w:val="en-US"/>
        </w:rPr>
        <w:t>Anyone who causes an abortion, without the consent of the woman, shall be sentenced to four to ten years’ imprisonment. Anyone who performs an abortion, after obtaining the woman’s consent by violence or deceit shall receive the same sentence.</w:t>
      </w:r>
    </w:p>
    <w:p w14:paraId="3AF122FC" w14:textId="463472AE" w:rsidR="003C5082" w:rsidRPr="00954547" w:rsidRDefault="00A17F8C" w:rsidP="0016408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120" w:after="120"/>
        <w:ind w:left="567" w:right="616"/>
        <w:jc w:val="both"/>
        <w:rPr>
          <w:rFonts w:ascii="Verdana" w:eastAsiaTheme="minorHAnsi" w:hAnsi="Verdana" w:cs="Arial"/>
          <w:sz w:val="18"/>
          <w:szCs w:val="18"/>
          <w:bdr w:val="none" w:sz="0" w:space="0" w:color="auto"/>
        </w:rPr>
      </w:pPr>
      <w:r w:rsidRPr="00954547">
        <w:rPr>
          <w:rFonts w:ascii="Verdana" w:hAnsi="Verdana" w:cs="Tahoma"/>
          <w:color w:val="000000"/>
          <w:sz w:val="18"/>
          <w:szCs w:val="18"/>
        </w:rPr>
        <w:t>Article</w:t>
      </w:r>
      <w:r w:rsidR="00164088" w:rsidRPr="00954547">
        <w:rPr>
          <w:rFonts w:ascii="Verdana" w:eastAsiaTheme="minorHAnsi" w:hAnsi="Verdana" w:cs="Arial"/>
          <w:sz w:val="18"/>
          <w:szCs w:val="18"/>
          <w:bdr w:val="none" w:sz="0" w:space="0" w:color="auto"/>
        </w:rPr>
        <w:t xml:space="preserve"> 135.</w:t>
      </w:r>
      <w:r w:rsidR="003C5082" w:rsidRPr="00954547">
        <w:rPr>
          <w:rFonts w:ascii="Verdana" w:eastAsiaTheme="minorHAnsi" w:hAnsi="Verdana" w:cs="Arial"/>
          <w:sz w:val="18"/>
          <w:szCs w:val="18"/>
          <w:bdr w:val="none" w:sz="0" w:space="0" w:color="auto"/>
        </w:rPr>
        <w:t xml:space="preserve"> Aggravated abortion. If the abortion </w:t>
      </w:r>
      <w:r w:rsidR="001B246F" w:rsidRPr="00954547">
        <w:rPr>
          <w:rFonts w:ascii="Verdana" w:eastAsiaTheme="minorHAnsi" w:hAnsi="Verdana" w:cs="Arial"/>
          <w:sz w:val="18"/>
          <w:szCs w:val="18"/>
          <w:bdr w:val="none" w:sz="0" w:space="0" w:color="auto"/>
        </w:rPr>
        <w:t>is</w:t>
      </w:r>
      <w:r w:rsidR="003C5082" w:rsidRPr="00954547">
        <w:rPr>
          <w:rFonts w:ascii="Verdana" w:eastAsiaTheme="minorHAnsi" w:hAnsi="Verdana" w:cs="Arial"/>
          <w:sz w:val="18"/>
          <w:szCs w:val="18"/>
          <w:bdr w:val="none" w:sz="0" w:space="0" w:color="auto"/>
        </w:rPr>
        <w:t xml:space="preserve"> committed by a doctor, pharmacist, or persons who perform auxiliary activities in the said professions when they </w:t>
      </w:r>
      <w:r w:rsidR="006E05D5" w:rsidRPr="00954547">
        <w:rPr>
          <w:rFonts w:ascii="Verdana" w:eastAsiaTheme="minorHAnsi" w:hAnsi="Verdana" w:cs="Arial"/>
          <w:sz w:val="18"/>
          <w:szCs w:val="18"/>
          <w:bdr w:val="none" w:sz="0" w:space="0" w:color="auto"/>
        </w:rPr>
        <w:t xml:space="preserve">engage in this practice, </w:t>
      </w:r>
      <w:r w:rsidR="001B246F" w:rsidRPr="00954547">
        <w:rPr>
          <w:rFonts w:ascii="Verdana" w:eastAsiaTheme="minorHAnsi" w:hAnsi="Verdana" w:cs="Arial"/>
          <w:sz w:val="18"/>
          <w:szCs w:val="18"/>
          <w:bdr w:val="none" w:sz="0" w:space="0" w:color="auto"/>
        </w:rPr>
        <w:t xml:space="preserve">they </w:t>
      </w:r>
      <w:r w:rsidR="006E05D5" w:rsidRPr="00954547">
        <w:rPr>
          <w:rFonts w:ascii="Verdana" w:eastAsiaTheme="minorHAnsi" w:hAnsi="Verdana" w:cs="Arial"/>
          <w:sz w:val="18"/>
          <w:szCs w:val="18"/>
          <w:bdr w:val="none" w:sz="0" w:space="0" w:color="auto"/>
        </w:rPr>
        <w:t xml:space="preserve">shall be sentenced to six to twelve </w:t>
      </w:r>
      <w:r w:rsidR="006E05D5" w:rsidRPr="00954547">
        <w:rPr>
          <w:rFonts w:ascii="Verdana" w:hAnsi="Verdana"/>
          <w:sz w:val="18"/>
          <w:szCs w:val="18"/>
          <w:bdr w:val="none" w:sz="0" w:space="0" w:color="auto"/>
        </w:rPr>
        <w:t>years’ imprisonment. In addition, they shall be sentenced to special disqualification from the exercise of the</w:t>
      </w:r>
      <w:r w:rsidR="001B246F" w:rsidRPr="00954547">
        <w:rPr>
          <w:rFonts w:ascii="Verdana" w:hAnsi="Verdana"/>
          <w:sz w:val="18"/>
          <w:szCs w:val="18"/>
          <w:bdr w:val="none" w:sz="0" w:space="0" w:color="auto"/>
        </w:rPr>
        <w:t>ir</w:t>
      </w:r>
      <w:r w:rsidR="006E05D5" w:rsidRPr="00954547">
        <w:rPr>
          <w:rFonts w:ascii="Verdana" w:hAnsi="Verdana"/>
          <w:sz w:val="18"/>
          <w:szCs w:val="18"/>
          <w:bdr w:val="none" w:sz="0" w:space="0" w:color="auto"/>
        </w:rPr>
        <w:t xml:space="preserve"> profession or activity for the same period.</w:t>
      </w:r>
    </w:p>
    <w:p w14:paraId="3D1BC773" w14:textId="33CA6C1E" w:rsidR="006E05D5" w:rsidRPr="00954547" w:rsidRDefault="00A17F8C" w:rsidP="0016408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120" w:after="120"/>
        <w:ind w:left="567" w:right="616"/>
        <w:jc w:val="both"/>
        <w:rPr>
          <w:rFonts w:ascii="Verdana" w:eastAsiaTheme="minorHAnsi" w:hAnsi="Verdana" w:cs="Arial"/>
          <w:sz w:val="18"/>
          <w:szCs w:val="18"/>
          <w:bdr w:val="none" w:sz="0" w:space="0" w:color="auto"/>
        </w:rPr>
      </w:pPr>
      <w:r w:rsidRPr="00954547">
        <w:rPr>
          <w:rFonts w:ascii="Verdana" w:hAnsi="Verdana" w:cs="Tahoma"/>
          <w:color w:val="000000"/>
          <w:sz w:val="18"/>
          <w:szCs w:val="18"/>
        </w:rPr>
        <w:t>Article</w:t>
      </w:r>
      <w:r w:rsidR="00164088" w:rsidRPr="00954547">
        <w:rPr>
          <w:rFonts w:ascii="Verdana" w:eastAsiaTheme="minorHAnsi" w:hAnsi="Verdana" w:cs="Arial"/>
          <w:sz w:val="18"/>
          <w:szCs w:val="18"/>
          <w:bdr w:val="none" w:sz="0" w:space="0" w:color="auto"/>
        </w:rPr>
        <w:t xml:space="preserve"> 136. Induc</w:t>
      </w:r>
      <w:r w:rsidR="006E05D5" w:rsidRPr="00954547">
        <w:rPr>
          <w:rFonts w:ascii="Verdana" w:eastAsiaTheme="minorHAnsi" w:hAnsi="Verdana" w:cs="Arial"/>
          <w:sz w:val="18"/>
          <w:szCs w:val="18"/>
          <w:bdr w:val="none" w:sz="0" w:space="0" w:color="auto"/>
        </w:rPr>
        <w:t>ement of, or assistance for, abortion. Anyone who induces a woman</w:t>
      </w:r>
      <w:r w:rsidR="001B246F" w:rsidRPr="00954547">
        <w:rPr>
          <w:rFonts w:ascii="Verdana" w:eastAsiaTheme="minorHAnsi" w:hAnsi="Verdana" w:cs="Arial"/>
          <w:sz w:val="18"/>
          <w:szCs w:val="18"/>
          <w:bdr w:val="none" w:sz="0" w:space="0" w:color="auto"/>
        </w:rPr>
        <w:t xml:space="preserve"> to abort</w:t>
      </w:r>
      <w:r w:rsidR="006E05D5" w:rsidRPr="00954547">
        <w:rPr>
          <w:rFonts w:ascii="Verdana" w:eastAsiaTheme="minorHAnsi" w:hAnsi="Verdana" w:cs="Arial"/>
          <w:sz w:val="18"/>
          <w:szCs w:val="18"/>
          <w:bdr w:val="none" w:sz="0" w:space="0" w:color="auto"/>
        </w:rPr>
        <w:t xml:space="preserve"> or provides her with the financial or other </w:t>
      </w:r>
      <w:r w:rsidR="00F02797" w:rsidRPr="00954547">
        <w:rPr>
          <w:rFonts w:ascii="Verdana" w:eastAsiaTheme="minorHAnsi" w:hAnsi="Verdana" w:cs="Arial"/>
          <w:sz w:val="18"/>
          <w:szCs w:val="18"/>
          <w:bdr w:val="none" w:sz="0" w:space="0" w:color="auto"/>
        </w:rPr>
        <w:t>means so that she may have an</w:t>
      </w:r>
      <w:r w:rsidR="006E05D5" w:rsidRPr="00954547">
        <w:rPr>
          <w:rFonts w:ascii="Verdana" w:eastAsiaTheme="minorHAnsi" w:hAnsi="Verdana" w:cs="Arial"/>
          <w:sz w:val="18"/>
          <w:szCs w:val="18"/>
          <w:bdr w:val="none" w:sz="0" w:space="0" w:color="auto"/>
        </w:rPr>
        <w:t xml:space="preserve"> abortion shall be sentenced to two to five </w:t>
      </w:r>
      <w:r w:rsidR="006E05D5" w:rsidRPr="00954547">
        <w:rPr>
          <w:rFonts w:ascii="Verdana" w:hAnsi="Verdana"/>
          <w:sz w:val="18"/>
          <w:szCs w:val="18"/>
          <w:bdr w:val="none" w:sz="0" w:space="0" w:color="auto"/>
        </w:rPr>
        <w:t>years’ imprisonment.</w:t>
      </w:r>
    </w:p>
    <w:p w14:paraId="2208468E" w14:textId="6C2AF89E" w:rsidR="00164088" w:rsidRPr="00954547" w:rsidRDefault="006E05D5" w:rsidP="0016408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120" w:after="120"/>
        <w:ind w:left="567" w:right="616"/>
        <w:jc w:val="both"/>
        <w:rPr>
          <w:rFonts w:ascii="Verdana" w:eastAsiaTheme="minorHAnsi" w:hAnsi="Verdana" w:cs="Arial"/>
          <w:sz w:val="18"/>
          <w:szCs w:val="18"/>
          <w:bdr w:val="none" w:sz="0" w:space="0" w:color="auto"/>
        </w:rPr>
      </w:pPr>
      <w:r w:rsidRPr="00954547">
        <w:rPr>
          <w:rFonts w:ascii="Verdana" w:eastAsiaTheme="minorHAnsi" w:hAnsi="Verdana" w:cs="Arial"/>
          <w:sz w:val="18"/>
          <w:szCs w:val="18"/>
          <w:bdr w:val="none" w:sz="0" w:space="0" w:color="auto"/>
        </w:rPr>
        <w:t>If the person who</w:t>
      </w:r>
      <w:r w:rsidR="00F02797" w:rsidRPr="00954547">
        <w:rPr>
          <w:rFonts w:ascii="Verdana" w:eastAsiaTheme="minorHAnsi" w:hAnsi="Verdana" w:cs="Arial"/>
          <w:sz w:val="18"/>
          <w:szCs w:val="18"/>
          <w:bdr w:val="none" w:sz="0" w:space="0" w:color="auto"/>
        </w:rPr>
        <w:t xml:space="preserve"> induces or provides assistance for </w:t>
      </w:r>
      <w:r w:rsidRPr="00954547">
        <w:rPr>
          <w:rFonts w:ascii="Verdana" w:eastAsiaTheme="minorHAnsi" w:hAnsi="Verdana" w:cs="Arial"/>
          <w:sz w:val="18"/>
          <w:szCs w:val="18"/>
          <w:bdr w:val="none" w:sz="0" w:space="0" w:color="auto"/>
        </w:rPr>
        <w:t>the abortion is the</w:t>
      </w:r>
      <w:r w:rsidR="00164088" w:rsidRPr="00954547">
        <w:rPr>
          <w:rFonts w:ascii="Verdana" w:eastAsiaTheme="minorHAnsi" w:hAnsi="Verdana" w:cs="Arial"/>
          <w:sz w:val="18"/>
          <w:szCs w:val="18"/>
          <w:bdr w:val="none" w:sz="0" w:space="0" w:color="auto"/>
        </w:rPr>
        <w:t xml:space="preserve"> progenitor, </w:t>
      </w:r>
      <w:r w:rsidR="006237EE" w:rsidRPr="00954547">
        <w:rPr>
          <w:rFonts w:ascii="Verdana" w:eastAsiaTheme="minorHAnsi" w:hAnsi="Verdana" w:cs="Arial"/>
          <w:sz w:val="18"/>
          <w:szCs w:val="18"/>
          <w:bdr w:val="none" w:sz="0" w:space="0" w:color="auto"/>
        </w:rPr>
        <w:t>the sentence shall be increased by a third of the maximum sentence indicated in the preceding paragraph.</w:t>
      </w:r>
    </w:p>
    <w:p w14:paraId="32877461" w14:textId="3C942078" w:rsidR="00164088" w:rsidRPr="00954547" w:rsidRDefault="00A17F8C" w:rsidP="006237E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120" w:after="120"/>
        <w:ind w:left="567" w:right="616"/>
        <w:jc w:val="both"/>
        <w:rPr>
          <w:rFonts w:ascii="Verdana" w:eastAsiaTheme="minorHAnsi" w:hAnsi="Verdana" w:cs="Arial"/>
          <w:sz w:val="18"/>
          <w:szCs w:val="18"/>
          <w:bdr w:val="none" w:sz="0" w:space="0" w:color="auto"/>
        </w:rPr>
      </w:pPr>
      <w:r w:rsidRPr="00954547">
        <w:rPr>
          <w:rFonts w:ascii="Verdana" w:hAnsi="Verdana" w:cs="Tahoma"/>
          <w:color w:val="000000"/>
          <w:sz w:val="18"/>
          <w:szCs w:val="18"/>
        </w:rPr>
        <w:t>Article</w:t>
      </w:r>
      <w:r w:rsidR="00164088" w:rsidRPr="00954547">
        <w:rPr>
          <w:rFonts w:ascii="Verdana" w:eastAsiaTheme="minorHAnsi" w:hAnsi="Verdana" w:cs="Arial"/>
          <w:sz w:val="18"/>
          <w:szCs w:val="18"/>
          <w:bdr w:val="none" w:sz="0" w:space="0" w:color="auto"/>
        </w:rPr>
        <w:t xml:space="preserve"> 137. </w:t>
      </w:r>
      <w:r w:rsidR="006237EE" w:rsidRPr="00954547">
        <w:rPr>
          <w:rFonts w:ascii="Verdana" w:eastAsiaTheme="minorHAnsi" w:hAnsi="Verdana" w:cs="Arial"/>
          <w:sz w:val="18"/>
          <w:szCs w:val="18"/>
          <w:bdr w:val="none" w:sz="0" w:space="0" w:color="auto"/>
        </w:rPr>
        <w:t xml:space="preserve">Culpable abortion. Anyone who culpably causes an abortion shall be sentenced to six months’ to two </w:t>
      </w:r>
      <w:r w:rsidR="006237EE" w:rsidRPr="00954547">
        <w:rPr>
          <w:rFonts w:ascii="Verdana" w:hAnsi="Verdana"/>
          <w:sz w:val="18"/>
          <w:szCs w:val="18"/>
          <w:bdr w:val="none" w:sz="0" w:space="0" w:color="auto"/>
        </w:rPr>
        <w:t xml:space="preserve">years’ imprisonment. Self-induced culpable abortion and attempts at this by the pregnant woman shall not be </w:t>
      </w:r>
      <w:r w:rsidR="00F02797" w:rsidRPr="00954547">
        <w:rPr>
          <w:rFonts w:ascii="Verdana" w:hAnsi="Verdana"/>
          <w:sz w:val="18"/>
          <w:szCs w:val="18"/>
          <w:bdr w:val="none" w:sz="0" w:space="0" w:color="auto"/>
        </w:rPr>
        <w:t>punishable</w:t>
      </w:r>
      <w:r w:rsidR="006237EE" w:rsidRPr="00954547">
        <w:rPr>
          <w:rFonts w:ascii="Verdana" w:hAnsi="Verdana"/>
          <w:sz w:val="18"/>
          <w:szCs w:val="18"/>
          <w:bdr w:val="none" w:sz="0" w:space="0" w:color="auto"/>
        </w:rPr>
        <w:t>.</w:t>
      </w:r>
      <w:r w:rsidR="00164088" w:rsidRPr="00954547">
        <w:rPr>
          <w:rStyle w:val="FootnoteReference"/>
          <w:rFonts w:ascii="Verdana" w:eastAsiaTheme="minorHAnsi" w:hAnsi="Verdana" w:cs="Arial"/>
          <w:sz w:val="18"/>
          <w:szCs w:val="18"/>
          <w:bdr w:val="none" w:sz="0" w:space="0" w:color="auto"/>
        </w:rPr>
        <w:footnoteReference w:id="84"/>
      </w:r>
    </w:p>
    <w:p w14:paraId="5695BF5F" w14:textId="315C03F2" w:rsidR="00164088" w:rsidRPr="00954547" w:rsidRDefault="006237EE" w:rsidP="00164088">
      <w:pPr>
        <w:pStyle w:val="Numberedparagraphs"/>
        <w:tabs>
          <w:tab w:val="left" w:pos="567"/>
        </w:tabs>
        <w:rPr>
          <w:lang w:val="en-US"/>
        </w:rPr>
      </w:pPr>
      <w:r w:rsidRPr="00954547">
        <w:rPr>
          <w:lang w:val="en-US"/>
        </w:rPr>
        <w:t xml:space="preserve">Subsequently, in </w:t>
      </w:r>
      <w:r w:rsidR="00164088" w:rsidRPr="00954547">
        <w:rPr>
          <w:lang w:val="en-US"/>
        </w:rPr>
        <w:t xml:space="preserve">1999, </w:t>
      </w:r>
      <w:r w:rsidRPr="00954547">
        <w:rPr>
          <w:lang w:val="en-US"/>
        </w:rPr>
        <w:t>the</w:t>
      </w:r>
      <w:r w:rsidR="00164088" w:rsidRPr="00954547">
        <w:rPr>
          <w:lang w:val="en-US"/>
        </w:rPr>
        <w:t xml:space="preserve"> </w:t>
      </w:r>
      <w:r w:rsidR="00C86FE5" w:rsidRPr="00954547">
        <w:rPr>
          <w:lang w:val="en-US"/>
        </w:rPr>
        <w:t>Legislative Assembly</w:t>
      </w:r>
      <w:r w:rsidR="00164088" w:rsidRPr="00954547">
        <w:rPr>
          <w:lang w:val="en-US"/>
        </w:rPr>
        <w:t xml:space="preserve"> </w:t>
      </w:r>
      <w:r w:rsidRPr="00954547">
        <w:rPr>
          <w:lang w:val="en-US"/>
        </w:rPr>
        <w:t>adopted an amendment to article 1 of the Constitution</w:t>
      </w:r>
      <w:r w:rsidR="00164088" w:rsidRPr="00954547">
        <w:rPr>
          <w:lang w:val="en-US"/>
        </w:rPr>
        <w:t xml:space="preserve"> </w:t>
      </w:r>
      <w:r w:rsidRPr="00954547">
        <w:rPr>
          <w:lang w:val="en-US"/>
        </w:rPr>
        <w:t>of</w:t>
      </w:r>
      <w:r w:rsidR="00164088" w:rsidRPr="00954547">
        <w:rPr>
          <w:lang w:val="en-US"/>
        </w:rPr>
        <w:t xml:space="preserve"> El Salvador</w:t>
      </w:r>
      <w:r w:rsidR="001101C0" w:rsidRPr="00954547">
        <w:rPr>
          <w:lang w:val="en-US"/>
        </w:rPr>
        <w:t xml:space="preserve"> establishing the recognition as a human person of “every human being from the moment of conception.</w:t>
      </w:r>
      <w:r w:rsidR="00164088" w:rsidRPr="00954547">
        <w:rPr>
          <w:lang w:val="en-US"/>
        </w:rPr>
        <w:t>”</w:t>
      </w:r>
      <w:r w:rsidR="00164088" w:rsidRPr="00954547">
        <w:rPr>
          <w:rStyle w:val="FootnoteReference"/>
          <w:lang w:val="en-US"/>
        </w:rPr>
        <w:footnoteReference w:id="85"/>
      </w:r>
    </w:p>
    <w:p w14:paraId="4BFB50FA" w14:textId="6BF3F183" w:rsidR="00164088" w:rsidRPr="00954547" w:rsidRDefault="001101C0" w:rsidP="00164088">
      <w:pPr>
        <w:pStyle w:val="Numberedparagraphs"/>
        <w:tabs>
          <w:tab w:val="left" w:pos="567"/>
        </w:tabs>
        <w:rPr>
          <w:rFonts w:cs="Tahoma"/>
          <w:lang w:val="en-US"/>
        </w:rPr>
      </w:pPr>
      <w:r w:rsidRPr="00954547">
        <w:rPr>
          <w:lang w:val="en-US"/>
        </w:rPr>
        <w:t xml:space="preserve">Regarding </w:t>
      </w:r>
      <w:r w:rsidR="00674DA3" w:rsidRPr="00954547">
        <w:rPr>
          <w:lang w:val="en-US"/>
        </w:rPr>
        <w:t xml:space="preserve">professional </w:t>
      </w:r>
      <w:r w:rsidR="00F02797" w:rsidRPr="00954547">
        <w:rPr>
          <w:lang w:val="en-US"/>
        </w:rPr>
        <w:t>secrecy</w:t>
      </w:r>
      <w:r w:rsidRPr="00954547">
        <w:rPr>
          <w:lang w:val="en-US"/>
        </w:rPr>
        <w:t>, the Health Code</w:t>
      </w:r>
      <w:r w:rsidR="00164088" w:rsidRPr="00954547">
        <w:rPr>
          <w:lang w:val="en-US"/>
        </w:rPr>
        <w:t xml:space="preserve"> establ</w:t>
      </w:r>
      <w:r w:rsidRPr="00954547">
        <w:rPr>
          <w:lang w:val="en-US"/>
        </w:rPr>
        <w:t>ishes</w:t>
      </w:r>
      <w:r w:rsidR="00164088" w:rsidRPr="00954547">
        <w:rPr>
          <w:lang w:val="en-US"/>
        </w:rPr>
        <w:t>:</w:t>
      </w:r>
    </w:p>
    <w:p w14:paraId="035E7485" w14:textId="58DF6D48" w:rsidR="00164088" w:rsidRPr="00954547" w:rsidRDefault="00A17F8C" w:rsidP="0016408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120"/>
        <w:ind w:left="567" w:right="758"/>
        <w:jc w:val="both"/>
        <w:rPr>
          <w:rFonts w:ascii="Verdana" w:hAnsi="Verdana"/>
          <w:sz w:val="18"/>
          <w:szCs w:val="18"/>
        </w:rPr>
      </w:pPr>
      <w:r w:rsidRPr="00954547">
        <w:rPr>
          <w:rFonts w:ascii="Verdana" w:hAnsi="Verdana"/>
          <w:sz w:val="18"/>
          <w:szCs w:val="18"/>
        </w:rPr>
        <w:t>Article</w:t>
      </w:r>
      <w:r w:rsidR="00164088" w:rsidRPr="00954547">
        <w:rPr>
          <w:rFonts w:ascii="Verdana" w:hAnsi="Verdana"/>
          <w:sz w:val="18"/>
          <w:szCs w:val="18"/>
        </w:rPr>
        <w:t xml:space="preserve"> 37.</w:t>
      </w:r>
      <w:r w:rsidR="001101C0" w:rsidRPr="00954547">
        <w:rPr>
          <w:rFonts w:ascii="Verdana" w:hAnsi="Verdana"/>
          <w:sz w:val="18"/>
          <w:szCs w:val="18"/>
        </w:rPr>
        <w:t xml:space="preserve"> </w:t>
      </w:r>
      <w:r w:rsidR="00674DA3" w:rsidRPr="00954547">
        <w:rPr>
          <w:rFonts w:ascii="Verdana" w:hAnsi="Verdana"/>
          <w:sz w:val="18"/>
          <w:szCs w:val="18"/>
        </w:rPr>
        <w:t xml:space="preserve">Professional </w:t>
      </w:r>
      <w:r w:rsidR="00F02797" w:rsidRPr="00954547">
        <w:rPr>
          <w:rFonts w:ascii="Verdana" w:hAnsi="Verdana"/>
          <w:sz w:val="18"/>
          <w:szCs w:val="18"/>
        </w:rPr>
        <w:t xml:space="preserve">secrecy </w:t>
      </w:r>
      <w:r w:rsidR="00464D47" w:rsidRPr="00954547">
        <w:rPr>
          <w:rFonts w:ascii="Verdana" w:hAnsi="Verdana"/>
          <w:sz w:val="18"/>
          <w:szCs w:val="18"/>
        </w:rPr>
        <w:t>is an obligation derived from the very essence of the profession. Public interest, patient safety, family honor and professional respectability require this secrecy; therefore, anything seen, hear</w:t>
      </w:r>
      <w:r w:rsidR="00F02797" w:rsidRPr="00954547">
        <w:rPr>
          <w:rFonts w:ascii="Verdana" w:hAnsi="Verdana"/>
          <w:sz w:val="18"/>
          <w:szCs w:val="18"/>
        </w:rPr>
        <w:t>d</w:t>
      </w:r>
      <w:r w:rsidR="00464D47" w:rsidRPr="00954547">
        <w:rPr>
          <w:rFonts w:ascii="Verdana" w:hAnsi="Verdana"/>
          <w:sz w:val="18"/>
          <w:szCs w:val="18"/>
        </w:rPr>
        <w:t xml:space="preserve"> or discovered in the exercise of the profession must be maintained confidential.</w:t>
      </w:r>
    </w:p>
    <w:p w14:paraId="59A8C2CB" w14:textId="710888BB" w:rsidR="00164088" w:rsidRPr="00954547" w:rsidRDefault="00A17F8C" w:rsidP="004C472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120"/>
        <w:ind w:left="567" w:right="758"/>
        <w:jc w:val="both"/>
        <w:rPr>
          <w:rFonts w:ascii="Verdana" w:hAnsi="Verdana"/>
          <w:sz w:val="18"/>
          <w:szCs w:val="18"/>
        </w:rPr>
      </w:pPr>
      <w:r w:rsidRPr="00954547">
        <w:rPr>
          <w:rFonts w:ascii="Verdana" w:hAnsi="Verdana"/>
          <w:sz w:val="18"/>
          <w:szCs w:val="18"/>
        </w:rPr>
        <w:t>Article</w:t>
      </w:r>
      <w:r w:rsidR="00164088" w:rsidRPr="00954547">
        <w:rPr>
          <w:rFonts w:ascii="Verdana" w:hAnsi="Verdana"/>
          <w:sz w:val="18"/>
          <w:szCs w:val="18"/>
        </w:rPr>
        <w:t xml:space="preserve"> 38.</w:t>
      </w:r>
      <w:r w:rsidR="00773986" w:rsidRPr="00954547">
        <w:rPr>
          <w:rFonts w:ascii="Verdana" w:hAnsi="Verdana"/>
          <w:sz w:val="18"/>
          <w:szCs w:val="18"/>
        </w:rPr>
        <w:t xml:space="preserve"> </w:t>
      </w:r>
      <w:r w:rsidR="00674DA3" w:rsidRPr="00954547">
        <w:rPr>
          <w:rFonts w:ascii="Verdana" w:hAnsi="Verdana"/>
          <w:sz w:val="18"/>
          <w:szCs w:val="18"/>
        </w:rPr>
        <w:t xml:space="preserve">Professional </w:t>
      </w:r>
      <w:r w:rsidR="00AA5533" w:rsidRPr="00954547">
        <w:rPr>
          <w:rFonts w:ascii="Verdana" w:hAnsi="Verdana"/>
          <w:sz w:val="18"/>
          <w:szCs w:val="18"/>
        </w:rPr>
        <w:t>secrecy</w:t>
      </w:r>
      <w:r w:rsidR="00984B64" w:rsidRPr="00954547">
        <w:rPr>
          <w:rFonts w:ascii="Verdana" w:hAnsi="Verdana"/>
          <w:sz w:val="18"/>
          <w:szCs w:val="18"/>
        </w:rPr>
        <w:t xml:space="preserve"> takes two forms: (</w:t>
      </w:r>
      <w:r w:rsidR="00164088" w:rsidRPr="00954547">
        <w:rPr>
          <w:rFonts w:ascii="Verdana" w:hAnsi="Verdana"/>
          <w:sz w:val="18"/>
          <w:szCs w:val="18"/>
        </w:rPr>
        <w:t xml:space="preserve">a) </w:t>
      </w:r>
      <w:r w:rsidR="00984B64" w:rsidRPr="00954547">
        <w:rPr>
          <w:rFonts w:ascii="Verdana" w:hAnsi="Verdana"/>
          <w:sz w:val="18"/>
          <w:szCs w:val="18"/>
        </w:rPr>
        <w:t xml:space="preserve">The formal explicit secret, textually entrusted by the patient to the professional, and (b) The implicit secrecy that results from the relationship between the patient and the professional. </w:t>
      </w:r>
      <w:r w:rsidR="00674DA3" w:rsidRPr="00954547">
        <w:rPr>
          <w:rFonts w:ascii="Verdana" w:hAnsi="Verdana"/>
          <w:sz w:val="18"/>
          <w:szCs w:val="18"/>
        </w:rPr>
        <w:t xml:space="preserve">Professional </w:t>
      </w:r>
      <w:r w:rsidR="00AA5533" w:rsidRPr="00954547">
        <w:rPr>
          <w:rFonts w:ascii="Verdana" w:hAnsi="Verdana"/>
          <w:sz w:val="18"/>
          <w:szCs w:val="18"/>
        </w:rPr>
        <w:t>secrecy</w:t>
      </w:r>
      <w:r w:rsidR="00984B64" w:rsidRPr="00954547">
        <w:rPr>
          <w:rFonts w:ascii="Verdana" w:hAnsi="Verdana"/>
          <w:sz w:val="18"/>
          <w:szCs w:val="18"/>
        </w:rPr>
        <w:t xml:space="preserve"> is inviolable, </w:t>
      </w:r>
      <w:r w:rsidR="004C4728" w:rsidRPr="00954547">
        <w:rPr>
          <w:rFonts w:ascii="Verdana" w:hAnsi="Verdana"/>
          <w:sz w:val="18"/>
          <w:szCs w:val="18"/>
        </w:rPr>
        <w:t>except in the case that, maintaining it, would violate the laws in force or when it must be revealed in an expert opinion or to notify infectious or contagious diseases to the health authorities.</w:t>
      </w:r>
      <w:r w:rsidR="00164088" w:rsidRPr="00954547">
        <w:rPr>
          <w:rStyle w:val="FootnoteReference"/>
          <w:rFonts w:ascii="Verdana" w:hAnsi="Verdana"/>
          <w:sz w:val="18"/>
          <w:szCs w:val="18"/>
        </w:rPr>
        <w:footnoteReference w:id="86"/>
      </w:r>
    </w:p>
    <w:p w14:paraId="3A45D397" w14:textId="006B888F" w:rsidR="00164088" w:rsidRPr="00954547" w:rsidRDefault="00164088" w:rsidP="00BA4784">
      <w:pPr>
        <w:pStyle w:val="Numberedparagraphs"/>
        <w:tabs>
          <w:tab w:val="left" w:pos="567"/>
        </w:tabs>
        <w:rPr>
          <w:lang w:val="en-US"/>
        </w:rPr>
      </w:pPr>
      <w:r w:rsidRPr="00954547">
        <w:rPr>
          <w:lang w:val="en-US"/>
        </w:rPr>
        <w:t>Ad</w:t>
      </w:r>
      <w:r w:rsidR="004C4728" w:rsidRPr="00954547">
        <w:rPr>
          <w:lang w:val="en-US"/>
        </w:rPr>
        <w:t>ditionally</w:t>
      </w:r>
      <w:r w:rsidRPr="00954547">
        <w:rPr>
          <w:lang w:val="en-US"/>
        </w:rPr>
        <w:t>,</w:t>
      </w:r>
      <w:r w:rsidR="004C4728" w:rsidRPr="00954547">
        <w:rPr>
          <w:lang w:val="en-US"/>
        </w:rPr>
        <w:t xml:space="preserve"> a</w:t>
      </w:r>
      <w:r w:rsidR="00A17F8C" w:rsidRPr="00954547">
        <w:rPr>
          <w:lang w:val="en-US"/>
        </w:rPr>
        <w:t>rticle</w:t>
      </w:r>
      <w:r w:rsidRPr="00954547">
        <w:rPr>
          <w:lang w:val="en-US"/>
        </w:rPr>
        <w:t xml:space="preserve"> 187</w:t>
      </w:r>
      <w:r w:rsidR="004C4728" w:rsidRPr="00954547">
        <w:rPr>
          <w:lang w:val="en-US"/>
        </w:rPr>
        <w:t xml:space="preserve"> of</w:t>
      </w:r>
      <w:r w:rsidR="007D7721" w:rsidRPr="00954547">
        <w:rPr>
          <w:lang w:val="en-US"/>
        </w:rPr>
        <w:t xml:space="preserve"> the Criminal Code</w:t>
      </w:r>
      <w:r w:rsidRPr="00954547">
        <w:rPr>
          <w:lang w:val="en-US"/>
        </w:rPr>
        <w:t xml:space="preserve"> </w:t>
      </w:r>
      <w:r w:rsidR="004C4728" w:rsidRPr="00954547">
        <w:rPr>
          <w:lang w:val="en-US"/>
        </w:rPr>
        <w:t>establishes the offense of revealing a professional secret as follows: “anyone who reveals a secret imposed on him due to his profession or o</w:t>
      </w:r>
      <w:r w:rsidR="00BA4784" w:rsidRPr="00954547">
        <w:rPr>
          <w:lang w:val="en-US"/>
        </w:rPr>
        <w:t>ccupation</w:t>
      </w:r>
      <w:r w:rsidR="004C4728" w:rsidRPr="00954547">
        <w:rPr>
          <w:lang w:val="en-US"/>
        </w:rPr>
        <w:t xml:space="preserve">, shall be sentenced to six months’ to two years’ imprisonment and special disqualification from </w:t>
      </w:r>
      <w:r w:rsidR="00AA5533" w:rsidRPr="00954547">
        <w:rPr>
          <w:lang w:val="en-US"/>
        </w:rPr>
        <w:t xml:space="preserve">his </w:t>
      </w:r>
      <w:r w:rsidR="004C4728" w:rsidRPr="00954547">
        <w:rPr>
          <w:lang w:val="en-US"/>
        </w:rPr>
        <w:t>profession or o</w:t>
      </w:r>
      <w:r w:rsidR="00BA4784" w:rsidRPr="00954547">
        <w:rPr>
          <w:lang w:val="en-US"/>
        </w:rPr>
        <w:t>ccupation</w:t>
      </w:r>
      <w:r w:rsidR="004C4728" w:rsidRPr="00954547">
        <w:rPr>
          <w:lang w:val="en-US"/>
        </w:rPr>
        <w:t xml:space="preserve"> of from one to two years.</w:t>
      </w:r>
      <w:r w:rsidRPr="00954547">
        <w:rPr>
          <w:rFonts w:cs="ArialMT"/>
          <w:lang w:val="en-US"/>
        </w:rPr>
        <w:t>”</w:t>
      </w:r>
      <w:r w:rsidRPr="00954547">
        <w:rPr>
          <w:rStyle w:val="FootnoteReference"/>
          <w:rFonts w:eastAsiaTheme="minorHAnsi" w:cs="ArialMT"/>
          <w:lang w:val="en-US"/>
        </w:rPr>
        <w:footnoteReference w:id="87"/>
      </w:r>
      <w:r w:rsidR="00BA4784" w:rsidRPr="00954547">
        <w:rPr>
          <w:rFonts w:cs="ArialMT"/>
          <w:lang w:val="en-US"/>
        </w:rPr>
        <w:t xml:space="preserve"> Similarly, </w:t>
      </w:r>
      <w:r w:rsidR="00BA4784" w:rsidRPr="00954547">
        <w:rPr>
          <w:lang w:val="en-US"/>
        </w:rPr>
        <w:t>the Code of Criminal Procedure</w:t>
      </w:r>
      <w:r w:rsidRPr="00954547">
        <w:rPr>
          <w:lang w:val="en-US"/>
        </w:rPr>
        <w:t xml:space="preserve"> </w:t>
      </w:r>
      <w:r w:rsidR="00BA4784" w:rsidRPr="00954547">
        <w:rPr>
          <w:lang w:val="en-US"/>
        </w:rPr>
        <w:t>in force at the time of the events, established that:</w:t>
      </w:r>
    </w:p>
    <w:p w14:paraId="77642874" w14:textId="0328EA78" w:rsidR="00164088" w:rsidRPr="00954547" w:rsidRDefault="00BA4784" w:rsidP="00AA5533">
      <w:pPr>
        <w:tabs>
          <w:tab w:val="left" w:pos="567"/>
        </w:tabs>
        <w:ind w:left="567" w:right="758"/>
        <w:jc w:val="both"/>
        <w:rPr>
          <w:rFonts w:ascii="Verdana" w:hAnsi="Verdana"/>
          <w:sz w:val="18"/>
          <w:szCs w:val="18"/>
        </w:rPr>
      </w:pPr>
      <w:r w:rsidRPr="00954547">
        <w:rPr>
          <w:rFonts w:ascii="Verdana" w:hAnsi="Verdana"/>
          <w:sz w:val="18"/>
          <w:szCs w:val="18"/>
        </w:rPr>
        <w:t xml:space="preserve">The following are prohibited from revealing facts they have </w:t>
      </w:r>
      <w:r w:rsidR="00AA5533" w:rsidRPr="00954547">
        <w:rPr>
          <w:rFonts w:ascii="Verdana" w:hAnsi="Verdana"/>
          <w:sz w:val="18"/>
          <w:szCs w:val="18"/>
        </w:rPr>
        <w:t>become aware of</w:t>
      </w:r>
      <w:r w:rsidRPr="00954547">
        <w:rPr>
          <w:rFonts w:ascii="Verdana" w:hAnsi="Verdana"/>
          <w:sz w:val="18"/>
          <w:szCs w:val="18"/>
        </w:rPr>
        <w:t xml:space="preserve"> owing to their status, occupation or profession, under penalty of nullity: ministers of a church with legal personality, lawyers, notaries</w:t>
      </w:r>
      <w:r w:rsidR="00DB4492" w:rsidRPr="00954547">
        <w:rPr>
          <w:rFonts w:ascii="Verdana" w:hAnsi="Verdana"/>
          <w:sz w:val="18"/>
          <w:szCs w:val="18"/>
        </w:rPr>
        <w:t xml:space="preserve"> public, </w:t>
      </w:r>
      <w:r w:rsidR="007F1DBA" w:rsidRPr="00954547">
        <w:rPr>
          <w:rFonts w:ascii="Verdana" w:hAnsi="Verdana"/>
          <w:sz w:val="18"/>
          <w:szCs w:val="18"/>
        </w:rPr>
        <w:t>physicians</w:t>
      </w:r>
      <w:r w:rsidR="00DB4492" w:rsidRPr="00954547">
        <w:rPr>
          <w:rFonts w:ascii="Verdana" w:hAnsi="Verdana"/>
          <w:sz w:val="18"/>
          <w:szCs w:val="18"/>
        </w:rPr>
        <w:t xml:space="preserve">, pharmacists and obstetricians, in accordance with </w:t>
      </w:r>
      <w:r w:rsidR="00674DA3" w:rsidRPr="00954547">
        <w:rPr>
          <w:rFonts w:ascii="Verdana" w:hAnsi="Verdana"/>
          <w:sz w:val="18"/>
          <w:szCs w:val="18"/>
        </w:rPr>
        <w:t xml:space="preserve">professional </w:t>
      </w:r>
      <w:r w:rsidR="00AA5533" w:rsidRPr="00954547">
        <w:rPr>
          <w:rFonts w:ascii="Verdana" w:hAnsi="Verdana"/>
          <w:sz w:val="18"/>
          <w:szCs w:val="18"/>
        </w:rPr>
        <w:t>secrecy</w:t>
      </w:r>
      <w:r w:rsidR="00DB4492" w:rsidRPr="00954547">
        <w:rPr>
          <w:rFonts w:ascii="Verdana" w:hAnsi="Verdana"/>
          <w:sz w:val="18"/>
          <w:szCs w:val="18"/>
        </w:rPr>
        <w:t xml:space="preserve">, </w:t>
      </w:r>
      <w:r w:rsidR="0078694F" w:rsidRPr="00954547">
        <w:rPr>
          <w:rFonts w:ascii="Verdana" w:hAnsi="Verdana"/>
          <w:sz w:val="18"/>
          <w:szCs w:val="18"/>
        </w:rPr>
        <w:t xml:space="preserve">and </w:t>
      </w:r>
      <w:r w:rsidR="00DB4492" w:rsidRPr="00954547">
        <w:rPr>
          <w:rFonts w:ascii="Verdana" w:hAnsi="Verdana"/>
          <w:sz w:val="18"/>
          <w:szCs w:val="18"/>
        </w:rPr>
        <w:t>public officials with regard to State secrets</w:t>
      </w:r>
      <w:r w:rsidR="00164088" w:rsidRPr="00954547">
        <w:rPr>
          <w:rFonts w:ascii="Verdana" w:hAnsi="Verdana"/>
          <w:sz w:val="18"/>
          <w:szCs w:val="18"/>
        </w:rPr>
        <w:t xml:space="preserve">. </w:t>
      </w:r>
      <w:r w:rsidR="00DB4492" w:rsidRPr="00954547">
        <w:rPr>
          <w:rFonts w:ascii="Verdana" w:hAnsi="Verdana"/>
          <w:sz w:val="18"/>
          <w:szCs w:val="18"/>
        </w:rPr>
        <w:t>However, such persons may not refuse to testify when the person concerned</w:t>
      </w:r>
      <w:r w:rsidR="00AA5533" w:rsidRPr="00954547">
        <w:rPr>
          <w:rFonts w:ascii="Verdana" w:hAnsi="Verdana"/>
          <w:sz w:val="18"/>
          <w:szCs w:val="18"/>
        </w:rPr>
        <w:t xml:space="preserve"> releases them</w:t>
      </w:r>
      <w:r w:rsidR="00DB4492" w:rsidRPr="00954547">
        <w:rPr>
          <w:rFonts w:ascii="Verdana" w:hAnsi="Verdana"/>
          <w:sz w:val="18"/>
          <w:szCs w:val="18"/>
        </w:rPr>
        <w:t xml:space="preserve"> from the obligation to keep a secret. If the witness erroneously cites that obligation with regard to one of the acts included in this article, he shall be questioned.</w:t>
      </w:r>
      <w:r w:rsidR="00164088" w:rsidRPr="00954547">
        <w:rPr>
          <w:rStyle w:val="FootnoteReference"/>
          <w:rFonts w:ascii="Verdana" w:eastAsiaTheme="minorHAnsi" w:hAnsi="Verdana" w:cs="ArialMT"/>
          <w:sz w:val="18"/>
          <w:szCs w:val="18"/>
          <w:bdr w:val="none" w:sz="0" w:space="0" w:color="auto"/>
        </w:rPr>
        <w:footnoteReference w:id="88"/>
      </w:r>
    </w:p>
    <w:p w14:paraId="6842C2D1" w14:textId="6740D31D" w:rsidR="00164088" w:rsidRPr="00954547" w:rsidRDefault="006D3331" w:rsidP="009F191C">
      <w:pPr>
        <w:pStyle w:val="Numberedparagraphs"/>
        <w:tabs>
          <w:tab w:val="left" w:pos="567"/>
        </w:tabs>
        <w:rPr>
          <w:lang w:val="en-US"/>
        </w:rPr>
      </w:pPr>
      <w:r w:rsidRPr="00954547">
        <w:rPr>
          <w:lang w:val="en-US"/>
        </w:rPr>
        <w:t>N</w:t>
      </w:r>
      <w:r w:rsidR="0096416C" w:rsidRPr="00954547">
        <w:rPr>
          <w:lang w:val="en-US"/>
        </w:rPr>
        <w:t>evertheless, the laws also establish</w:t>
      </w:r>
      <w:r w:rsidR="00AA5533" w:rsidRPr="00954547">
        <w:rPr>
          <w:lang w:val="en-US"/>
        </w:rPr>
        <w:t>ed</w:t>
      </w:r>
      <w:r w:rsidR="0096416C" w:rsidRPr="00954547">
        <w:rPr>
          <w:lang w:val="en-US"/>
        </w:rPr>
        <w:t xml:space="preserve"> the reporting obligation of “</w:t>
      </w:r>
      <w:r w:rsidR="007F1DBA" w:rsidRPr="00954547">
        <w:rPr>
          <w:lang w:val="en-US"/>
        </w:rPr>
        <w:t>physicians</w:t>
      </w:r>
      <w:r w:rsidR="0096416C" w:rsidRPr="00954547">
        <w:rPr>
          <w:lang w:val="en-US"/>
        </w:rPr>
        <w:t xml:space="preserve">, pharmacists, nurses and other persons who exercise </w:t>
      </w:r>
      <w:r w:rsidR="009F191C" w:rsidRPr="00954547">
        <w:rPr>
          <w:lang w:val="en-US"/>
        </w:rPr>
        <w:t xml:space="preserve">health-related </w:t>
      </w:r>
      <w:r w:rsidR="0096416C" w:rsidRPr="00954547">
        <w:rPr>
          <w:lang w:val="en-US"/>
        </w:rPr>
        <w:t xml:space="preserve">professions, who </w:t>
      </w:r>
      <w:r w:rsidR="00AA5533" w:rsidRPr="00954547">
        <w:rPr>
          <w:lang w:val="en-US"/>
        </w:rPr>
        <w:t xml:space="preserve">become aware </w:t>
      </w:r>
      <w:r w:rsidR="0096416C" w:rsidRPr="00954547">
        <w:rPr>
          <w:lang w:val="en-US"/>
        </w:rPr>
        <w:t>[…] [</w:t>
      </w:r>
      <w:r w:rsidR="00AA5533" w:rsidRPr="00954547">
        <w:rPr>
          <w:lang w:val="en-US"/>
        </w:rPr>
        <w:t>of</w:t>
      </w:r>
      <w:r w:rsidR="0096416C" w:rsidRPr="00954547">
        <w:rPr>
          <w:lang w:val="en-US"/>
        </w:rPr>
        <w:t xml:space="preserve"> actionable offenses] wh</w:t>
      </w:r>
      <w:r w:rsidR="009F191C" w:rsidRPr="00954547">
        <w:rPr>
          <w:lang w:val="en-US"/>
        </w:rPr>
        <w:t>ile</w:t>
      </w:r>
      <w:r w:rsidR="0096416C" w:rsidRPr="00954547">
        <w:rPr>
          <w:lang w:val="en-US"/>
        </w:rPr>
        <w:t xml:space="preserve"> providing the care </w:t>
      </w:r>
      <w:r w:rsidR="00842B73" w:rsidRPr="00954547">
        <w:rPr>
          <w:lang w:val="en-US"/>
        </w:rPr>
        <w:t>required by</w:t>
      </w:r>
      <w:r w:rsidR="0096416C" w:rsidRPr="00954547">
        <w:rPr>
          <w:lang w:val="en-US"/>
        </w:rPr>
        <w:t xml:space="preserve"> their profession, unless the knowledge they acquire is protected by </w:t>
      </w:r>
      <w:r w:rsidR="00674DA3" w:rsidRPr="00954547">
        <w:rPr>
          <w:lang w:val="en-US"/>
        </w:rPr>
        <w:t xml:space="preserve">professional </w:t>
      </w:r>
      <w:r w:rsidR="00842B73" w:rsidRPr="00954547">
        <w:rPr>
          <w:lang w:val="en-US"/>
        </w:rPr>
        <w:t>secrecy</w:t>
      </w:r>
      <w:r w:rsidR="0096416C" w:rsidRPr="00954547">
        <w:rPr>
          <w:lang w:val="en-US"/>
        </w:rPr>
        <w:t>.</w:t>
      </w:r>
      <w:r w:rsidR="00164088" w:rsidRPr="00954547">
        <w:rPr>
          <w:lang w:val="en-US"/>
        </w:rPr>
        <w:t>”</w:t>
      </w:r>
      <w:r w:rsidR="00164088" w:rsidRPr="00954547">
        <w:rPr>
          <w:rStyle w:val="FootnoteReference"/>
          <w:rFonts w:eastAsiaTheme="minorHAnsi"/>
          <w:lang w:val="en-US"/>
        </w:rPr>
        <w:footnoteReference w:id="89"/>
      </w:r>
      <w:r w:rsidR="00164088" w:rsidRPr="00954547">
        <w:rPr>
          <w:lang w:val="en-US"/>
        </w:rPr>
        <w:t xml:space="preserve"> </w:t>
      </w:r>
      <w:r w:rsidR="0096416C" w:rsidRPr="00954547">
        <w:rPr>
          <w:lang w:val="en-US"/>
        </w:rPr>
        <w:t>In addition</w:t>
      </w:r>
      <w:r w:rsidR="00164088" w:rsidRPr="00954547">
        <w:rPr>
          <w:lang w:val="en-US"/>
        </w:rPr>
        <w:t>,</w:t>
      </w:r>
      <w:r w:rsidR="007D7721" w:rsidRPr="00954547">
        <w:rPr>
          <w:lang w:val="en-US"/>
        </w:rPr>
        <w:t xml:space="preserve"> the Criminal Code</w:t>
      </w:r>
      <w:r w:rsidR="00164088" w:rsidRPr="00954547">
        <w:rPr>
          <w:lang w:val="en-US"/>
        </w:rPr>
        <w:t xml:space="preserve"> establ</w:t>
      </w:r>
      <w:r w:rsidR="0096416C" w:rsidRPr="00954547">
        <w:rPr>
          <w:lang w:val="en-US"/>
        </w:rPr>
        <w:t>ished a fine for the “public official or employee, law enforcement agent or public authority</w:t>
      </w:r>
      <w:r w:rsidR="009F191C" w:rsidRPr="00954547">
        <w:rPr>
          <w:lang w:val="en-US"/>
        </w:rPr>
        <w:t xml:space="preserve"> who, in the exercise of his functions or due to them, becomes aware that a punishable </w:t>
      </w:r>
      <w:r w:rsidR="00872944" w:rsidRPr="00954547">
        <w:rPr>
          <w:lang w:val="en-US"/>
        </w:rPr>
        <w:t>act</w:t>
      </w:r>
      <w:r w:rsidR="009F191C" w:rsidRPr="00954547">
        <w:rPr>
          <w:lang w:val="en-US"/>
        </w:rPr>
        <w:t xml:space="preserve"> has been perpetrated and fails to report this to the competent official within twenty-four hours. […] The same punishment shall be imposed on the head or person in charge of a hospital, clinic or other similar public or private establishment, who fails to inform the competent official within eight hours that an injured person has been admitted, in cases in which it </w:t>
      </w:r>
      <w:r w:rsidR="009E6B43" w:rsidRPr="00954547">
        <w:rPr>
          <w:lang w:val="en-US"/>
        </w:rPr>
        <w:t>is</w:t>
      </w:r>
      <w:r w:rsidR="009F191C" w:rsidRPr="00954547">
        <w:rPr>
          <w:lang w:val="en-US"/>
        </w:rPr>
        <w:t xml:space="preserve"> </w:t>
      </w:r>
      <w:r w:rsidR="009E6B43" w:rsidRPr="00954547">
        <w:rPr>
          <w:lang w:val="en-US"/>
        </w:rPr>
        <w:t>reasonabl</w:t>
      </w:r>
      <w:r w:rsidR="009F191C" w:rsidRPr="00954547">
        <w:rPr>
          <w:lang w:val="en-US"/>
        </w:rPr>
        <w:t xml:space="preserve">e </w:t>
      </w:r>
      <w:r w:rsidR="009E6B43" w:rsidRPr="00954547">
        <w:rPr>
          <w:lang w:val="en-US"/>
        </w:rPr>
        <w:t xml:space="preserve">to </w:t>
      </w:r>
      <w:r w:rsidR="009F191C" w:rsidRPr="00954547">
        <w:rPr>
          <w:lang w:val="en-US"/>
        </w:rPr>
        <w:t>consider that the injuries originated from an offense.</w:t>
      </w:r>
      <w:r w:rsidR="000A7D12" w:rsidRPr="00954547">
        <w:rPr>
          <w:rFonts w:cs="ArialMT"/>
          <w:lang w:val="en-US"/>
        </w:rPr>
        <w:t>”</w:t>
      </w:r>
      <w:r w:rsidR="000A7D12" w:rsidRPr="00954547">
        <w:rPr>
          <w:rStyle w:val="FootnoteReference"/>
          <w:rFonts w:eastAsiaTheme="minorHAnsi" w:cs="ArialMT"/>
          <w:lang w:val="en-US"/>
        </w:rPr>
        <w:footnoteReference w:id="90"/>
      </w:r>
    </w:p>
    <w:p w14:paraId="6FB12019" w14:textId="3A9F92E2" w:rsidR="00164088" w:rsidRPr="00954547" w:rsidRDefault="009E6B43" w:rsidP="00164088">
      <w:pPr>
        <w:pStyle w:val="Heading2"/>
        <w:rPr>
          <w:lang w:val="en-US"/>
        </w:rPr>
      </w:pPr>
      <w:bookmarkStart w:id="32" w:name="_Toc106353896"/>
      <w:r w:rsidRPr="00954547">
        <w:rPr>
          <w:lang w:val="en-US"/>
        </w:rPr>
        <w:t>Factual context</w:t>
      </w:r>
      <w:bookmarkEnd w:id="32"/>
    </w:p>
    <w:p w14:paraId="1EFAF428" w14:textId="79FB4DE2" w:rsidR="00EE3879" w:rsidRPr="00954547" w:rsidRDefault="00842B73" w:rsidP="00403AB4">
      <w:pPr>
        <w:pStyle w:val="Numberedparagraphs"/>
        <w:tabs>
          <w:tab w:val="left" w:pos="567"/>
        </w:tabs>
        <w:rPr>
          <w:lang w:val="en-US"/>
        </w:rPr>
      </w:pPr>
      <w:r w:rsidRPr="00954547">
        <w:rPr>
          <w:lang w:val="en-US"/>
        </w:rPr>
        <w:t xml:space="preserve">In its Merits Report, </w:t>
      </w:r>
      <w:r w:rsidR="00E76B1A" w:rsidRPr="00954547">
        <w:rPr>
          <w:lang w:val="en-US"/>
        </w:rPr>
        <w:t>the Commission</w:t>
      </w:r>
      <w:r w:rsidR="00A32ECD" w:rsidRPr="00954547">
        <w:rPr>
          <w:lang w:val="en-US"/>
        </w:rPr>
        <w:t xml:space="preserve"> inclu</w:t>
      </w:r>
      <w:r w:rsidR="009E6B43" w:rsidRPr="00954547">
        <w:rPr>
          <w:lang w:val="en-US"/>
        </w:rPr>
        <w:t xml:space="preserve">ded </w:t>
      </w:r>
      <w:r w:rsidR="00A32ECD" w:rsidRPr="00954547">
        <w:rPr>
          <w:lang w:val="en-US"/>
        </w:rPr>
        <w:t>informa</w:t>
      </w:r>
      <w:r w:rsidR="009E6B43" w:rsidRPr="00954547">
        <w:rPr>
          <w:lang w:val="en-US"/>
        </w:rPr>
        <w:t xml:space="preserve">tion on the criminalization of abortion </w:t>
      </w:r>
      <w:r w:rsidR="00015F7C" w:rsidRPr="00954547">
        <w:rPr>
          <w:lang w:val="en-US"/>
        </w:rPr>
        <w:t>in El Salvador</w:t>
      </w:r>
      <w:r w:rsidR="0078694F" w:rsidRPr="00954547">
        <w:rPr>
          <w:lang w:val="en-US"/>
        </w:rPr>
        <w:t xml:space="preserve"> and </w:t>
      </w:r>
      <w:r w:rsidR="009E6B43" w:rsidRPr="00954547">
        <w:rPr>
          <w:lang w:val="en-US"/>
        </w:rPr>
        <w:t>the alleged effect that this has had in cases of obstetric emergencies</w:t>
      </w:r>
      <w:r w:rsidR="0078694F" w:rsidRPr="00954547">
        <w:rPr>
          <w:lang w:val="en-US"/>
        </w:rPr>
        <w:t xml:space="preserve"> and</w:t>
      </w:r>
      <w:r w:rsidR="00DE54A4" w:rsidRPr="00954547">
        <w:rPr>
          <w:lang w:val="en-US"/>
        </w:rPr>
        <w:t xml:space="preserve"> </w:t>
      </w:r>
      <w:r w:rsidR="009E6B43" w:rsidRPr="00954547">
        <w:rPr>
          <w:lang w:val="en-US"/>
        </w:rPr>
        <w:t>infanticide</w:t>
      </w:r>
      <w:r w:rsidR="00EE3879" w:rsidRPr="00954547">
        <w:rPr>
          <w:lang w:val="en-US"/>
        </w:rPr>
        <w:t xml:space="preserve">. </w:t>
      </w:r>
      <w:r w:rsidR="009E6B43" w:rsidRPr="00954547">
        <w:rPr>
          <w:lang w:val="en-US"/>
        </w:rPr>
        <w:t xml:space="preserve">Even though the criminal laws on abortion were not applied in this case, the Court notes that this information relates to the alleged </w:t>
      </w:r>
      <w:r w:rsidR="00DD50D1" w:rsidRPr="00954547">
        <w:rPr>
          <w:lang w:val="en-US"/>
        </w:rPr>
        <w:t>criminalization</w:t>
      </w:r>
      <w:r w:rsidR="00EE3879" w:rsidRPr="00954547">
        <w:rPr>
          <w:lang w:val="en-US"/>
        </w:rPr>
        <w:t xml:space="preserve"> </w:t>
      </w:r>
      <w:r w:rsidR="009E6B43" w:rsidRPr="00954547">
        <w:rPr>
          <w:lang w:val="en-US"/>
        </w:rPr>
        <w:t>of women who have suffered obstetric emergencies</w:t>
      </w:r>
      <w:r w:rsidR="006A2850" w:rsidRPr="00954547">
        <w:rPr>
          <w:lang w:val="en-US"/>
        </w:rPr>
        <w:t xml:space="preserve"> </w:t>
      </w:r>
      <w:r w:rsidR="00015F7C" w:rsidRPr="00954547">
        <w:rPr>
          <w:lang w:val="en-US"/>
        </w:rPr>
        <w:t>in El Salvador</w:t>
      </w:r>
      <w:r w:rsidR="009E6B43" w:rsidRPr="00954547">
        <w:rPr>
          <w:lang w:val="en-US"/>
        </w:rPr>
        <w:t>.</w:t>
      </w:r>
      <w:r w:rsidR="00F45204" w:rsidRPr="00954547">
        <w:rPr>
          <w:rStyle w:val="FootnoteReference"/>
          <w:lang w:val="en-US"/>
        </w:rPr>
        <w:footnoteReference w:id="91"/>
      </w:r>
      <w:r w:rsidR="009E6B43" w:rsidRPr="00954547">
        <w:rPr>
          <w:lang w:val="en-US"/>
        </w:rPr>
        <w:t xml:space="preserve"> Therefore, taking into account the </w:t>
      </w:r>
      <w:r w:rsidR="00B8393C" w:rsidRPr="00954547">
        <w:rPr>
          <w:lang w:val="en-US"/>
        </w:rPr>
        <w:t>arguments</w:t>
      </w:r>
      <w:r w:rsidR="003A0C7A" w:rsidRPr="00954547">
        <w:rPr>
          <w:lang w:val="en-US"/>
        </w:rPr>
        <w:t xml:space="preserve"> of the parties and</w:t>
      </w:r>
      <w:r w:rsidR="0078694F" w:rsidRPr="00954547">
        <w:rPr>
          <w:lang w:val="en-US"/>
        </w:rPr>
        <w:t xml:space="preserve"> </w:t>
      </w:r>
      <w:r w:rsidR="00E76B1A" w:rsidRPr="00954547">
        <w:rPr>
          <w:lang w:val="en-US"/>
        </w:rPr>
        <w:t>the Commission</w:t>
      </w:r>
      <w:r w:rsidR="0046762A" w:rsidRPr="00954547">
        <w:rPr>
          <w:lang w:val="en-US"/>
        </w:rPr>
        <w:t xml:space="preserve">, </w:t>
      </w:r>
      <w:r w:rsidRPr="00954547">
        <w:rPr>
          <w:lang w:val="en-US"/>
        </w:rPr>
        <w:t>the Court will examine that</w:t>
      </w:r>
      <w:r w:rsidR="009E6B43" w:rsidRPr="00954547">
        <w:rPr>
          <w:lang w:val="en-US"/>
        </w:rPr>
        <w:t xml:space="preserve"> relationship in this section and take</w:t>
      </w:r>
      <w:r w:rsidRPr="00954547">
        <w:rPr>
          <w:lang w:val="en-US"/>
        </w:rPr>
        <w:t xml:space="preserve"> it</w:t>
      </w:r>
      <w:r w:rsidR="009E6B43" w:rsidRPr="00954547">
        <w:rPr>
          <w:lang w:val="en-US"/>
        </w:rPr>
        <w:t xml:space="preserve"> into account when analyzing this specific case.</w:t>
      </w:r>
    </w:p>
    <w:p w14:paraId="3BC5847B" w14:textId="62A505F2" w:rsidR="00D97A0A" w:rsidRPr="00954547" w:rsidRDefault="00155644" w:rsidP="00D97A0A">
      <w:pPr>
        <w:pStyle w:val="Numberedparagraphs"/>
        <w:tabs>
          <w:tab w:val="left" w:pos="567"/>
        </w:tabs>
        <w:rPr>
          <w:lang w:val="en-US"/>
        </w:rPr>
      </w:pPr>
      <w:r w:rsidRPr="00954547">
        <w:rPr>
          <w:lang w:val="en-US"/>
        </w:rPr>
        <w:t xml:space="preserve">In this regard, the Court notes that, </w:t>
      </w:r>
      <w:r w:rsidR="001B51B7" w:rsidRPr="00954547">
        <w:rPr>
          <w:lang w:val="en-US"/>
        </w:rPr>
        <w:t>within</w:t>
      </w:r>
      <w:r w:rsidRPr="00954547">
        <w:rPr>
          <w:lang w:val="en-US"/>
        </w:rPr>
        <w:t xml:space="preserve"> the universal system for the protection of human rights</w:t>
      </w:r>
      <w:r w:rsidR="00D97A0A" w:rsidRPr="00954547">
        <w:rPr>
          <w:lang w:val="en-US"/>
        </w:rPr>
        <w:t xml:space="preserve">, </w:t>
      </w:r>
      <w:r w:rsidRPr="00954547">
        <w:rPr>
          <w:lang w:val="en-US"/>
        </w:rPr>
        <w:t>the</w:t>
      </w:r>
      <w:r w:rsidR="00D97A0A" w:rsidRPr="00954547">
        <w:rPr>
          <w:rFonts w:eastAsiaTheme="minorHAnsi"/>
          <w:lang w:val="en-US"/>
        </w:rPr>
        <w:t xml:space="preserve"> </w:t>
      </w:r>
      <w:r w:rsidR="008C4B22" w:rsidRPr="00954547">
        <w:rPr>
          <w:rFonts w:eastAsiaTheme="minorHAnsi"/>
          <w:lang w:val="en-US"/>
        </w:rPr>
        <w:t>Human Rights Committee</w:t>
      </w:r>
      <w:r w:rsidR="00D97A0A" w:rsidRPr="00954547">
        <w:rPr>
          <w:rFonts w:eastAsiaTheme="minorHAnsi"/>
          <w:lang w:val="en-US"/>
        </w:rPr>
        <w:t xml:space="preserve">, </w:t>
      </w:r>
      <w:r w:rsidRPr="00954547">
        <w:rPr>
          <w:rFonts w:eastAsiaTheme="minorHAnsi"/>
          <w:lang w:val="en-US"/>
        </w:rPr>
        <w:t>the Committee on Economic, Social and Cultural Rights</w:t>
      </w:r>
      <w:r w:rsidR="0078694F" w:rsidRPr="00954547">
        <w:rPr>
          <w:rFonts w:eastAsia="Times New Roman"/>
          <w:lang w:val="en-US" w:eastAsia="es-AR"/>
        </w:rPr>
        <w:t xml:space="preserve"> and </w:t>
      </w:r>
      <w:r w:rsidRPr="00954547">
        <w:rPr>
          <w:rFonts w:eastAsia="Times New Roman"/>
          <w:lang w:val="en-US" w:eastAsia="es-AR"/>
        </w:rPr>
        <w:t>the</w:t>
      </w:r>
      <w:r w:rsidR="00D97A0A" w:rsidRPr="00954547">
        <w:rPr>
          <w:rFonts w:eastAsia="Times New Roman"/>
          <w:lang w:val="en-US" w:eastAsia="es-AR"/>
        </w:rPr>
        <w:t xml:space="preserve"> </w:t>
      </w:r>
      <w:r w:rsidR="008C4B22" w:rsidRPr="00954547">
        <w:rPr>
          <w:rFonts w:cs="Tahoma"/>
          <w:lang w:val="en-US"/>
        </w:rPr>
        <w:t>Committee for the Elimination of Discrimination against Women</w:t>
      </w:r>
      <w:r w:rsidR="00D97A0A" w:rsidRPr="00954547">
        <w:rPr>
          <w:rFonts w:cs="Tahoma"/>
          <w:lang w:val="en-US"/>
        </w:rPr>
        <w:t xml:space="preserve"> </w:t>
      </w:r>
      <w:r w:rsidR="00D97A0A" w:rsidRPr="00954547">
        <w:rPr>
          <w:lang w:val="en-US"/>
        </w:rPr>
        <w:t>(</w:t>
      </w:r>
      <w:r w:rsidR="00A42A4C" w:rsidRPr="00954547">
        <w:rPr>
          <w:lang w:val="en-US"/>
        </w:rPr>
        <w:t>hereinafter</w:t>
      </w:r>
      <w:r w:rsidR="00D97A0A" w:rsidRPr="00954547">
        <w:rPr>
          <w:lang w:val="en-US"/>
        </w:rPr>
        <w:t xml:space="preserve"> </w:t>
      </w:r>
      <w:r w:rsidRPr="00954547">
        <w:rPr>
          <w:lang w:val="en-US"/>
        </w:rPr>
        <w:t>also</w:t>
      </w:r>
      <w:r w:rsidR="00D97A0A" w:rsidRPr="00954547">
        <w:rPr>
          <w:lang w:val="en-US"/>
        </w:rPr>
        <w:t xml:space="preserve"> “CEDAW”) </w:t>
      </w:r>
      <w:r w:rsidR="00D97A0A" w:rsidRPr="00954547">
        <w:rPr>
          <w:rFonts w:cs="Tahoma"/>
          <w:lang w:val="en-US"/>
        </w:rPr>
        <w:t>ha</w:t>
      </w:r>
      <w:r w:rsidRPr="00954547">
        <w:rPr>
          <w:rFonts w:cs="Tahoma"/>
          <w:lang w:val="en-US"/>
        </w:rPr>
        <w:t xml:space="preserve">ve indicated that, since the entry into force of the absolute criminalization of abortion </w:t>
      </w:r>
      <w:r w:rsidR="00015F7C" w:rsidRPr="00954547">
        <w:rPr>
          <w:rFonts w:eastAsiaTheme="minorHAnsi"/>
          <w:lang w:val="en-US"/>
        </w:rPr>
        <w:t>in El Salvador</w:t>
      </w:r>
      <w:r w:rsidR="00D97A0A" w:rsidRPr="00954547">
        <w:rPr>
          <w:rFonts w:eastAsiaTheme="minorHAnsi"/>
          <w:lang w:val="en-US"/>
        </w:rPr>
        <w:t xml:space="preserve">, </w:t>
      </w:r>
      <w:r w:rsidRPr="00954547">
        <w:rPr>
          <w:rFonts w:eastAsiaTheme="minorHAnsi"/>
          <w:lang w:val="en-US"/>
        </w:rPr>
        <w:t xml:space="preserve">women who have suffered miscarriages and other </w:t>
      </w:r>
      <w:r w:rsidRPr="00954547">
        <w:rPr>
          <w:lang w:val="en-US"/>
        </w:rPr>
        <w:t>obstetric emergencies</w:t>
      </w:r>
      <w:r w:rsidRPr="00954547">
        <w:rPr>
          <w:rFonts w:eastAsiaTheme="minorHAnsi"/>
          <w:lang w:val="en-US"/>
        </w:rPr>
        <w:t xml:space="preserve"> have been criminalized</w:t>
      </w:r>
      <w:r w:rsidR="00BE75D8" w:rsidRPr="00954547">
        <w:rPr>
          <w:rFonts w:eastAsiaTheme="minorHAnsi"/>
          <w:lang w:val="en-US"/>
        </w:rPr>
        <w:t>.</w:t>
      </w:r>
      <w:r w:rsidR="00D97A0A" w:rsidRPr="00954547">
        <w:rPr>
          <w:rStyle w:val="FootnoteReference"/>
          <w:lang w:val="en-US"/>
        </w:rPr>
        <w:footnoteReference w:id="92"/>
      </w:r>
      <w:r w:rsidR="00D97A0A" w:rsidRPr="00954547">
        <w:rPr>
          <w:lang w:val="en-US"/>
        </w:rPr>
        <w:t xml:space="preserve">  </w:t>
      </w:r>
    </w:p>
    <w:p w14:paraId="63D97F03" w14:textId="16D5B626" w:rsidR="002B3D35" w:rsidRPr="00954547" w:rsidRDefault="00BE75D8" w:rsidP="00BE75D8">
      <w:pPr>
        <w:pStyle w:val="Numberedparagraphs"/>
        <w:tabs>
          <w:tab w:val="left" w:pos="567"/>
        </w:tabs>
        <w:rPr>
          <w:lang w:val="en-US"/>
        </w:rPr>
      </w:pPr>
      <w:r w:rsidRPr="00954547">
        <w:rPr>
          <w:lang w:val="en-US"/>
        </w:rPr>
        <w:t xml:space="preserve">In many cases, the women were not convicted of abortion but rather of </w:t>
      </w:r>
      <w:r w:rsidR="00B66AA2" w:rsidRPr="00954547">
        <w:rPr>
          <w:lang w:val="en-US"/>
        </w:rPr>
        <w:t>aggravated homicide</w:t>
      </w:r>
      <w:r w:rsidRPr="00954547">
        <w:rPr>
          <w:lang w:val="en-US"/>
        </w:rPr>
        <w:t>,</w:t>
      </w:r>
      <w:r w:rsidR="00E91ED2" w:rsidRPr="00954547">
        <w:rPr>
          <w:rStyle w:val="FootnoteReference"/>
          <w:lang w:val="en-US"/>
        </w:rPr>
        <w:footnoteReference w:id="93"/>
      </w:r>
      <w:r w:rsidRPr="00954547">
        <w:rPr>
          <w:lang w:val="en-US"/>
        </w:rPr>
        <w:t xml:space="preserve"> </w:t>
      </w:r>
      <w:r w:rsidR="00E91ED2" w:rsidRPr="00954547">
        <w:rPr>
          <w:lang w:val="en-US"/>
        </w:rPr>
        <w:t xml:space="preserve"> </w:t>
      </w:r>
      <w:r w:rsidRPr="00954547">
        <w:rPr>
          <w:lang w:val="en-US"/>
        </w:rPr>
        <w:t xml:space="preserve">for which the sentence is from 30 to 50 years’ imprisonment. On this point, </w:t>
      </w:r>
      <w:r w:rsidR="006A2850" w:rsidRPr="00954547">
        <w:rPr>
          <w:lang w:val="en-US"/>
        </w:rPr>
        <w:t>CEDAW</w:t>
      </w:r>
      <w:r w:rsidR="00D97A43" w:rsidRPr="00954547">
        <w:rPr>
          <w:lang w:val="en-US"/>
        </w:rPr>
        <w:t xml:space="preserve"> ha</w:t>
      </w:r>
      <w:r w:rsidRPr="00954547">
        <w:rPr>
          <w:lang w:val="en-US"/>
        </w:rPr>
        <w:t>s expressed its concern at “the disproportionate criminal penalties applied […] to women who have had a miscarriage.</w:t>
      </w:r>
      <w:r w:rsidR="00D97A43" w:rsidRPr="00954547">
        <w:rPr>
          <w:lang w:val="en-US"/>
        </w:rPr>
        <w:t>”</w:t>
      </w:r>
      <w:r w:rsidR="00D97A43" w:rsidRPr="00954547">
        <w:rPr>
          <w:rStyle w:val="FootnoteReference"/>
          <w:lang w:val="en-US"/>
        </w:rPr>
        <w:footnoteReference w:id="94"/>
      </w:r>
      <w:r w:rsidR="00D97A43" w:rsidRPr="00954547">
        <w:rPr>
          <w:lang w:val="en-US"/>
        </w:rPr>
        <w:t xml:space="preserve"> </w:t>
      </w:r>
    </w:p>
    <w:p w14:paraId="5B89FF75" w14:textId="6CE3D8CD" w:rsidR="00430FD5" w:rsidRPr="00954547" w:rsidRDefault="00BE75D8" w:rsidP="008D247A">
      <w:pPr>
        <w:pStyle w:val="Numberedparagraphs"/>
        <w:tabs>
          <w:tab w:val="left" w:pos="567"/>
        </w:tabs>
        <w:rPr>
          <w:lang w:val="en-US"/>
        </w:rPr>
      </w:pPr>
      <w:bookmarkStart w:id="33" w:name="_Ref87977386"/>
      <w:r w:rsidRPr="00954547">
        <w:rPr>
          <w:lang w:val="en-US"/>
        </w:rPr>
        <w:t>The Committee on Economic, Social and Cultural Rights</w:t>
      </w:r>
      <w:r w:rsidR="00E91ED2" w:rsidRPr="00954547">
        <w:rPr>
          <w:lang w:val="en-US" w:eastAsia="es-AR"/>
        </w:rPr>
        <w:t xml:space="preserve"> </w:t>
      </w:r>
      <w:r w:rsidR="008D247A" w:rsidRPr="00954547">
        <w:rPr>
          <w:lang w:val="en-US" w:eastAsia="es-AR"/>
        </w:rPr>
        <w:t>ha</w:t>
      </w:r>
      <w:r w:rsidR="00AA0E9D" w:rsidRPr="00954547">
        <w:rPr>
          <w:lang w:val="en-US" w:eastAsia="es-AR"/>
        </w:rPr>
        <w:t>s</w:t>
      </w:r>
      <w:r w:rsidR="008D247A" w:rsidRPr="00954547">
        <w:rPr>
          <w:lang w:val="en-US" w:eastAsia="es-AR"/>
        </w:rPr>
        <w:t xml:space="preserve"> underscored that, in some cases, there had been no regard for due process.</w:t>
      </w:r>
      <w:r w:rsidR="00E91ED2" w:rsidRPr="00954547">
        <w:rPr>
          <w:rStyle w:val="FootnoteReference"/>
          <w:lang w:val="en-US"/>
        </w:rPr>
        <w:footnoteReference w:id="95"/>
      </w:r>
      <w:r w:rsidR="00430FD5" w:rsidRPr="00954547">
        <w:rPr>
          <w:lang w:val="en-US"/>
        </w:rPr>
        <w:t xml:space="preserve"> </w:t>
      </w:r>
      <w:r w:rsidR="001B51B7" w:rsidRPr="00954547">
        <w:rPr>
          <w:lang w:val="en-US"/>
        </w:rPr>
        <w:t>Moreover,</w:t>
      </w:r>
      <w:r w:rsidR="008D247A" w:rsidRPr="00954547">
        <w:rPr>
          <w:lang w:val="en-US"/>
        </w:rPr>
        <w:t xml:space="preserve"> expert witness</w:t>
      </w:r>
      <w:r w:rsidR="00430FD5" w:rsidRPr="00954547">
        <w:rPr>
          <w:lang w:val="en-US"/>
        </w:rPr>
        <w:t xml:space="preserve"> David Ernesto Morales Cruz </w:t>
      </w:r>
      <w:r w:rsidR="008D247A" w:rsidRPr="00954547">
        <w:rPr>
          <w:lang w:val="en-US"/>
        </w:rPr>
        <w:t xml:space="preserve">indicated that, typically, investigations are </w:t>
      </w:r>
      <w:r w:rsidR="001B51B7" w:rsidRPr="00954547">
        <w:rPr>
          <w:lang w:val="en-US"/>
        </w:rPr>
        <w:t>aimed at trying</w:t>
      </w:r>
      <w:r w:rsidR="008D247A" w:rsidRPr="00954547">
        <w:rPr>
          <w:lang w:val="en-US"/>
        </w:rPr>
        <w:t xml:space="preserve"> to convict the women without examining the possibility that, for example, the death could be due to an </w:t>
      </w:r>
      <w:r w:rsidR="00B72FE4" w:rsidRPr="00954547">
        <w:rPr>
          <w:lang w:val="en-US"/>
        </w:rPr>
        <w:t>obstetric emergency</w:t>
      </w:r>
      <w:r w:rsidR="00B70DA9" w:rsidRPr="00954547">
        <w:rPr>
          <w:lang w:val="en-US"/>
        </w:rPr>
        <w:t xml:space="preserve">. </w:t>
      </w:r>
      <w:r w:rsidR="008D247A" w:rsidRPr="00954547">
        <w:rPr>
          <w:lang w:val="en-US"/>
        </w:rPr>
        <w:t>He also indicated that, in those cases, it was customary that the public defender did not present evidence and had little or no contact with the accused.</w:t>
      </w:r>
      <w:r w:rsidR="00430FD5" w:rsidRPr="00954547">
        <w:rPr>
          <w:rStyle w:val="FootnoteReference"/>
          <w:lang w:val="en-US"/>
        </w:rPr>
        <w:footnoteReference w:id="96"/>
      </w:r>
      <w:bookmarkEnd w:id="33"/>
    </w:p>
    <w:p w14:paraId="2334334E" w14:textId="2C696582" w:rsidR="00AC5EE0" w:rsidRPr="00954547" w:rsidRDefault="008D247A" w:rsidP="00516249">
      <w:pPr>
        <w:pStyle w:val="Numberedparagraphs"/>
        <w:tabs>
          <w:tab w:val="left" w:pos="567"/>
        </w:tabs>
        <w:rPr>
          <w:rFonts w:cs="Tahoma"/>
          <w:lang w:val="en-US"/>
        </w:rPr>
      </w:pPr>
      <w:bookmarkStart w:id="34" w:name="_Ref87981891"/>
      <w:r w:rsidRPr="00954547">
        <w:rPr>
          <w:rFonts w:cs="Tahoma"/>
          <w:lang w:val="en-US"/>
        </w:rPr>
        <w:t xml:space="preserve">It was also frequent that, in cases that were subsequently judicialized for abortion or for </w:t>
      </w:r>
      <w:r w:rsidR="00B66AA2" w:rsidRPr="00954547">
        <w:rPr>
          <w:rFonts w:cs="Tahoma"/>
          <w:lang w:val="en-US"/>
        </w:rPr>
        <w:t>aggravated homicide</w:t>
      </w:r>
      <w:r w:rsidR="00606D64" w:rsidRPr="00954547">
        <w:rPr>
          <w:rFonts w:cs="Tahoma"/>
          <w:lang w:val="en-US"/>
        </w:rPr>
        <w:t>,</w:t>
      </w:r>
      <w:r w:rsidR="004A31AF" w:rsidRPr="00954547">
        <w:rPr>
          <w:rFonts w:cs="Tahoma"/>
          <w:lang w:val="en-US"/>
        </w:rPr>
        <w:t xml:space="preserve"> </w:t>
      </w:r>
      <w:r w:rsidR="00532E36" w:rsidRPr="00954547">
        <w:rPr>
          <w:rFonts w:cs="Tahoma"/>
          <w:lang w:val="en-US"/>
        </w:rPr>
        <w:t>“women treated in public hospitals are being reported by</w:t>
      </w:r>
      <w:r w:rsidRPr="00954547">
        <w:rPr>
          <w:rFonts w:cs="Tahoma"/>
          <w:lang w:val="en-US"/>
        </w:rPr>
        <w:t xml:space="preserve"> medical or administrative </w:t>
      </w:r>
      <w:r w:rsidR="00532E36" w:rsidRPr="00954547">
        <w:rPr>
          <w:rFonts w:cs="Tahoma"/>
          <w:lang w:val="en-US"/>
        </w:rPr>
        <w:t>staff.”</w:t>
      </w:r>
      <w:r w:rsidR="007160A1" w:rsidRPr="00954547">
        <w:rPr>
          <w:rStyle w:val="FootnoteReference"/>
          <w:lang w:val="en-US"/>
        </w:rPr>
        <w:footnoteReference w:id="97"/>
      </w:r>
      <w:r w:rsidR="0018505F" w:rsidRPr="00954547">
        <w:rPr>
          <w:lang w:val="en-US"/>
        </w:rPr>
        <w:t xml:space="preserve"> </w:t>
      </w:r>
      <w:r w:rsidR="00532E36" w:rsidRPr="00954547">
        <w:rPr>
          <w:lang w:val="en-US"/>
        </w:rPr>
        <w:t xml:space="preserve">In some cases, </w:t>
      </w:r>
      <w:r w:rsidR="00516249" w:rsidRPr="00954547">
        <w:rPr>
          <w:lang w:val="en-US"/>
        </w:rPr>
        <w:t xml:space="preserve">“women are reported to the authorities” “by </w:t>
      </w:r>
      <w:r w:rsidR="00532E36" w:rsidRPr="00954547">
        <w:rPr>
          <w:lang w:val="en-US"/>
        </w:rPr>
        <w:t xml:space="preserve">health personnel </w:t>
      </w:r>
      <w:r w:rsidR="00516249" w:rsidRPr="00954547">
        <w:rPr>
          <w:lang w:val="en-US"/>
        </w:rPr>
        <w:t>who fear punishment.”</w:t>
      </w:r>
      <w:r w:rsidR="0018505F" w:rsidRPr="00954547">
        <w:rPr>
          <w:rStyle w:val="FootnoteReference"/>
          <w:rFonts w:cs="Tahoma"/>
          <w:lang w:val="en-US"/>
        </w:rPr>
        <w:footnoteReference w:id="98"/>
      </w:r>
      <w:r w:rsidR="00516249" w:rsidRPr="00954547">
        <w:rPr>
          <w:rFonts w:cs="Tahoma"/>
          <w:lang w:val="en-US"/>
        </w:rPr>
        <w:t xml:space="preserve"> A report published in the </w:t>
      </w:r>
      <w:r w:rsidR="0018505F" w:rsidRPr="00954547">
        <w:rPr>
          <w:rFonts w:eastAsiaTheme="minorHAnsi"/>
          <w:lang w:val="en-US"/>
        </w:rPr>
        <w:t>American Journal of Public Health</w:t>
      </w:r>
      <w:r w:rsidR="0018505F" w:rsidRPr="00954547">
        <w:rPr>
          <w:rFonts w:eastAsiaTheme="minorHAnsi"/>
          <w:i/>
          <w:iCs/>
          <w:lang w:val="en-US"/>
        </w:rPr>
        <w:t xml:space="preserve"> </w:t>
      </w:r>
      <w:r w:rsidR="00516249" w:rsidRPr="00954547">
        <w:rPr>
          <w:rFonts w:eastAsiaTheme="minorHAnsi"/>
          <w:lang w:val="en-US"/>
        </w:rPr>
        <w:t xml:space="preserve">revealed that, between </w:t>
      </w:r>
      <w:r w:rsidR="0018505F" w:rsidRPr="00954547">
        <w:rPr>
          <w:rFonts w:eastAsiaTheme="minorHAnsi"/>
          <w:lang w:val="en-US"/>
        </w:rPr>
        <w:t>1998</w:t>
      </w:r>
      <w:r w:rsidR="0078694F" w:rsidRPr="00954547">
        <w:rPr>
          <w:rFonts w:eastAsiaTheme="minorHAnsi"/>
          <w:lang w:val="en-US"/>
        </w:rPr>
        <w:t xml:space="preserve"> and </w:t>
      </w:r>
      <w:r w:rsidR="0018505F" w:rsidRPr="00954547">
        <w:rPr>
          <w:rFonts w:eastAsiaTheme="minorHAnsi"/>
          <w:lang w:val="en-US"/>
        </w:rPr>
        <w:t xml:space="preserve">2003, 80% </w:t>
      </w:r>
      <w:r w:rsidR="00516249" w:rsidRPr="00954547">
        <w:rPr>
          <w:rFonts w:eastAsiaTheme="minorHAnsi"/>
          <w:lang w:val="en-US"/>
        </w:rPr>
        <w:t>of</w:t>
      </w:r>
      <w:r w:rsidR="00516249" w:rsidRPr="00954547">
        <w:rPr>
          <w:rFonts w:cs="Tahoma"/>
          <w:lang w:val="en-US"/>
        </w:rPr>
        <w:t xml:space="preserve"> </w:t>
      </w:r>
      <w:r w:rsidR="00516249" w:rsidRPr="00954547">
        <w:rPr>
          <w:lang w:val="en-US"/>
        </w:rPr>
        <w:t>obstetric gynecologists in</w:t>
      </w:r>
      <w:r w:rsidR="00516249" w:rsidRPr="00954547">
        <w:rPr>
          <w:rFonts w:eastAsiaTheme="minorHAnsi"/>
          <w:lang w:val="en-US"/>
        </w:rPr>
        <w:t xml:space="preserve"> </w:t>
      </w:r>
      <w:r w:rsidR="00015F7C" w:rsidRPr="00954547">
        <w:rPr>
          <w:rFonts w:eastAsiaTheme="minorHAnsi"/>
          <w:lang w:val="en-US"/>
        </w:rPr>
        <w:t>El Salvador</w:t>
      </w:r>
      <w:r w:rsidR="00516249" w:rsidRPr="00954547">
        <w:rPr>
          <w:rFonts w:eastAsiaTheme="minorHAnsi"/>
          <w:lang w:val="en-US"/>
        </w:rPr>
        <w:t xml:space="preserve"> believed that reporting </w:t>
      </w:r>
      <w:r w:rsidR="009E6B43" w:rsidRPr="00954547">
        <w:rPr>
          <w:rFonts w:eastAsiaTheme="minorHAnsi"/>
          <w:lang w:val="en-US"/>
        </w:rPr>
        <w:t>obstetric emergencies</w:t>
      </w:r>
      <w:r w:rsidR="0018505F" w:rsidRPr="00954547">
        <w:rPr>
          <w:rFonts w:eastAsiaTheme="minorHAnsi"/>
          <w:lang w:val="en-US"/>
        </w:rPr>
        <w:t xml:space="preserve"> </w:t>
      </w:r>
      <w:r w:rsidR="00516249" w:rsidRPr="00954547">
        <w:rPr>
          <w:rFonts w:eastAsiaTheme="minorHAnsi"/>
          <w:lang w:val="en-US"/>
        </w:rPr>
        <w:t>was compulsory in all cases.</w:t>
      </w:r>
      <w:r w:rsidR="00AC5EE0" w:rsidRPr="00954547">
        <w:rPr>
          <w:rStyle w:val="FootnoteReference"/>
          <w:rFonts w:eastAsiaTheme="minorHAnsi"/>
          <w:lang w:val="en-US"/>
        </w:rPr>
        <w:footnoteReference w:id="99"/>
      </w:r>
      <w:bookmarkEnd w:id="34"/>
    </w:p>
    <w:p w14:paraId="202A582F" w14:textId="72E90D47" w:rsidR="004A31AF" w:rsidRPr="00954547" w:rsidRDefault="00516249" w:rsidP="004A31AF">
      <w:pPr>
        <w:pStyle w:val="Numberedparagraphs"/>
        <w:tabs>
          <w:tab w:val="left" w:pos="567"/>
        </w:tabs>
        <w:rPr>
          <w:lang w:val="en-US"/>
        </w:rPr>
      </w:pPr>
      <w:bookmarkStart w:id="35" w:name="_Ref87981481"/>
      <w:r w:rsidRPr="00954547">
        <w:rPr>
          <w:lang w:val="en-US"/>
        </w:rPr>
        <w:t>Lastly</w:t>
      </w:r>
      <w:r w:rsidR="004A31AF" w:rsidRPr="00954547">
        <w:rPr>
          <w:lang w:val="en-US"/>
        </w:rPr>
        <w:t xml:space="preserve">, </w:t>
      </w:r>
      <w:r w:rsidR="00E76B1A" w:rsidRPr="00954547">
        <w:rPr>
          <w:lang w:val="en-US"/>
        </w:rPr>
        <w:t>the Court</w:t>
      </w:r>
      <w:r w:rsidR="004A31AF" w:rsidRPr="00954547">
        <w:rPr>
          <w:lang w:val="en-US"/>
        </w:rPr>
        <w:t xml:space="preserve"> </w:t>
      </w:r>
      <w:r w:rsidRPr="00954547">
        <w:rPr>
          <w:lang w:val="en-US"/>
        </w:rPr>
        <w:t xml:space="preserve">notes that most of the women prosecuted for such facts had </w:t>
      </w:r>
      <w:r w:rsidR="003F3C65" w:rsidRPr="00954547">
        <w:rPr>
          <w:lang w:val="en-US"/>
        </w:rPr>
        <w:t>few if any</w:t>
      </w:r>
      <w:r w:rsidRPr="00954547">
        <w:rPr>
          <w:lang w:val="en-US"/>
        </w:rPr>
        <w:t xml:space="preserve"> financial resources,</w:t>
      </w:r>
      <w:r w:rsidR="004A31AF" w:rsidRPr="00954547">
        <w:rPr>
          <w:rStyle w:val="FootnoteReference"/>
          <w:lang w:val="en-US"/>
        </w:rPr>
        <w:footnoteReference w:id="100"/>
      </w:r>
      <w:r w:rsidRPr="00954547">
        <w:rPr>
          <w:lang w:val="en-US"/>
        </w:rPr>
        <w:t xml:space="preserve"> came from rural or marginalized urban areas</w:t>
      </w:r>
      <w:r w:rsidR="004A31AF" w:rsidRPr="00954547">
        <w:rPr>
          <w:rStyle w:val="FootnoteReference"/>
          <w:lang w:val="en-US"/>
        </w:rPr>
        <w:footnoteReference w:id="101"/>
      </w:r>
      <w:r w:rsidR="0078694F" w:rsidRPr="00954547">
        <w:rPr>
          <w:lang w:val="en-US"/>
        </w:rPr>
        <w:t xml:space="preserve"> and </w:t>
      </w:r>
      <w:r w:rsidRPr="00954547">
        <w:rPr>
          <w:lang w:val="en-US"/>
        </w:rPr>
        <w:t>had little schooling.</w:t>
      </w:r>
      <w:r w:rsidR="004A31AF" w:rsidRPr="00954547">
        <w:rPr>
          <w:rStyle w:val="FootnoteReference"/>
          <w:lang w:val="en-US"/>
        </w:rPr>
        <w:footnoteReference w:id="102"/>
      </w:r>
      <w:r w:rsidRPr="00954547">
        <w:rPr>
          <w:lang w:val="en-US"/>
        </w:rPr>
        <w:t xml:space="preserve"> In addition, many of them were detained and handcuffed while receiving medical care.</w:t>
      </w:r>
      <w:r w:rsidR="004A31AF" w:rsidRPr="00954547">
        <w:rPr>
          <w:rStyle w:val="FootnoteReference"/>
          <w:lang w:val="en-US"/>
        </w:rPr>
        <w:footnoteReference w:id="103"/>
      </w:r>
      <w:bookmarkEnd w:id="35"/>
    </w:p>
    <w:p w14:paraId="792843BE" w14:textId="2C48FCF8" w:rsidR="00B40550" w:rsidRPr="00954547" w:rsidRDefault="00B40550" w:rsidP="00386B24">
      <w:pPr>
        <w:pStyle w:val="Heading2"/>
        <w:tabs>
          <w:tab w:val="left" w:pos="567"/>
        </w:tabs>
        <w:rPr>
          <w:lang w:val="en-US"/>
        </w:rPr>
      </w:pPr>
      <w:bookmarkStart w:id="36" w:name="_Toc106353897"/>
      <w:bookmarkStart w:id="37" w:name="_Toc536522446"/>
      <w:r w:rsidRPr="00954547">
        <w:rPr>
          <w:lang w:val="en-US"/>
        </w:rPr>
        <w:t>Manuela</w:t>
      </w:r>
      <w:r w:rsidR="0078694F" w:rsidRPr="00954547">
        <w:rPr>
          <w:lang w:val="en-US"/>
        </w:rPr>
        <w:t xml:space="preserve"> and </w:t>
      </w:r>
      <w:r w:rsidR="00155644" w:rsidRPr="00954547">
        <w:rPr>
          <w:lang w:val="en-US"/>
        </w:rPr>
        <w:t>her family unit</w:t>
      </w:r>
      <w:bookmarkEnd w:id="36"/>
    </w:p>
    <w:p w14:paraId="5FD376C9" w14:textId="3B624A90" w:rsidR="00B40550" w:rsidRPr="00954547" w:rsidRDefault="00B40550" w:rsidP="00386B24">
      <w:pPr>
        <w:pStyle w:val="Numberedparagraphs"/>
        <w:tabs>
          <w:tab w:val="left" w:pos="567"/>
        </w:tabs>
        <w:rPr>
          <w:lang w:val="en-US"/>
        </w:rPr>
      </w:pPr>
      <w:r w:rsidRPr="00954547">
        <w:rPr>
          <w:lang w:val="en-US"/>
        </w:rPr>
        <w:t xml:space="preserve">Manuela </w:t>
      </w:r>
      <w:r w:rsidR="00473513" w:rsidRPr="00954547">
        <w:rPr>
          <w:lang w:val="en-US"/>
        </w:rPr>
        <w:t>was born on August</w:t>
      </w:r>
      <w:r w:rsidRPr="00954547">
        <w:rPr>
          <w:lang w:val="en-US"/>
        </w:rPr>
        <w:t xml:space="preserve"> 5</w:t>
      </w:r>
      <w:r w:rsidR="00473513" w:rsidRPr="00954547">
        <w:rPr>
          <w:lang w:val="en-US"/>
        </w:rPr>
        <w:t xml:space="preserve">, </w:t>
      </w:r>
      <w:r w:rsidRPr="00954547">
        <w:rPr>
          <w:lang w:val="en-US"/>
        </w:rPr>
        <w:t>1977</w:t>
      </w:r>
      <w:r w:rsidR="00473513" w:rsidRPr="00954547">
        <w:rPr>
          <w:lang w:val="en-US"/>
        </w:rPr>
        <w:t>.</w:t>
      </w:r>
      <w:r w:rsidRPr="00954547">
        <w:rPr>
          <w:rStyle w:val="FootnoteReference"/>
          <w:lang w:val="en-US"/>
        </w:rPr>
        <w:footnoteReference w:id="104"/>
      </w:r>
      <w:r w:rsidRPr="00954547">
        <w:rPr>
          <w:lang w:val="en-US"/>
        </w:rPr>
        <w:t xml:space="preserve"> </w:t>
      </w:r>
      <w:r w:rsidR="00094A70" w:rsidRPr="00954547">
        <w:rPr>
          <w:lang w:val="en-US"/>
        </w:rPr>
        <w:t xml:space="preserve">She married when she was </w:t>
      </w:r>
      <w:r w:rsidRPr="00954547">
        <w:rPr>
          <w:lang w:val="en-US"/>
        </w:rPr>
        <w:t>20</w:t>
      </w:r>
      <w:r w:rsidR="00094A70" w:rsidRPr="00954547">
        <w:rPr>
          <w:lang w:val="en-US"/>
        </w:rPr>
        <w:t xml:space="preserve"> years of age, and then had two children</w:t>
      </w:r>
      <w:r w:rsidRPr="00954547">
        <w:rPr>
          <w:lang w:val="en-US"/>
        </w:rPr>
        <w:t xml:space="preserve">. </w:t>
      </w:r>
      <w:r w:rsidR="00094A70" w:rsidRPr="00954547">
        <w:rPr>
          <w:lang w:val="en-US"/>
        </w:rPr>
        <w:t xml:space="preserve">Shortly after her second son was born, her husband left for the United States and nothing more was heard of him. </w:t>
      </w:r>
      <w:r w:rsidRPr="00954547">
        <w:rPr>
          <w:lang w:val="en-US"/>
        </w:rPr>
        <w:t>Manuela</w:t>
      </w:r>
      <w:r w:rsidR="00094A70" w:rsidRPr="00954547">
        <w:rPr>
          <w:lang w:val="en-US"/>
        </w:rPr>
        <w:t xml:space="preserve"> lived with her mother, her father, her sister and her two sons in the village of </w:t>
      </w:r>
      <w:r w:rsidR="006D1D46" w:rsidRPr="00954547">
        <w:rPr>
          <w:lang w:val="en-US"/>
        </w:rPr>
        <w:t xml:space="preserve">Las Mezas, </w:t>
      </w:r>
      <w:r w:rsidR="00656B0B" w:rsidRPr="00954547">
        <w:rPr>
          <w:lang w:val="en-US"/>
        </w:rPr>
        <w:t xml:space="preserve">municipality of Cacaopera, department of Morazán, </w:t>
      </w:r>
      <w:r w:rsidR="006D1D46" w:rsidRPr="00954547">
        <w:rPr>
          <w:lang w:val="en-US"/>
        </w:rPr>
        <w:t>El Salvador</w:t>
      </w:r>
      <w:r w:rsidR="009A60F6" w:rsidRPr="00954547">
        <w:rPr>
          <w:lang w:val="en-US"/>
        </w:rPr>
        <w:t>.</w:t>
      </w:r>
      <w:r w:rsidRPr="00954547">
        <w:rPr>
          <w:rStyle w:val="FootnoteReference"/>
          <w:lang w:val="en-US"/>
        </w:rPr>
        <w:footnoteReference w:id="105"/>
      </w:r>
      <w:r w:rsidRPr="00954547">
        <w:rPr>
          <w:lang w:val="en-US"/>
        </w:rPr>
        <w:t xml:space="preserve"> </w:t>
      </w:r>
      <w:r w:rsidR="00656B0B" w:rsidRPr="00954547">
        <w:rPr>
          <w:lang w:val="en-US"/>
        </w:rPr>
        <w:t xml:space="preserve">Neither </w:t>
      </w:r>
      <w:r w:rsidRPr="00954547">
        <w:rPr>
          <w:lang w:val="en-US"/>
        </w:rPr>
        <w:t>Manuela</w:t>
      </w:r>
      <w:r w:rsidR="0078694F" w:rsidRPr="00954547">
        <w:rPr>
          <w:lang w:val="en-US"/>
        </w:rPr>
        <w:t xml:space="preserve"> </w:t>
      </w:r>
      <w:r w:rsidR="00656B0B" w:rsidRPr="00954547">
        <w:rPr>
          <w:lang w:val="en-US"/>
        </w:rPr>
        <w:t>nor her parents knew how to read or write.</w:t>
      </w:r>
      <w:r w:rsidRPr="00954547">
        <w:rPr>
          <w:rStyle w:val="FootnoteReference"/>
          <w:lang w:val="en-US"/>
        </w:rPr>
        <w:footnoteReference w:id="106"/>
      </w:r>
    </w:p>
    <w:p w14:paraId="53815E17" w14:textId="111449B5" w:rsidR="006D1D46" w:rsidRPr="00954547" w:rsidRDefault="00656B0B" w:rsidP="001A0994">
      <w:pPr>
        <w:pStyle w:val="Numberedparagraphs"/>
        <w:tabs>
          <w:tab w:val="left" w:pos="567"/>
        </w:tabs>
        <w:rPr>
          <w:lang w:val="en-US"/>
        </w:rPr>
      </w:pPr>
      <w:r w:rsidRPr="00954547">
        <w:rPr>
          <w:lang w:val="en-US"/>
        </w:rPr>
        <w:t>On August 24,</w:t>
      </w:r>
      <w:r w:rsidR="00B414AA" w:rsidRPr="00954547">
        <w:rPr>
          <w:lang w:val="en-US"/>
        </w:rPr>
        <w:t xml:space="preserve"> 2006</w:t>
      </w:r>
      <w:r w:rsidRPr="00954547">
        <w:rPr>
          <w:lang w:val="en-US"/>
        </w:rPr>
        <w:t>,</w:t>
      </w:r>
      <w:r w:rsidR="00B414AA" w:rsidRPr="00954547">
        <w:rPr>
          <w:lang w:val="en-US"/>
        </w:rPr>
        <w:t xml:space="preserve"> </w:t>
      </w:r>
      <w:r w:rsidR="006D1D46" w:rsidRPr="00954547">
        <w:rPr>
          <w:lang w:val="en-US"/>
        </w:rPr>
        <w:t xml:space="preserve">Manuela </w:t>
      </w:r>
      <w:r w:rsidRPr="00954547">
        <w:rPr>
          <w:lang w:val="en-US"/>
        </w:rPr>
        <w:t>went to the</w:t>
      </w:r>
      <w:r w:rsidR="006D1D46" w:rsidRPr="00954547">
        <w:rPr>
          <w:lang w:val="en-US"/>
        </w:rPr>
        <w:t xml:space="preserve"> Cacaopera</w:t>
      </w:r>
      <w:r w:rsidRPr="00954547">
        <w:rPr>
          <w:lang w:val="en-US"/>
        </w:rPr>
        <w:t xml:space="preserve"> Health Unit</w:t>
      </w:r>
      <w:r w:rsidR="006D1D46" w:rsidRPr="00954547">
        <w:rPr>
          <w:lang w:val="en-US"/>
        </w:rPr>
        <w:t xml:space="preserve"> </w:t>
      </w:r>
      <w:r w:rsidRPr="00954547">
        <w:rPr>
          <w:lang w:val="en-US"/>
        </w:rPr>
        <w:t>because she was suffering from a headache, nausea,</w:t>
      </w:r>
      <w:r w:rsidR="005369B8" w:rsidRPr="00954547">
        <w:rPr>
          <w:lang w:val="en-US"/>
        </w:rPr>
        <w:t xml:space="preserve"> pain in the pit of her stomach and tiredness.</w:t>
      </w:r>
      <w:r w:rsidR="006D1D46" w:rsidRPr="00954547">
        <w:rPr>
          <w:rStyle w:val="FootnoteReference"/>
          <w:lang w:val="en-US"/>
        </w:rPr>
        <w:footnoteReference w:id="107"/>
      </w:r>
      <w:r w:rsidR="005369B8" w:rsidRPr="00954547">
        <w:rPr>
          <w:lang w:val="en-US"/>
        </w:rPr>
        <w:t xml:space="preserve"> She was diagnosed with acute gastritis.</w:t>
      </w:r>
      <w:r w:rsidR="00B04970" w:rsidRPr="00954547">
        <w:rPr>
          <w:rStyle w:val="FootnoteReference"/>
          <w:lang w:val="en-US"/>
        </w:rPr>
        <w:footnoteReference w:id="108"/>
      </w:r>
      <w:r w:rsidR="00B04970" w:rsidRPr="00954547">
        <w:rPr>
          <w:lang w:val="en-US"/>
        </w:rPr>
        <w:t xml:space="preserve"> </w:t>
      </w:r>
      <w:r w:rsidR="005369B8" w:rsidRPr="00954547">
        <w:rPr>
          <w:lang w:val="en-US"/>
        </w:rPr>
        <w:t>On May 14,</w:t>
      </w:r>
      <w:r w:rsidR="00B04970" w:rsidRPr="00954547">
        <w:rPr>
          <w:lang w:val="en-US"/>
        </w:rPr>
        <w:t xml:space="preserve"> 2007</w:t>
      </w:r>
      <w:r w:rsidR="005369B8" w:rsidRPr="00954547">
        <w:rPr>
          <w:lang w:val="en-US"/>
        </w:rPr>
        <w:t>,</w:t>
      </w:r>
      <w:r w:rsidR="00B04970" w:rsidRPr="00954547">
        <w:rPr>
          <w:lang w:val="en-US"/>
        </w:rPr>
        <w:t xml:space="preserve"> Manuela </w:t>
      </w:r>
      <w:r w:rsidR="005369B8" w:rsidRPr="00954547">
        <w:rPr>
          <w:lang w:val="en-US"/>
        </w:rPr>
        <w:t xml:space="preserve">visited the unit again due to headaches and it was recorded that she had what </w:t>
      </w:r>
      <w:r w:rsidR="001A0994" w:rsidRPr="00954547">
        <w:rPr>
          <w:lang w:val="en-US"/>
        </w:rPr>
        <w:t>“</w:t>
      </w:r>
      <w:r w:rsidR="005369B8" w:rsidRPr="00954547">
        <w:rPr>
          <w:lang w:val="en-US"/>
        </w:rPr>
        <w:t xml:space="preserve">appeared to be a painful </w:t>
      </w:r>
      <w:r w:rsidR="001A0994" w:rsidRPr="00954547">
        <w:rPr>
          <w:lang w:val="en-US"/>
        </w:rPr>
        <w:t>lump</w:t>
      </w:r>
      <w:r w:rsidR="005369B8" w:rsidRPr="00954547">
        <w:rPr>
          <w:lang w:val="en-US"/>
        </w:rPr>
        <w:t xml:space="preserve"> behind her ear</w:t>
      </w:r>
      <w:r w:rsidR="001A0994" w:rsidRPr="00954547">
        <w:rPr>
          <w:lang w:val="en-US"/>
        </w:rPr>
        <w:t>”; she was diagnosed with cervical adenitis and was prescribed analgesics.</w:t>
      </w:r>
      <w:r w:rsidR="00EB05BE" w:rsidRPr="00954547">
        <w:rPr>
          <w:rStyle w:val="FootnoteReference"/>
          <w:lang w:val="en-US"/>
        </w:rPr>
        <w:footnoteReference w:id="109"/>
      </w:r>
      <w:r w:rsidR="001A0994" w:rsidRPr="00954547">
        <w:rPr>
          <w:lang w:val="en-US"/>
        </w:rPr>
        <w:t xml:space="preserve"> </w:t>
      </w:r>
      <w:r w:rsidR="00B414AA" w:rsidRPr="00954547">
        <w:rPr>
          <w:lang w:val="en-US"/>
        </w:rPr>
        <w:t xml:space="preserve">Manuela </w:t>
      </w:r>
      <w:r w:rsidR="00723719" w:rsidRPr="00954547">
        <w:rPr>
          <w:lang w:val="en-US"/>
        </w:rPr>
        <w:t xml:space="preserve">then </w:t>
      </w:r>
      <w:r w:rsidR="00B414AA" w:rsidRPr="00954547">
        <w:rPr>
          <w:lang w:val="en-US"/>
        </w:rPr>
        <w:t>de</w:t>
      </w:r>
      <w:r w:rsidR="001A0994" w:rsidRPr="00954547">
        <w:rPr>
          <w:lang w:val="en-US"/>
        </w:rPr>
        <w:t>v</w:t>
      </w:r>
      <w:r w:rsidR="00407C94" w:rsidRPr="00954547">
        <w:rPr>
          <w:lang w:val="en-US"/>
        </w:rPr>
        <w:t>e</w:t>
      </w:r>
      <w:r w:rsidR="001A0994" w:rsidRPr="00954547">
        <w:rPr>
          <w:lang w:val="en-US"/>
        </w:rPr>
        <w:t xml:space="preserve">loped several lumps in her neck, which were visible and caused her pain; therefore, she had further appointments in June and August 2007 and was </w:t>
      </w:r>
      <w:r w:rsidR="00723719" w:rsidRPr="00954547">
        <w:rPr>
          <w:lang w:val="en-US"/>
        </w:rPr>
        <w:t>then</w:t>
      </w:r>
      <w:r w:rsidR="001A0994" w:rsidRPr="00954547">
        <w:rPr>
          <w:lang w:val="en-US"/>
        </w:rPr>
        <w:t xml:space="preserve"> diagnosed with </w:t>
      </w:r>
      <w:r w:rsidR="00407C94" w:rsidRPr="00954547">
        <w:rPr>
          <w:lang w:val="en-US"/>
        </w:rPr>
        <w:t xml:space="preserve">right neck lymphadenopathy </w:t>
      </w:r>
      <w:r w:rsidR="001A0994" w:rsidRPr="00954547">
        <w:rPr>
          <w:lang w:val="en-US"/>
        </w:rPr>
        <w:t>and referred to the San Francisco Gotera National Hospital.</w:t>
      </w:r>
      <w:r w:rsidR="00B414AA" w:rsidRPr="00954547">
        <w:rPr>
          <w:rStyle w:val="FootnoteReference"/>
          <w:lang w:val="en-US"/>
        </w:rPr>
        <w:footnoteReference w:id="110"/>
      </w:r>
      <w:r w:rsidR="001A0994" w:rsidRPr="00954547">
        <w:rPr>
          <w:lang w:val="en-US"/>
        </w:rPr>
        <w:t xml:space="preserve"> The case file does not </w:t>
      </w:r>
      <w:r w:rsidR="00723719" w:rsidRPr="00954547">
        <w:rPr>
          <w:lang w:val="en-US"/>
        </w:rPr>
        <w:t>reveal</w:t>
      </w:r>
      <w:r w:rsidR="001A0994" w:rsidRPr="00954547">
        <w:rPr>
          <w:lang w:val="en-US"/>
        </w:rPr>
        <w:t xml:space="preserve"> whether the presumed victim went to that hospital or whether she received treatment there.</w:t>
      </w:r>
    </w:p>
    <w:p w14:paraId="2B1CC3FE" w14:textId="6CE137DA" w:rsidR="00014C8E" w:rsidRPr="00954547" w:rsidRDefault="00155644" w:rsidP="00386B24">
      <w:pPr>
        <w:pStyle w:val="Heading2"/>
        <w:tabs>
          <w:tab w:val="left" w:pos="567"/>
        </w:tabs>
        <w:rPr>
          <w:lang w:val="en-US"/>
        </w:rPr>
      </w:pPr>
      <w:bookmarkStart w:id="38" w:name="_Toc106353898"/>
      <w:r w:rsidRPr="00954547">
        <w:rPr>
          <w:lang w:val="en-US"/>
        </w:rPr>
        <w:t>Manuela’s pregnancy</w:t>
      </w:r>
      <w:bookmarkEnd w:id="38"/>
    </w:p>
    <w:p w14:paraId="0F84FECF" w14:textId="1D780819" w:rsidR="00DB1027" w:rsidRPr="00954547" w:rsidRDefault="001A0994" w:rsidP="00386B24">
      <w:pPr>
        <w:pStyle w:val="Numberedparagraphs"/>
        <w:tabs>
          <w:tab w:val="clear" w:pos="720"/>
          <w:tab w:val="left" w:pos="567"/>
        </w:tabs>
        <w:rPr>
          <w:lang w:val="en-US"/>
        </w:rPr>
      </w:pPr>
      <w:r w:rsidRPr="00954547">
        <w:rPr>
          <w:lang w:val="en-US"/>
        </w:rPr>
        <w:t>In February</w:t>
      </w:r>
      <w:r w:rsidR="004A31AF" w:rsidRPr="00954547">
        <w:rPr>
          <w:lang w:val="en-US"/>
        </w:rPr>
        <w:t xml:space="preserve"> 2008</w:t>
      </w:r>
      <w:r w:rsidR="00014C8E" w:rsidRPr="00954547">
        <w:rPr>
          <w:lang w:val="en-US"/>
        </w:rPr>
        <w:t xml:space="preserve">, Manuela </w:t>
      </w:r>
      <w:r w:rsidRPr="00954547">
        <w:rPr>
          <w:lang w:val="en-US"/>
        </w:rPr>
        <w:t xml:space="preserve">was pregnant; however, there is no information </w:t>
      </w:r>
      <w:r w:rsidR="00DB4DF7" w:rsidRPr="00954547">
        <w:rPr>
          <w:lang w:val="en-US"/>
        </w:rPr>
        <w:t>with regard to how many weeks pregnant she was at that time.</w:t>
      </w:r>
      <w:r w:rsidR="00014C8E" w:rsidRPr="00954547">
        <w:rPr>
          <w:rStyle w:val="FootnoteReference"/>
          <w:rFonts w:eastAsiaTheme="minorHAnsi"/>
          <w:color w:val="auto"/>
          <w:lang w:val="en-US"/>
        </w:rPr>
        <w:footnoteReference w:id="111"/>
      </w:r>
    </w:p>
    <w:p w14:paraId="429895C6" w14:textId="14169B1D" w:rsidR="00014C8E" w:rsidRPr="00954547" w:rsidRDefault="00DB4DF7" w:rsidP="00386B24">
      <w:pPr>
        <w:pStyle w:val="Numberedparagraphs"/>
        <w:tabs>
          <w:tab w:val="clear" w:pos="720"/>
          <w:tab w:val="left" w:pos="567"/>
        </w:tabs>
        <w:rPr>
          <w:color w:val="FF0000"/>
          <w:lang w:val="en-US"/>
        </w:rPr>
      </w:pPr>
      <w:r w:rsidRPr="00954547">
        <w:rPr>
          <w:lang w:val="en-US"/>
        </w:rPr>
        <w:t>On February 26,</w:t>
      </w:r>
      <w:r w:rsidR="00014C8E" w:rsidRPr="00954547">
        <w:rPr>
          <w:lang w:val="en-US"/>
        </w:rPr>
        <w:t xml:space="preserve"> 2008, Manuela </w:t>
      </w:r>
      <w:r w:rsidRPr="00954547">
        <w:rPr>
          <w:lang w:val="en-US"/>
        </w:rPr>
        <w:t>was washing clothes in the river with her elder son, when she fell heavily and injured her pelvic area;</w:t>
      </w:r>
      <w:r w:rsidR="00014C8E" w:rsidRPr="00954547">
        <w:rPr>
          <w:rStyle w:val="FootnoteReference"/>
          <w:rFonts w:eastAsiaTheme="minorHAnsi"/>
          <w:color w:val="auto"/>
          <w:lang w:val="en-US"/>
        </w:rPr>
        <w:footnoteReference w:id="112"/>
      </w:r>
      <w:r w:rsidRPr="00954547">
        <w:rPr>
          <w:lang w:val="en-US"/>
        </w:rPr>
        <w:t xml:space="preserve"> this resulted in pelvic girdle pain which increased in intensity and duration and </w:t>
      </w:r>
      <w:r w:rsidR="002D5007" w:rsidRPr="00954547">
        <w:rPr>
          <w:lang w:val="en-US"/>
        </w:rPr>
        <w:t>led to transvaginal bleeding.</w:t>
      </w:r>
      <w:r w:rsidR="00014C8E" w:rsidRPr="00954547">
        <w:rPr>
          <w:rStyle w:val="FootnoteReference"/>
          <w:rFonts w:eastAsiaTheme="minorHAnsi"/>
          <w:color w:val="auto"/>
          <w:lang w:val="en-US"/>
        </w:rPr>
        <w:footnoteReference w:id="113"/>
      </w:r>
    </w:p>
    <w:p w14:paraId="7DAA44F7" w14:textId="00455D18" w:rsidR="001B6909" w:rsidRPr="00954547" w:rsidRDefault="002D5007" w:rsidP="002D5007">
      <w:pPr>
        <w:pStyle w:val="Numberedparagraphs"/>
        <w:tabs>
          <w:tab w:val="clear" w:pos="720"/>
          <w:tab w:val="left" w:pos="567"/>
        </w:tabs>
        <w:rPr>
          <w:lang w:val="en-US"/>
        </w:rPr>
      </w:pPr>
      <w:r w:rsidRPr="00954547">
        <w:rPr>
          <w:lang w:val="en-US"/>
        </w:rPr>
        <w:t>According to</w:t>
      </w:r>
      <w:r w:rsidR="001B6909" w:rsidRPr="00954547">
        <w:rPr>
          <w:lang w:val="en-US"/>
        </w:rPr>
        <w:t xml:space="preserve"> </w:t>
      </w:r>
      <w:r w:rsidR="00FF2DDD" w:rsidRPr="00954547">
        <w:rPr>
          <w:lang w:val="en-US"/>
        </w:rPr>
        <w:t>Manuela’s mother</w:t>
      </w:r>
      <w:r w:rsidR="001B6909" w:rsidRPr="00954547">
        <w:rPr>
          <w:lang w:val="en-US"/>
        </w:rPr>
        <w:t xml:space="preserve">, </w:t>
      </w:r>
      <w:r w:rsidR="003D24A2" w:rsidRPr="00954547">
        <w:rPr>
          <w:lang w:val="en-US"/>
        </w:rPr>
        <w:t>on February 27,</w:t>
      </w:r>
      <w:r w:rsidR="001B6909" w:rsidRPr="00954547">
        <w:rPr>
          <w:lang w:val="en-US"/>
        </w:rPr>
        <w:t xml:space="preserve"> 2008</w:t>
      </w:r>
      <w:r w:rsidRPr="00954547">
        <w:rPr>
          <w:lang w:val="en-US"/>
        </w:rPr>
        <w:t>, her daughter was lying in bed in her room because she felt ill. At around midday, she went to her daughter’s room and found her pale, bleeding from the vagina, sweating and unconscious</w:t>
      </w:r>
      <w:r w:rsidR="001B6909" w:rsidRPr="00954547">
        <w:rPr>
          <w:lang w:val="en-US"/>
        </w:rPr>
        <w:t xml:space="preserve">. </w:t>
      </w:r>
      <w:r w:rsidR="00FF2DDD" w:rsidRPr="00954547">
        <w:rPr>
          <w:lang w:val="en-US"/>
        </w:rPr>
        <w:t>Manuela’s father</w:t>
      </w:r>
      <w:r w:rsidR="001B6909" w:rsidRPr="00954547">
        <w:rPr>
          <w:lang w:val="en-US"/>
        </w:rPr>
        <w:t xml:space="preserve"> </w:t>
      </w:r>
      <w:r w:rsidRPr="00954547">
        <w:rPr>
          <w:lang w:val="en-US"/>
        </w:rPr>
        <w:t>took his daughter to the</w:t>
      </w:r>
      <w:r w:rsidR="001B6909" w:rsidRPr="00954547">
        <w:rPr>
          <w:lang w:val="en-US"/>
        </w:rPr>
        <w:t xml:space="preserve"> San Francisco Gotera</w:t>
      </w:r>
      <w:r w:rsidRPr="00954547">
        <w:rPr>
          <w:lang w:val="en-US"/>
        </w:rPr>
        <w:t xml:space="preserve"> Hospital.</w:t>
      </w:r>
      <w:r w:rsidR="001B6909" w:rsidRPr="00954547">
        <w:rPr>
          <w:rStyle w:val="FootnoteReference"/>
          <w:rFonts w:eastAsiaTheme="minorHAnsi"/>
          <w:color w:val="auto"/>
          <w:lang w:val="en-US"/>
        </w:rPr>
        <w:footnoteReference w:id="114"/>
      </w:r>
      <w:r w:rsidR="001B6909" w:rsidRPr="00954547">
        <w:rPr>
          <w:lang w:val="en-US"/>
        </w:rPr>
        <w:t xml:space="preserve">  </w:t>
      </w:r>
    </w:p>
    <w:p w14:paraId="6D8962F3" w14:textId="4EF1414D" w:rsidR="0074732F" w:rsidRPr="00954547" w:rsidRDefault="002D5007" w:rsidP="00386B24">
      <w:pPr>
        <w:pStyle w:val="Heading2"/>
        <w:tabs>
          <w:tab w:val="left" w:pos="567"/>
        </w:tabs>
        <w:rPr>
          <w:lang w:val="en-US"/>
        </w:rPr>
      </w:pPr>
      <w:bookmarkStart w:id="39" w:name="_Toc106353899"/>
      <w:bookmarkEnd w:id="37"/>
      <w:r w:rsidRPr="00954547">
        <w:rPr>
          <w:lang w:val="en-US"/>
        </w:rPr>
        <w:t>The medical treatment of the</w:t>
      </w:r>
      <w:r w:rsidR="00866135" w:rsidRPr="00954547">
        <w:rPr>
          <w:lang w:val="en-US"/>
        </w:rPr>
        <w:t xml:space="preserve"> </w:t>
      </w:r>
      <w:r w:rsidR="00B72FE4" w:rsidRPr="00954547">
        <w:rPr>
          <w:lang w:val="en-US"/>
        </w:rPr>
        <w:t>obstetric emergency</w:t>
      </w:r>
      <w:bookmarkEnd w:id="39"/>
    </w:p>
    <w:p w14:paraId="3A583D1C" w14:textId="4EF10EED" w:rsidR="009965E1" w:rsidRPr="00954547" w:rsidRDefault="003D24A2" w:rsidP="007771B6">
      <w:pPr>
        <w:pStyle w:val="Numberedparagraphs"/>
        <w:tabs>
          <w:tab w:val="clear" w:pos="720"/>
          <w:tab w:val="left" w:pos="567"/>
        </w:tabs>
        <w:rPr>
          <w:lang w:val="en-US"/>
        </w:rPr>
      </w:pPr>
      <w:r w:rsidRPr="00954547">
        <w:rPr>
          <w:lang w:val="en-US"/>
        </w:rPr>
        <w:t>On February 27,</w:t>
      </w:r>
      <w:r w:rsidR="0074732F" w:rsidRPr="00954547">
        <w:rPr>
          <w:lang w:val="en-US"/>
        </w:rPr>
        <w:t xml:space="preserve"> 2008</w:t>
      </w:r>
      <w:r w:rsidR="00144268" w:rsidRPr="00954547">
        <w:rPr>
          <w:lang w:val="en-US"/>
        </w:rPr>
        <w:t>,</w:t>
      </w:r>
      <w:r w:rsidR="0074732F" w:rsidRPr="00954547">
        <w:rPr>
          <w:lang w:val="en-US"/>
        </w:rPr>
        <w:t xml:space="preserve"> </w:t>
      </w:r>
      <w:r w:rsidR="002D5007" w:rsidRPr="00954547">
        <w:rPr>
          <w:lang w:val="en-US"/>
        </w:rPr>
        <w:t xml:space="preserve">at </w:t>
      </w:r>
      <w:r w:rsidR="00410345" w:rsidRPr="00954547">
        <w:rPr>
          <w:rFonts w:eastAsiaTheme="minorHAnsi"/>
          <w:lang w:val="en-US"/>
        </w:rPr>
        <w:t>3</w:t>
      </w:r>
      <w:r w:rsidR="00E20412" w:rsidRPr="00954547">
        <w:rPr>
          <w:rFonts w:eastAsiaTheme="minorHAnsi"/>
          <w:lang w:val="en-US"/>
        </w:rPr>
        <w:t>:</w:t>
      </w:r>
      <w:r w:rsidR="00410345" w:rsidRPr="00954547">
        <w:rPr>
          <w:rFonts w:eastAsiaTheme="minorHAnsi"/>
          <w:lang w:val="en-US"/>
        </w:rPr>
        <w:t xml:space="preserve">25 </w:t>
      </w:r>
      <w:r w:rsidR="00D13DB4" w:rsidRPr="00954547">
        <w:rPr>
          <w:rFonts w:eastAsiaTheme="minorHAnsi"/>
          <w:lang w:val="en-US"/>
        </w:rPr>
        <w:t>p</w:t>
      </w:r>
      <w:r w:rsidR="00410345" w:rsidRPr="00954547">
        <w:rPr>
          <w:rFonts w:eastAsiaTheme="minorHAnsi"/>
          <w:lang w:val="en-US"/>
        </w:rPr>
        <w:t>.</w:t>
      </w:r>
      <w:r w:rsidR="00D13DB4" w:rsidRPr="00954547">
        <w:rPr>
          <w:rFonts w:eastAsiaTheme="minorHAnsi"/>
          <w:lang w:val="en-US"/>
        </w:rPr>
        <w:t>m</w:t>
      </w:r>
      <w:r w:rsidR="00410345" w:rsidRPr="00954547">
        <w:rPr>
          <w:rFonts w:eastAsiaTheme="minorHAnsi"/>
          <w:lang w:val="en-US"/>
        </w:rPr>
        <w:t>.</w:t>
      </w:r>
      <w:r w:rsidR="00144268" w:rsidRPr="00954547">
        <w:rPr>
          <w:rFonts w:eastAsiaTheme="minorHAnsi"/>
          <w:lang w:val="en-US"/>
        </w:rPr>
        <w:t>,</w:t>
      </w:r>
      <w:r w:rsidR="00410345" w:rsidRPr="00954547">
        <w:rPr>
          <w:rFonts w:eastAsiaTheme="minorHAnsi"/>
          <w:lang w:val="en-US"/>
        </w:rPr>
        <w:t xml:space="preserve"> </w:t>
      </w:r>
      <w:r w:rsidR="0074732F" w:rsidRPr="00954547">
        <w:rPr>
          <w:lang w:val="en-US"/>
        </w:rPr>
        <w:t xml:space="preserve">Manuela </w:t>
      </w:r>
      <w:r w:rsidR="002D5007" w:rsidRPr="00954547">
        <w:rPr>
          <w:lang w:val="en-US"/>
        </w:rPr>
        <w:t>was admitted to the emergency department of th</w:t>
      </w:r>
      <w:r w:rsidR="007771B6" w:rsidRPr="00954547">
        <w:rPr>
          <w:lang w:val="en-US"/>
        </w:rPr>
        <w:t>e</w:t>
      </w:r>
      <w:r w:rsidR="0074732F" w:rsidRPr="00954547">
        <w:rPr>
          <w:lang w:val="en-US"/>
        </w:rPr>
        <w:t xml:space="preserve"> </w:t>
      </w:r>
      <w:r w:rsidR="007771B6" w:rsidRPr="00954547">
        <w:rPr>
          <w:lang w:val="en-US"/>
        </w:rPr>
        <w:t>San Francisco Gotera National Hospital</w:t>
      </w:r>
      <w:r w:rsidR="00EE092A" w:rsidRPr="00954547">
        <w:rPr>
          <w:lang w:val="en-US"/>
        </w:rPr>
        <w:t xml:space="preserve">, </w:t>
      </w:r>
      <w:r w:rsidR="007771B6" w:rsidRPr="00954547">
        <w:rPr>
          <w:lang w:val="en-US"/>
        </w:rPr>
        <w:t>where she was seen at</w:t>
      </w:r>
      <w:r w:rsidR="00EE092A" w:rsidRPr="00954547">
        <w:rPr>
          <w:lang w:val="en-US"/>
        </w:rPr>
        <w:t xml:space="preserve"> 4 p.m.</w:t>
      </w:r>
      <w:r w:rsidR="00410345" w:rsidRPr="00954547">
        <w:rPr>
          <w:rStyle w:val="FootnoteReference"/>
          <w:rFonts w:eastAsiaTheme="minorHAnsi"/>
          <w:color w:val="auto"/>
          <w:lang w:val="en-US"/>
        </w:rPr>
        <w:footnoteReference w:id="115"/>
      </w:r>
      <w:r w:rsidR="0074732F" w:rsidRPr="00954547">
        <w:rPr>
          <w:lang w:val="en-US"/>
        </w:rPr>
        <w:t xml:space="preserve"> </w:t>
      </w:r>
      <w:r w:rsidR="007771B6" w:rsidRPr="00954547">
        <w:rPr>
          <w:lang w:val="en-US"/>
        </w:rPr>
        <w:t>The hospital records show that the preoperative diagnosis was “</w:t>
      </w:r>
      <w:r w:rsidR="00E20412" w:rsidRPr="00954547">
        <w:rPr>
          <w:lang w:val="en-US"/>
        </w:rPr>
        <w:t>delivery</w:t>
      </w:r>
      <w:r w:rsidR="007771B6" w:rsidRPr="00954547">
        <w:rPr>
          <w:lang w:val="en-US"/>
        </w:rPr>
        <w:t xml:space="preserve"> outside the hospital, retained placenta and perineal tear.</w:t>
      </w:r>
      <w:r w:rsidR="009965E1" w:rsidRPr="00954547">
        <w:rPr>
          <w:lang w:val="en-US"/>
        </w:rPr>
        <w:t>”</w:t>
      </w:r>
      <w:r w:rsidR="0074732F" w:rsidRPr="00954547">
        <w:rPr>
          <w:rStyle w:val="FootnoteReference"/>
          <w:lang w:val="en-US"/>
        </w:rPr>
        <w:footnoteReference w:id="116"/>
      </w:r>
    </w:p>
    <w:p w14:paraId="27CE1FED" w14:textId="7100998B" w:rsidR="00B414AA" w:rsidRPr="00954547" w:rsidRDefault="007771B6" w:rsidP="00F2282E">
      <w:pPr>
        <w:pStyle w:val="Numberedparagraphs"/>
        <w:tabs>
          <w:tab w:val="left" w:pos="567"/>
        </w:tabs>
        <w:rPr>
          <w:lang w:val="en-US"/>
        </w:rPr>
      </w:pPr>
      <w:r w:rsidRPr="00954547">
        <w:rPr>
          <w:lang w:val="en-US"/>
        </w:rPr>
        <w:t xml:space="preserve">The </w:t>
      </w:r>
      <w:r w:rsidR="00354B24" w:rsidRPr="00954547">
        <w:rPr>
          <w:lang w:val="en-US"/>
        </w:rPr>
        <w:t>emergency record</w:t>
      </w:r>
      <w:r w:rsidRPr="00954547">
        <w:rPr>
          <w:lang w:val="en-US"/>
        </w:rPr>
        <w:t xml:space="preserve"> for the day Manuela was admitted to </w:t>
      </w:r>
      <w:r w:rsidR="00C2584E" w:rsidRPr="00954547">
        <w:rPr>
          <w:lang w:val="en-US"/>
        </w:rPr>
        <w:t>the San Francisco Gotera Hospital</w:t>
      </w:r>
      <w:r w:rsidR="00B414AA" w:rsidRPr="00954547">
        <w:rPr>
          <w:lang w:val="en-US"/>
        </w:rPr>
        <w:t xml:space="preserve">, </w:t>
      </w:r>
      <w:r w:rsidR="00C04E50" w:rsidRPr="00954547">
        <w:rPr>
          <w:lang w:val="en-US"/>
        </w:rPr>
        <w:t>notes</w:t>
      </w:r>
      <w:r w:rsidR="00C2584E" w:rsidRPr="00954547">
        <w:rPr>
          <w:lang w:val="en-US"/>
        </w:rPr>
        <w:t xml:space="preserve"> that she was admitted due to abortion.</w:t>
      </w:r>
      <w:r w:rsidR="00B414AA" w:rsidRPr="00954547">
        <w:rPr>
          <w:rStyle w:val="FootnoteReference"/>
          <w:lang w:val="en-US"/>
        </w:rPr>
        <w:footnoteReference w:id="117"/>
      </w:r>
      <w:r w:rsidR="00B414AA" w:rsidRPr="00954547">
        <w:rPr>
          <w:lang w:val="en-US"/>
        </w:rPr>
        <w:t xml:space="preserve"> </w:t>
      </w:r>
      <w:r w:rsidR="00C2584E" w:rsidRPr="00954547">
        <w:rPr>
          <w:lang w:val="en-US"/>
        </w:rPr>
        <w:t>This document states that it reproduces a verbatim quote from Manuela indicating: “I don’t know if it fell to the floor or if the umbilical cord broke</w:t>
      </w:r>
      <w:r w:rsidR="00F2282E" w:rsidRPr="00954547">
        <w:rPr>
          <w:lang w:val="en-US"/>
        </w:rPr>
        <w:t>, or if my mother cut it. My sister says that my mother cut the cord and buried the baby; my sister told me that the baby was born dead.” It also recorded that the patient was uncooperative when she was questioned and that she was advised that the prosecution service would be notified.</w:t>
      </w:r>
      <w:r w:rsidR="00B414AA" w:rsidRPr="00954547">
        <w:rPr>
          <w:rStyle w:val="FootnoteReference"/>
          <w:lang w:val="en-US"/>
        </w:rPr>
        <w:footnoteReference w:id="118"/>
      </w:r>
    </w:p>
    <w:p w14:paraId="5268FF55" w14:textId="70517C27" w:rsidR="00B414AA" w:rsidRPr="00954547" w:rsidRDefault="00354B24" w:rsidP="001E54E3">
      <w:pPr>
        <w:pStyle w:val="Numberedparagraphs"/>
        <w:tabs>
          <w:tab w:val="left" w:pos="567"/>
          <w:tab w:val="left" w:pos="4395"/>
        </w:tabs>
        <w:rPr>
          <w:lang w:val="en-US"/>
        </w:rPr>
      </w:pPr>
      <w:r w:rsidRPr="00954547">
        <w:rPr>
          <w:lang w:val="en-US"/>
        </w:rPr>
        <w:t>At</w:t>
      </w:r>
      <w:r w:rsidR="00B414AA" w:rsidRPr="00954547">
        <w:rPr>
          <w:lang w:val="en-US"/>
        </w:rPr>
        <w:t xml:space="preserve"> 7 p.m. </w:t>
      </w:r>
      <w:r w:rsidR="003D24A2" w:rsidRPr="00954547">
        <w:rPr>
          <w:lang w:val="en-US"/>
        </w:rPr>
        <w:t>on February 27,</w:t>
      </w:r>
      <w:r w:rsidR="00B414AA" w:rsidRPr="00954547">
        <w:rPr>
          <w:lang w:val="en-US"/>
        </w:rPr>
        <w:t xml:space="preserve"> 2008, </w:t>
      </w:r>
      <w:r w:rsidR="00807D09" w:rsidRPr="00954547">
        <w:rPr>
          <w:lang w:val="en-US"/>
        </w:rPr>
        <w:t xml:space="preserve">the “complete calcified placenta” was extracted from Manuela, </w:t>
      </w:r>
      <w:r w:rsidR="001E54E3" w:rsidRPr="00954547">
        <w:rPr>
          <w:lang w:val="en-US"/>
        </w:rPr>
        <w:t>a curettage was performed, and her “perineal tear” was sutured.</w:t>
      </w:r>
      <w:r w:rsidR="00B414AA" w:rsidRPr="00954547">
        <w:rPr>
          <w:lang w:val="en-US"/>
        </w:rPr>
        <w:t>”</w:t>
      </w:r>
      <w:r w:rsidR="00B414AA" w:rsidRPr="00954547">
        <w:rPr>
          <w:rStyle w:val="FootnoteReference"/>
          <w:lang w:val="en-US"/>
        </w:rPr>
        <w:footnoteReference w:id="119"/>
      </w:r>
      <w:r w:rsidR="00B414AA" w:rsidRPr="00954547">
        <w:rPr>
          <w:lang w:val="en-US"/>
        </w:rPr>
        <w:t xml:space="preserve">  </w:t>
      </w:r>
    </w:p>
    <w:p w14:paraId="4962C961" w14:textId="0CB5304A" w:rsidR="001E035C" w:rsidRPr="00954547" w:rsidRDefault="001E54E3" w:rsidP="001E54E3">
      <w:pPr>
        <w:pStyle w:val="Numberedparagraphs"/>
        <w:tabs>
          <w:tab w:val="left" w:pos="567"/>
        </w:tabs>
        <w:rPr>
          <w:lang w:val="en-US"/>
        </w:rPr>
      </w:pPr>
      <w:r w:rsidRPr="00954547">
        <w:rPr>
          <w:lang w:val="en-US"/>
        </w:rPr>
        <w:t>In the report that the hospital sent to the prosecution service, the medical staff noted, among other matters, that Manuela</w:t>
      </w:r>
      <w:r w:rsidR="00BD6B65" w:rsidRPr="00954547">
        <w:rPr>
          <w:lang w:val="en-US"/>
        </w:rPr>
        <w:t xml:space="preserve"> had</w:t>
      </w:r>
      <w:r w:rsidRPr="00954547">
        <w:rPr>
          <w:lang w:val="en-US"/>
        </w:rPr>
        <w:t xml:space="preserve"> “high blood pressure” and that she had lost around “300 [cubic centimeters]” of blood, so that a blood transfusion was recommended.</w:t>
      </w:r>
      <w:r w:rsidR="007A0B00" w:rsidRPr="00954547">
        <w:rPr>
          <w:rStyle w:val="FootnoteReference"/>
          <w:lang w:val="en-US"/>
        </w:rPr>
        <w:footnoteReference w:id="120"/>
      </w:r>
      <w:r w:rsidRPr="00954547">
        <w:rPr>
          <w:lang w:val="en-US"/>
        </w:rPr>
        <w:t xml:space="preserve"> It was concluded that:</w:t>
      </w:r>
    </w:p>
    <w:p w14:paraId="01A18631" w14:textId="168D06E0" w:rsidR="007A0B00" w:rsidRPr="00954547" w:rsidRDefault="001E54E3" w:rsidP="00BD6B65">
      <w:pPr>
        <w:pStyle w:val="SingleTxt"/>
        <w:numPr>
          <w:ilvl w:val="0"/>
          <w:numId w:val="0"/>
        </w:numPr>
        <w:ind w:left="567" w:right="615"/>
        <w:rPr>
          <w:sz w:val="18"/>
          <w:szCs w:val="18"/>
          <w:lang w:val="en-US"/>
        </w:rPr>
      </w:pPr>
      <w:r w:rsidRPr="00954547">
        <w:rPr>
          <w:sz w:val="18"/>
          <w:szCs w:val="18"/>
          <w:lang w:val="en-US"/>
        </w:rPr>
        <w:t xml:space="preserve">This is a case of patient who </w:t>
      </w:r>
      <w:r w:rsidR="00BD6B65" w:rsidRPr="00954547">
        <w:rPr>
          <w:sz w:val="18"/>
          <w:szCs w:val="18"/>
          <w:lang w:val="en-US"/>
        </w:rPr>
        <w:t>gave</w:t>
      </w:r>
      <w:r w:rsidRPr="00954547">
        <w:rPr>
          <w:sz w:val="18"/>
          <w:szCs w:val="18"/>
          <w:lang w:val="en-US"/>
        </w:rPr>
        <w:t xml:space="preserve"> birth outside a hospital apparently </w:t>
      </w:r>
      <w:r w:rsidR="00BD6B65" w:rsidRPr="00954547">
        <w:rPr>
          <w:sz w:val="18"/>
          <w:szCs w:val="18"/>
          <w:lang w:val="en-US"/>
        </w:rPr>
        <w:t xml:space="preserve">to a </w:t>
      </w:r>
      <w:r w:rsidR="00F7339B" w:rsidRPr="00954547">
        <w:rPr>
          <w:sz w:val="18"/>
          <w:szCs w:val="18"/>
          <w:lang w:val="en-US"/>
        </w:rPr>
        <w:t>premature infant, although the placenta showed signs of maturity; she also ha</w:t>
      </w:r>
      <w:r w:rsidR="00BD6B65" w:rsidRPr="00954547">
        <w:rPr>
          <w:sz w:val="18"/>
          <w:szCs w:val="18"/>
          <w:lang w:val="en-US"/>
        </w:rPr>
        <w:t>d</w:t>
      </w:r>
      <w:r w:rsidR="00F7339B" w:rsidRPr="00954547">
        <w:rPr>
          <w:sz w:val="18"/>
          <w:szCs w:val="18"/>
          <w:lang w:val="en-US"/>
        </w:rPr>
        <w:t xml:space="preserve"> high blood pressure and </w:t>
      </w:r>
      <w:r w:rsidR="00BD6B65" w:rsidRPr="00954547">
        <w:rPr>
          <w:sz w:val="18"/>
          <w:szCs w:val="18"/>
          <w:lang w:val="en-US"/>
        </w:rPr>
        <w:t xml:space="preserve">an </w:t>
      </w:r>
      <w:r w:rsidR="00F7339B" w:rsidRPr="00954547">
        <w:rPr>
          <w:sz w:val="18"/>
          <w:szCs w:val="18"/>
          <w:lang w:val="en-US"/>
        </w:rPr>
        <w:t xml:space="preserve">important loss of blood so that she was classified </w:t>
      </w:r>
      <w:r w:rsidR="00BD6B65" w:rsidRPr="00954547">
        <w:rPr>
          <w:sz w:val="18"/>
          <w:szCs w:val="18"/>
          <w:lang w:val="en-US"/>
        </w:rPr>
        <w:t>with</w:t>
      </w:r>
      <w:r w:rsidR="00F7339B" w:rsidRPr="00954547">
        <w:rPr>
          <w:sz w:val="18"/>
          <w:szCs w:val="18"/>
          <w:lang w:val="en-US"/>
        </w:rPr>
        <w:t xml:space="preserve"> severe postpartum preeclampsia </w:t>
      </w:r>
      <w:r w:rsidR="00BD6B65" w:rsidRPr="00954547">
        <w:rPr>
          <w:sz w:val="18"/>
          <w:szCs w:val="18"/>
          <w:lang w:val="en-US"/>
        </w:rPr>
        <w:t>plus anemia owing to loss of blood.</w:t>
      </w:r>
      <w:r w:rsidR="007A0B00" w:rsidRPr="00954547">
        <w:rPr>
          <w:sz w:val="18"/>
          <w:szCs w:val="18"/>
          <w:vertAlign w:val="superscript"/>
          <w:lang w:val="en-US"/>
        </w:rPr>
        <w:footnoteReference w:id="121"/>
      </w:r>
    </w:p>
    <w:p w14:paraId="79F014AB" w14:textId="0B3CB6FF" w:rsidR="001E035C" w:rsidRPr="00954547" w:rsidRDefault="00BD6B65" w:rsidP="00386B24">
      <w:pPr>
        <w:pStyle w:val="Numberedparagraphs"/>
        <w:tabs>
          <w:tab w:val="left" w:pos="567"/>
        </w:tabs>
        <w:rPr>
          <w:rFonts w:eastAsiaTheme="minorHAnsi"/>
          <w:lang w:val="en-US"/>
        </w:rPr>
      </w:pPr>
      <w:r w:rsidRPr="00954547">
        <w:rPr>
          <w:rFonts w:eastAsiaTheme="minorHAnsi" w:cs="ArialMT"/>
          <w:lang w:val="en-US"/>
        </w:rPr>
        <w:t xml:space="preserve">The report does not mention the lumps </w:t>
      </w:r>
      <w:r w:rsidR="00E20412" w:rsidRPr="00954547">
        <w:rPr>
          <w:rFonts w:eastAsiaTheme="minorHAnsi" w:cs="ArialMT"/>
          <w:lang w:val="en-US"/>
        </w:rPr>
        <w:t xml:space="preserve">on </w:t>
      </w:r>
      <w:r w:rsidRPr="00954547">
        <w:rPr>
          <w:rFonts w:eastAsiaTheme="minorHAnsi" w:cs="ArialMT"/>
          <w:lang w:val="en-US"/>
        </w:rPr>
        <w:t>Manuela</w:t>
      </w:r>
      <w:r w:rsidR="00E20412" w:rsidRPr="00954547">
        <w:rPr>
          <w:rFonts w:eastAsiaTheme="minorHAnsi" w:cs="ArialMT"/>
          <w:lang w:val="en-US"/>
        </w:rPr>
        <w:t xml:space="preserve">’s </w:t>
      </w:r>
      <w:r w:rsidRPr="00954547">
        <w:rPr>
          <w:rFonts w:eastAsiaTheme="minorHAnsi" w:cs="ArialMT"/>
          <w:lang w:val="en-US"/>
        </w:rPr>
        <w:t>neck</w:t>
      </w:r>
      <w:r w:rsidR="007A0B00" w:rsidRPr="00954547">
        <w:rPr>
          <w:rFonts w:eastAsiaTheme="minorHAnsi" w:cs="ArialMT"/>
          <w:lang w:val="en-US"/>
        </w:rPr>
        <w:t>.</w:t>
      </w:r>
    </w:p>
    <w:p w14:paraId="22464174" w14:textId="2B8A0170" w:rsidR="0074732F" w:rsidRPr="00954547" w:rsidRDefault="00BD6B65" w:rsidP="00BD6B65">
      <w:pPr>
        <w:pStyle w:val="Heading2"/>
        <w:tabs>
          <w:tab w:val="left" w:pos="567"/>
        </w:tabs>
        <w:rPr>
          <w:lang w:val="en-US"/>
        </w:rPr>
      </w:pPr>
      <w:bookmarkStart w:id="40" w:name="_Toc106353900"/>
      <w:r w:rsidRPr="00954547">
        <w:rPr>
          <w:lang w:val="en-US"/>
        </w:rPr>
        <w:t>The criminal prosecution of</w:t>
      </w:r>
      <w:r w:rsidR="00866135" w:rsidRPr="00954547">
        <w:rPr>
          <w:lang w:val="en-US"/>
        </w:rPr>
        <w:t xml:space="preserve"> Manuela</w:t>
      </w:r>
      <w:bookmarkEnd w:id="40"/>
    </w:p>
    <w:p w14:paraId="3716DF7C" w14:textId="6CB51382" w:rsidR="00B414AA" w:rsidRPr="00954547" w:rsidRDefault="003D24A2" w:rsidP="00B414AA">
      <w:pPr>
        <w:pStyle w:val="Numberedparagraphs"/>
        <w:tabs>
          <w:tab w:val="left" w:pos="567"/>
        </w:tabs>
        <w:rPr>
          <w:rFonts w:cs="Tahoma"/>
          <w:lang w:val="en-US"/>
        </w:rPr>
      </w:pPr>
      <w:r w:rsidRPr="00954547">
        <w:rPr>
          <w:lang w:val="en-US"/>
        </w:rPr>
        <w:t>On February 27,</w:t>
      </w:r>
      <w:r w:rsidR="006D478E" w:rsidRPr="00954547">
        <w:rPr>
          <w:lang w:val="en-US"/>
        </w:rPr>
        <w:t xml:space="preserve"> 2008</w:t>
      </w:r>
      <w:r w:rsidR="00BD6B65" w:rsidRPr="00954547">
        <w:rPr>
          <w:lang w:val="en-US"/>
        </w:rPr>
        <w:t xml:space="preserve">, the </w:t>
      </w:r>
      <w:r w:rsidR="00681148" w:rsidRPr="00954547">
        <w:rPr>
          <w:lang w:val="en-US"/>
        </w:rPr>
        <w:t xml:space="preserve">physician </w:t>
      </w:r>
      <w:r w:rsidR="00BD6B65" w:rsidRPr="00954547">
        <w:rPr>
          <w:lang w:val="en-US"/>
        </w:rPr>
        <w:t>who had treated</w:t>
      </w:r>
      <w:r w:rsidR="00B414AA" w:rsidRPr="00954547">
        <w:rPr>
          <w:lang w:val="en-US"/>
        </w:rPr>
        <w:t xml:space="preserve"> </w:t>
      </w:r>
      <w:r w:rsidR="00607E12" w:rsidRPr="00954547">
        <w:rPr>
          <w:lang w:val="en-US"/>
        </w:rPr>
        <w:t>the presumed victim</w:t>
      </w:r>
      <w:r w:rsidR="00B414AA" w:rsidRPr="00954547">
        <w:rPr>
          <w:lang w:val="en-US"/>
        </w:rPr>
        <w:t xml:space="preserve"> </w:t>
      </w:r>
      <w:r w:rsidR="00BB6B86" w:rsidRPr="00954547">
        <w:rPr>
          <w:lang w:val="en-US"/>
        </w:rPr>
        <w:t xml:space="preserve">filed a complaint against </w:t>
      </w:r>
      <w:r w:rsidR="00B414AA" w:rsidRPr="00954547">
        <w:rPr>
          <w:lang w:val="en-US"/>
        </w:rPr>
        <w:t xml:space="preserve">Manuela </w:t>
      </w:r>
      <w:r w:rsidR="00BB6B86" w:rsidRPr="00954547">
        <w:rPr>
          <w:lang w:val="en-US"/>
        </w:rPr>
        <w:t>with the Complaint Reception Unit, Subregional Prosecution Service of</w:t>
      </w:r>
      <w:r w:rsidR="00B414AA" w:rsidRPr="00954547">
        <w:rPr>
          <w:lang w:val="en-US"/>
        </w:rPr>
        <w:t xml:space="preserve"> Morazán, </w:t>
      </w:r>
      <w:r w:rsidR="00BB6B86" w:rsidRPr="00954547">
        <w:rPr>
          <w:lang w:val="en-US"/>
        </w:rPr>
        <w:t>and this initiated the criminal proceedings that are described below.</w:t>
      </w:r>
      <w:r w:rsidR="00B414AA" w:rsidRPr="00954547">
        <w:rPr>
          <w:rStyle w:val="FootnoteReference"/>
          <w:sz w:val="18"/>
          <w:szCs w:val="18"/>
          <w:lang w:val="en-US"/>
        </w:rPr>
        <w:footnoteReference w:id="122"/>
      </w:r>
    </w:p>
    <w:p w14:paraId="1EB03FE2" w14:textId="20C5877E" w:rsidR="00471528" w:rsidRPr="00954547" w:rsidRDefault="0032123B" w:rsidP="00B90992">
      <w:pPr>
        <w:pStyle w:val="Numberedparagraphs"/>
        <w:tabs>
          <w:tab w:val="left" w:pos="567"/>
        </w:tabs>
        <w:rPr>
          <w:rFonts w:cs="Tahoma"/>
          <w:lang w:val="en-US"/>
        </w:rPr>
      </w:pPr>
      <w:r w:rsidRPr="00954547">
        <w:rPr>
          <w:lang w:val="en-US"/>
        </w:rPr>
        <w:t>On February 28,</w:t>
      </w:r>
      <w:r w:rsidR="0074732F" w:rsidRPr="00954547">
        <w:rPr>
          <w:lang w:val="en-US"/>
        </w:rPr>
        <w:t xml:space="preserve"> 2008</w:t>
      </w:r>
      <w:r w:rsidR="00BB6B86" w:rsidRPr="00954547">
        <w:rPr>
          <w:lang w:val="en-US"/>
        </w:rPr>
        <w:t xml:space="preserve">, the police questioned the </w:t>
      </w:r>
      <w:r w:rsidR="00681148" w:rsidRPr="00954547">
        <w:rPr>
          <w:lang w:val="en-US"/>
        </w:rPr>
        <w:t>physician</w:t>
      </w:r>
      <w:r w:rsidR="00BB6B86" w:rsidRPr="00954547">
        <w:rPr>
          <w:lang w:val="en-US"/>
        </w:rPr>
        <w:t xml:space="preserve"> concerning her </w:t>
      </w:r>
      <w:r w:rsidR="00681148" w:rsidRPr="00954547">
        <w:rPr>
          <w:lang w:val="en-US"/>
        </w:rPr>
        <w:t>repor</w:t>
      </w:r>
      <w:r w:rsidR="00BB6B86" w:rsidRPr="00954547">
        <w:rPr>
          <w:lang w:val="en-US"/>
        </w:rPr>
        <w:t>t. In her statement, she indicated the reasons why she alerted the prosecution service to Manuela’s situation:</w:t>
      </w:r>
    </w:p>
    <w:p w14:paraId="1AAEA619" w14:textId="6FC4493A" w:rsidR="00471528" w:rsidRPr="00954547" w:rsidRDefault="00BB6B86" w:rsidP="00C80EA0">
      <w:pPr>
        <w:pStyle w:val="ListParagraph"/>
        <w:numPr>
          <w:ilvl w:val="0"/>
          <w:numId w:val="0"/>
        </w:numPr>
        <w:ind w:left="567" w:right="757"/>
        <w:rPr>
          <w:sz w:val="18"/>
          <w:szCs w:val="18"/>
          <w:lang w:val="en-US"/>
        </w:rPr>
      </w:pPr>
      <w:r w:rsidRPr="00954547">
        <w:rPr>
          <w:sz w:val="18"/>
          <w:szCs w:val="18"/>
          <w:lang w:val="en-US"/>
        </w:rPr>
        <w:t xml:space="preserve">The </w:t>
      </w:r>
      <w:r w:rsidR="00C80EA0" w:rsidRPr="00954547">
        <w:rPr>
          <w:sz w:val="18"/>
          <w:szCs w:val="18"/>
          <w:lang w:val="en-US"/>
        </w:rPr>
        <w:t xml:space="preserve">information provided by the </w:t>
      </w:r>
      <w:r w:rsidRPr="00954547">
        <w:rPr>
          <w:sz w:val="18"/>
          <w:szCs w:val="18"/>
          <w:lang w:val="en-US"/>
        </w:rPr>
        <w:t>patient</w:t>
      </w:r>
      <w:r w:rsidR="00C80EA0" w:rsidRPr="00954547">
        <w:rPr>
          <w:sz w:val="18"/>
          <w:szCs w:val="18"/>
          <w:lang w:val="en-US"/>
        </w:rPr>
        <w:t xml:space="preserve"> did not match the clinical picture, because the patient was treated for abortion and, when examining her […] about 40 centimeters of the umbilical cord could be observed, which was cut cleanly, and also a perineal tear […]; the patient’s calcified placenta was observed, </w:t>
      </w:r>
      <w:r w:rsidR="00681148" w:rsidRPr="00954547">
        <w:rPr>
          <w:sz w:val="18"/>
          <w:szCs w:val="18"/>
          <w:lang w:val="en-US"/>
        </w:rPr>
        <w:t>and this</w:t>
      </w:r>
      <w:r w:rsidR="00C80EA0" w:rsidRPr="00954547">
        <w:rPr>
          <w:sz w:val="18"/>
          <w:szCs w:val="18"/>
          <w:lang w:val="en-US"/>
        </w:rPr>
        <w:t xml:space="preserve"> correspond</w:t>
      </w:r>
      <w:r w:rsidR="00681148" w:rsidRPr="00954547">
        <w:rPr>
          <w:sz w:val="18"/>
          <w:szCs w:val="18"/>
          <w:lang w:val="en-US"/>
        </w:rPr>
        <w:t>ed</w:t>
      </w:r>
      <w:r w:rsidR="00C80EA0" w:rsidRPr="00954547">
        <w:rPr>
          <w:sz w:val="18"/>
          <w:szCs w:val="18"/>
          <w:lang w:val="en-US"/>
        </w:rPr>
        <w:t xml:space="preserve"> to nine months.</w:t>
      </w:r>
      <w:r w:rsidR="0074732F" w:rsidRPr="00954547">
        <w:rPr>
          <w:rStyle w:val="FootnoteReference"/>
          <w:sz w:val="18"/>
          <w:szCs w:val="18"/>
          <w:lang w:val="en-US"/>
        </w:rPr>
        <w:footnoteReference w:id="123"/>
      </w:r>
      <w:r w:rsidR="0074732F" w:rsidRPr="00954547">
        <w:rPr>
          <w:sz w:val="18"/>
          <w:szCs w:val="18"/>
          <w:lang w:val="en-US"/>
        </w:rPr>
        <w:t xml:space="preserve"> </w:t>
      </w:r>
    </w:p>
    <w:p w14:paraId="2497ACC6" w14:textId="25A6CB9C" w:rsidR="00F96752" w:rsidRPr="00954547" w:rsidRDefault="00BB5F99" w:rsidP="00386B24">
      <w:pPr>
        <w:pStyle w:val="Numberedparagraphs"/>
        <w:tabs>
          <w:tab w:val="left" w:pos="567"/>
        </w:tabs>
        <w:rPr>
          <w:lang w:val="en-US"/>
        </w:rPr>
      </w:pPr>
      <w:r w:rsidRPr="00954547">
        <w:rPr>
          <w:lang w:val="en-US"/>
        </w:rPr>
        <w:t xml:space="preserve">The principal investigator also interviewed </w:t>
      </w:r>
      <w:r w:rsidR="0020569A" w:rsidRPr="00954547">
        <w:rPr>
          <w:lang w:val="en-US"/>
        </w:rPr>
        <w:t>Manuela</w:t>
      </w:r>
      <w:r w:rsidRPr="00954547">
        <w:rPr>
          <w:lang w:val="en-US"/>
        </w:rPr>
        <w:t>.</w:t>
      </w:r>
      <w:r w:rsidR="0020569A" w:rsidRPr="00954547">
        <w:rPr>
          <w:rStyle w:val="FootnoteReference"/>
          <w:lang w:val="en-US"/>
        </w:rPr>
        <w:footnoteReference w:id="124"/>
      </w:r>
      <w:r w:rsidR="00F96752" w:rsidRPr="00954547">
        <w:rPr>
          <w:lang w:val="en-US"/>
        </w:rPr>
        <w:t xml:space="preserve"> </w:t>
      </w:r>
      <w:r w:rsidR="0036714E" w:rsidRPr="00954547">
        <w:rPr>
          <w:lang w:val="en-US"/>
        </w:rPr>
        <w:t>In addition, t</w:t>
      </w:r>
      <w:r w:rsidRPr="00954547">
        <w:rPr>
          <w:lang w:val="en-US"/>
        </w:rPr>
        <w:t>hat same day, at 9 a.m., a forensic physician examined the presumed victim’s genital area, and recorded the following:</w:t>
      </w:r>
    </w:p>
    <w:p w14:paraId="04228968" w14:textId="39D14B58" w:rsidR="0020569A" w:rsidRPr="00954547" w:rsidRDefault="0036714E" w:rsidP="009E2E47">
      <w:pPr>
        <w:tabs>
          <w:tab w:val="left" w:pos="567"/>
          <w:tab w:val="left" w:pos="1440"/>
        </w:tabs>
        <w:spacing w:before="120" w:after="120"/>
        <w:ind w:left="567" w:right="758"/>
        <w:jc w:val="both"/>
        <w:rPr>
          <w:rFonts w:ascii="Verdana" w:hAnsi="Verdana"/>
          <w:sz w:val="18"/>
          <w:szCs w:val="18"/>
        </w:rPr>
      </w:pPr>
      <w:r w:rsidRPr="00954547">
        <w:rPr>
          <w:rFonts w:ascii="Verdana" w:hAnsi="Verdana"/>
          <w:sz w:val="18"/>
          <w:szCs w:val="18"/>
        </w:rPr>
        <w:t>U</w:t>
      </w:r>
      <w:r w:rsidR="00BB5F99" w:rsidRPr="00954547">
        <w:rPr>
          <w:rFonts w:ascii="Verdana" w:hAnsi="Verdana"/>
          <w:sz w:val="18"/>
          <w:szCs w:val="18"/>
        </w:rPr>
        <w:t xml:space="preserve">mbilical cord </w:t>
      </w:r>
      <w:r w:rsidR="005029EF" w:rsidRPr="00954547">
        <w:rPr>
          <w:rFonts w:ascii="Verdana" w:hAnsi="Verdana"/>
          <w:sz w:val="18"/>
          <w:szCs w:val="18"/>
        </w:rPr>
        <w:t xml:space="preserve">[…] </w:t>
      </w:r>
      <w:r w:rsidR="00BB5F99" w:rsidRPr="00954547">
        <w:rPr>
          <w:rFonts w:ascii="Verdana" w:hAnsi="Verdana"/>
          <w:sz w:val="18"/>
          <w:szCs w:val="18"/>
        </w:rPr>
        <w:t>with a clean cut, not ruptured. Based on the foregoing, the patient gave birth outside a hospital, if not full-term at least very nearly</w:t>
      </w:r>
      <w:r w:rsidRPr="00954547">
        <w:rPr>
          <w:rFonts w:ascii="Verdana" w:hAnsi="Verdana"/>
          <w:sz w:val="18"/>
          <w:szCs w:val="18"/>
        </w:rPr>
        <w:t>,</w:t>
      </w:r>
      <w:r w:rsidR="00BB5F99" w:rsidRPr="00954547">
        <w:rPr>
          <w:rFonts w:ascii="Verdana" w:hAnsi="Verdana"/>
          <w:sz w:val="18"/>
          <w:szCs w:val="18"/>
        </w:rPr>
        <w:t xml:space="preserve"> and with signs of [preeclampsia] (</w:t>
      </w:r>
      <w:r w:rsidR="009E2E47" w:rsidRPr="00954547">
        <w:rPr>
          <w:rFonts w:ascii="Verdana" w:hAnsi="Verdana"/>
          <w:sz w:val="18"/>
          <w:szCs w:val="18"/>
        </w:rPr>
        <w:t>hypertensive disease of pregnancy</w:t>
      </w:r>
      <w:r w:rsidR="00F96752" w:rsidRPr="00954547">
        <w:rPr>
          <w:rFonts w:ascii="Verdana" w:hAnsi="Verdana"/>
          <w:sz w:val="18"/>
          <w:szCs w:val="18"/>
        </w:rPr>
        <w:t>)</w:t>
      </w:r>
      <w:r w:rsidR="009E2E47" w:rsidRPr="00954547">
        <w:rPr>
          <w:rFonts w:ascii="Verdana" w:hAnsi="Verdana"/>
          <w:sz w:val="18"/>
          <w:szCs w:val="18"/>
        </w:rPr>
        <w:t>.</w:t>
      </w:r>
      <w:r w:rsidR="00F96752" w:rsidRPr="00954547">
        <w:rPr>
          <w:rStyle w:val="FootnoteReference"/>
          <w:rFonts w:ascii="Verdana" w:hAnsi="Verdana"/>
          <w:sz w:val="18"/>
          <w:szCs w:val="18"/>
        </w:rPr>
        <w:footnoteReference w:id="125"/>
      </w:r>
      <w:r w:rsidR="00F96752" w:rsidRPr="00954547">
        <w:rPr>
          <w:rFonts w:ascii="Verdana" w:hAnsi="Verdana"/>
          <w:sz w:val="18"/>
          <w:szCs w:val="18"/>
        </w:rPr>
        <w:t xml:space="preserve"> </w:t>
      </w:r>
    </w:p>
    <w:p w14:paraId="23666200" w14:textId="01C25B43" w:rsidR="00B414AA" w:rsidRPr="00954547" w:rsidRDefault="009E2E47" w:rsidP="009E2E47">
      <w:pPr>
        <w:pStyle w:val="Numberedparagraphs"/>
        <w:tabs>
          <w:tab w:val="clear" w:pos="720"/>
          <w:tab w:val="num" w:pos="567"/>
        </w:tabs>
        <w:rPr>
          <w:lang w:val="en-US"/>
        </w:rPr>
      </w:pPr>
      <w:r w:rsidRPr="00954547">
        <w:rPr>
          <w:lang w:val="en-US"/>
        </w:rPr>
        <w:t>On the same date, the Magistrate’s Court of</w:t>
      </w:r>
      <w:r w:rsidR="00B414AA" w:rsidRPr="00954547">
        <w:rPr>
          <w:lang w:val="en-US"/>
        </w:rPr>
        <w:t xml:space="preserve"> Cacaopera aut</w:t>
      </w:r>
      <w:r w:rsidRPr="00954547">
        <w:rPr>
          <w:lang w:val="en-US"/>
        </w:rPr>
        <w:t>horized the entry and search of the house where Manuela and her family lived.</w:t>
      </w:r>
      <w:r w:rsidR="00B414AA" w:rsidRPr="00954547">
        <w:rPr>
          <w:rStyle w:val="FootnoteReference"/>
          <w:lang w:val="en-US"/>
        </w:rPr>
        <w:footnoteReference w:id="126"/>
      </w:r>
      <w:r w:rsidR="00B414AA" w:rsidRPr="00954547">
        <w:rPr>
          <w:lang w:val="en-US"/>
        </w:rPr>
        <w:t xml:space="preserve"> A</w:t>
      </w:r>
      <w:r w:rsidRPr="00954547">
        <w:rPr>
          <w:lang w:val="en-US"/>
        </w:rPr>
        <w:t>t</w:t>
      </w:r>
      <w:r w:rsidR="00B414AA" w:rsidRPr="00954547">
        <w:rPr>
          <w:lang w:val="en-US"/>
        </w:rPr>
        <w:t xml:space="preserve"> 11</w:t>
      </w:r>
      <w:r w:rsidR="00E20412" w:rsidRPr="00954547">
        <w:rPr>
          <w:lang w:val="en-US"/>
        </w:rPr>
        <w:t>:</w:t>
      </w:r>
      <w:r w:rsidR="00B414AA" w:rsidRPr="00954547">
        <w:rPr>
          <w:lang w:val="en-US"/>
        </w:rPr>
        <w:t xml:space="preserve">30 a.m. </w:t>
      </w:r>
      <w:r w:rsidRPr="00954547">
        <w:rPr>
          <w:lang w:val="en-US"/>
        </w:rPr>
        <w:t>the house was inspected. The record of this procedure indicates that the body of a newborn was found inside a septic tank;</w:t>
      </w:r>
      <w:r w:rsidR="00B414AA" w:rsidRPr="00954547">
        <w:rPr>
          <w:rStyle w:val="FootnoteReference"/>
          <w:lang w:val="en-US"/>
        </w:rPr>
        <w:footnoteReference w:id="127"/>
      </w:r>
      <w:r w:rsidR="00B414AA" w:rsidRPr="00954547">
        <w:rPr>
          <w:lang w:val="en-US"/>
        </w:rPr>
        <w:t xml:space="preserve"> </w:t>
      </w:r>
      <w:r w:rsidRPr="00954547">
        <w:rPr>
          <w:lang w:val="en-US"/>
        </w:rPr>
        <w:t xml:space="preserve">this was examined by the forensic physician who indicated that </w:t>
      </w:r>
      <w:r w:rsidR="0036714E" w:rsidRPr="00954547">
        <w:rPr>
          <w:lang w:val="en-US"/>
        </w:rPr>
        <w:t>it</w:t>
      </w:r>
      <w:r w:rsidR="007E7C2B" w:rsidRPr="00954547">
        <w:rPr>
          <w:lang w:val="en-US"/>
        </w:rPr>
        <w:t xml:space="preserve"> was</w:t>
      </w:r>
      <w:r w:rsidR="0036714E" w:rsidRPr="00954547">
        <w:rPr>
          <w:lang w:val="en-US"/>
        </w:rPr>
        <w:t>:</w:t>
      </w:r>
      <w:r w:rsidR="00B414AA" w:rsidRPr="00954547">
        <w:rPr>
          <w:lang w:val="en-US"/>
        </w:rPr>
        <w:t xml:space="preserve"> </w:t>
      </w:r>
    </w:p>
    <w:p w14:paraId="16898666" w14:textId="3AADA2CD" w:rsidR="0074732F" w:rsidRPr="00954547" w:rsidRDefault="007E7C2B" w:rsidP="00B002CD">
      <w:pPr>
        <w:tabs>
          <w:tab w:val="left" w:pos="567"/>
          <w:tab w:val="left" w:pos="1440"/>
        </w:tabs>
        <w:spacing w:before="120" w:after="120"/>
        <w:ind w:left="567" w:right="720"/>
        <w:jc w:val="both"/>
        <w:rPr>
          <w:rFonts w:ascii="Verdana" w:hAnsi="Verdana"/>
          <w:sz w:val="18"/>
          <w:szCs w:val="18"/>
        </w:rPr>
      </w:pPr>
      <w:r w:rsidRPr="00954547">
        <w:rPr>
          <w:rFonts w:ascii="Verdana" w:hAnsi="Verdana"/>
          <w:sz w:val="18"/>
          <w:szCs w:val="18"/>
        </w:rPr>
        <w:t>A full-term newborn, without any sign that the cord was ruptured and without any apparent genetic defect, […] a mal</w:t>
      </w:r>
      <w:r w:rsidR="0036714E" w:rsidRPr="00954547">
        <w:rPr>
          <w:rFonts w:ascii="Verdana" w:hAnsi="Verdana"/>
          <w:sz w:val="18"/>
          <w:szCs w:val="18"/>
        </w:rPr>
        <w:t>e child</w:t>
      </w:r>
      <w:r w:rsidRPr="00954547">
        <w:rPr>
          <w:rFonts w:ascii="Verdana" w:hAnsi="Verdana"/>
          <w:sz w:val="18"/>
          <w:szCs w:val="18"/>
        </w:rPr>
        <w:t>, covered with excreta and myasis (worms) and with the time of death approximately twenty-four hours previously; cause of death to be determined by a forensic autopsy</w:t>
      </w:r>
      <w:r w:rsidR="0036714E" w:rsidRPr="00954547">
        <w:rPr>
          <w:rFonts w:ascii="Verdana" w:hAnsi="Verdana"/>
          <w:sz w:val="18"/>
          <w:szCs w:val="18"/>
        </w:rPr>
        <w:t>;</w:t>
      </w:r>
      <w:r w:rsidR="00B002CD" w:rsidRPr="00954547">
        <w:rPr>
          <w:rFonts w:ascii="Verdana" w:hAnsi="Verdana"/>
          <w:sz w:val="18"/>
          <w:szCs w:val="18"/>
        </w:rPr>
        <w:t xml:space="preserve"> the body was</w:t>
      </w:r>
      <w:r w:rsidR="0036714E" w:rsidRPr="00954547">
        <w:rPr>
          <w:rFonts w:ascii="Verdana" w:hAnsi="Verdana"/>
          <w:sz w:val="18"/>
          <w:szCs w:val="18"/>
        </w:rPr>
        <w:t xml:space="preserve"> therefore</w:t>
      </w:r>
      <w:r w:rsidR="00B002CD" w:rsidRPr="00954547">
        <w:rPr>
          <w:rFonts w:ascii="Verdana" w:hAnsi="Verdana"/>
          <w:sz w:val="18"/>
          <w:szCs w:val="18"/>
        </w:rPr>
        <w:t xml:space="preserve"> transferred to the forensic institute in the city of </w:t>
      </w:r>
      <w:r w:rsidR="0074732F" w:rsidRPr="00954547">
        <w:rPr>
          <w:rFonts w:ascii="Verdana" w:hAnsi="Verdana"/>
          <w:sz w:val="18"/>
          <w:szCs w:val="18"/>
        </w:rPr>
        <w:t>San Miguel</w:t>
      </w:r>
      <w:r w:rsidR="00B002CD" w:rsidRPr="00954547">
        <w:rPr>
          <w:rFonts w:ascii="Verdana" w:hAnsi="Verdana"/>
          <w:sz w:val="18"/>
          <w:szCs w:val="18"/>
        </w:rPr>
        <w:t>.</w:t>
      </w:r>
      <w:r w:rsidR="0074732F" w:rsidRPr="00954547">
        <w:rPr>
          <w:rStyle w:val="FootnoteReference"/>
          <w:rFonts w:ascii="Verdana" w:hAnsi="Verdana"/>
          <w:sz w:val="18"/>
          <w:szCs w:val="18"/>
        </w:rPr>
        <w:footnoteReference w:id="128"/>
      </w:r>
      <w:r w:rsidR="0074732F" w:rsidRPr="00954547">
        <w:rPr>
          <w:rFonts w:ascii="Verdana" w:hAnsi="Verdana"/>
          <w:sz w:val="18"/>
          <w:szCs w:val="18"/>
        </w:rPr>
        <w:t xml:space="preserve"> </w:t>
      </w:r>
    </w:p>
    <w:p w14:paraId="38B54FAC" w14:textId="2627A7AD" w:rsidR="0074732F" w:rsidRPr="00954547" w:rsidRDefault="00B002CD" w:rsidP="00194AAE">
      <w:pPr>
        <w:pStyle w:val="Numberedparagraphs"/>
        <w:tabs>
          <w:tab w:val="left" w:pos="567"/>
        </w:tabs>
        <w:rPr>
          <w:sz w:val="18"/>
          <w:szCs w:val="18"/>
          <w:lang w:val="en-US"/>
        </w:rPr>
      </w:pPr>
      <w:r w:rsidRPr="00954547">
        <w:rPr>
          <w:lang w:val="en-US"/>
        </w:rPr>
        <w:t>At</w:t>
      </w:r>
      <w:r w:rsidR="00B414AA" w:rsidRPr="00954547">
        <w:rPr>
          <w:lang w:val="en-US"/>
        </w:rPr>
        <w:t xml:space="preserve"> 5 p.m., </w:t>
      </w:r>
      <w:r w:rsidR="00E60BF1" w:rsidRPr="00954547">
        <w:rPr>
          <w:lang w:val="en-US"/>
        </w:rPr>
        <w:t>the Institute of Forensic Medicine</w:t>
      </w:r>
      <w:r w:rsidR="0074732F" w:rsidRPr="00954547">
        <w:rPr>
          <w:lang w:val="en-US"/>
        </w:rPr>
        <w:t xml:space="preserve"> </w:t>
      </w:r>
      <w:r w:rsidRPr="00954547">
        <w:rPr>
          <w:lang w:val="en-US"/>
        </w:rPr>
        <w:t xml:space="preserve">performed an autopsy on the corpse and recorded that the newborn had been dead </w:t>
      </w:r>
      <w:r w:rsidR="0036714E" w:rsidRPr="00954547">
        <w:rPr>
          <w:lang w:val="en-US"/>
        </w:rPr>
        <w:t>for</w:t>
      </w:r>
      <w:r w:rsidRPr="00954547">
        <w:rPr>
          <w:lang w:val="en-US"/>
        </w:rPr>
        <w:t xml:space="preserve"> approximately 30 </w:t>
      </w:r>
      <w:r w:rsidR="0036714E" w:rsidRPr="00954547">
        <w:rPr>
          <w:lang w:val="en-US"/>
        </w:rPr>
        <w:t>to</w:t>
      </w:r>
      <w:r w:rsidRPr="00954547">
        <w:rPr>
          <w:lang w:val="en-US"/>
        </w:rPr>
        <w:t xml:space="preserve"> 32 hours.</w:t>
      </w:r>
      <w:r w:rsidR="00194AAE" w:rsidRPr="00954547">
        <w:rPr>
          <w:rStyle w:val="FootnoteReference"/>
          <w:lang w:val="en-US"/>
        </w:rPr>
        <w:footnoteReference w:id="129"/>
      </w:r>
      <w:r w:rsidR="00984818" w:rsidRPr="00954547">
        <w:rPr>
          <w:lang w:val="en-US"/>
        </w:rPr>
        <w:t xml:space="preserve"> </w:t>
      </w:r>
    </w:p>
    <w:p w14:paraId="51167C61" w14:textId="058F5225" w:rsidR="00B414AA" w:rsidRPr="00954547" w:rsidRDefault="00B414AA" w:rsidP="00B002CD">
      <w:pPr>
        <w:pStyle w:val="Numberedparagraphs"/>
        <w:tabs>
          <w:tab w:val="left" w:pos="567"/>
        </w:tabs>
        <w:rPr>
          <w:lang w:val="en-US"/>
        </w:rPr>
      </w:pPr>
      <w:bookmarkStart w:id="41" w:name="_Toc536522448"/>
      <w:r w:rsidRPr="00954547">
        <w:rPr>
          <w:lang w:val="en-US"/>
        </w:rPr>
        <w:t>T</w:t>
      </w:r>
      <w:r w:rsidR="00B002CD" w:rsidRPr="00954547">
        <w:rPr>
          <w:lang w:val="en-US"/>
        </w:rPr>
        <w:t xml:space="preserve">he </w:t>
      </w:r>
      <w:r w:rsidR="0036714E" w:rsidRPr="00954547">
        <w:rPr>
          <w:lang w:val="en-US"/>
        </w:rPr>
        <w:t xml:space="preserve">case </w:t>
      </w:r>
      <w:r w:rsidR="00B002CD" w:rsidRPr="00954547">
        <w:rPr>
          <w:lang w:val="en-US"/>
        </w:rPr>
        <w:t>file also includes a statement by Manuela</w:t>
      </w:r>
      <w:r w:rsidR="00FF2DDD" w:rsidRPr="00954547">
        <w:rPr>
          <w:lang w:val="en-US"/>
        </w:rPr>
        <w:t>’s father</w:t>
      </w:r>
      <w:r w:rsidRPr="00954547">
        <w:rPr>
          <w:lang w:val="en-US"/>
        </w:rPr>
        <w:t xml:space="preserve">, </w:t>
      </w:r>
      <w:r w:rsidR="00B002CD" w:rsidRPr="00954547">
        <w:rPr>
          <w:lang w:val="en-US"/>
        </w:rPr>
        <w:t>in which he indicated that he “felt ashamed because [his daughter’s] husband is […] in the United States, but […] his daughter told him that she got pregnant from another man” and that “he was sorry for his daughter, but this would never have made her get rid of the child.</w:t>
      </w:r>
      <w:r w:rsidRPr="00954547">
        <w:rPr>
          <w:lang w:val="en-US"/>
        </w:rPr>
        <w:t>”</w:t>
      </w:r>
      <w:r w:rsidRPr="00954547">
        <w:rPr>
          <w:rStyle w:val="FootnoteReference"/>
          <w:lang w:val="en-US"/>
        </w:rPr>
        <w:footnoteReference w:id="130"/>
      </w:r>
      <w:r w:rsidR="00912075" w:rsidRPr="00954547">
        <w:rPr>
          <w:lang w:val="en-US"/>
        </w:rPr>
        <w:t xml:space="preserve"> This statement bears a fingerprint because </w:t>
      </w:r>
      <w:r w:rsidR="00607E12" w:rsidRPr="00954547">
        <w:rPr>
          <w:lang w:val="en-US"/>
        </w:rPr>
        <w:t>the presumed victim</w:t>
      </w:r>
      <w:r w:rsidR="00912075" w:rsidRPr="00954547">
        <w:rPr>
          <w:lang w:val="en-US"/>
        </w:rPr>
        <w:t>’s father does not know how to read or write.</w:t>
      </w:r>
    </w:p>
    <w:p w14:paraId="66AE74B2" w14:textId="720BE939" w:rsidR="00B414AA" w:rsidRPr="00954547" w:rsidRDefault="00A56980" w:rsidP="00B414AA">
      <w:pPr>
        <w:pStyle w:val="Numberedparagraphs"/>
        <w:tabs>
          <w:tab w:val="left" w:pos="567"/>
        </w:tabs>
        <w:rPr>
          <w:lang w:val="en-US"/>
        </w:rPr>
      </w:pPr>
      <w:r w:rsidRPr="00954547">
        <w:rPr>
          <w:lang w:val="en-US"/>
        </w:rPr>
        <w:t xml:space="preserve">Subsequently, </w:t>
      </w:r>
      <w:r w:rsidR="0036714E" w:rsidRPr="00954547">
        <w:rPr>
          <w:lang w:val="en-US"/>
        </w:rPr>
        <w:t>Manuela’s</w:t>
      </w:r>
      <w:r w:rsidRPr="00954547">
        <w:rPr>
          <w:lang w:val="en-US"/>
        </w:rPr>
        <w:t xml:space="preserve"> father indicated that the police “put pressure on him and made him sign a piece of paper” and “threatened him until placed his fingerprint.</w:t>
      </w:r>
      <w:r w:rsidR="00B414AA" w:rsidRPr="00954547">
        <w:rPr>
          <w:lang w:val="en-US"/>
        </w:rPr>
        <w:t>”</w:t>
      </w:r>
      <w:r w:rsidR="00B414AA" w:rsidRPr="00954547">
        <w:rPr>
          <w:rStyle w:val="FootnoteReference"/>
          <w:lang w:val="en-US"/>
        </w:rPr>
        <w:footnoteReference w:id="131"/>
      </w:r>
      <w:r w:rsidRPr="00954547">
        <w:rPr>
          <w:lang w:val="en-US"/>
        </w:rPr>
        <w:t xml:space="preserve"> The case file does not contain any report or inquiry into the authenticity of the father’s statement</w:t>
      </w:r>
      <w:r w:rsidR="00B414AA" w:rsidRPr="00954547">
        <w:rPr>
          <w:lang w:val="en-US"/>
        </w:rPr>
        <w:t xml:space="preserve">. </w:t>
      </w:r>
    </w:p>
    <w:p w14:paraId="22145BDF" w14:textId="0D671FE2" w:rsidR="0074732F" w:rsidRPr="00954547" w:rsidRDefault="00210BDE" w:rsidP="00386B24">
      <w:pPr>
        <w:pStyle w:val="Heading2"/>
        <w:tabs>
          <w:tab w:val="left" w:pos="567"/>
        </w:tabs>
        <w:spacing w:before="120" w:after="120"/>
        <w:jc w:val="both"/>
        <w:rPr>
          <w:lang w:val="en-US"/>
        </w:rPr>
      </w:pPr>
      <w:bookmarkStart w:id="42" w:name="_Toc106353901"/>
      <w:r w:rsidRPr="00954547">
        <w:rPr>
          <w:lang w:val="en-US"/>
        </w:rPr>
        <w:t>The presumed victim’s detention and subsequent investigation procedures</w:t>
      </w:r>
      <w:bookmarkEnd w:id="41"/>
      <w:bookmarkEnd w:id="42"/>
    </w:p>
    <w:p w14:paraId="5798879D" w14:textId="153F237F" w:rsidR="007F06D9" w:rsidRPr="00954547" w:rsidRDefault="00607E12" w:rsidP="00386B24">
      <w:pPr>
        <w:pStyle w:val="Numberedparagraphs"/>
        <w:tabs>
          <w:tab w:val="left" w:pos="567"/>
        </w:tabs>
        <w:rPr>
          <w:lang w:val="en-US"/>
        </w:rPr>
      </w:pPr>
      <w:r w:rsidRPr="00954547">
        <w:rPr>
          <w:lang w:val="en-US"/>
        </w:rPr>
        <w:t>The presumed victim</w:t>
      </w:r>
      <w:r w:rsidR="0074732F" w:rsidRPr="00954547">
        <w:rPr>
          <w:lang w:val="en-US"/>
        </w:rPr>
        <w:t xml:space="preserve"> </w:t>
      </w:r>
      <w:r w:rsidR="00210BDE" w:rsidRPr="00954547">
        <w:rPr>
          <w:lang w:val="en-US"/>
        </w:rPr>
        <w:t>was detained</w:t>
      </w:r>
      <w:r w:rsidR="0074732F" w:rsidRPr="00954547">
        <w:rPr>
          <w:lang w:val="en-US"/>
        </w:rPr>
        <w:t xml:space="preserve"> </w:t>
      </w:r>
      <w:r w:rsidR="0032123B" w:rsidRPr="00954547">
        <w:rPr>
          <w:lang w:val="en-US"/>
        </w:rPr>
        <w:t>on February 28,</w:t>
      </w:r>
      <w:r w:rsidR="0074732F" w:rsidRPr="00954547">
        <w:rPr>
          <w:lang w:val="en-US"/>
        </w:rPr>
        <w:t xml:space="preserve"> 2008</w:t>
      </w:r>
      <w:r w:rsidR="00210BDE" w:rsidRPr="00954547">
        <w:rPr>
          <w:lang w:val="en-US"/>
        </w:rPr>
        <w:t xml:space="preserve">, while receiving medical care in the Maternity Ward of the </w:t>
      </w:r>
      <w:r w:rsidR="007771B6" w:rsidRPr="00954547">
        <w:rPr>
          <w:lang w:val="en-US"/>
        </w:rPr>
        <w:t>San Francisco Gotera National Hospital</w:t>
      </w:r>
      <w:r w:rsidR="0074732F" w:rsidRPr="00954547">
        <w:rPr>
          <w:lang w:val="en-US"/>
        </w:rPr>
        <w:t xml:space="preserve">. </w:t>
      </w:r>
      <w:r w:rsidR="006F4DBE" w:rsidRPr="00954547">
        <w:rPr>
          <w:lang w:val="en-US"/>
        </w:rPr>
        <w:t xml:space="preserve">The record of the arrest indicates that </w:t>
      </w:r>
      <w:r w:rsidR="00B414AA" w:rsidRPr="00954547">
        <w:rPr>
          <w:lang w:val="en-US"/>
        </w:rPr>
        <w:t>Manuela</w:t>
      </w:r>
      <w:r w:rsidR="00D52A77" w:rsidRPr="00954547">
        <w:rPr>
          <w:lang w:val="en-US"/>
        </w:rPr>
        <w:t xml:space="preserve"> </w:t>
      </w:r>
      <w:r w:rsidR="006F4DBE" w:rsidRPr="00954547">
        <w:rPr>
          <w:lang w:val="en-US"/>
        </w:rPr>
        <w:t xml:space="preserve">was detained </w:t>
      </w:r>
      <w:r w:rsidR="006F4DBE" w:rsidRPr="00954547">
        <w:rPr>
          <w:i/>
          <w:iCs/>
          <w:lang w:val="en-US"/>
        </w:rPr>
        <w:t>in flagrante delicto</w:t>
      </w:r>
      <w:r w:rsidR="006F4DBE" w:rsidRPr="00954547">
        <w:rPr>
          <w:lang w:val="en-US"/>
        </w:rPr>
        <w:t xml:space="preserve"> “for the </w:t>
      </w:r>
      <w:r w:rsidR="0009081A" w:rsidRPr="00954547">
        <w:rPr>
          <w:lang w:val="en-US"/>
        </w:rPr>
        <w:t>crime</w:t>
      </w:r>
      <w:r w:rsidR="006F4DBE" w:rsidRPr="00954547">
        <w:rPr>
          <w:lang w:val="en-US"/>
        </w:rPr>
        <w:t xml:space="preserve"> of the </w:t>
      </w:r>
      <w:r w:rsidR="0009081A" w:rsidRPr="00954547">
        <w:rPr>
          <w:lang w:val="en-US"/>
        </w:rPr>
        <w:t>murder</w:t>
      </w:r>
      <w:r w:rsidR="006F4DBE" w:rsidRPr="00954547">
        <w:rPr>
          <w:lang w:val="en-US"/>
        </w:rPr>
        <w:t xml:space="preserve"> of her newborn son, an act that occurred on February 27 at 12</w:t>
      </w:r>
      <w:r w:rsidR="0009081A" w:rsidRPr="00954547">
        <w:rPr>
          <w:lang w:val="en-US"/>
        </w:rPr>
        <w:t>:</w:t>
      </w:r>
      <w:r w:rsidR="006F4DBE" w:rsidRPr="00954547">
        <w:rPr>
          <w:lang w:val="en-US"/>
        </w:rPr>
        <w:t>30 p.m. in the septic tank of her house.</w:t>
      </w:r>
      <w:r w:rsidR="00D52A77" w:rsidRPr="00954547">
        <w:rPr>
          <w:lang w:val="en-US"/>
        </w:rPr>
        <w:t>”</w:t>
      </w:r>
      <w:r w:rsidR="0074732F" w:rsidRPr="00954547">
        <w:rPr>
          <w:rStyle w:val="FootnoteReference"/>
          <w:lang w:val="en-US"/>
        </w:rPr>
        <w:footnoteReference w:id="132"/>
      </w:r>
      <w:r w:rsidR="006F4DBE" w:rsidRPr="00954547">
        <w:rPr>
          <w:lang w:val="en-US"/>
        </w:rPr>
        <w:t xml:space="preserve"> The record indicates that </w:t>
      </w:r>
      <w:r w:rsidR="00D52A77" w:rsidRPr="00954547">
        <w:rPr>
          <w:lang w:val="en-US"/>
        </w:rPr>
        <w:t xml:space="preserve">Manuela </w:t>
      </w:r>
      <w:r w:rsidR="006F4DBE" w:rsidRPr="00954547">
        <w:rPr>
          <w:lang w:val="en-US"/>
        </w:rPr>
        <w:t>refused to sign it.</w:t>
      </w:r>
      <w:r w:rsidR="00D52A77" w:rsidRPr="00954547">
        <w:rPr>
          <w:rStyle w:val="FootnoteReference"/>
          <w:lang w:val="en-US"/>
        </w:rPr>
        <w:footnoteReference w:id="133"/>
      </w:r>
      <w:r w:rsidR="006F4DBE" w:rsidRPr="00954547">
        <w:rPr>
          <w:lang w:val="en-US"/>
        </w:rPr>
        <w:t xml:space="preserve"> According to her father, Manuela was handcuffed to the bed where she lay.</w:t>
      </w:r>
      <w:r w:rsidR="007D386C" w:rsidRPr="00954547">
        <w:rPr>
          <w:rStyle w:val="FootnoteReference"/>
          <w:lang w:val="en-US"/>
        </w:rPr>
        <w:footnoteReference w:id="134"/>
      </w:r>
    </w:p>
    <w:p w14:paraId="76CFF532" w14:textId="54C08BF5" w:rsidR="000F1BAB" w:rsidRPr="00954547" w:rsidRDefault="006F4DBE" w:rsidP="00AE2478">
      <w:pPr>
        <w:pStyle w:val="Numberedparagraphs"/>
        <w:tabs>
          <w:tab w:val="clear" w:pos="720"/>
          <w:tab w:val="num" w:pos="567"/>
        </w:tabs>
        <w:rPr>
          <w:lang w:val="en-US"/>
        </w:rPr>
      </w:pPr>
      <w:r w:rsidRPr="00954547">
        <w:rPr>
          <w:lang w:val="en-US"/>
        </w:rPr>
        <w:t>The same day, the presumed victim was appointed a public defender. The police record appointing the defender indicates that “if the detainee is unable to sign</w:t>
      </w:r>
      <w:r w:rsidR="00F238E3" w:rsidRPr="00954547">
        <w:rPr>
          <w:lang w:val="en-US"/>
        </w:rPr>
        <w:t xml:space="preserve"> her name</w:t>
      </w:r>
      <w:r w:rsidRPr="00954547">
        <w:rPr>
          <w:lang w:val="en-US"/>
        </w:rPr>
        <w:t xml:space="preserve">, she must </w:t>
      </w:r>
      <w:r w:rsidR="00F238E3" w:rsidRPr="00954547">
        <w:rPr>
          <w:lang w:val="en-US"/>
        </w:rPr>
        <w:t>place her fingerprint.</w:t>
      </w:r>
      <w:r w:rsidR="000F1BAB" w:rsidRPr="00954547">
        <w:rPr>
          <w:lang w:val="en-US"/>
        </w:rPr>
        <w:t>”</w:t>
      </w:r>
      <w:r w:rsidR="00F238E3" w:rsidRPr="00954547">
        <w:rPr>
          <w:lang w:val="en-US"/>
        </w:rPr>
        <w:t xml:space="preserve"> However, this document lacks either the signature or the impression of Manuela’s finger.</w:t>
      </w:r>
      <w:r w:rsidR="000F1BAB" w:rsidRPr="00954547">
        <w:rPr>
          <w:rStyle w:val="FootnoteReference"/>
          <w:lang w:val="en-US"/>
        </w:rPr>
        <w:footnoteReference w:id="135"/>
      </w:r>
    </w:p>
    <w:p w14:paraId="2ACEE2A5" w14:textId="652AEAAB" w:rsidR="0085025C" w:rsidRPr="00954547" w:rsidRDefault="00807D09" w:rsidP="009C3FD2">
      <w:pPr>
        <w:pStyle w:val="Numberedparagraphs"/>
        <w:tabs>
          <w:tab w:val="left" w:pos="567"/>
        </w:tabs>
        <w:rPr>
          <w:lang w:val="en-US"/>
        </w:rPr>
      </w:pPr>
      <w:r w:rsidRPr="00954547">
        <w:rPr>
          <w:lang w:val="en-US"/>
        </w:rPr>
        <w:t>On February 29,</w:t>
      </w:r>
      <w:r w:rsidR="0085025C" w:rsidRPr="00954547">
        <w:rPr>
          <w:lang w:val="en-US"/>
        </w:rPr>
        <w:t xml:space="preserve"> 2008</w:t>
      </w:r>
      <w:r w:rsidR="00F238E3" w:rsidRPr="00954547">
        <w:rPr>
          <w:lang w:val="en-US"/>
        </w:rPr>
        <w:t xml:space="preserve">, the head of the Women and Children’s Unit of the Morazán Prosecution Service asked the director of the </w:t>
      </w:r>
      <w:r w:rsidR="007771B6" w:rsidRPr="00954547">
        <w:rPr>
          <w:lang w:val="en-US"/>
        </w:rPr>
        <w:t>San Francisco Gotera National Hospital</w:t>
      </w:r>
      <w:r w:rsidR="0085025C" w:rsidRPr="00954547">
        <w:rPr>
          <w:lang w:val="en-US"/>
        </w:rPr>
        <w:t xml:space="preserve"> </w:t>
      </w:r>
      <w:r w:rsidR="00F238E3" w:rsidRPr="00954547">
        <w:rPr>
          <w:lang w:val="en-US"/>
        </w:rPr>
        <w:t xml:space="preserve">to provide a copy of Manuela’s medical record and informed him that “due to the investigations conducted to date, it had been determined […] that […] </w:t>
      </w:r>
      <w:r w:rsidR="009C3FD2" w:rsidRPr="00954547">
        <w:rPr>
          <w:lang w:val="en-US"/>
        </w:rPr>
        <w:t xml:space="preserve">she had indeed committed </w:t>
      </w:r>
      <w:r w:rsidR="00F238E3" w:rsidRPr="00954547">
        <w:rPr>
          <w:lang w:val="en-US"/>
        </w:rPr>
        <w:t xml:space="preserve">an offense </w:t>
      </w:r>
      <w:r w:rsidR="009C3FD2" w:rsidRPr="00954547">
        <w:rPr>
          <w:lang w:val="en-US"/>
        </w:rPr>
        <w:t>and that, as a result, she has now been detained.</w:t>
      </w:r>
      <w:r w:rsidR="0085025C" w:rsidRPr="00954547">
        <w:rPr>
          <w:lang w:val="en-US"/>
        </w:rPr>
        <w:t>”</w:t>
      </w:r>
      <w:r w:rsidR="0085025C" w:rsidRPr="00954547">
        <w:rPr>
          <w:rStyle w:val="FootnoteReference"/>
          <w:lang w:val="en-US"/>
        </w:rPr>
        <w:footnoteReference w:id="136"/>
      </w:r>
    </w:p>
    <w:p w14:paraId="37ABFE6C" w14:textId="0EC98FB5" w:rsidR="0085025C" w:rsidRPr="00954547" w:rsidRDefault="009C3FD2" w:rsidP="009C3FD2">
      <w:pPr>
        <w:pStyle w:val="Numberedparagraphs"/>
        <w:tabs>
          <w:tab w:val="left" w:pos="567"/>
        </w:tabs>
        <w:rPr>
          <w:lang w:val="en-US"/>
        </w:rPr>
      </w:pPr>
      <w:r w:rsidRPr="00954547">
        <w:rPr>
          <w:lang w:val="en-US"/>
        </w:rPr>
        <w:t>Subsequently, the director of this hospital sent a transcript of</w:t>
      </w:r>
      <w:r w:rsidR="0085025C" w:rsidRPr="00954547">
        <w:rPr>
          <w:lang w:val="en-US"/>
        </w:rPr>
        <w:t xml:space="preserve"> </w:t>
      </w:r>
      <w:r w:rsidR="00F500B0" w:rsidRPr="00954547">
        <w:rPr>
          <w:lang w:val="en-US"/>
        </w:rPr>
        <w:t>Manuela’s medical record</w:t>
      </w:r>
      <w:r w:rsidR="0085025C" w:rsidRPr="00954547">
        <w:rPr>
          <w:lang w:val="en-US"/>
        </w:rPr>
        <w:t xml:space="preserve"> </w:t>
      </w:r>
      <w:r w:rsidRPr="00954547">
        <w:rPr>
          <w:lang w:val="en-US"/>
        </w:rPr>
        <w:t>for the day on which she was given emergency treatment, which also included a section on her personal background in relation to her sexual and reproductive life.</w:t>
      </w:r>
      <w:r w:rsidR="0085025C" w:rsidRPr="00954547">
        <w:rPr>
          <w:rStyle w:val="FootnoteReference"/>
          <w:lang w:val="en-US"/>
        </w:rPr>
        <w:footnoteReference w:id="137"/>
      </w:r>
      <w:r w:rsidR="0085025C" w:rsidRPr="00954547">
        <w:rPr>
          <w:lang w:val="en-US"/>
        </w:rPr>
        <w:t xml:space="preserve"> </w:t>
      </w:r>
    </w:p>
    <w:p w14:paraId="1A7E99E8" w14:textId="14A1C2C1" w:rsidR="0085025C" w:rsidRPr="00954547" w:rsidRDefault="00807D09" w:rsidP="00CA0938">
      <w:pPr>
        <w:pStyle w:val="Numberedparagraphs"/>
        <w:tabs>
          <w:tab w:val="left" w:pos="567"/>
        </w:tabs>
        <w:rPr>
          <w:lang w:val="en-US"/>
        </w:rPr>
      </w:pPr>
      <w:r w:rsidRPr="00954547">
        <w:rPr>
          <w:lang w:val="en-US"/>
        </w:rPr>
        <w:t>On February 29,</w:t>
      </w:r>
      <w:r w:rsidR="0085025C" w:rsidRPr="00954547">
        <w:rPr>
          <w:lang w:val="en-US"/>
        </w:rPr>
        <w:t xml:space="preserve"> 2008</w:t>
      </w:r>
      <w:r w:rsidR="009C3FD2" w:rsidRPr="00954547">
        <w:rPr>
          <w:lang w:val="en-US"/>
        </w:rPr>
        <w:t>,</w:t>
      </w:r>
      <w:r w:rsidR="0085025C" w:rsidRPr="00954547">
        <w:rPr>
          <w:lang w:val="en-US"/>
        </w:rPr>
        <w:t xml:space="preserve"> </w:t>
      </w:r>
      <w:r w:rsidR="009C3FD2" w:rsidRPr="00954547">
        <w:rPr>
          <w:lang w:val="en-US"/>
        </w:rPr>
        <w:t>the Prosecutor General</w:t>
      </w:r>
      <w:r w:rsidR="0085025C" w:rsidRPr="00954547">
        <w:rPr>
          <w:lang w:val="en-US"/>
        </w:rPr>
        <w:t xml:space="preserve"> </w:t>
      </w:r>
      <w:r w:rsidR="00774555" w:rsidRPr="00954547">
        <w:rPr>
          <w:lang w:val="en-US"/>
        </w:rPr>
        <w:t>issued an order requiring</w:t>
      </w:r>
      <w:r w:rsidR="009C3FD2" w:rsidRPr="00954547">
        <w:rPr>
          <w:lang w:val="en-US"/>
        </w:rPr>
        <w:t xml:space="preserve"> </w:t>
      </w:r>
      <w:r w:rsidR="009B422D" w:rsidRPr="00954547">
        <w:rPr>
          <w:lang w:val="en-US"/>
        </w:rPr>
        <w:t>a</w:t>
      </w:r>
      <w:r w:rsidR="009C3FD2" w:rsidRPr="00954547">
        <w:rPr>
          <w:lang w:val="en-US"/>
        </w:rPr>
        <w:t xml:space="preserve"> formal </w:t>
      </w:r>
      <w:r w:rsidR="00CA0938" w:rsidRPr="00954547">
        <w:rPr>
          <w:lang w:val="en-US"/>
        </w:rPr>
        <w:t xml:space="preserve">investigation with </w:t>
      </w:r>
      <w:r w:rsidR="009B422D" w:rsidRPr="00954547">
        <w:rPr>
          <w:lang w:val="en-US"/>
        </w:rPr>
        <w:t>the provisional</w:t>
      </w:r>
      <w:r w:rsidR="00CA0938" w:rsidRPr="00954547">
        <w:rPr>
          <w:lang w:val="en-US"/>
        </w:rPr>
        <w:t xml:space="preserve"> detention of </w:t>
      </w:r>
      <w:r w:rsidR="0085025C" w:rsidRPr="00954547">
        <w:rPr>
          <w:lang w:val="en-US"/>
        </w:rPr>
        <w:t>Manuela</w:t>
      </w:r>
      <w:r w:rsidR="00CA0938" w:rsidRPr="00954547">
        <w:rPr>
          <w:lang w:val="en-US"/>
        </w:rPr>
        <w:t xml:space="preserve"> for the</w:t>
      </w:r>
      <w:r w:rsidR="0085025C" w:rsidRPr="00954547">
        <w:rPr>
          <w:lang w:val="en-US"/>
        </w:rPr>
        <w:t xml:space="preserve"> </w:t>
      </w:r>
      <w:r w:rsidR="00774555" w:rsidRPr="00954547">
        <w:rPr>
          <w:lang w:val="en-US"/>
        </w:rPr>
        <w:t>crime</w:t>
      </w:r>
      <w:r w:rsidR="00A30CA9" w:rsidRPr="00954547">
        <w:rPr>
          <w:lang w:val="en-US"/>
        </w:rPr>
        <w:t xml:space="preserve"> of </w:t>
      </w:r>
      <w:r w:rsidR="00CA0938" w:rsidRPr="00954547">
        <w:rPr>
          <w:lang w:val="en-US"/>
        </w:rPr>
        <w:t xml:space="preserve">the </w:t>
      </w:r>
      <w:r w:rsidR="00A30CA9" w:rsidRPr="00954547">
        <w:rPr>
          <w:lang w:val="en-US"/>
        </w:rPr>
        <w:t>aggravated homicide</w:t>
      </w:r>
      <w:r w:rsidR="0085025C" w:rsidRPr="00954547">
        <w:rPr>
          <w:lang w:val="en-US"/>
        </w:rPr>
        <w:t xml:space="preserve"> </w:t>
      </w:r>
      <w:r w:rsidR="00774555" w:rsidRPr="00954547">
        <w:rPr>
          <w:lang w:val="en-US"/>
        </w:rPr>
        <w:t xml:space="preserve">of </w:t>
      </w:r>
      <w:r w:rsidR="00CA0938" w:rsidRPr="00954547">
        <w:rPr>
          <w:lang w:val="en-US"/>
        </w:rPr>
        <w:t>a newborn.</w:t>
      </w:r>
      <w:r w:rsidR="0085025C" w:rsidRPr="00954547">
        <w:rPr>
          <w:rStyle w:val="FootnoteReference"/>
          <w:lang w:val="en-US"/>
        </w:rPr>
        <w:footnoteReference w:id="138"/>
      </w:r>
      <w:r w:rsidR="00CA0938" w:rsidRPr="00954547">
        <w:rPr>
          <w:lang w:val="en-US"/>
        </w:rPr>
        <w:t xml:space="preserve"> He indicated that the detention was necessary “to ensure that this case does not remain unpunished and that the normal outcome of the proceedings is not frustrated, because the existing evidence leads to the presumption that the accused may evade the action of justice by flight, and it should also be recalled that the</w:t>
      </w:r>
      <w:r w:rsidR="0085025C" w:rsidRPr="00954547">
        <w:rPr>
          <w:lang w:val="en-US"/>
        </w:rPr>
        <w:t xml:space="preserve"> [</w:t>
      </w:r>
      <w:r w:rsidR="00BA4784" w:rsidRPr="00954547">
        <w:rPr>
          <w:lang w:val="en-US"/>
        </w:rPr>
        <w:t>Code of Criminal Procedure</w:t>
      </w:r>
      <w:r w:rsidR="0085025C" w:rsidRPr="00954547">
        <w:rPr>
          <w:lang w:val="en-US"/>
        </w:rPr>
        <w:t>]</w:t>
      </w:r>
      <w:r w:rsidR="00774555" w:rsidRPr="00954547">
        <w:rPr>
          <w:lang w:val="en-US"/>
        </w:rPr>
        <w:t xml:space="preserve"> makes</w:t>
      </w:r>
      <w:r w:rsidR="0085025C" w:rsidRPr="00954547">
        <w:rPr>
          <w:lang w:val="en-US"/>
        </w:rPr>
        <w:t xml:space="preserve"> </w:t>
      </w:r>
      <w:r w:rsidR="00CA0938" w:rsidRPr="00954547">
        <w:rPr>
          <w:lang w:val="en-US"/>
        </w:rPr>
        <w:t xml:space="preserve">it very clear that </w:t>
      </w:r>
      <w:r w:rsidR="002A54F0" w:rsidRPr="00954547">
        <w:rPr>
          <w:lang w:val="en-US"/>
        </w:rPr>
        <w:t>pretrial</w:t>
      </w:r>
      <w:r w:rsidR="00CA0938" w:rsidRPr="00954547">
        <w:rPr>
          <w:lang w:val="en-US"/>
        </w:rPr>
        <w:t xml:space="preserve"> detention is </w:t>
      </w:r>
      <w:r w:rsidR="00CC074D" w:rsidRPr="00954547">
        <w:rPr>
          <w:lang w:val="en-US"/>
        </w:rPr>
        <w:t xml:space="preserve">the only </w:t>
      </w:r>
      <w:r w:rsidR="00CA0938" w:rsidRPr="00954547">
        <w:rPr>
          <w:lang w:val="en-US"/>
        </w:rPr>
        <w:t>appropriate</w:t>
      </w:r>
      <w:r w:rsidR="00CC074D" w:rsidRPr="00954547">
        <w:rPr>
          <w:lang w:val="en-US"/>
        </w:rPr>
        <w:t xml:space="preserve"> measure for this type of </w:t>
      </w:r>
      <w:r w:rsidR="00774555" w:rsidRPr="00954547">
        <w:rPr>
          <w:lang w:val="en-US"/>
        </w:rPr>
        <w:t>crime</w:t>
      </w:r>
      <w:r w:rsidR="00CA0938" w:rsidRPr="00954547">
        <w:rPr>
          <w:lang w:val="en-US"/>
        </w:rPr>
        <w:t>.</w:t>
      </w:r>
      <w:r w:rsidR="0085025C" w:rsidRPr="00954547">
        <w:rPr>
          <w:lang w:val="en-US"/>
        </w:rPr>
        <w:t>”</w:t>
      </w:r>
      <w:r w:rsidR="0085025C" w:rsidRPr="00954547">
        <w:rPr>
          <w:rStyle w:val="FootnoteReference"/>
          <w:lang w:val="en-US"/>
        </w:rPr>
        <w:footnoteReference w:id="139"/>
      </w:r>
      <w:r w:rsidR="0085025C" w:rsidRPr="00954547">
        <w:rPr>
          <w:lang w:val="en-US"/>
        </w:rPr>
        <w:t xml:space="preserve"> </w:t>
      </w:r>
    </w:p>
    <w:p w14:paraId="27B7D09F" w14:textId="79084E21" w:rsidR="007F06D9" w:rsidRPr="00954547" w:rsidRDefault="00CC074D" w:rsidP="00386B24">
      <w:pPr>
        <w:pStyle w:val="Numberedparagraphs"/>
        <w:tabs>
          <w:tab w:val="left" w:pos="567"/>
        </w:tabs>
        <w:rPr>
          <w:lang w:val="en-US"/>
        </w:rPr>
      </w:pPr>
      <w:r w:rsidRPr="00954547">
        <w:rPr>
          <w:lang w:val="en-US"/>
        </w:rPr>
        <w:t>On March 2,</w:t>
      </w:r>
      <w:r w:rsidR="0074732F" w:rsidRPr="00954547">
        <w:rPr>
          <w:lang w:val="en-US"/>
        </w:rPr>
        <w:t xml:space="preserve"> 2008</w:t>
      </w:r>
      <w:r w:rsidR="003E5BE9" w:rsidRPr="00954547">
        <w:rPr>
          <w:lang w:val="en-US"/>
        </w:rPr>
        <w:t>,</w:t>
      </w:r>
      <w:r w:rsidR="0074732F" w:rsidRPr="00954547">
        <w:rPr>
          <w:lang w:val="en-US"/>
        </w:rPr>
        <w:t xml:space="preserve"> </w:t>
      </w:r>
      <w:r w:rsidR="00655660" w:rsidRPr="00954547">
        <w:rPr>
          <w:lang w:val="en-US"/>
        </w:rPr>
        <w:t>a</w:t>
      </w:r>
      <w:r w:rsidRPr="00954547">
        <w:rPr>
          <w:lang w:val="en-US"/>
        </w:rPr>
        <w:t>t</w:t>
      </w:r>
      <w:r w:rsidR="00655660" w:rsidRPr="00954547">
        <w:rPr>
          <w:lang w:val="en-US"/>
        </w:rPr>
        <w:t xml:space="preserve"> 11</w:t>
      </w:r>
      <w:r w:rsidR="00774555" w:rsidRPr="00954547">
        <w:rPr>
          <w:lang w:val="en-US"/>
        </w:rPr>
        <w:t>:</w:t>
      </w:r>
      <w:r w:rsidR="00655660" w:rsidRPr="00954547">
        <w:rPr>
          <w:lang w:val="en-US"/>
        </w:rPr>
        <w:t xml:space="preserve">30 </w:t>
      </w:r>
      <w:r w:rsidR="0085025C" w:rsidRPr="00954547">
        <w:rPr>
          <w:lang w:val="en-US"/>
        </w:rPr>
        <w:t>a</w:t>
      </w:r>
      <w:r w:rsidR="00655660" w:rsidRPr="00954547">
        <w:rPr>
          <w:lang w:val="en-US"/>
        </w:rPr>
        <w:t>.</w:t>
      </w:r>
      <w:r w:rsidR="0085025C" w:rsidRPr="00954547">
        <w:rPr>
          <w:lang w:val="en-US"/>
        </w:rPr>
        <w:t>m</w:t>
      </w:r>
      <w:r w:rsidR="00655660" w:rsidRPr="00954547">
        <w:rPr>
          <w:lang w:val="en-US"/>
        </w:rPr>
        <w:t>.</w:t>
      </w:r>
      <w:r w:rsidR="003E5BE9" w:rsidRPr="00954547">
        <w:rPr>
          <w:lang w:val="en-US"/>
        </w:rPr>
        <w:t>,</w:t>
      </w:r>
      <w:r w:rsidR="00655660" w:rsidRPr="00954547">
        <w:rPr>
          <w:lang w:val="en-US"/>
        </w:rPr>
        <w:t xml:space="preserve"> </w:t>
      </w:r>
      <w:r w:rsidRPr="00954547">
        <w:rPr>
          <w:lang w:val="en-US"/>
        </w:rPr>
        <w:t>the Magistrate’s Court of</w:t>
      </w:r>
      <w:r w:rsidR="0074732F" w:rsidRPr="00954547">
        <w:rPr>
          <w:lang w:val="en-US"/>
        </w:rPr>
        <w:t xml:space="preserve"> Cacaopera </w:t>
      </w:r>
      <w:r w:rsidRPr="00954547">
        <w:rPr>
          <w:lang w:val="en-US"/>
        </w:rPr>
        <w:t>ordered the detention of</w:t>
      </w:r>
      <w:r w:rsidR="0074732F" w:rsidRPr="00954547">
        <w:rPr>
          <w:lang w:val="en-US"/>
        </w:rPr>
        <w:t xml:space="preserve"> Manuela “</w:t>
      </w:r>
      <w:r w:rsidRPr="00954547">
        <w:rPr>
          <w:lang w:val="en-US"/>
        </w:rPr>
        <w:t xml:space="preserve">for the statutory term of the inquiry” and called an initial hearing for the following day at </w:t>
      </w:r>
      <w:r w:rsidR="00655660" w:rsidRPr="00954547">
        <w:rPr>
          <w:lang w:val="en-US"/>
        </w:rPr>
        <w:t xml:space="preserve">11 </w:t>
      </w:r>
      <w:r w:rsidR="0085025C" w:rsidRPr="00954547">
        <w:rPr>
          <w:lang w:val="en-US"/>
        </w:rPr>
        <w:t>a</w:t>
      </w:r>
      <w:r w:rsidR="00655660" w:rsidRPr="00954547">
        <w:rPr>
          <w:lang w:val="en-US"/>
        </w:rPr>
        <w:t>.</w:t>
      </w:r>
      <w:r w:rsidR="0085025C" w:rsidRPr="00954547">
        <w:rPr>
          <w:lang w:val="en-US"/>
        </w:rPr>
        <w:t>m</w:t>
      </w:r>
      <w:r w:rsidR="00655660" w:rsidRPr="00954547">
        <w:rPr>
          <w:lang w:val="en-US"/>
        </w:rPr>
        <w:t>.</w:t>
      </w:r>
      <w:r w:rsidR="0074732F" w:rsidRPr="00954547">
        <w:rPr>
          <w:rStyle w:val="FootnoteReference"/>
          <w:lang w:val="en-US"/>
        </w:rPr>
        <w:footnoteReference w:id="140"/>
      </w:r>
      <w:r w:rsidRPr="00954547">
        <w:rPr>
          <w:lang w:val="en-US"/>
        </w:rPr>
        <w:t xml:space="preserve"> That same afternoon, Manuela was notified of the </w:t>
      </w:r>
      <w:r w:rsidR="00774555" w:rsidRPr="00954547">
        <w:rPr>
          <w:lang w:val="en-US"/>
        </w:rPr>
        <w:t>order</w:t>
      </w:r>
      <w:r w:rsidRPr="00954547">
        <w:rPr>
          <w:lang w:val="en-US"/>
        </w:rPr>
        <w:t>.</w:t>
      </w:r>
      <w:r w:rsidR="00F84A34" w:rsidRPr="00954547">
        <w:rPr>
          <w:rStyle w:val="FootnoteReference"/>
          <w:lang w:val="en-US"/>
        </w:rPr>
        <w:footnoteReference w:id="141"/>
      </w:r>
    </w:p>
    <w:p w14:paraId="53FC7CFB" w14:textId="3AB70D59" w:rsidR="0085025C" w:rsidRPr="00954547" w:rsidRDefault="009B422D" w:rsidP="001952CB">
      <w:pPr>
        <w:pStyle w:val="Numberedparagraphs"/>
        <w:tabs>
          <w:tab w:val="left" w:pos="567"/>
        </w:tabs>
        <w:rPr>
          <w:sz w:val="18"/>
          <w:szCs w:val="18"/>
          <w:lang w:val="en-US"/>
        </w:rPr>
      </w:pPr>
      <w:r w:rsidRPr="00954547">
        <w:rPr>
          <w:lang w:val="en-US"/>
        </w:rPr>
        <w:t>On March 3,</w:t>
      </w:r>
      <w:r w:rsidR="0085025C" w:rsidRPr="00954547">
        <w:rPr>
          <w:lang w:val="en-US"/>
        </w:rPr>
        <w:t xml:space="preserve"> 2008</w:t>
      </w:r>
      <w:r w:rsidRPr="00954547">
        <w:rPr>
          <w:lang w:val="en-US"/>
        </w:rPr>
        <w:t>,</w:t>
      </w:r>
      <w:r w:rsidR="0085025C" w:rsidRPr="00954547">
        <w:rPr>
          <w:lang w:val="en-US"/>
        </w:rPr>
        <w:t xml:space="preserve"> </w:t>
      </w:r>
      <w:r w:rsidRPr="00954547">
        <w:rPr>
          <w:lang w:val="en-US"/>
        </w:rPr>
        <w:t>the first hearing of the criminal proceedings was held before the</w:t>
      </w:r>
      <w:r w:rsidR="0085025C" w:rsidRPr="00954547">
        <w:rPr>
          <w:lang w:val="en-US"/>
        </w:rPr>
        <w:t xml:space="preserve"> </w:t>
      </w:r>
      <w:r w:rsidRPr="00954547">
        <w:rPr>
          <w:lang w:val="en-US"/>
        </w:rPr>
        <w:t>Magistrate’s Court</w:t>
      </w:r>
      <w:r w:rsidR="0085025C" w:rsidRPr="00954547">
        <w:rPr>
          <w:lang w:val="en-US"/>
        </w:rPr>
        <w:t xml:space="preserve"> </w:t>
      </w:r>
      <w:r w:rsidRPr="00954547">
        <w:rPr>
          <w:lang w:val="en-US"/>
        </w:rPr>
        <w:t>of</w:t>
      </w:r>
      <w:r w:rsidR="0085025C" w:rsidRPr="00954547">
        <w:rPr>
          <w:lang w:val="en-US"/>
        </w:rPr>
        <w:t xml:space="preserve"> Cac</w:t>
      </w:r>
      <w:r w:rsidR="00AA0E9D" w:rsidRPr="00954547">
        <w:rPr>
          <w:lang w:val="en-US"/>
        </w:rPr>
        <w:t>a</w:t>
      </w:r>
      <w:r w:rsidR="0085025C" w:rsidRPr="00954547">
        <w:rPr>
          <w:lang w:val="en-US"/>
        </w:rPr>
        <w:t xml:space="preserve">opera, </w:t>
      </w:r>
      <w:r w:rsidRPr="00954547">
        <w:rPr>
          <w:lang w:val="en-US"/>
        </w:rPr>
        <w:t>department of</w:t>
      </w:r>
      <w:r w:rsidR="0085025C" w:rsidRPr="00954547">
        <w:rPr>
          <w:lang w:val="en-US"/>
        </w:rPr>
        <w:t xml:space="preserve"> Morazán. </w:t>
      </w:r>
      <w:r w:rsidR="00607E12" w:rsidRPr="00954547">
        <w:rPr>
          <w:lang w:val="en-US"/>
        </w:rPr>
        <w:t>The presumed victim</w:t>
      </w:r>
      <w:r w:rsidR="0085025C" w:rsidRPr="00954547">
        <w:rPr>
          <w:lang w:val="en-US"/>
        </w:rPr>
        <w:t xml:space="preserve"> </w:t>
      </w:r>
      <w:r w:rsidRPr="00954547">
        <w:rPr>
          <w:lang w:val="en-US"/>
        </w:rPr>
        <w:t xml:space="preserve">was not present </w:t>
      </w:r>
      <w:r w:rsidR="00AA0E9D" w:rsidRPr="00954547">
        <w:rPr>
          <w:lang w:val="en-US"/>
        </w:rPr>
        <w:t>because</w:t>
      </w:r>
      <w:r w:rsidRPr="00954547">
        <w:rPr>
          <w:lang w:val="en-US"/>
        </w:rPr>
        <w:t xml:space="preserve"> “she had not been taken to the court by agents of the </w:t>
      </w:r>
      <w:r w:rsidR="00810EE4" w:rsidRPr="00954547">
        <w:rPr>
          <w:lang w:val="en-US"/>
        </w:rPr>
        <w:t>Section for the Transfer of Defendants</w:t>
      </w:r>
      <w:r w:rsidR="0085025C" w:rsidRPr="00954547">
        <w:rPr>
          <w:lang w:val="en-US"/>
        </w:rPr>
        <w:t xml:space="preserve"> </w:t>
      </w:r>
      <w:r w:rsidR="00810EE4" w:rsidRPr="00954547">
        <w:rPr>
          <w:lang w:val="en-US"/>
        </w:rPr>
        <w:t>of the Eastern Zone of</w:t>
      </w:r>
      <w:r w:rsidR="0085025C" w:rsidRPr="00954547">
        <w:rPr>
          <w:lang w:val="en-US"/>
        </w:rPr>
        <w:t xml:space="preserve"> San Miguel, </w:t>
      </w:r>
      <w:r w:rsidR="00810EE4" w:rsidRPr="00954547">
        <w:rPr>
          <w:lang w:val="en-US"/>
        </w:rPr>
        <w:t>due to lack of personnel.</w:t>
      </w:r>
      <w:r w:rsidR="0085025C" w:rsidRPr="00954547">
        <w:rPr>
          <w:lang w:val="en-US"/>
        </w:rPr>
        <w:t>”</w:t>
      </w:r>
      <w:r w:rsidR="0085025C" w:rsidRPr="00954547">
        <w:rPr>
          <w:rStyle w:val="FootnoteReference"/>
          <w:lang w:val="en-US"/>
        </w:rPr>
        <w:footnoteReference w:id="142"/>
      </w:r>
      <w:r w:rsidR="00810EE4" w:rsidRPr="00954547">
        <w:rPr>
          <w:lang w:val="en-US"/>
        </w:rPr>
        <w:t xml:space="preserve"> During the hearing, the prosecution ratified the request that a formal investigation be ordered with the </w:t>
      </w:r>
      <w:r w:rsidR="007B0FF8" w:rsidRPr="00954547">
        <w:rPr>
          <w:lang w:val="en-US"/>
        </w:rPr>
        <w:t>pretrial</w:t>
      </w:r>
      <w:r w:rsidR="00810EE4" w:rsidRPr="00954547">
        <w:rPr>
          <w:lang w:val="en-US"/>
        </w:rPr>
        <w:t xml:space="preserve"> detention of the presumed victim. Manuela’s defense counsel indicated that he did not agree with this request because Manuela was unaware of how long she had been pregnant and “the result of the autopsy of the newborn was not yet [available], and it [was] not known if it was born alive or dead, because [Manuela] allege[d] that she </w:t>
      </w:r>
      <w:r w:rsidR="006A6F4D" w:rsidRPr="00954547">
        <w:rPr>
          <w:lang w:val="en-US"/>
        </w:rPr>
        <w:t>felt the need to defecate and she went to the toilet and perhaps that was where she had</w:t>
      </w:r>
      <w:r w:rsidR="00D629AC" w:rsidRPr="00954547">
        <w:rPr>
          <w:lang w:val="en-US"/>
        </w:rPr>
        <w:t xml:space="preserve"> delivered</w:t>
      </w:r>
      <w:r w:rsidR="006A6F4D" w:rsidRPr="00954547">
        <w:rPr>
          <w:lang w:val="en-US"/>
        </w:rPr>
        <w:t xml:space="preserve"> the baby; in other words, there is a possibility that it was a miscarriage and not a homicide.</w:t>
      </w:r>
      <w:r w:rsidR="006C4A47" w:rsidRPr="00954547">
        <w:rPr>
          <w:lang w:val="en-US"/>
        </w:rPr>
        <w:t>”</w:t>
      </w:r>
      <w:r w:rsidR="0085025C" w:rsidRPr="00954547">
        <w:rPr>
          <w:rStyle w:val="FootnoteReference"/>
          <w:lang w:val="en-US"/>
        </w:rPr>
        <w:footnoteReference w:id="143"/>
      </w:r>
      <w:r w:rsidR="001952CB" w:rsidRPr="00954547">
        <w:rPr>
          <w:lang w:val="en-US"/>
        </w:rPr>
        <w:t xml:space="preserve"> The lawyer indicated that “it can be established that an offense existed […] but a doubt exists regarding criminal participation,” and therefore requested that a formal investigation be ordered without </w:t>
      </w:r>
      <w:r w:rsidR="007B0FF8" w:rsidRPr="00954547">
        <w:rPr>
          <w:lang w:val="en-US"/>
        </w:rPr>
        <w:t>pretrial</w:t>
      </w:r>
      <w:r w:rsidR="001952CB" w:rsidRPr="00954547">
        <w:rPr>
          <w:lang w:val="en-US"/>
        </w:rPr>
        <w:t xml:space="preserve"> detention.</w:t>
      </w:r>
      <w:r w:rsidR="0085025C" w:rsidRPr="00954547">
        <w:rPr>
          <w:rStyle w:val="FootnoteReference"/>
          <w:lang w:val="en-US"/>
        </w:rPr>
        <w:footnoteReference w:id="144"/>
      </w:r>
      <w:r w:rsidR="0085025C" w:rsidRPr="00954547">
        <w:rPr>
          <w:lang w:val="en-US"/>
        </w:rPr>
        <w:t xml:space="preserve"> </w:t>
      </w:r>
    </w:p>
    <w:p w14:paraId="5E197265" w14:textId="5A2D7875" w:rsidR="0085025C" w:rsidRPr="00954547" w:rsidRDefault="001952CB" w:rsidP="0085025C">
      <w:pPr>
        <w:pStyle w:val="Numberedparagraphs"/>
        <w:tabs>
          <w:tab w:val="left" w:pos="567"/>
        </w:tabs>
        <w:rPr>
          <w:lang w:val="en-US"/>
        </w:rPr>
      </w:pPr>
      <w:r w:rsidRPr="00954547">
        <w:rPr>
          <w:lang w:val="en-US"/>
        </w:rPr>
        <w:t xml:space="preserve">The court considered that there were “sufficient indications to be able to order the formal investigation with </w:t>
      </w:r>
      <w:r w:rsidR="007B0FF8" w:rsidRPr="00954547">
        <w:rPr>
          <w:lang w:val="en-US"/>
        </w:rPr>
        <w:t>pretrial</w:t>
      </w:r>
      <w:r w:rsidRPr="00954547">
        <w:rPr>
          <w:lang w:val="en-US"/>
        </w:rPr>
        <w:t xml:space="preserve"> detention, because </w:t>
      </w:r>
      <w:r w:rsidR="0085025C" w:rsidRPr="00954547">
        <w:rPr>
          <w:lang w:val="en-US"/>
        </w:rPr>
        <w:t xml:space="preserve">[…] </w:t>
      </w:r>
      <w:r w:rsidRPr="00954547">
        <w:rPr>
          <w:lang w:val="en-US"/>
        </w:rPr>
        <w:t xml:space="preserve">the existence of the </w:t>
      </w:r>
      <w:r w:rsidR="00A87424" w:rsidRPr="00954547">
        <w:rPr>
          <w:lang w:val="en-US"/>
        </w:rPr>
        <w:t>crime</w:t>
      </w:r>
      <w:r w:rsidRPr="00954547">
        <w:rPr>
          <w:lang w:val="en-US"/>
        </w:rPr>
        <w:t xml:space="preserve"> had been established, as well as the probable participation of the </w:t>
      </w:r>
      <w:r w:rsidR="00BF316A" w:rsidRPr="00954547">
        <w:rPr>
          <w:lang w:val="en-US"/>
        </w:rPr>
        <w:t>defendant</w:t>
      </w:r>
      <w:r w:rsidRPr="00954547">
        <w:rPr>
          <w:lang w:val="en-US"/>
        </w:rPr>
        <w:t>.</w:t>
      </w:r>
      <w:r w:rsidR="0085025C" w:rsidRPr="00954547">
        <w:rPr>
          <w:lang w:val="en-US"/>
        </w:rPr>
        <w:t>”</w:t>
      </w:r>
      <w:r w:rsidR="0085025C" w:rsidRPr="00954547">
        <w:rPr>
          <w:rStyle w:val="FootnoteReference"/>
          <w:lang w:val="en-US"/>
        </w:rPr>
        <w:footnoteReference w:id="145"/>
      </w:r>
      <w:r w:rsidRPr="00954547">
        <w:rPr>
          <w:lang w:val="en-US"/>
        </w:rPr>
        <w:t xml:space="preserve"> The </w:t>
      </w:r>
      <w:r w:rsidR="007B0FF8" w:rsidRPr="00954547">
        <w:rPr>
          <w:lang w:val="en-US"/>
        </w:rPr>
        <w:t>c</w:t>
      </w:r>
      <w:r w:rsidRPr="00954547">
        <w:rPr>
          <w:lang w:val="en-US"/>
        </w:rPr>
        <w:t>ourt indicated that</w:t>
      </w:r>
      <w:r w:rsidR="008119CB" w:rsidRPr="00954547">
        <w:rPr>
          <w:lang w:val="en-US"/>
        </w:rPr>
        <w:t>:</w:t>
      </w:r>
    </w:p>
    <w:p w14:paraId="11467D3D" w14:textId="1E927F94" w:rsidR="0085025C" w:rsidRPr="00954547" w:rsidRDefault="0085025C" w:rsidP="008119C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spacing w:before="120" w:after="120"/>
        <w:ind w:left="567" w:right="616"/>
        <w:jc w:val="both"/>
      </w:pPr>
      <w:r w:rsidRPr="00954547">
        <w:rPr>
          <w:rFonts w:ascii="Verdana" w:hAnsi="Verdana"/>
          <w:sz w:val="18"/>
          <w:szCs w:val="18"/>
        </w:rPr>
        <w:t xml:space="preserve">[…] </w:t>
      </w:r>
      <w:r w:rsidR="008119CB" w:rsidRPr="00954547">
        <w:rPr>
          <w:rFonts w:ascii="Verdana" w:hAnsi="Verdana"/>
          <w:sz w:val="18"/>
          <w:szCs w:val="18"/>
        </w:rPr>
        <w:t>the pr</w:t>
      </w:r>
      <w:r w:rsidR="007B0FF8" w:rsidRPr="00954547">
        <w:rPr>
          <w:rFonts w:ascii="Verdana" w:hAnsi="Verdana"/>
          <w:sz w:val="18"/>
          <w:szCs w:val="18"/>
        </w:rPr>
        <w:t>etrial</w:t>
      </w:r>
      <w:r w:rsidR="008119CB" w:rsidRPr="00954547">
        <w:rPr>
          <w:rFonts w:ascii="Verdana" w:hAnsi="Verdana"/>
          <w:sz w:val="18"/>
          <w:szCs w:val="18"/>
        </w:rPr>
        <w:t xml:space="preserve"> detention of [Manuela] is appropriate in order to safeguard the investigation into the </w:t>
      </w:r>
      <w:r w:rsidR="007B0FF8" w:rsidRPr="00954547">
        <w:rPr>
          <w:rFonts w:ascii="Verdana" w:hAnsi="Verdana"/>
          <w:sz w:val="18"/>
          <w:szCs w:val="18"/>
        </w:rPr>
        <w:t>truth</w:t>
      </w:r>
      <w:r w:rsidR="008119CB" w:rsidRPr="00954547">
        <w:rPr>
          <w:rFonts w:ascii="Verdana" w:hAnsi="Verdana"/>
          <w:sz w:val="18"/>
          <w:szCs w:val="18"/>
        </w:rPr>
        <w:t xml:space="preserve"> of the facts, […] added to this, it is presumed that the said defendant will try to evade the punishment imposed on the </w:t>
      </w:r>
      <w:r w:rsidR="00A87424" w:rsidRPr="00954547">
        <w:rPr>
          <w:rFonts w:ascii="Verdana" w:hAnsi="Verdana"/>
          <w:sz w:val="18"/>
          <w:szCs w:val="18"/>
        </w:rPr>
        <w:t>crime</w:t>
      </w:r>
      <w:r w:rsidR="008119CB" w:rsidRPr="00954547">
        <w:rPr>
          <w:rFonts w:ascii="Verdana" w:hAnsi="Verdana"/>
          <w:sz w:val="18"/>
          <w:szCs w:val="18"/>
        </w:rPr>
        <w:t xml:space="preserve"> committed, and she may obstruct the specific investigation measures by removing, hiding and even threatening witnesses; in addition, the said </w:t>
      </w:r>
      <w:r w:rsidR="00A87424" w:rsidRPr="00954547">
        <w:rPr>
          <w:rFonts w:ascii="Verdana" w:hAnsi="Verdana"/>
          <w:sz w:val="18"/>
          <w:szCs w:val="18"/>
        </w:rPr>
        <w:t>crime</w:t>
      </w:r>
      <w:r w:rsidR="008119CB" w:rsidRPr="00954547">
        <w:rPr>
          <w:rFonts w:ascii="Verdana" w:hAnsi="Verdana"/>
          <w:sz w:val="18"/>
          <w:szCs w:val="18"/>
        </w:rPr>
        <w:t xml:space="preserve"> committed by the defendant against her newborn son has caused </w:t>
      </w:r>
      <w:r w:rsidR="00BA1D0E" w:rsidRPr="00954547">
        <w:rPr>
          <w:rFonts w:ascii="Verdana" w:hAnsi="Verdana"/>
          <w:sz w:val="18"/>
          <w:szCs w:val="18"/>
        </w:rPr>
        <w:t>public</w:t>
      </w:r>
      <w:r w:rsidR="008119CB" w:rsidRPr="00954547">
        <w:rPr>
          <w:rFonts w:ascii="Verdana" w:hAnsi="Verdana"/>
          <w:sz w:val="18"/>
          <w:szCs w:val="18"/>
        </w:rPr>
        <w:t xml:space="preserve"> alarm </w:t>
      </w:r>
      <w:r w:rsidR="00BA1D0E" w:rsidRPr="00954547">
        <w:rPr>
          <w:rFonts w:ascii="Verdana" w:hAnsi="Verdana"/>
          <w:sz w:val="18"/>
          <w:szCs w:val="18"/>
        </w:rPr>
        <w:t xml:space="preserve">among the villagers </w:t>
      </w:r>
      <w:r w:rsidR="008119CB" w:rsidRPr="00954547">
        <w:rPr>
          <w:rFonts w:ascii="Verdana" w:hAnsi="Verdana"/>
          <w:sz w:val="18"/>
          <w:szCs w:val="18"/>
        </w:rPr>
        <w:t xml:space="preserve">of Las Mesas […] who condemn this </w:t>
      </w:r>
      <w:r w:rsidR="00BF316A" w:rsidRPr="00954547">
        <w:rPr>
          <w:rFonts w:ascii="Verdana" w:hAnsi="Verdana"/>
          <w:sz w:val="18"/>
          <w:szCs w:val="18"/>
        </w:rPr>
        <w:t>unacceptable</w:t>
      </w:r>
      <w:r w:rsidR="008119CB" w:rsidRPr="00954547">
        <w:rPr>
          <w:rFonts w:ascii="Verdana" w:hAnsi="Verdana"/>
          <w:sz w:val="18"/>
          <w:szCs w:val="18"/>
        </w:rPr>
        <w:t xml:space="preserve"> act executed by</w:t>
      </w:r>
      <w:r w:rsidRPr="00954547">
        <w:rPr>
          <w:rFonts w:ascii="Verdana" w:hAnsi="Verdana"/>
          <w:sz w:val="18"/>
          <w:szCs w:val="18"/>
        </w:rPr>
        <w:t xml:space="preserve"> [</w:t>
      </w:r>
      <w:r w:rsidR="00607E12" w:rsidRPr="00954547">
        <w:rPr>
          <w:rFonts w:ascii="Verdana" w:hAnsi="Verdana"/>
          <w:sz w:val="18"/>
          <w:szCs w:val="18"/>
        </w:rPr>
        <w:t>the presumed victim</w:t>
      </w:r>
      <w:r w:rsidRPr="00954547">
        <w:rPr>
          <w:rFonts w:ascii="Verdana" w:hAnsi="Verdana"/>
          <w:sz w:val="18"/>
          <w:szCs w:val="18"/>
        </w:rPr>
        <w:t>]</w:t>
      </w:r>
      <w:r w:rsidR="008119CB" w:rsidRPr="00954547">
        <w:rPr>
          <w:rFonts w:ascii="Verdana" w:hAnsi="Verdana"/>
          <w:sz w:val="18"/>
          <w:szCs w:val="18"/>
        </w:rPr>
        <w:t>.</w:t>
      </w:r>
      <w:r w:rsidRPr="00954547">
        <w:rPr>
          <w:rStyle w:val="FootnoteReference"/>
          <w:rFonts w:ascii="Verdana" w:hAnsi="Verdana"/>
          <w:sz w:val="18"/>
          <w:szCs w:val="18"/>
        </w:rPr>
        <w:footnoteReference w:id="146"/>
      </w:r>
    </w:p>
    <w:p w14:paraId="63CE6564" w14:textId="55C7D194" w:rsidR="0074732F" w:rsidRPr="00954547" w:rsidRDefault="00BF316A" w:rsidP="00386B24">
      <w:pPr>
        <w:pStyle w:val="Numberedparagraphs"/>
        <w:tabs>
          <w:tab w:val="left" w:pos="567"/>
        </w:tabs>
        <w:rPr>
          <w:lang w:val="en-US"/>
        </w:rPr>
      </w:pPr>
      <w:r w:rsidRPr="00954547">
        <w:rPr>
          <w:lang w:val="en-US"/>
        </w:rPr>
        <w:t xml:space="preserve">The court also indicated that from “the evidence collected to date, it is certain that the deceased newborn child was the son of the defendant </w:t>
      </w:r>
      <w:r w:rsidR="0085025C" w:rsidRPr="00954547">
        <w:rPr>
          <w:lang w:val="en-US"/>
        </w:rPr>
        <w:t>[…]</w:t>
      </w:r>
      <w:r w:rsidR="007B0FF8" w:rsidRPr="00954547">
        <w:rPr>
          <w:lang w:val="en-US"/>
        </w:rPr>
        <w:t>; therefore,</w:t>
      </w:r>
      <w:r w:rsidR="005D4EA5" w:rsidRPr="00954547">
        <w:rPr>
          <w:lang w:val="en-US"/>
        </w:rPr>
        <w:t xml:space="preserve"> it is established that the said defendant intended to hide and destroy the product of conception, because she was able to hide her pregnancy very well, without her family members perceiving it.</w:t>
      </w:r>
      <w:r w:rsidR="0085025C" w:rsidRPr="00954547">
        <w:rPr>
          <w:lang w:val="en-US"/>
        </w:rPr>
        <w:t>”</w:t>
      </w:r>
      <w:r w:rsidR="0085025C" w:rsidRPr="00954547">
        <w:rPr>
          <w:rStyle w:val="FootnoteReference"/>
          <w:lang w:val="en-US"/>
        </w:rPr>
        <w:footnoteReference w:id="147"/>
      </w:r>
      <w:r w:rsidR="005D4EA5" w:rsidRPr="00954547">
        <w:rPr>
          <w:lang w:val="en-US"/>
        </w:rPr>
        <w:t xml:space="preserve"> In addition, it indicated that her detention would continue in the maternity ward where she was rece</w:t>
      </w:r>
      <w:r w:rsidR="006029D7" w:rsidRPr="00954547">
        <w:rPr>
          <w:lang w:val="en-US"/>
        </w:rPr>
        <w:t>iving medical care.</w:t>
      </w:r>
      <w:r w:rsidR="0085025C" w:rsidRPr="00954547">
        <w:rPr>
          <w:rStyle w:val="FootnoteReference"/>
          <w:lang w:val="en-US"/>
        </w:rPr>
        <w:footnoteReference w:id="148"/>
      </w:r>
    </w:p>
    <w:p w14:paraId="7EC23F61" w14:textId="5FB7E6AD" w:rsidR="0085025C" w:rsidRPr="00954547" w:rsidRDefault="006029D7" w:rsidP="0085025C">
      <w:pPr>
        <w:pStyle w:val="Numberedparagraphs"/>
        <w:tabs>
          <w:tab w:val="left" w:pos="567"/>
        </w:tabs>
        <w:rPr>
          <w:lang w:val="en-US"/>
        </w:rPr>
      </w:pPr>
      <w:r w:rsidRPr="00954547">
        <w:rPr>
          <w:lang w:val="en-US"/>
        </w:rPr>
        <w:t>On March 6,</w:t>
      </w:r>
      <w:r w:rsidR="0085025C" w:rsidRPr="00954547">
        <w:rPr>
          <w:lang w:val="en-US"/>
        </w:rPr>
        <w:t xml:space="preserve"> 2008</w:t>
      </w:r>
      <w:r w:rsidRPr="00954547">
        <w:rPr>
          <w:lang w:val="en-US"/>
        </w:rPr>
        <w:t>,</w:t>
      </w:r>
      <w:r w:rsidR="0085025C" w:rsidRPr="00954547">
        <w:rPr>
          <w:lang w:val="en-US"/>
        </w:rPr>
        <w:t xml:space="preserve"> </w:t>
      </w:r>
      <w:r w:rsidRPr="00954547">
        <w:rPr>
          <w:lang w:val="en-US"/>
        </w:rPr>
        <w:t>the Second Trial Court of</w:t>
      </w:r>
      <w:r w:rsidR="0085025C" w:rsidRPr="00954547">
        <w:rPr>
          <w:lang w:val="en-US"/>
        </w:rPr>
        <w:t xml:space="preserve"> San Francisco Gotera </w:t>
      </w:r>
      <w:r w:rsidR="000C5F93" w:rsidRPr="00954547">
        <w:rPr>
          <w:lang w:val="en-US"/>
        </w:rPr>
        <w:t xml:space="preserve">issued the formal order to open the preliminary proceedings against </w:t>
      </w:r>
      <w:r w:rsidR="0085025C" w:rsidRPr="00954547">
        <w:rPr>
          <w:lang w:val="en-US"/>
        </w:rPr>
        <w:t xml:space="preserve">Manuela </w:t>
      </w:r>
      <w:r w:rsidR="00DB17CF" w:rsidRPr="00954547">
        <w:rPr>
          <w:lang w:val="en-US"/>
        </w:rPr>
        <w:t>for the</w:t>
      </w:r>
      <w:r w:rsidR="0085025C" w:rsidRPr="00954547">
        <w:rPr>
          <w:lang w:val="en-US"/>
        </w:rPr>
        <w:t xml:space="preserve"> </w:t>
      </w:r>
      <w:r w:rsidR="00A30CA9" w:rsidRPr="00954547">
        <w:rPr>
          <w:lang w:val="en-US"/>
        </w:rPr>
        <w:t>offense of aggravated homicide</w:t>
      </w:r>
      <w:r w:rsidR="0085025C" w:rsidRPr="00954547">
        <w:rPr>
          <w:lang w:val="en-US"/>
        </w:rPr>
        <w:t xml:space="preserve">, </w:t>
      </w:r>
      <w:r w:rsidR="00DB17CF" w:rsidRPr="00954547">
        <w:rPr>
          <w:lang w:val="en-US"/>
        </w:rPr>
        <w:t xml:space="preserve">called for a preliminary hearing, and ratified the precautionary measure of </w:t>
      </w:r>
      <w:r w:rsidR="002A54F0" w:rsidRPr="00954547">
        <w:rPr>
          <w:lang w:val="en-US"/>
        </w:rPr>
        <w:t>pretrial</w:t>
      </w:r>
      <w:r w:rsidR="00DB17CF" w:rsidRPr="00954547">
        <w:rPr>
          <w:lang w:val="en-US"/>
        </w:rPr>
        <w:t xml:space="preserve"> detention.</w:t>
      </w:r>
      <w:r w:rsidR="0085025C" w:rsidRPr="00954547">
        <w:rPr>
          <w:rStyle w:val="FootnoteReference"/>
          <w:lang w:val="en-US"/>
        </w:rPr>
        <w:footnoteReference w:id="149"/>
      </w:r>
      <w:r w:rsidR="00DB17CF" w:rsidRPr="00954547">
        <w:rPr>
          <w:lang w:val="en-US"/>
        </w:rPr>
        <w:t xml:space="preserve"> The same day, </w:t>
      </w:r>
      <w:r w:rsidR="0085025C" w:rsidRPr="00954547">
        <w:rPr>
          <w:lang w:val="en-US"/>
        </w:rPr>
        <w:t xml:space="preserve">Manuela </w:t>
      </w:r>
      <w:r w:rsidR="00DB17CF" w:rsidRPr="00954547">
        <w:rPr>
          <w:lang w:val="en-US"/>
        </w:rPr>
        <w:t xml:space="preserve">was discharged from hospital </w:t>
      </w:r>
      <w:r w:rsidR="0078694F" w:rsidRPr="00954547">
        <w:rPr>
          <w:lang w:val="en-US"/>
        </w:rPr>
        <w:t xml:space="preserve">and </w:t>
      </w:r>
      <w:r w:rsidR="00DB17CF" w:rsidRPr="00954547">
        <w:rPr>
          <w:lang w:val="en-US"/>
        </w:rPr>
        <w:t xml:space="preserve">taken to the </w:t>
      </w:r>
      <w:r w:rsidR="00C30E67" w:rsidRPr="00954547">
        <w:rPr>
          <w:lang w:val="en-US"/>
        </w:rPr>
        <w:t xml:space="preserve">cells </w:t>
      </w:r>
      <w:r w:rsidR="00DB17CF" w:rsidRPr="00954547">
        <w:rPr>
          <w:lang w:val="en-US"/>
        </w:rPr>
        <w:t xml:space="preserve">of the </w:t>
      </w:r>
      <w:r w:rsidR="00C30E67" w:rsidRPr="00954547">
        <w:rPr>
          <w:lang w:val="en-US"/>
        </w:rPr>
        <w:t xml:space="preserve">Morazán </w:t>
      </w:r>
      <w:r w:rsidR="00DB17CF" w:rsidRPr="00954547">
        <w:rPr>
          <w:lang w:val="en-US"/>
        </w:rPr>
        <w:t xml:space="preserve">National Civil Police Station, where she remained confined until her transfer to the </w:t>
      </w:r>
      <w:r w:rsidR="00C30E67" w:rsidRPr="00954547">
        <w:rPr>
          <w:lang w:val="en-US"/>
        </w:rPr>
        <w:t>p</w:t>
      </w:r>
      <w:r w:rsidR="00DB17CF" w:rsidRPr="00954547">
        <w:rPr>
          <w:lang w:val="en-US"/>
        </w:rPr>
        <w:t xml:space="preserve">rison in </w:t>
      </w:r>
      <w:r w:rsidR="0085025C" w:rsidRPr="00954547">
        <w:rPr>
          <w:lang w:val="en-US"/>
        </w:rPr>
        <w:t>San Miguel</w:t>
      </w:r>
      <w:r w:rsidR="00DB17CF" w:rsidRPr="00954547">
        <w:rPr>
          <w:lang w:val="en-US"/>
        </w:rPr>
        <w:t>.</w:t>
      </w:r>
      <w:r w:rsidR="0085025C" w:rsidRPr="00954547">
        <w:rPr>
          <w:rStyle w:val="FootnoteReference"/>
          <w:lang w:val="en-US"/>
        </w:rPr>
        <w:footnoteReference w:id="150"/>
      </w:r>
      <w:r w:rsidR="0085025C" w:rsidRPr="00954547">
        <w:rPr>
          <w:lang w:val="en-US"/>
        </w:rPr>
        <w:t xml:space="preserve"> </w:t>
      </w:r>
    </w:p>
    <w:p w14:paraId="7D066F49" w14:textId="5A91554B" w:rsidR="0085025C" w:rsidRPr="00954547" w:rsidRDefault="006029D7" w:rsidP="00F10172">
      <w:pPr>
        <w:pStyle w:val="Numberedparagraphs"/>
        <w:tabs>
          <w:tab w:val="left" w:pos="567"/>
        </w:tabs>
        <w:rPr>
          <w:lang w:val="en-US"/>
        </w:rPr>
      </w:pPr>
      <w:r w:rsidRPr="00954547">
        <w:rPr>
          <w:lang w:val="en-US"/>
        </w:rPr>
        <w:t>On April 11,</w:t>
      </w:r>
      <w:r w:rsidR="0085025C" w:rsidRPr="00954547">
        <w:rPr>
          <w:lang w:val="en-US"/>
        </w:rPr>
        <w:t xml:space="preserve"> 2008</w:t>
      </w:r>
      <w:r w:rsidRPr="00954547">
        <w:rPr>
          <w:lang w:val="en-US"/>
        </w:rPr>
        <w:t>,</w:t>
      </w:r>
      <w:r w:rsidR="0085025C" w:rsidRPr="00954547">
        <w:rPr>
          <w:lang w:val="en-US"/>
        </w:rPr>
        <w:t xml:space="preserve"> </w:t>
      </w:r>
      <w:r w:rsidR="00F10172" w:rsidRPr="00954547">
        <w:rPr>
          <w:lang w:val="en-US"/>
        </w:rPr>
        <w:t xml:space="preserve">a death certification was issued for the newborn child recording that he had died from “asphyxiation due to obstruction of respiratory tract” </w:t>
      </w:r>
      <w:r w:rsidR="0032123B" w:rsidRPr="00954547">
        <w:rPr>
          <w:lang w:val="en-US"/>
        </w:rPr>
        <w:t>on February 28,</w:t>
      </w:r>
      <w:r w:rsidR="0085025C" w:rsidRPr="00954547">
        <w:rPr>
          <w:lang w:val="en-US"/>
        </w:rPr>
        <w:t xml:space="preserve"> 2018</w:t>
      </w:r>
      <w:r w:rsidR="00F10172" w:rsidRPr="00954547">
        <w:rPr>
          <w:lang w:val="en-US"/>
        </w:rPr>
        <w:t>,</w:t>
      </w:r>
      <w:r w:rsidR="0085025C" w:rsidRPr="00954547">
        <w:rPr>
          <w:lang w:val="en-US"/>
        </w:rPr>
        <w:t xml:space="preserve"> </w:t>
      </w:r>
      <w:r w:rsidR="00F10172" w:rsidRPr="00954547">
        <w:rPr>
          <w:lang w:val="en-US"/>
        </w:rPr>
        <w:t>at 2 p.m.</w:t>
      </w:r>
      <w:r w:rsidR="0085025C" w:rsidRPr="00954547">
        <w:rPr>
          <w:lang w:val="en-US"/>
        </w:rPr>
        <w:t xml:space="preserve"> </w:t>
      </w:r>
      <w:r w:rsidR="00F10172" w:rsidRPr="00954547">
        <w:rPr>
          <w:lang w:val="en-US"/>
        </w:rPr>
        <w:t>in the village of Las Mesas and that “he lived for two days.</w:t>
      </w:r>
      <w:r w:rsidR="00997303" w:rsidRPr="00954547">
        <w:rPr>
          <w:lang w:val="en-US"/>
        </w:rPr>
        <w:t>”</w:t>
      </w:r>
      <w:r w:rsidR="0085025C" w:rsidRPr="00954547">
        <w:rPr>
          <w:rStyle w:val="FootnoteReference"/>
          <w:lang w:val="en-US"/>
        </w:rPr>
        <w:footnoteReference w:id="151"/>
      </w:r>
      <w:r w:rsidR="0085025C" w:rsidRPr="00954547">
        <w:rPr>
          <w:lang w:val="en-US"/>
        </w:rPr>
        <w:t xml:space="preserve"> </w:t>
      </w:r>
    </w:p>
    <w:p w14:paraId="5667C0E8" w14:textId="349F5566" w:rsidR="0085025C" w:rsidRPr="00954547" w:rsidRDefault="006029D7" w:rsidP="008E0B09">
      <w:pPr>
        <w:pStyle w:val="Numberedparagraphs"/>
        <w:tabs>
          <w:tab w:val="left" w:pos="567"/>
        </w:tabs>
        <w:rPr>
          <w:lang w:val="en-US"/>
        </w:rPr>
      </w:pPr>
      <w:bookmarkStart w:id="43" w:name="_Toc536522449"/>
      <w:r w:rsidRPr="00954547">
        <w:rPr>
          <w:lang w:val="en-US"/>
        </w:rPr>
        <w:t>On April 25,</w:t>
      </w:r>
      <w:r w:rsidR="0085025C" w:rsidRPr="00954547">
        <w:rPr>
          <w:szCs w:val="16"/>
          <w:lang w:val="en-US"/>
        </w:rPr>
        <w:t xml:space="preserve"> 2008</w:t>
      </w:r>
      <w:r w:rsidRPr="00954547">
        <w:rPr>
          <w:szCs w:val="16"/>
          <w:lang w:val="en-US"/>
        </w:rPr>
        <w:t>,</w:t>
      </w:r>
      <w:r w:rsidR="008E0B09" w:rsidRPr="00954547">
        <w:rPr>
          <w:szCs w:val="16"/>
          <w:lang w:val="en-US"/>
        </w:rPr>
        <w:t xml:space="preserve"> at the request of the prosecution,</w:t>
      </w:r>
      <w:r w:rsidR="0085025C" w:rsidRPr="00954547">
        <w:rPr>
          <w:szCs w:val="16"/>
          <w:lang w:val="en-US"/>
        </w:rPr>
        <w:t xml:space="preserve"> </w:t>
      </w:r>
      <w:r w:rsidR="00E60BF1" w:rsidRPr="00954547">
        <w:rPr>
          <w:lang w:val="en-US"/>
        </w:rPr>
        <w:t>the Institute of Forensic Medicine</w:t>
      </w:r>
      <w:r w:rsidR="0085025C" w:rsidRPr="00954547">
        <w:rPr>
          <w:lang w:val="en-US"/>
        </w:rPr>
        <w:t xml:space="preserve"> </w:t>
      </w:r>
      <w:r w:rsidR="00F10172" w:rsidRPr="00954547">
        <w:rPr>
          <w:lang w:val="en-US"/>
        </w:rPr>
        <w:t xml:space="preserve">performed a psychological appraisal of </w:t>
      </w:r>
      <w:r w:rsidR="008E0B09" w:rsidRPr="00954547">
        <w:rPr>
          <w:lang w:val="en-US"/>
        </w:rPr>
        <w:t>Manuela’s mental health, concluding that the presumed victim did not present symptoms “of a mental disorder or other physical or mental incapacity that [would] prevent her from understanding the unlawful nature of her acts.</w:t>
      </w:r>
      <w:r w:rsidR="0014052B" w:rsidRPr="00954547">
        <w:rPr>
          <w:lang w:val="en-US"/>
        </w:rPr>
        <w:t>”</w:t>
      </w:r>
      <w:r w:rsidR="0085025C" w:rsidRPr="00954547">
        <w:rPr>
          <w:rStyle w:val="FootnoteReference"/>
          <w:lang w:val="en-US"/>
        </w:rPr>
        <w:footnoteReference w:id="152"/>
      </w:r>
      <w:r w:rsidR="0085025C" w:rsidRPr="00954547">
        <w:rPr>
          <w:lang w:val="en-US"/>
        </w:rPr>
        <w:t xml:space="preserve">. </w:t>
      </w:r>
    </w:p>
    <w:p w14:paraId="65606E3A" w14:textId="1B5AC184" w:rsidR="0085025C" w:rsidRPr="00954547" w:rsidRDefault="006029D7" w:rsidP="0085025C">
      <w:pPr>
        <w:pStyle w:val="Numberedparagraphs"/>
        <w:tabs>
          <w:tab w:val="left" w:pos="567"/>
        </w:tabs>
        <w:rPr>
          <w:lang w:val="en-US"/>
        </w:rPr>
      </w:pPr>
      <w:r w:rsidRPr="00954547">
        <w:rPr>
          <w:lang w:val="en-US"/>
        </w:rPr>
        <w:t>On June 5,</w:t>
      </w:r>
      <w:r w:rsidR="0085025C" w:rsidRPr="00954547">
        <w:rPr>
          <w:lang w:val="en-US"/>
        </w:rPr>
        <w:t xml:space="preserve"> 2008</w:t>
      </w:r>
      <w:r w:rsidRPr="00954547">
        <w:rPr>
          <w:lang w:val="en-US"/>
        </w:rPr>
        <w:t>,</w:t>
      </w:r>
      <w:r w:rsidR="0085025C" w:rsidRPr="00954547">
        <w:rPr>
          <w:lang w:val="en-US"/>
        </w:rPr>
        <w:t xml:space="preserve"> </w:t>
      </w:r>
      <w:r w:rsidR="008E0B09" w:rsidRPr="00954547">
        <w:rPr>
          <w:lang w:val="en-US"/>
        </w:rPr>
        <w:t>a hearing</w:t>
      </w:r>
      <w:r w:rsidR="00076692" w:rsidRPr="00954547">
        <w:rPr>
          <w:lang w:val="en-US"/>
        </w:rPr>
        <w:t xml:space="preserve"> to review the presumed victim’s pretrial detention</w:t>
      </w:r>
      <w:r w:rsidR="008E0B09" w:rsidRPr="00954547">
        <w:rPr>
          <w:lang w:val="en-US"/>
        </w:rPr>
        <w:t xml:space="preserve"> was held before the Second Trial Court of San Francisco Gotera, Morazán, </w:t>
      </w:r>
      <w:r w:rsidR="00076692" w:rsidRPr="00954547">
        <w:rPr>
          <w:lang w:val="en-US"/>
        </w:rPr>
        <w:t xml:space="preserve">at </w:t>
      </w:r>
      <w:r w:rsidR="008E0B09" w:rsidRPr="00954547">
        <w:rPr>
          <w:lang w:val="en-US"/>
        </w:rPr>
        <w:t xml:space="preserve">which </w:t>
      </w:r>
      <w:r w:rsidR="0085025C" w:rsidRPr="00954547">
        <w:rPr>
          <w:lang w:val="en-US"/>
        </w:rPr>
        <w:t xml:space="preserve">Manuela </w:t>
      </w:r>
      <w:r w:rsidR="008E0B09" w:rsidRPr="00954547">
        <w:rPr>
          <w:lang w:val="en-US"/>
        </w:rPr>
        <w:t>was represented by another defense counsel in substitution of the defense counsel assigned to her.</w:t>
      </w:r>
      <w:r w:rsidR="0085025C" w:rsidRPr="00954547">
        <w:rPr>
          <w:rStyle w:val="FootnoteReference"/>
          <w:lang w:val="en-US"/>
        </w:rPr>
        <w:footnoteReference w:id="153"/>
      </w:r>
      <w:r w:rsidR="008E0B09" w:rsidRPr="00954547">
        <w:rPr>
          <w:lang w:val="en-US"/>
        </w:rPr>
        <w:t xml:space="preserve"> On that occasion, the court considered that the circumstances that originated the adoption of the precautionary measure subsisted and, therefore, decided that the </w:t>
      </w:r>
      <w:r w:rsidR="002A54F0" w:rsidRPr="00954547">
        <w:rPr>
          <w:lang w:val="en-US"/>
        </w:rPr>
        <w:t>pretrial</w:t>
      </w:r>
      <w:r w:rsidR="008E0B09" w:rsidRPr="00954547">
        <w:rPr>
          <w:lang w:val="en-US"/>
        </w:rPr>
        <w:t xml:space="preserve"> detention should continue.</w:t>
      </w:r>
      <w:r w:rsidR="0085025C" w:rsidRPr="00954547">
        <w:rPr>
          <w:rStyle w:val="FootnoteReference"/>
          <w:lang w:val="en-US"/>
        </w:rPr>
        <w:footnoteReference w:id="154"/>
      </w:r>
    </w:p>
    <w:p w14:paraId="1FEBDCAE" w14:textId="3212AB98" w:rsidR="0074732F" w:rsidRPr="00954547" w:rsidRDefault="006029D7" w:rsidP="00386B24">
      <w:pPr>
        <w:pStyle w:val="Heading2"/>
        <w:tabs>
          <w:tab w:val="left" w:pos="567"/>
        </w:tabs>
        <w:ind w:left="0" w:firstLine="567"/>
        <w:rPr>
          <w:lang w:val="en-US"/>
        </w:rPr>
      </w:pPr>
      <w:bookmarkStart w:id="44" w:name="_Toc106353902"/>
      <w:bookmarkEnd w:id="43"/>
      <w:r w:rsidRPr="00954547">
        <w:rPr>
          <w:lang w:val="en-US"/>
        </w:rPr>
        <w:t>Manuela’s trial</w:t>
      </w:r>
      <w:bookmarkEnd w:id="44"/>
    </w:p>
    <w:p w14:paraId="37788189" w14:textId="4D25FD86" w:rsidR="0085025C" w:rsidRPr="00954547" w:rsidRDefault="00EB3DDE" w:rsidP="0085025C">
      <w:pPr>
        <w:pStyle w:val="Numberedparagraphs"/>
        <w:tabs>
          <w:tab w:val="left" w:pos="567"/>
        </w:tabs>
        <w:rPr>
          <w:sz w:val="18"/>
          <w:szCs w:val="18"/>
          <w:lang w:val="en-US"/>
        </w:rPr>
      </w:pPr>
      <w:bookmarkStart w:id="45" w:name="_Toc536522450"/>
      <w:r w:rsidRPr="00954547">
        <w:rPr>
          <w:lang w:val="en-US"/>
        </w:rPr>
        <w:t xml:space="preserve">The preliminary hearing was held at 9 a.m. on </w:t>
      </w:r>
      <w:r w:rsidR="008E0B09" w:rsidRPr="00954547">
        <w:rPr>
          <w:lang w:val="en-US"/>
        </w:rPr>
        <w:t>July 7,</w:t>
      </w:r>
      <w:r w:rsidR="0085025C" w:rsidRPr="00954547">
        <w:rPr>
          <w:lang w:val="en-US"/>
        </w:rPr>
        <w:t xml:space="preserve"> 2008</w:t>
      </w:r>
      <w:r w:rsidR="008E0B09" w:rsidRPr="00954547">
        <w:rPr>
          <w:lang w:val="en-US"/>
        </w:rPr>
        <w:t>.</w:t>
      </w:r>
      <w:r w:rsidR="0085025C" w:rsidRPr="00954547">
        <w:rPr>
          <w:rStyle w:val="FootnoteReference"/>
          <w:lang w:val="en-US"/>
        </w:rPr>
        <w:footnoteReference w:id="155"/>
      </w:r>
      <w:r w:rsidR="008E0B09" w:rsidRPr="00954547">
        <w:rPr>
          <w:lang w:val="en-US"/>
        </w:rPr>
        <w:t xml:space="preserve"> Thirty minutes before it began, Manuela’s defense counsel asked to be substituted, because he had a</w:t>
      </w:r>
      <w:r w:rsidR="00D93CAB" w:rsidRPr="00954547">
        <w:rPr>
          <w:lang w:val="en-US"/>
        </w:rPr>
        <w:t xml:space="preserve">nother hearing </w:t>
      </w:r>
      <w:r w:rsidR="008E0B09" w:rsidRPr="00954547">
        <w:rPr>
          <w:lang w:val="en-US"/>
        </w:rPr>
        <w:t>in a</w:t>
      </w:r>
      <w:r w:rsidR="00D93CAB" w:rsidRPr="00954547">
        <w:rPr>
          <w:lang w:val="en-US"/>
        </w:rPr>
        <w:t xml:space="preserve"> different</w:t>
      </w:r>
      <w:r w:rsidR="008E0B09" w:rsidRPr="00954547">
        <w:rPr>
          <w:lang w:val="en-US"/>
        </w:rPr>
        <w:t xml:space="preserve"> court.</w:t>
      </w:r>
      <w:r w:rsidR="0085025C" w:rsidRPr="00954547">
        <w:rPr>
          <w:rStyle w:val="FootnoteReference"/>
          <w:lang w:val="en-US"/>
        </w:rPr>
        <w:footnoteReference w:id="156"/>
      </w:r>
    </w:p>
    <w:p w14:paraId="250E3B04" w14:textId="1DBCFF82" w:rsidR="0085025C" w:rsidRPr="00954547" w:rsidRDefault="00687B81" w:rsidP="0085025C">
      <w:pPr>
        <w:pStyle w:val="Numberedparagraphs"/>
        <w:tabs>
          <w:tab w:val="left" w:pos="567"/>
        </w:tabs>
        <w:rPr>
          <w:lang w:val="en-US"/>
        </w:rPr>
      </w:pPr>
      <w:r w:rsidRPr="00954547">
        <w:rPr>
          <w:lang w:val="en-US"/>
        </w:rPr>
        <w:t>During th</w:t>
      </w:r>
      <w:r w:rsidR="00EB3DDE" w:rsidRPr="00954547">
        <w:rPr>
          <w:lang w:val="en-US"/>
        </w:rPr>
        <w:t>e</w:t>
      </w:r>
      <w:r w:rsidRPr="00954547">
        <w:rPr>
          <w:lang w:val="en-US"/>
        </w:rPr>
        <w:t xml:space="preserve"> hearing, the</w:t>
      </w:r>
      <w:r w:rsidR="0085025C" w:rsidRPr="00954547">
        <w:rPr>
          <w:lang w:val="en-US"/>
        </w:rPr>
        <w:t xml:space="preserve"> </w:t>
      </w:r>
      <w:r w:rsidR="002C0676" w:rsidRPr="00954547">
        <w:rPr>
          <w:lang w:val="en-US"/>
        </w:rPr>
        <w:t>Second Court of</w:t>
      </w:r>
      <w:r w:rsidR="0085025C" w:rsidRPr="00954547">
        <w:rPr>
          <w:lang w:val="en-US"/>
        </w:rPr>
        <w:t xml:space="preserve"> San Francisco Gotera</w:t>
      </w:r>
      <w:r w:rsidRPr="00954547">
        <w:rPr>
          <w:lang w:val="en-US"/>
        </w:rPr>
        <w:t xml:space="preserve"> issued an order to proceed to a trial and ratified the presumed victim’s </w:t>
      </w:r>
      <w:r w:rsidR="002A54F0" w:rsidRPr="00954547">
        <w:rPr>
          <w:lang w:val="en-US"/>
        </w:rPr>
        <w:t>pretrial</w:t>
      </w:r>
      <w:r w:rsidRPr="00954547">
        <w:rPr>
          <w:lang w:val="en-US"/>
        </w:rPr>
        <w:t xml:space="preserve"> detention, indicating that:</w:t>
      </w:r>
    </w:p>
    <w:p w14:paraId="2DFABE8E" w14:textId="1A85234B" w:rsidR="0085025C" w:rsidRPr="00954547" w:rsidRDefault="00EB3DDE" w:rsidP="0085025C">
      <w:pPr>
        <w:tabs>
          <w:tab w:val="left" w:pos="567"/>
          <w:tab w:val="left" w:pos="720"/>
          <w:tab w:val="left" w:pos="1440"/>
        </w:tabs>
        <w:spacing w:before="120" w:after="120"/>
        <w:ind w:left="567" w:right="720"/>
        <w:jc w:val="both"/>
        <w:rPr>
          <w:rFonts w:ascii="Verdana" w:hAnsi="Verdana"/>
          <w:sz w:val="18"/>
          <w:szCs w:val="18"/>
        </w:rPr>
      </w:pPr>
      <w:r w:rsidRPr="00954547">
        <w:rPr>
          <w:rFonts w:ascii="Verdana" w:hAnsi="Verdana"/>
          <w:sz w:val="18"/>
          <w:szCs w:val="18"/>
        </w:rPr>
        <w:t>T</w:t>
      </w:r>
      <w:r w:rsidR="00687B81" w:rsidRPr="00954547">
        <w:rPr>
          <w:rFonts w:ascii="Verdana" w:hAnsi="Verdana"/>
          <w:sz w:val="18"/>
          <w:szCs w:val="18"/>
        </w:rPr>
        <w:t>he severity of the punishment she would fac</w:t>
      </w:r>
      <w:r w:rsidRPr="00954547">
        <w:rPr>
          <w:rFonts w:ascii="Verdana" w:hAnsi="Verdana"/>
          <w:sz w:val="18"/>
          <w:szCs w:val="18"/>
        </w:rPr>
        <w:t>e</w:t>
      </w:r>
      <w:r w:rsidR="00687B81" w:rsidRPr="00954547">
        <w:rPr>
          <w:rFonts w:ascii="Verdana" w:hAnsi="Verdana"/>
          <w:sz w:val="18"/>
          <w:szCs w:val="18"/>
        </w:rPr>
        <w:t xml:space="preserve"> if found guilty </w:t>
      </w:r>
      <w:r w:rsidRPr="00954547">
        <w:rPr>
          <w:rFonts w:ascii="Verdana" w:hAnsi="Verdana"/>
          <w:sz w:val="18"/>
          <w:szCs w:val="18"/>
        </w:rPr>
        <w:t>during</w:t>
      </w:r>
      <w:r w:rsidR="00687B81" w:rsidRPr="00954547">
        <w:rPr>
          <w:rFonts w:ascii="Verdana" w:hAnsi="Verdana"/>
          <w:sz w:val="18"/>
          <w:szCs w:val="18"/>
        </w:rPr>
        <w:t xml:space="preserve"> the trial</w:t>
      </w:r>
      <w:r w:rsidRPr="00954547">
        <w:rPr>
          <w:rFonts w:ascii="Verdana" w:hAnsi="Verdana"/>
          <w:sz w:val="18"/>
          <w:szCs w:val="18"/>
        </w:rPr>
        <w:t xml:space="preserve"> </w:t>
      </w:r>
      <w:r w:rsidR="00687B81" w:rsidRPr="00954547">
        <w:rPr>
          <w:rFonts w:ascii="Verdana" w:hAnsi="Verdana"/>
          <w:sz w:val="18"/>
          <w:szCs w:val="18"/>
        </w:rPr>
        <w:t xml:space="preserve">could cause her to flee or </w:t>
      </w:r>
      <w:r w:rsidRPr="00954547">
        <w:rPr>
          <w:rFonts w:ascii="Verdana" w:hAnsi="Verdana"/>
          <w:sz w:val="18"/>
          <w:szCs w:val="18"/>
        </w:rPr>
        <w:t xml:space="preserve">to </w:t>
      </w:r>
      <w:r w:rsidR="00687B81" w:rsidRPr="00954547">
        <w:rPr>
          <w:rFonts w:ascii="Verdana" w:hAnsi="Verdana"/>
          <w:sz w:val="18"/>
          <w:szCs w:val="18"/>
        </w:rPr>
        <w:t xml:space="preserve">obstruct the collection of evidence if she were to be released. </w:t>
      </w:r>
      <w:r w:rsidR="00C525F6" w:rsidRPr="00954547">
        <w:rPr>
          <w:rFonts w:ascii="Verdana" w:hAnsi="Verdana"/>
          <w:sz w:val="18"/>
          <w:szCs w:val="18"/>
        </w:rPr>
        <w:t>In the opinion of the undersigned, in this case deprivation of liberty is the only precautionary measure capable, necessary and sufficient to ensure the presence [of the defendant] at the trial and its results, and thu</w:t>
      </w:r>
      <w:r w:rsidR="004E2A50" w:rsidRPr="00954547">
        <w:rPr>
          <w:rFonts w:ascii="Verdana" w:hAnsi="Verdana"/>
          <w:sz w:val="18"/>
          <w:szCs w:val="18"/>
        </w:rPr>
        <w:t>s</w:t>
      </w:r>
      <w:r w:rsidR="00C525F6" w:rsidRPr="00954547">
        <w:rPr>
          <w:rFonts w:ascii="Verdana" w:hAnsi="Verdana"/>
          <w:sz w:val="18"/>
          <w:szCs w:val="18"/>
        </w:rPr>
        <w:t xml:space="preserve"> achieve the purpose of the criminal proceedings.</w:t>
      </w:r>
      <w:r w:rsidR="0085025C" w:rsidRPr="00954547">
        <w:rPr>
          <w:rStyle w:val="FootnoteReference"/>
          <w:rFonts w:ascii="Verdana" w:hAnsi="Verdana"/>
          <w:sz w:val="18"/>
          <w:szCs w:val="18"/>
        </w:rPr>
        <w:footnoteReference w:id="157"/>
      </w:r>
    </w:p>
    <w:p w14:paraId="076D069C" w14:textId="2DE3556D" w:rsidR="0085025C" w:rsidRPr="00954547" w:rsidRDefault="00C52C6A" w:rsidP="00C52C6A">
      <w:pPr>
        <w:pStyle w:val="Numberedparagraphs"/>
        <w:tabs>
          <w:tab w:val="left" w:pos="567"/>
        </w:tabs>
        <w:rPr>
          <w:lang w:val="en-US"/>
        </w:rPr>
      </w:pPr>
      <w:r w:rsidRPr="00954547">
        <w:rPr>
          <w:lang w:val="en-US"/>
        </w:rPr>
        <w:t>The court indicated that it could be “determined that the defendant disposed of her youngest son by throwing him in the septic tank</w:t>
      </w:r>
      <w:r w:rsidR="0085025C" w:rsidRPr="00954547">
        <w:rPr>
          <w:lang w:val="en-US"/>
        </w:rPr>
        <w:t>”</w:t>
      </w:r>
      <w:r w:rsidR="0085025C" w:rsidRPr="00954547">
        <w:rPr>
          <w:rStyle w:val="FootnoteReference"/>
          <w:lang w:val="en-US"/>
        </w:rPr>
        <w:footnoteReference w:id="158"/>
      </w:r>
      <w:r w:rsidRPr="00954547">
        <w:rPr>
          <w:lang w:val="en-US"/>
        </w:rPr>
        <w:t xml:space="preserve"> and, therefore, it was possible “to </w:t>
      </w:r>
      <w:r w:rsidR="0085224B" w:rsidRPr="00954547">
        <w:rPr>
          <w:lang w:val="en-US"/>
        </w:rPr>
        <w:t xml:space="preserve">reach </w:t>
      </w:r>
      <w:r w:rsidR="002D5A78" w:rsidRPr="00954547">
        <w:rPr>
          <w:lang w:val="en-US"/>
        </w:rPr>
        <w:t>the</w:t>
      </w:r>
      <w:r w:rsidRPr="00954547">
        <w:rPr>
          <w:lang w:val="en-US"/>
        </w:rPr>
        <w:t xml:space="preserve"> </w:t>
      </w:r>
      <w:r w:rsidR="000E3BC3" w:rsidRPr="00954547">
        <w:rPr>
          <w:lang w:val="en-US"/>
        </w:rPr>
        <w:t>conclusion</w:t>
      </w:r>
      <w:r w:rsidR="0085224B" w:rsidRPr="00954547">
        <w:rPr>
          <w:lang w:val="en-US"/>
        </w:rPr>
        <w:t xml:space="preserve"> of </w:t>
      </w:r>
      <w:r w:rsidR="002D5A78" w:rsidRPr="00954547">
        <w:rPr>
          <w:lang w:val="en-US"/>
        </w:rPr>
        <w:t>the positive</w:t>
      </w:r>
      <w:r w:rsidRPr="00954547">
        <w:rPr>
          <w:lang w:val="en-US"/>
        </w:rPr>
        <w:t xml:space="preserve"> probability that the defendant is the author of the offense of</w:t>
      </w:r>
      <w:r w:rsidR="0085025C" w:rsidRPr="00954547">
        <w:rPr>
          <w:lang w:val="en-US"/>
        </w:rPr>
        <w:t xml:space="preserve"> </w:t>
      </w:r>
      <w:r w:rsidRPr="00954547">
        <w:rPr>
          <w:lang w:val="en-US"/>
        </w:rPr>
        <w:t xml:space="preserve">the </w:t>
      </w:r>
      <w:r w:rsidR="00B66AA2" w:rsidRPr="00954547">
        <w:rPr>
          <w:lang w:val="en-US"/>
        </w:rPr>
        <w:t>aggravated homicide</w:t>
      </w:r>
      <w:r w:rsidR="0085025C" w:rsidRPr="00954547">
        <w:rPr>
          <w:lang w:val="en-US"/>
        </w:rPr>
        <w:t xml:space="preserve"> </w:t>
      </w:r>
      <w:r w:rsidRPr="00954547">
        <w:rPr>
          <w:lang w:val="en-US"/>
        </w:rPr>
        <w:t xml:space="preserve">of her newborn child </w:t>
      </w:r>
      <w:r w:rsidR="0085025C" w:rsidRPr="00954547">
        <w:rPr>
          <w:lang w:val="en-US"/>
        </w:rPr>
        <w:t>[…]</w:t>
      </w:r>
      <w:r w:rsidRPr="00954547">
        <w:rPr>
          <w:lang w:val="en-US"/>
        </w:rPr>
        <w:t>.</w:t>
      </w:r>
      <w:r w:rsidR="0085025C" w:rsidRPr="00954547">
        <w:rPr>
          <w:lang w:val="en-US"/>
        </w:rPr>
        <w:t>”</w:t>
      </w:r>
      <w:r w:rsidR="0085025C" w:rsidRPr="00954547">
        <w:rPr>
          <w:rStyle w:val="FootnoteReference"/>
          <w:lang w:val="en-US"/>
        </w:rPr>
        <w:footnoteReference w:id="159"/>
      </w:r>
    </w:p>
    <w:p w14:paraId="7CA34AE9" w14:textId="749580CA" w:rsidR="0085025C" w:rsidRPr="00954547" w:rsidRDefault="00C52C6A" w:rsidP="0085025C">
      <w:pPr>
        <w:pStyle w:val="Numberedparagraphs"/>
        <w:tabs>
          <w:tab w:val="left" w:pos="567"/>
        </w:tabs>
        <w:rPr>
          <w:lang w:val="en-US"/>
        </w:rPr>
      </w:pPr>
      <w:r w:rsidRPr="00954547">
        <w:rPr>
          <w:lang w:val="en-US"/>
        </w:rPr>
        <w:t xml:space="preserve">On July </w:t>
      </w:r>
      <w:r w:rsidR="0085224B" w:rsidRPr="00954547">
        <w:rPr>
          <w:lang w:val="en-US"/>
        </w:rPr>
        <w:t>23</w:t>
      </w:r>
      <w:r w:rsidRPr="00954547">
        <w:rPr>
          <w:lang w:val="en-US"/>
        </w:rPr>
        <w:t>,</w:t>
      </w:r>
      <w:r w:rsidR="0085025C" w:rsidRPr="00954547">
        <w:rPr>
          <w:lang w:val="en-US"/>
        </w:rPr>
        <w:t xml:space="preserve"> 2008</w:t>
      </w:r>
      <w:r w:rsidRPr="00954547">
        <w:rPr>
          <w:lang w:val="en-US"/>
        </w:rPr>
        <w:t>, a psychiatric appraisal of the presumed victim was added to the case file</w:t>
      </w:r>
      <w:r w:rsidR="0085224B" w:rsidRPr="00954547">
        <w:rPr>
          <w:lang w:val="en-US"/>
        </w:rPr>
        <w:t>.</w:t>
      </w:r>
      <w:r w:rsidRPr="00954547">
        <w:rPr>
          <w:lang w:val="en-US"/>
        </w:rPr>
        <w:t xml:space="preserve"> </w:t>
      </w:r>
      <w:r w:rsidR="0085224B" w:rsidRPr="00954547">
        <w:rPr>
          <w:lang w:val="en-US"/>
        </w:rPr>
        <w:t>D</w:t>
      </w:r>
      <w:r w:rsidRPr="00954547">
        <w:rPr>
          <w:lang w:val="en-US"/>
        </w:rPr>
        <w:t xml:space="preserve">uring </w:t>
      </w:r>
      <w:r w:rsidR="0085224B" w:rsidRPr="00954547">
        <w:rPr>
          <w:lang w:val="en-US"/>
        </w:rPr>
        <w:t>the appraisal,</w:t>
      </w:r>
      <w:r w:rsidRPr="00954547">
        <w:rPr>
          <w:lang w:val="en-US"/>
        </w:rPr>
        <w:t xml:space="preserve"> she gave the following account of the facts</w:t>
      </w:r>
      <w:r w:rsidR="0085025C" w:rsidRPr="00954547">
        <w:rPr>
          <w:lang w:val="en-US"/>
        </w:rPr>
        <w:t>:</w:t>
      </w:r>
    </w:p>
    <w:p w14:paraId="1F7DCE59" w14:textId="35513920" w:rsidR="0085025C" w:rsidRPr="00954547" w:rsidRDefault="00C52C6A" w:rsidP="00BC685F">
      <w:pPr>
        <w:tabs>
          <w:tab w:val="left" w:pos="567"/>
          <w:tab w:val="left" w:pos="1440"/>
        </w:tabs>
        <w:spacing w:before="120" w:after="120"/>
        <w:ind w:left="567" w:right="720"/>
        <w:jc w:val="both"/>
        <w:rPr>
          <w:rFonts w:ascii="Verdana" w:hAnsi="Verdana"/>
          <w:sz w:val="18"/>
          <w:szCs w:val="18"/>
        </w:rPr>
      </w:pPr>
      <w:r w:rsidRPr="00954547">
        <w:rPr>
          <w:rFonts w:ascii="Verdana" w:hAnsi="Verdana"/>
          <w:sz w:val="18"/>
          <w:szCs w:val="18"/>
        </w:rPr>
        <w:t xml:space="preserve">During my pregnancy, I fell and the baby </w:t>
      </w:r>
      <w:r w:rsidR="00BC685F" w:rsidRPr="00954547">
        <w:rPr>
          <w:rFonts w:ascii="Verdana" w:hAnsi="Verdana"/>
          <w:sz w:val="18"/>
          <w:szCs w:val="18"/>
        </w:rPr>
        <w:t>came early; I was expecting it in April and the only bad thing I did was go to the toilet and it fell in</w:t>
      </w:r>
      <w:r w:rsidR="0085224B" w:rsidRPr="00954547">
        <w:rPr>
          <w:rFonts w:ascii="Verdana" w:hAnsi="Verdana"/>
          <w:sz w:val="18"/>
          <w:szCs w:val="18"/>
        </w:rPr>
        <w:t>to</w:t>
      </w:r>
      <w:r w:rsidR="00BC685F" w:rsidRPr="00954547">
        <w:rPr>
          <w:rFonts w:ascii="Verdana" w:hAnsi="Verdana"/>
          <w:sz w:val="18"/>
          <w:szCs w:val="18"/>
        </w:rPr>
        <w:t xml:space="preserve"> the tank. I was helped up in a bad way; they took me to the hospital and I cannot remember what happened then; I can’t remember what my family did there. This happened at the end of February, around the 27</w:t>
      </w:r>
      <w:r w:rsidR="00BC685F" w:rsidRPr="00954547">
        <w:rPr>
          <w:rFonts w:ascii="Verdana" w:hAnsi="Verdana"/>
          <w:sz w:val="18"/>
          <w:szCs w:val="18"/>
          <w:vertAlign w:val="superscript"/>
        </w:rPr>
        <w:t>th</w:t>
      </w:r>
      <w:r w:rsidR="00BC685F" w:rsidRPr="00954547">
        <w:rPr>
          <w:rFonts w:ascii="Verdana" w:hAnsi="Verdana"/>
          <w:sz w:val="18"/>
          <w:szCs w:val="18"/>
        </w:rPr>
        <w:t>; they say that I am guilty, but God known that it is not like that.</w:t>
      </w:r>
      <w:r w:rsidR="0085025C" w:rsidRPr="00954547">
        <w:rPr>
          <w:rStyle w:val="FootnoteReference"/>
          <w:rFonts w:ascii="Verdana" w:hAnsi="Verdana"/>
          <w:sz w:val="18"/>
          <w:szCs w:val="18"/>
        </w:rPr>
        <w:footnoteReference w:id="160"/>
      </w:r>
    </w:p>
    <w:p w14:paraId="3861EFFE" w14:textId="1FEB3397" w:rsidR="0085025C" w:rsidRPr="00954547" w:rsidRDefault="00BC685F" w:rsidP="00855F4D">
      <w:pPr>
        <w:pStyle w:val="Numberedparagraphs"/>
        <w:tabs>
          <w:tab w:val="left" w:pos="567"/>
        </w:tabs>
        <w:rPr>
          <w:sz w:val="18"/>
          <w:szCs w:val="18"/>
          <w:lang w:val="en-US"/>
        </w:rPr>
      </w:pPr>
      <w:r w:rsidRPr="00954547">
        <w:rPr>
          <w:lang w:val="en-US"/>
        </w:rPr>
        <w:t xml:space="preserve">On July 31, </w:t>
      </w:r>
      <w:r w:rsidR="0085025C" w:rsidRPr="00954547">
        <w:rPr>
          <w:lang w:val="en-US"/>
        </w:rPr>
        <w:t>2008</w:t>
      </w:r>
      <w:r w:rsidRPr="00954547">
        <w:rPr>
          <w:lang w:val="en-US"/>
        </w:rPr>
        <w:t>,</w:t>
      </w:r>
      <w:r w:rsidR="0085025C" w:rsidRPr="00954547">
        <w:rPr>
          <w:lang w:val="en-US"/>
        </w:rPr>
        <w:t xml:space="preserve"> </w:t>
      </w:r>
      <w:r w:rsidR="00E42FA0" w:rsidRPr="00954547">
        <w:rPr>
          <w:lang w:val="en-US"/>
        </w:rPr>
        <w:t xml:space="preserve">the public hearing </w:t>
      </w:r>
      <w:r w:rsidR="0085224B" w:rsidRPr="00954547">
        <w:rPr>
          <w:lang w:val="en-US"/>
        </w:rPr>
        <w:t>of</w:t>
      </w:r>
      <w:r w:rsidR="00E42FA0" w:rsidRPr="00954547">
        <w:rPr>
          <w:lang w:val="en-US"/>
        </w:rPr>
        <w:t xml:space="preserve"> the </w:t>
      </w:r>
      <w:r w:rsidR="0085224B" w:rsidRPr="00954547">
        <w:rPr>
          <w:lang w:val="en-US"/>
        </w:rPr>
        <w:t>trial</w:t>
      </w:r>
      <w:r w:rsidR="00E42FA0" w:rsidRPr="00954547">
        <w:rPr>
          <w:lang w:val="en-US"/>
        </w:rPr>
        <w:t xml:space="preserve"> against </w:t>
      </w:r>
      <w:r w:rsidR="0085025C" w:rsidRPr="00954547">
        <w:rPr>
          <w:lang w:val="en-US"/>
        </w:rPr>
        <w:t>Manuela</w:t>
      </w:r>
      <w:r w:rsidR="00E42FA0" w:rsidRPr="00954547">
        <w:rPr>
          <w:lang w:val="en-US"/>
        </w:rPr>
        <w:t xml:space="preserve"> was held.</w:t>
      </w:r>
      <w:r w:rsidR="0085025C" w:rsidRPr="00954547">
        <w:rPr>
          <w:rStyle w:val="FootnoteReference"/>
          <w:lang w:val="en-US"/>
        </w:rPr>
        <w:footnoteReference w:id="161"/>
      </w:r>
      <w:r w:rsidR="0085025C" w:rsidRPr="00954547">
        <w:rPr>
          <w:lang w:val="en-US"/>
        </w:rPr>
        <w:t xml:space="preserve"> Dur</w:t>
      </w:r>
      <w:r w:rsidR="00E42FA0" w:rsidRPr="00954547">
        <w:rPr>
          <w:lang w:val="en-US"/>
        </w:rPr>
        <w:t xml:space="preserve">ing this procedure, the doctor who had performed the autopsy on the newborn ratified his report and expanded this indicating that, according to optic and hydrostatic docimasia </w:t>
      </w:r>
      <w:r w:rsidR="0085224B" w:rsidRPr="00954547">
        <w:rPr>
          <w:lang w:val="en-US"/>
        </w:rPr>
        <w:t xml:space="preserve">tests </w:t>
      </w:r>
      <w:r w:rsidR="00E42FA0" w:rsidRPr="00954547">
        <w:rPr>
          <w:lang w:val="en-US"/>
        </w:rPr>
        <w:t>“the child could have lived approximately ten to fifteen minutes because he was full-term.</w:t>
      </w:r>
      <w:r w:rsidR="0085025C" w:rsidRPr="00954547">
        <w:rPr>
          <w:lang w:val="en-US"/>
        </w:rPr>
        <w:t>”</w:t>
      </w:r>
      <w:r w:rsidR="0085025C" w:rsidRPr="00954547">
        <w:rPr>
          <w:rStyle w:val="FootnoteReference"/>
          <w:lang w:val="en-US"/>
        </w:rPr>
        <w:footnoteReference w:id="162"/>
      </w:r>
      <w:r w:rsidR="00E42FA0" w:rsidRPr="00954547">
        <w:rPr>
          <w:lang w:val="en-US"/>
        </w:rPr>
        <w:t xml:space="preserve"> He also </w:t>
      </w:r>
      <w:r w:rsidR="005327BF" w:rsidRPr="00954547">
        <w:rPr>
          <w:lang w:val="en-US"/>
        </w:rPr>
        <w:t>st</w:t>
      </w:r>
      <w:r w:rsidR="00E42FA0" w:rsidRPr="00954547">
        <w:rPr>
          <w:lang w:val="en-US"/>
        </w:rPr>
        <w:t>ated that “it was not possible to refer to it as a miscarriage, because, medically, a miscarriage is any birth of less than twenty weeks</w:t>
      </w:r>
      <w:r w:rsidR="00855F4D" w:rsidRPr="00954547">
        <w:rPr>
          <w:lang w:val="en-US"/>
        </w:rPr>
        <w:t>; in other words, it is considered that less than five months is a miscarriage and this case relates to a full-term pregnancy of the complete nine months.</w:t>
      </w:r>
      <w:r w:rsidR="0085025C" w:rsidRPr="00954547">
        <w:rPr>
          <w:lang w:val="en-US"/>
        </w:rPr>
        <w:t>”</w:t>
      </w:r>
      <w:r w:rsidR="0085025C" w:rsidRPr="00954547">
        <w:rPr>
          <w:vertAlign w:val="superscript"/>
          <w:lang w:val="en-US"/>
        </w:rPr>
        <w:footnoteReference w:id="163"/>
      </w:r>
    </w:p>
    <w:p w14:paraId="2040BDF0" w14:textId="3EB72654" w:rsidR="0085025C" w:rsidRPr="00954547" w:rsidRDefault="00855F4D" w:rsidP="0085025C">
      <w:pPr>
        <w:pStyle w:val="Numberedparagraphs"/>
        <w:tabs>
          <w:tab w:val="left" w:pos="567"/>
        </w:tabs>
        <w:rPr>
          <w:lang w:val="en-US"/>
        </w:rPr>
      </w:pPr>
      <w:r w:rsidRPr="00954547">
        <w:rPr>
          <w:rFonts w:eastAsiaTheme="minorHAnsi"/>
          <w:lang w:val="en-US"/>
        </w:rPr>
        <w:t xml:space="preserve">Although the testimony of </w:t>
      </w:r>
      <w:r w:rsidR="00FF2DDD" w:rsidRPr="00954547">
        <w:rPr>
          <w:rFonts w:eastAsiaTheme="minorHAnsi"/>
          <w:lang w:val="en-US"/>
        </w:rPr>
        <w:t>Manuela’s mother</w:t>
      </w:r>
      <w:r w:rsidRPr="00954547">
        <w:rPr>
          <w:rFonts w:eastAsiaTheme="minorHAnsi"/>
          <w:lang w:val="en-US"/>
        </w:rPr>
        <w:t xml:space="preserve"> had been offered, she did not make a statement during the public hearing because, </w:t>
      </w:r>
      <w:r w:rsidR="005327BF" w:rsidRPr="00954547">
        <w:rPr>
          <w:rFonts w:eastAsiaTheme="minorHAnsi"/>
          <w:lang w:val="en-US"/>
        </w:rPr>
        <w:t xml:space="preserve">at that time, </w:t>
      </w:r>
      <w:r w:rsidRPr="00954547">
        <w:rPr>
          <w:rFonts w:eastAsiaTheme="minorHAnsi"/>
          <w:lang w:val="en-US"/>
        </w:rPr>
        <w:t xml:space="preserve">Manuela’s defense counsel asked that it be </w:t>
      </w:r>
      <w:r w:rsidR="004E2A50" w:rsidRPr="00954547">
        <w:rPr>
          <w:rFonts w:eastAsiaTheme="minorHAnsi"/>
          <w:lang w:val="en-US"/>
        </w:rPr>
        <w:t xml:space="preserve">dispensed with at </w:t>
      </w:r>
      <w:r w:rsidR="005327BF" w:rsidRPr="00954547">
        <w:rPr>
          <w:rFonts w:eastAsiaTheme="minorHAnsi"/>
          <w:lang w:val="en-US"/>
        </w:rPr>
        <w:t>Manuela’s</w:t>
      </w:r>
      <w:r w:rsidR="004E2A50" w:rsidRPr="00954547">
        <w:rPr>
          <w:rFonts w:eastAsiaTheme="minorHAnsi"/>
          <w:lang w:val="en-US"/>
        </w:rPr>
        <w:t xml:space="preserve"> request.</w:t>
      </w:r>
      <w:r w:rsidR="0085025C" w:rsidRPr="00954547">
        <w:rPr>
          <w:rStyle w:val="FootnoteReference"/>
          <w:rFonts w:eastAsiaTheme="minorHAnsi"/>
          <w:lang w:val="en-US"/>
        </w:rPr>
        <w:footnoteReference w:id="164"/>
      </w:r>
      <w:r w:rsidR="004E2A50" w:rsidRPr="00954547">
        <w:rPr>
          <w:rFonts w:eastAsiaTheme="minorHAnsi"/>
          <w:lang w:val="en-US"/>
        </w:rPr>
        <w:t xml:space="preserve"> The </w:t>
      </w:r>
      <w:r w:rsidR="005327BF" w:rsidRPr="00954547">
        <w:rPr>
          <w:rFonts w:eastAsiaTheme="minorHAnsi"/>
          <w:lang w:val="en-US"/>
        </w:rPr>
        <w:t xml:space="preserve">public </w:t>
      </w:r>
      <w:r w:rsidR="004E2A50" w:rsidRPr="00954547">
        <w:rPr>
          <w:rFonts w:eastAsiaTheme="minorHAnsi"/>
          <w:lang w:val="en-US"/>
        </w:rPr>
        <w:t>defender requested her acquittal considering that, even though “the existence of the offense had been demonstrated,” the circumstances surrounding it were unclear.</w:t>
      </w:r>
      <w:r w:rsidR="0085025C" w:rsidRPr="00954547">
        <w:rPr>
          <w:rStyle w:val="FootnoteReference"/>
          <w:rFonts w:eastAsiaTheme="minorHAnsi"/>
          <w:lang w:val="en-US"/>
        </w:rPr>
        <w:footnoteReference w:id="165"/>
      </w:r>
    </w:p>
    <w:p w14:paraId="430D95BB" w14:textId="40FF87D5" w:rsidR="0074732F" w:rsidRPr="00954547" w:rsidRDefault="003212CD" w:rsidP="00386B24">
      <w:pPr>
        <w:pStyle w:val="Heading2"/>
        <w:tabs>
          <w:tab w:val="left" w:pos="567"/>
        </w:tabs>
        <w:rPr>
          <w:lang w:val="en-US"/>
        </w:rPr>
      </w:pPr>
      <w:bookmarkStart w:id="46" w:name="_Toc106353903"/>
      <w:r w:rsidRPr="00954547">
        <w:rPr>
          <w:lang w:val="en-US"/>
        </w:rPr>
        <w:t>Guilty verdict</w:t>
      </w:r>
      <w:bookmarkEnd w:id="45"/>
      <w:bookmarkEnd w:id="46"/>
    </w:p>
    <w:p w14:paraId="725051C7" w14:textId="35819C8D" w:rsidR="0085025C" w:rsidRPr="00954547" w:rsidRDefault="007232D8" w:rsidP="001A411E">
      <w:pPr>
        <w:pStyle w:val="Numberedparagraphs"/>
        <w:tabs>
          <w:tab w:val="left" w:pos="567"/>
        </w:tabs>
        <w:rPr>
          <w:lang w:val="en-US"/>
        </w:rPr>
      </w:pPr>
      <w:r w:rsidRPr="00954547">
        <w:rPr>
          <w:lang w:val="en-US"/>
        </w:rPr>
        <w:t>On August 11,</w:t>
      </w:r>
      <w:r w:rsidR="0085025C" w:rsidRPr="00954547">
        <w:rPr>
          <w:lang w:val="en-US"/>
        </w:rPr>
        <w:t xml:space="preserve"> 2008</w:t>
      </w:r>
      <w:r w:rsidR="003212CD" w:rsidRPr="00954547">
        <w:rPr>
          <w:lang w:val="en-US"/>
        </w:rPr>
        <w:t xml:space="preserve">, </w:t>
      </w:r>
      <w:r w:rsidR="00E76B1A" w:rsidRPr="00954547">
        <w:rPr>
          <w:lang w:val="en-US"/>
        </w:rPr>
        <w:t xml:space="preserve">the </w:t>
      </w:r>
      <w:r w:rsidR="003212CD" w:rsidRPr="00954547">
        <w:rPr>
          <w:lang w:val="en-US"/>
        </w:rPr>
        <w:t>Trial Court</w:t>
      </w:r>
      <w:r w:rsidR="00B8393C" w:rsidRPr="00954547">
        <w:rPr>
          <w:lang w:val="en-US"/>
        </w:rPr>
        <w:t xml:space="preserve"> of</w:t>
      </w:r>
      <w:r w:rsidR="0085025C" w:rsidRPr="00954547">
        <w:rPr>
          <w:lang w:val="en-US"/>
        </w:rPr>
        <w:t xml:space="preserve"> San Francisco </w:t>
      </w:r>
      <w:r w:rsidR="003031E6" w:rsidRPr="00954547">
        <w:rPr>
          <w:lang w:val="en-US"/>
        </w:rPr>
        <w:t xml:space="preserve">Gotera </w:t>
      </w:r>
      <w:r w:rsidR="003212CD" w:rsidRPr="00954547">
        <w:rPr>
          <w:lang w:val="en-US"/>
        </w:rPr>
        <w:t>sentenced</w:t>
      </w:r>
      <w:r w:rsidR="0085025C" w:rsidRPr="00954547">
        <w:rPr>
          <w:lang w:val="en-US"/>
        </w:rPr>
        <w:t xml:space="preserve"> </w:t>
      </w:r>
      <w:r w:rsidR="00607E12" w:rsidRPr="00954547">
        <w:rPr>
          <w:lang w:val="en-US"/>
        </w:rPr>
        <w:t>the presumed victim</w:t>
      </w:r>
      <w:r w:rsidR="0085025C" w:rsidRPr="00954547">
        <w:rPr>
          <w:lang w:val="en-US"/>
        </w:rPr>
        <w:t xml:space="preserve"> </w:t>
      </w:r>
      <w:r w:rsidR="003212CD" w:rsidRPr="00954547">
        <w:rPr>
          <w:lang w:val="en-US"/>
        </w:rPr>
        <w:t xml:space="preserve">to 30 years’ imprisonment for the </w:t>
      </w:r>
      <w:r w:rsidR="005327BF" w:rsidRPr="00954547">
        <w:rPr>
          <w:lang w:val="en-US"/>
        </w:rPr>
        <w:t>crime</w:t>
      </w:r>
      <w:r w:rsidR="00A30CA9" w:rsidRPr="00954547">
        <w:rPr>
          <w:lang w:val="en-US"/>
        </w:rPr>
        <w:t xml:space="preserve"> of aggravated homicide</w:t>
      </w:r>
      <w:r w:rsidR="003212CD" w:rsidRPr="00954547">
        <w:rPr>
          <w:lang w:val="en-US"/>
        </w:rPr>
        <w:t>.</w:t>
      </w:r>
      <w:r w:rsidR="0085025C" w:rsidRPr="00954547">
        <w:rPr>
          <w:vertAlign w:val="superscript"/>
          <w:lang w:val="en-US"/>
        </w:rPr>
        <w:footnoteReference w:id="166"/>
      </w:r>
      <w:r w:rsidR="0085025C" w:rsidRPr="00954547">
        <w:rPr>
          <w:lang w:val="en-US"/>
        </w:rPr>
        <w:t xml:space="preserve"> </w:t>
      </w:r>
      <w:r w:rsidR="00E76B1A" w:rsidRPr="00954547">
        <w:rPr>
          <w:lang w:val="en-US"/>
        </w:rPr>
        <w:t xml:space="preserve">The </w:t>
      </w:r>
      <w:r w:rsidR="001A411E" w:rsidRPr="00954547">
        <w:rPr>
          <w:lang w:val="en-US"/>
        </w:rPr>
        <w:t>c</w:t>
      </w:r>
      <w:r w:rsidR="00E76B1A" w:rsidRPr="00954547">
        <w:rPr>
          <w:lang w:val="en-US"/>
        </w:rPr>
        <w:t>ourt</w:t>
      </w:r>
      <w:r w:rsidR="0085025C" w:rsidRPr="00954547">
        <w:rPr>
          <w:lang w:val="en-US"/>
        </w:rPr>
        <w:t xml:space="preserve"> consider</w:t>
      </w:r>
      <w:r w:rsidR="003212CD" w:rsidRPr="00954547">
        <w:rPr>
          <w:lang w:val="en-US"/>
        </w:rPr>
        <w:t>ed that</w:t>
      </w:r>
      <w:r w:rsidR="0085025C" w:rsidRPr="00954547">
        <w:rPr>
          <w:lang w:val="en-US"/>
        </w:rPr>
        <w:t xml:space="preserve">: </w:t>
      </w:r>
      <w:r w:rsidR="003212CD" w:rsidRPr="00954547">
        <w:rPr>
          <w:lang w:val="en-US"/>
        </w:rPr>
        <w:t>(</w:t>
      </w:r>
      <w:r w:rsidR="0085025C" w:rsidRPr="00954547">
        <w:rPr>
          <w:lang w:val="en-US"/>
        </w:rPr>
        <w:t xml:space="preserve">1) </w:t>
      </w:r>
      <w:r w:rsidR="003212CD" w:rsidRPr="00954547">
        <w:rPr>
          <w:lang w:val="en-US"/>
        </w:rPr>
        <w:t xml:space="preserve">the newborn had lived for between ten and fifteen minutes and had died due to mechanical asphyxia due to obstruction of the upper airways by the “excreta into which </w:t>
      </w:r>
      <w:r w:rsidR="001B7611" w:rsidRPr="00954547">
        <w:rPr>
          <w:lang w:val="en-US"/>
        </w:rPr>
        <w:t>he</w:t>
      </w:r>
      <w:r w:rsidR="003212CD" w:rsidRPr="00954547">
        <w:rPr>
          <w:lang w:val="en-US"/>
        </w:rPr>
        <w:t xml:space="preserve"> was thrown”; (2)</w:t>
      </w:r>
      <w:r w:rsidR="00FB511E" w:rsidRPr="00954547">
        <w:rPr>
          <w:lang w:val="en-US"/>
        </w:rPr>
        <w:t xml:space="preserve"> the newborn “had independent life and legal existence”; (3) “a precise causal relationship existed in the act owing to the immediate temporal sequence between the action of disposing of the newborn to deprive </w:t>
      </w:r>
      <w:r w:rsidR="001B7611" w:rsidRPr="00954547">
        <w:rPr>
          <w:lang w:val="en-US"/>
        </w:rPr>
        <w:t>him</w:t>
      </w:r>
      <w:r w:rsidR="00FB511E" w:rsidRPr="00954547">
        <w:rPr>
          <w:lang w:val="en-US"/>
        </w:rPr>
        <w:t xml:space="preserve"> of </w:t>
      </w:r>
      <w:r w:rsidR="001B7611" w:rsidRPr="00954547">
        <w:rPr>
          <w:lang w:val="en-US"/>
        </w:rPr>
        <w:t>his</w:t>
      </w:r>
      <w:r w:rsidR="00FB511E" w:rsidRPr="00954547">
        <w:rPr>
          <w:lang w:val="en-US"/>
        </w:rPr>
        <w:t xml:space="preserve"> life and the result obtained, which was </w:t>
      </w:r>
      <w:r w:rsidR="001B7611" w:rsidRPr="00954547">
        <w:rPr>
          <w:lang w:val="en-US"/>
        </w:rPr>
        <w:t>his</w:t>
      </w:r>
      <w:r w:rsidR="00FB511E" w:rsidRPr="00954547">
        <w:rPr>
          <w:lang w:val="en-US"/>
        </w:rPr>
        <w:t xml:space="preserve"> death”; (4) the deceased was Manuela’s son, and (5) “</w:t>
      </w:r>
      <w:r w:rsidR="00EF7D33" w:rsidRPr="00954547">
        <w:rPr>
          <w:lang w:val="en-US"/>
        </w:rPr>
        <w:t xml:space="preserve">by giving several versions that were logically and medically inconsistent and implausible, the defendant has </w:t>
      </w:r>
      <w:r w:rsidR="001B7611" w:rsidRPr="00954547">
        <w:rPr>
          <w:lang w:val="en-US"/>
        </w:rPr>
        <w:t>suggested to</w:t>
      </w:r>
      <w:r w:rsidR="00EF7D33" w:rsidRPr="00954547">
        <w:rPr>
          <w:lang w:val="en-US"/>
        </w:rPr>
        <w:t xml:space="preserve"> the judge the possible reasons she had to try and hide the act she committed; first, she was aware of her pregnancy and that </w:t>
      </w:r>
      <w:r w:rsidR="001B7611" w:rsidRPr="00954547">
        <w:rPr>
          <w:lang w:val="en-US"/>
        </w:rPr>
        <w:t>it</w:t>
      </w:r>
      <w:r w:rsidR="00EF7D33" w:rsidRPr="00954547">
        <w:rPr>
          <w:lang w:val="en-US"/>
        </w:rPr>
        <w:t xml:space="preserve"> was the result of infidelity because she was married; therefore, being able to choose between having the baby, taking care of it, feeding it and living for it as any biological mother would do, she chose a conduct that was </w:t>
      </w:r>
      <w:r w:rsidR="001A411E" w:rsidRPr="00954547">
        <w:rPr>
          <w:lang w:val="en-US"/>
        </w:rPr>
        <w:t>anti-nature and against the law</w:t>
      </w:r>
      <w:r w:rsidR="001B7611" w:rsidRPr="00954547">
        <w:rPr>
          <w:lang w:val="en-US"/>
        </w:rPr>
        <w:t>s</w:t>
      </w:r>
      <w:r w:rsidR="001A411E" w:rsidRPr="00954547">
        <w:rPr>
          <w:lang w:val="en-US"/>
        </w:rPr>
        <w:t xml:space="preserve"> to which we are all subject, and thus she waited until she </w:t>
      </w:r>
      <w:r w:rsidR="001B7611" w:rsidRPr="00954547">
        <w:rPr>
          <w:lang w:val="en-US"/>
        </w:rPr>
        <w:t>had given</w:t>
      </w:r>
      <w:r w:rsidR="001A411E" w:rsidRPr="00954547">
        <w:rPr>
          <w:lang w:val="en-US"/>
        </w:rPr>
        <w:t xml:space="preserve"> birth to the baby to then dispose of him, throwing him in the septic tank.” The court also indicated that</w:t>
      </w:r>
      <w:r w:rsidR="0085025C" w:rsidRPr="00954547">
        <w:rPr>
          <w:lang w:val="en-US"/>
        </w:rPr>
        <w:t>:</w:t>
      </w:r>
    </w:p>
    <w:p w14:paraId="292AB396" w14:textId="4E6B0DD4" w:rsidR="00CC003D" w:rsidRPr="00954547" w:rsidRDefault="002C410B" w:rsidP="00BB469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right="616"/>
        <w:jc w:val="both"/>
        <w:rPr>
          <w:rFonts w:ascii="Verdana" w:hAnsi="Verdana"/>
          <w:sz w:val="18"/>
          <w:szCs w:val="18"/>
        </w:rPr>
      </w:pPr>
      <w:r w:rsidRPr="00954547">
        <w:rPr>
          <w:rFonts w:ascii="Verdana" w:hAnsi="Verdana"/>
          <w:sz w:val="18"/>
          <w:szCs w:val="18"/>
        </w:rPr>
        <w:t xml:space="preserve">Furthermore, </w:t>
      </w:r>
      <w:r w:rsidR="00BB469F" w:rsidRPr="00954547">
        <w:rPr>
          <w:rFonts w:ascii="Verdana" w:hAnsi="Verdana"/>
          <w:sz w:val="18"/>
          <w:szCs w:val="18"/>
        </w:rPr>
        <w:t>when reviewing the different versions that the defendant gave to the different persons who interviewed her, such as, “that she was unaware of everything and perhaps the baby had come with the pain or with the diarrhea, and that she had fainted, or in the worst case that, in this situation of unconsciousness, it was someone else who had thrown the baby into the septic tank”; these statements are unbelievable and even improbable under the rules of acceptable human understanding, because the maternal instinct is to protect the child, and, generally, any complication in the delivery results in seeking immediate medical help or, at the very least, the help of close family members, not depriving a newborn of its life. However, in this case the defendant, in her efforts to dispose of the product of her pregnancy following the birth – because it was the result of infidelity – and given the paternal irresponsibility noted by her biological father, with full awareness, seeing the baby alive, deliberately sought the appropriate means and place to make it disappear, thus taking from her child […] th</w:t>
      </w:r>
      <w:r w:rsidR="00AA270B" w:rsidRPr="00954547">
        <w:rPr>
          <w:rFonts w:ascii="Verdana" w:hAnsi="Verdana"/>
          <w:sz w:val="18"/>
          <w:szCs w:val="18"/>
        </w:rPr>
        <w:t>e</w:t>
      </w:r>
      <w:r w:rsidR="00BB469F" w:rsidRPr="00954547">
        <w:rPr>
          <w:rFonts w:ascii="Verdana" w:hAnsi="Verdana"/>
          <w:sz w:val="18"/>
          <w:szCs w:val="18"/>
        </w:rPr>
        <w:t xml:space="preserve"> opportunity to live […] and, in this case, it is all the more reprehensible that this was an act of a mother towards her own child</w:t>
      </w:r>
      <w:r w:rsidR="00937BEF" w:rsidRPr="00954547">
        <w:rPr>
          <w:rFonts w:ascii="Verdana" w:hAnsi="Verdana"/>
          <w:sz w:val="18"/>
          <w:szCs w:val="18"/>
        </w:rPr>
        <w:t>.</w:t>
      </w:r>
      <w:r w:rsidR="0085025C" w:rsidRPr="00954547">
        <w:rPr>
          <w:rFonts w:ascii="Verdana" w:hAnsi="Verdana"/>
          <w:sz w:val="18"/>
          <w:szCs w:val="18"/>
          <w:vertAlign w:val="superscript"/>
        </w:rPr>
        <w:footnoteReference w:id="167"/>
      </w:r>
    </w:p>
    <w:p w14:paraId="0E56CFBA" w14:textId="210C2613" w:rsidR="0085025C" w:rsidRPr="00954547" w:rsidRDefault="00E33CBF" w:rsidP="00C77C6E">
      <w:pPr>
        <w:pStyle w:val="Numberedparagraphs"/>
        <w:tabs>
          <w:tab w:val="left" w:pos="567"/>
        </w:tabs>
        <w:rPr>
          <w:lang w:val="en-US"/>
        </w:rPr>
      </w:pPr>
      <w:r w:rsidRPr="00954547">
        <w:rPr>
          <w:lang w:val="en-US"/>
        </w:rPr>
        <w:t xml:space="preserve">When determining the </w:t>
      </w:r>
      <w:r w:rsidR="00AA270B" w:rsidRPr="00954547">
        <w:rPr>
          <w:lang w:val="en-US"/>
        </w:rPr>
        <w:t>sentence</w:t>
      </w:r>
      <w:r w:rsidRPr="00954547">
        <w:rPr>
          <w:lang w:val="en-US"/>
        </w:rPr>
        <w:t>,</w:t>
      </w:r>
      <w:r w:rsidR="0085025C" w:rsidRPr="00954547">
        <w:rPr>
          <w:lang w:val="en-US"/>
        </w:rPr>
        <w:t xml:space="preserve"> </w:t>
      </w:r>
      <w:r w:rsidR="00E76B1A" w:rsidRPr="00954547">
        <w:rPr>
          <w:lang w:val="en-US"/>
        </w:rPr>
        <w:t xml:space="preserve">the </w:t>
      </w:r>
      <w:r w:rsidRPr="00954547">
        <w:rPr>
          <w:lang w:val="en-US"/>
        </w:rPr>
        <w:t>c</w:t>
      </w:r>
      <w:r w:rsidR="00E76B1A" w:rsidRPr="00954547">
        <w:rPr>
          <w:lang w:val="en-US"/>
        </w:rPr>
        <w:t>ourt</w:t>
      </w:r>
      <w:r w:rsidR="0085025C" w:rsidRPr="00954547">
        <w:rPr>
          <w:lang w:val="en-US"/>
        </w:rPr>
        <w:t xml:space="preserve"> </w:t>
      </w:r>
      <w:r w:rsidRPr="00954547">
        <w:rPr>
          <w:lang w:val="en-US"/>
        </w:rPr>
        <w:t>indicated that</w:t>
      </w:r>
      <w:r w:rsidR="0085025C" w:rsidRPr="00954547">
        <w:rPr>
          <w:lang w:val="en-US"/>
        </w:rPr>
        <w:t xml:space="preserve"> “</w:t>
      </w:r>
      <w:r w:rsidRPr="00954547">
        <w:rPr>
          <w:lang w:val="en-US"/>
        </w:rPr>
        <w:t>there is no legal reason that would justify a mother killing a child and, above all, a defenseless newborn, and it has been proved during the proceedings that the only reason that the defendant had was to avoid public censure or rejection by her husband for her infidelity</w:t>
      </w:r>
      <w:r w:rsidR="0085025C" w:rsidRPr="00954547">
        <w:rPr>
          <w:lang w:val="en-US"/>
        </w:rPr>
        <w:t>”</w:t>
      </w:r>
      <w:r w:rsidR="0085025C" w:rsidRPr="00954547">
        <w:rPr>
          <w:rStyle w:val="FootnoteReference"/>
          <w:lang w:val="en-US"/>
        </w:rPr>
        <w:footnoteReference w:id="168"/>
      </w:r>
      <w:r w:rsidRPr="00954547">
        <w:rPr>
          <w:lang w:val="en-US"/>
        </w:rPr>
        <w:t xml:space="preserve"> </w:t>
      </w:r>
      <w:r w:rsidR="0078694F" w:rsidRPr="00954547">
        <w:rPr>
          <w:lang w:val="en-US"/>
        </w:rPr>
        <w:t xml:space="preserve">and </w:t>
      </w:r>
      <w:r w:rsidRPr="00954547">
        <w:rPr>
          <w:lang w:val="en-US"/>
        </w:rPr>
        <w:t>that</w:t>
      </w:r>
      <w:r w:rsidR="0085025C" w:rsidRPr="00954547">
        <w:rPr>
          <w:lang w:val="en-US"/>
        </w:rPr>
        <w:t xml:space="preserve"> “[</w:t>
      </w:r>
      <w:r w:rsidRPr="00954547">
        <w:rPr>
          <w:lang w:val="en-US"/>
        </w:rPr>
        <w:t>i]t is evident that the defendant</w:t>
      </w:r>
      <w:r w:rsidR="00C77C6E" w:rsidRPr="00954547">
        <w:rPr>
          <w:lang w:val="en-US"/>
        </w:rPr>
        <w:t xml:space="preserve"> has a very low level of </w:t>
      </w:r>
      <w:r w:rsidR="00AA270B" w:rsidRPr="00954547">
        <w:rPr>
          <w:lang w:val="en-US"/>
        </w:rPr>
        <w:t>education</w:t>
      </w:r>
      <w:r w:rsidR="00C77C6E" w:rsidRPr="00954547">
        <w:rPr>
          <w:lang w:val="en-US"/>
        </w:rPr>
        <w:t xml:space="preserve">, </w:t>
      </w:r>
      <w:r w:rsidR="00AA270B" w:rsidRPr="00954547">
        <w:rPr>
          <w:lang w:val="en-US"/>
        </w:rPr>
        <w:t>growing up</w:t>
      </w:r>
      <w:r w:rsidR="00C77C6E" w:rsidRPr="00954547">
        <w:rPr>
          <w:lang w:val="en-US"/>
        </w:rPr>
        <w:t xml:space="preserve"> in the countryside, in a place with traditional </w:t>
      </w:r>
      <w:r w:rsidR="00AA270B" w:rsidRPr="00954547">
        <w:rPr>
          <w:lang w:val="en-US"/>
        </w:rPr>
        <w:t>standards</w:t>
      </w:r>
      <w:r w:rsidR="00C77C6E" w:rsidRPr="00954547">
        <w:rPr>
          <w:lang w:val="en-US"/>
        </w:rPr>
        <w:t>; however, this situation does not justify such criminal behavior by the defendant</w:t>
      </w:r>
      <w:r w:rsidR="009B0B9E" w:rsidRPr="00954547">
        <w:rPr>
          <w:lang w:val="en-US"/>
        </w:rPr>
        <w:t>; however,</w:t>
      </w:r>
      <w:r w:rsidR="00C77C6E" w:rsidRPr="00954547">
        <w:rPr>
          <w:lang w:val="en-US"/>
        </w:rPr>
        <w:t xml:space="preserve"> these factors are taken into account to impose the minimum punishment established for the </w:t>
      </w:r>
      <w:r w:rsidR="009B0B9E" w:rsidRPr="00954547">
        <w:rPr>
          <w:lang w:val="en-US"/>
        </w:rPr>
        <w:t>crime</w:t>
      </w:r>
      <w:r w:rsidR="00C77C6E" w:rsidRPr="00954547">
        <w:rPr>
          <w:lang w:val="en-US"/>
        </w:rPr>
        <w:t xml:space="preserve"> that has been proved.</w:t>
      </w:r>
      <w:r w:rsidR="0085025C" w:rsidRPr="00954547">
        <w:rPr>
          <w:lang w:val="en-US"/>
        </w:rPr>
        <w:t>”</w:t>
      </w:r>
      <w:r w:rsidR="0085025C" w:rsidRPr="00954547">
        <w:rPr>
          <w:rStyle w:val="FootnoteReference"/>
          <w:lang w:val="en-US"/>
        </w:rPr>
        <w:footnoteReference w:id="169"/>
      </w:r>
    </w:p>
    <w:p w14:paraId="1925DE25" w14:textId="1CCDAAEF" w:rsidR="00763DD4" w:rsidRPr="00954547" w:rsidRDefault="007E3A8B" w:rsidP="00386B24">
      <w:pPr>
        <w:pStyle w:val="Numberedparagraphs"/>
        <w:tabs>
          <w:tab w:val="left" w:pos="567"/>
        </w:tabs>
        <w:rPr>
          <w:lang w:val="en-US"/>
        </w:rPr>
      </w:pPr>
      <w:bookmarkStart w:id="47" w:name="_Ref88835242"/>
      <w:r w:rsidRPr="00954547">
        <w:rPr>
          <w:lang w:val="en-US"/>
        </w:rPr>
        <w:t xml:space="preserve">The judgment became final on </w:t>
      </w:r>
      <w:r w:rsidR="003A0C7A" w:rsidRPr="00954547">
        <w:rPr>
          <w:lang w:val="en-US"/>
        </w:rPr>
        <w:t>August 26,</w:t>
      </w:r>
      <w:r w:rsidR="00763DD4" w:rsidRPr="00954547">
        <w:rPr>
          <w:lang w:val="en-US"/>
        </w:rPr>
        <w:t xml:space="preserve"> 2008, </w:t>
      </w:r>
      <w:r w:rsidRPr="00954547">
        <w:rPr>
          <w:lang w:val="en-US"/>
        </w:rPr>
        <w:t>because no appeal was filed against it.</w:t>
      </w:r>
      <w:r w:rsidR="0085025C" w:rsidRPr="00954547">
        <w:rPr>
          <w:rStyle w:val="FootnoteReference"/>
          <w:lang w:val="en-US"/>
        </w:rPr>
        <w:footnoteReference w:id="170"/>
      </w:r>
      <w:bookmarkEnd w:id="47"/>
    </w:p>
    <w:p w14:paraId="631819D1" w14:textId="01537BCB" w:rsidR="0074732F" w:rsidRPr="00954547" w:rsidRDefault="00574A7B" w:rsidP="004C1E22">
      <w:pPr>
        <w:pStyle w:val="Heading2"/>
        <w:tabs>
          <w:tab w:val="left" w:pos="567"/>
        </w:tabs>
        <w:jc w:val="both"/>
        <w:rPr>
          <w:lang w:val="en-US"/>
        </w:rPr>
      </w:pPr>
      <w:bookmarkStart w:id="48" w:name="_Toc106353904"/>
      <w:r w:rsidRPr="00954547">
        <w:rPr>
          <w:lang w:val="en-US"/>
        </w:rPr>
        <w:t>S</w:t>
      </w:r>
      <w:r w:rsidR="007E3A8B" w:rsidRPr="00954547">
        <w:rPr>
          <w:lang w:val="en-US"/>
        </w:rPr>
        <w:t>ituation of the presumed victim’s health while deprived of liberty</w:t>
      </w:r>
      <w:bookmarkEnd w:id="48"/>
    </w:p>
    <w:p w14:paraId="69D367E0" w14:textId="6A1D7A12" w:rsidR="0085025C" w:rsidRPr="00954547" w:rsidRDefault="007E3A8B" w:rsidP="0085025C">
      <w:pPr>
        <w:pStyle w:val="Numberedparagraphs"/>
        <w:tabs>
          <w:tab w:val="left" w:pos="567"/>
        </w:tabs>
        <w:rPr>
          <w:sz w:val="22"/>
          <w:szCs w:val="22"/>
          <w:lang w:val="en-US"/>
        </w:rPr>
      </w:pPr>
      <w:r w:rsidRPr="00954547">
        <w:rPr>
          <w:lang w:val="en-US"/>
        </w:rPr>
        <w:t xml:space="preserve">For most of the time that Manuela was in prison, she was confined in the </w:t>
      </w:r>
      <w:r w:rsidR="002A4EC5" w:rsidRPr="00954547">
        <w:rPr>
          <w:lang w:val="en-US"/>
        </w:rPr>
        <w:t>San Miguel Prison.</w:t>
      </w:r>
      <w:r w:rsidR="0085025C" w:rsidRPr="00954547">
        <w:rPr>
          <w:rStyle w:val="FootnoteReference"/>
          <w:rFonts w:eastAsiaTheme="minorHAnsi"/>
          <w:lang w:val="en-US"/>
        </w:rPr>
        <w:footnoteReference w:id="171"/>
      </w:r>
      <w:r w:rsidR="0085025C" w:rsidRPr="00954547">
        <w:rPr>
          <w:sz w:val="22"/>
          <w:szCs w:val="22"/>
          <w:lang w:val="en-US"/>
        </w:rPr>
        <w:t xml:space="preserve"> </w:t>
      </w:r>
    </w:p>
    <w:p w14:paraId="339C2BB3" w14:textId="4F0AE32F" w:rsidR="0085025C" w:rsidRPr="00954547" w:rsidRDefault="002A4EC5" w:rsidP="00C94E39">
      <w:pPr>
        <w:pStyle w:val="Numberedparagraphs"/>
        <w:tabs>
          <w:tab w:val="left" w:pos="567"/>
        </w:tabs>
        <w:rPr>
          <w:sz w:val="22"/>
          <w:szCs w:val="22"/>
          <w:lang w:val="en-US"/>
        </w:rPr>
      </w:pPr>
      <w:r w:rsidRPr="00954547">
        <w:rPr>
          <w:lang w:val="en-US"/>
        </w:rPr>
        <w:t>On February 6,</w:t>
      </w:r>
      <w:r w:rsidR="0085025C" w:rsidRPr="00954547">
        <w:rPr>
          <w:lang w:val="en-US"/>
        </w:rPr>
        <w:t xml:space="preserve"> 2009</w:t>
      </w:r>
      <w:r w:rsidRPr="00954547">
        <w:rPr>
          <w:lang w:val="en-US"/>
        </w:rPr>
        <w:t>,</w:t>
      </w:r>
      <w:r w:rsidR="0085025C" w:rsidRPr="00954547">
        <w:rPr>
          <w:lang w:val="en-US"/>
        </w:rPr>
        <w:t xml:space="preserve"> Manuela </w:t>
      </w:r>
      <w:r w:rsidR="00DB22ED" w:rsidRPr="00954547">
        <w:rPr>
          <w:lang w:val="en-US"/>
        </w:rPr>
        <w:t>was referred to the Rosales National</w:t>
      </w:r>
      <w:r w:rsidR="0085025C" w:rsidRPr="00954547">
        <w:rPr>
          <w:lang w:val="en-US"/>
        </w:rPr>
        <w:t xml:space="preserve"> Hospital. </w:t>
      </w:r>
      <w:r w:rsidR="00DB22ED" w:rsidRPr="00954547">
        <w:rPr>
          <w:lang w:val="en-US"/>
        </w:rPr>
        <w:t>The hospital recorded that Manuela had a “one-year history of the appearance of a lump in the left side of her neck and that, in the last three months, she had lost approximately 30 pounds in weight, and suffered from high temperatures and jaundice.</w:t>
      </w:r>
      <w:r w:rsidR="007962B0" w:rsidRPr="00954547">
        <w:rPr>
          <w:lang w:val="en-US"/>
        </w:rPr>
        <w:t>”</w:t>
      </w:r>
      <w:r w:rsidR="0085025C" w:rsidRPr="00954547">
        <w:rPr>
          <w:rStyle w:val="FootnoteReference"/>
          <w:lang w:val="en-US"/>
        </w:rPr>
        <w:footnoteReference w:id="172"/>
      </w:r>
      <w:r w:rsidR="0085025C" w:rsidRPr="00954547">
        <w:rPr>
          <w:sz w:val="22"/>
          <w:szCs w:val="22"/>
          <w:lang w:val="en-US"/>
        </w:rPr>
        <w:t xml:space="preserve"> </w:t>
      </w:r>
      <w:r w:rsidR="00DB22ED" w:rsidRPr="00954547">
        <w:rPr>
          <w:lang w:val="en-US"/>
        </w:rPr>
        <w:t xml:space="preserve">On February 12, she was diagnosed with </w:t>
      </w:r>
      <w:r w:rsidR="00086913" w:rsidRPr="00954547">
        <w:rPr>
          <w:lang w:val="en-US"/>
        </w:rPr>
        <w:t>nodular sclerosis Hodgkin’s lymphoma</w:t>
      </w:r>
      <w:r w:rsidR="00C94E39" w:rsidRPr="00954547">
        <w:rPr>
          <w:lang w:val="en-US"/>
        </w:rPr>
        <w:t>.</w:t>
      </w:r>
      <w:r w:rsidR="0085025C" w:rsidRPr="00954547">
        <w:rPr>
          <w:rStyle w:val="FootnoteReference"/>
          <w:lang w:val="en-US"/>
        </w:rPr>
        <w:footnoteReference w:id="173"/>
      </w:r>
      <w:r w:rsidR="00C94E39" w:rsidRPr="00954547">
        <w:rPr>
          <w:lang w:val="en-US"/>
        </w:rPr>
        <w:t xml:space="preserve"> Chemotherapy was prescribed and she underwent this treatment over the following months.</w:t>
      </w:r>
      <w:r w:rsidR="0085025C" w:rsidRPr="00954547">
        <w:rPr>
          <w:rStyle w:val="FootnoteReference"/>
          <w:lang w:val="en-US"/>
        </w:rPr>
        <w:footnoteReference w:id="174"/>
      </w:r>
    </w:p>
    <w:p w14:paraId="09452F8C" w14:textId="1D0F739B" w:rsidR="0085025C" w:rsidRPr="00954547" w:rsidRDefault="00C94E39" w:rsidP="0085025C">
      <w:pPr>
        <w:pStyle w:val="Numberedparagraphs"/>
        <w:tabs>
          <w:tab w:val="left" w:pos="567"/>
        </w:tabs>
        <w:rPr>
          <w:sz w:val="22"/>
          <w:szCs w:val="22"/>
          <w:lang w:val="en-US"/>
        </w:rPr>
      </w:pPr>
      <w:r w:rsidRPr="00954547">
        <w:rPr>
          <w:lang w:val="en-US"/>
        </w:rPr>
        <w:t>On</w:t>
      </w:r>
      <w:r w:rsidR="0085025C" w:rsidRPr="00954547">
        <w:rPr>
          <w:lang w:val="en-US"/>
        </w:rPr>
        <w:t xml:space="preserve"> </w:t>
      </w:r>
      <w:r w:rsidR="006771AD" w:rsidRPr="00954547">
        <w:rPr>
          <w:lang w:val="en-US"/>
        </w:rPr>
        <w:t>September 10,</w:t>
      </w:r>
      <w:r w:rsidR="0085025C" w:rsidRPr="00954547">
        <w:rPr>
          <w:lang w:val="en-US"/>
        </w:rPr>
        <w:t xml:space="preserve"> 2009</w:t>
      </w:r>
      <w:r w:rsidRPr="00954547">
        <w:rPr>
          <w:lang w:val="en-US"/>
        </w:rPr>
        <w:t xml:space="preserve">, </w:t>
      </w:r>
      <w:r w:rsidR="0085025C" w:rsidRPr="00954547">
        <w:rPr>
          <w:lang w:val="en-US"/>
        </w:rPr>
        <w:t xml:space="preserve">Manuela </w:t>
      </w:r>
      <w:r w:rsidRPr="00954547">
        <w:rPr>
          <w:lang w:val="en-US"/>
        </w:rPr>
        <w:t>was transferred to the</w:t>
      </w:r>
      <w:r w:rsidR="0085025C" w:rsidRPr="00954547">
        <w:rPr>
          <w:lang w:val="en-US"/>
        </w:rPr>
        <w:t xml:space="preserve"> </w:t>
      </w:r>
      <w:r w:rsidRPr="00954547">
        <w:rPr>
          <w:lang w:val="en-US"/>
        </w:rPr>
        <w:t>Women’s Rehabilitation Center</w:t>
      </w:r>
      <w:r w:rsidR="0085025C" w:rsidRPr="00954547">
        <w:rPr>
          <w:lang w:val="en-US"/>
        </w:rPr>
        <w:t xml:space="preserve"> </w:t>
      </w:r>
      <w:r w:rsidRPr="00954547">
        <w:rPr>
          <w:lang w:val="en-US"/>
        </w:rPr>
        <w:t>of</w:t>
      </w:r>
      <w:r w:rsidR="0085025C" w:rsidRPr="00954547">
        <w:rPr>
          <w:lang w:val="en-US"/>
        </w:rPr>
        <w:t xml:space="preserve"> Ilopango </w:t>
      </w:r>
      <w:r w:rsidRPr="00954547">
        <w:rPr>
          <w:lang w:val="en-US"/>
        </w:rPr>
        <w:t>to facilitate her treatment.</w:t>
      </w:r>
      <w:r w:rsidR="0085025C" w:rsidRPr="00954547">
        <w:rPr>
          <w:rStyle w:val="FootnoteReference"/>
          <w:lang w:val="en-US"/>
        </w:rPr>
        <w:footnoteReference w:id="175"/>
      </w:r>
      <w:r w:rsidR="0085025C" w:rsidRPr="00954547">
        <w:rPr>
          <w:sz w:val="22"/>
          <w:szCs w:val="22"/>
          <w:lang w:val="en-US"/>
        </w:rPr>
        <w:t xml:space="preserve"> </w:t>
      </w:r>
      <w:r w:rsidRPr="00954547">
        <w:rPr>
          <w:lang w:val="en-US"/>
        </w:rPr>
        <w:t>On January 10,</w:t>
      </w:r>
      <w:r w:rsidR="0085025C" w:rsidRPr="00954547">
        <w:rPr>
          <w:lang w:val="en-US"/>
        </w:rPr>
        <w:t xml:space="preserve"> 2010</w:t>
      </w:r>
      <w:r w:rsidRPr="00954547">
        <w:rPr>
          <w:lang w:val="en-US"/>
        </w:rPr>
        <w:t>,</w:t>
      </w:r>
      <w:r w:rsidR="0085025C" w:rsidRPr="00954547">
        <w:rPr>
          <w:lang w:val="en-US"/>
        </w:rPr>
        <w:t xml:space="preserve"> </w:t>
      </w:r>
      <w:r w:rsidR="00607E12" w:rsidRPr="00954547">
        <w:rPr>
          <w:lang w:val="en-US"/>
        </w:rPr>
        <w:t>the presumed victim</w:t>
      </w:r>
      <w:r w:rsidR="0085025C" w:rsidRPr="00954547">
        <w:rPr>
          <w:lang w:val="en-US"/>
        </w:rPr>
        <w:t xml:space="preserve"> </w:t>
      </w:r>
      <w:r w:rsidRPr="00954547">
        <w:rPr>
          <w:lang w:val="en-US"/>
        </w:rPr>
        <w:t xml:space="preserve">was admitted to the Prisoners’ Ward of the Rosales National Hospital where she died </w:t>
      </w:r>
      <w:r w:rsidR="00060952" w:rsidRPr="00954547">
        <w:rPr>
          <w:lang w:val="en-US"/>
        </w:rPr>
        <w:t>on April 30,</w:t>
      </w:r>
      <w:r w:rsidR="0085025C" w:rsidRPr="00954547">
        <w:rPr>
          <w:lang w:val="en-US"/>
        </w:rPr>
        <w:t xml:space="preserve"> 2010</w:t>
      </w:r>
      <w:r w:rsidRPr="00954547">
        <w:rPr>
          <w:lang w:val="en-US"/>
        </w:rPr>
        <w:t>.</w:t>
      </w:r>
      <w:r w:rsidR="0085025C" w:rsidRPr="00954547">
        <w:rPr>
          <w:rStyle w:val="FootnoteReference"/>
          <w:lang w:val="en-US"/>
        </w:rPr>
        <w:footnoteReference w:id="176"/>
      </w:r>
      <w:r w:rsidR="0085025C" w:rsidRPr="00954547">
        <w:rPr>
          <w:lang w:val="en-US"/>
        </w:rPr>
        <w:t xml:space="preserve"> </w:t>
      </w:r>
    </w:p>
    <w:p w14:paraId="5E7C32BC" w14:textId="38680468" w:rsidR="00810557" w:rsidRPr="00954547" w:rsidRDefault="00C94E39" w:rsidP="00386B24">
      <w:pPr>
        <w:pStyle w:val="Heading2"/>
        <w:tabs>
          <w:tab w:val="left" w:pos="567"/>
        </w:tabs>
        <w:jc w:val="both"/>
        <w:rPr>
          <w:lang w:val="en-US"/>
        </w:rPr>
      </w:pPr>
      <w:bookmarkStart w:id="49" w:name="_Toc106353905"/>
      <w:r w:rsidRPr="00954547">
        <w:rPr>
          <w:lang w:val="en-US"/>
        </w:rPr>
        <w:t>Subsequent judicial remedies</w:t>
      </w:r>
      <w:bookmarkEnd w:id="49"/>
    </w:p>
    <w:p w14:paraId="6464BD10" w14:textId="5A8A8924" w:rsidR="0085025C" w:rsidRPr="00954547" w:rsidRDefault="00C94E39" w:rsidP="0085025C">
      <w:pPr>
        <w:pStyle w:val="Numberedparagraphs"/>
        <w:tabs>
          <w:tab w:val="left" w:pos="567"/>
        </w:tabs>
        <w:rPr>
          <w:lang w:val="en-US"/>
        </w:rPr>
      </w:pPr>
      <w:r w:rsidRPr="00954547">
        <w:rPr>
          <w:lang w:val="en-US"/>
        </w:rPr>
        <w:t>In</w:t>
      </w:r>
      <w:r w:rsidR="0085025C" w:rsidRPr="00954547">
        <w:rPr>
          <w:lang w:val="en-US"/>
        </w:rPr>
        <w:t xml:space="preserve"> 2011, </w:t>
      </w:r>
      <w:r w:rsidR="00B8393C" w:rsidRPr="00954547">
        <w:rPr>
          <w:lang w:val="en-US"/>
        </w:rPr>
        <w:t xml:space="preserve">the </w:t>
      </w:r>
      <w:r w:rsidR="006E0D5E" w:rsidRPr="00954547">
        <w:rPr>
          <w:lang w:val="en-US"/>
        </w:rPr>
        <w:t>representatives</w:t>
      </w:r>
      <w:r w:rsidR="0085025C" w:rsidRPr="00954547">
        <w:rPr>
          <w:lang w:val="en-US"/>
        </w:rPr>
        <w:t xml:space="preserve">: (i) </w:t>
      </w:r>
      <w:r w:rsidR="0095271A" w:rsidRPr="00954547">
        <w:rPr>
          <w:lang w:val="en-US"/>
        </w:rPr>
        <w:t xml:space="preserve">asked for an investigation </w:t>
      </w:r>
      <w:r w:rsidR="009B0B9E" w:rsidRPr="00954547">
        <w:rPr>
          <w:lang w:val="en-US"/>
        </w:rPr>
        <w:t>of</w:t>
      </w:r>
      <w:r w:rsidR="0095271A" w:rsidRPr="00954547">
        <w:rPr>
          <w:lang w:val="en-US"/>
        </w:rPr>
        <w:t xml:space="preserve"> the fact that </w:t>
      </w:r>
      <w:r w:rsidR="0085025C" w:rsidRPr="00954547">
        <w:rPr>
          <w:lang w:val="en-US"/>
        </w:rPr>
        <w:t xml:space="preserve">Manuela </w:t>
      </w:r>
      <w:r w:rsidR="0095271A" w:rsidRPr="00954547">
        <w:rPr>
          <w:lang w:val="en-US"/>
        </w:rPr>
        <w:t>had never accepted to be represented by the public defender assigned to her;</w:t>
      </w:r>
      <w:r w:rsidR="0085025C" w:rsidRPr="00954547">
        <w:rPr>
          <w:rStyle w:val="FootnoteReference"/>
          <w:rFonts w:eastAsiaTheme="minorHAnsi"/>
          <w:lang w:val="en-US"/>
        </w:rPr>
        <w:footnoteReference w:id="177"/>
      </w:r>
      <w:r w:rsidR="0085025C" w:rsidRPr="00954547">
        <w:rPr>
          <w:lang w:val="en-US"/>
        </w:rPr>
        <w:t xml:space="preserve"> (ii) </w:t>
      </w:r>
      <w:r w:rsidR="0095271A" w:rsidRPr="00954547">
        <w:rPr>
          <w:lang w:val="en-US"/>
        </w:rPr>
        <w:t xml:space="preserve">requested Manuela’s file from the hospital </w:t>
      </w:r>
      <w:r w:rsidR="009B0B9E" w:rsidRPr="00954547">
        <w:rPr>
          <w:lang w:val="en-US"/>
        </w:rPr>
        <w:t>where</w:t>
      </w:r>
      <w:r w:rsidR="0095271A" w:rsidRPr="00954547">
        <w:rPr>
          <w:lang w:val="en-US"/>
        </w:rPr>
        <w:t xml:space="preserve"> she had died, which was refused;</w:t>
      </w:r>
      <w:r w:rsidR="0085025C" w:rsidRPr="00954547">
        <w:rPr>
          <w:rStyle w:val="FootnoteReference"/>
          <w:rFonts w:eastAsiaTheme="minorHAnsi"/>
          <w:lang w:val="en-US"/>
        </w:rPr>
        <w:footnoteReference w:id="178"/>
      </w:r>
      <w:r w:rsidR="0085025C" w:rsidRPr="00954547">
        <w:rPr>
          <w:lang w:val="en-US"/>
        </w:rPr>
        <w:t xml:space="preserve"> (iii) </w:t>
      </w:r>
      <w:r w:rsidR="0095271A" w:rsidRPr="00954547">
        <w:rPr>
          <w:lang w:val="en-US"/>
        </w:rPr>
        <w:t>filed a remedy of complaint against the Women’s Rehabilitation Center</w:t>
      </w:r>
      <w:r w:rsidR="0085025C" w:rsidRPr="00954547">
        <w:rPr>
          <w:lang w:val="en-US"/>
        </w:rPr>
        <w:t xml:space="preserve"> </w:t>
      </w:r>
      <w:r w:rsidR="0095271A" w:rsidRPr="00954547">
        <w:rPr>
          <w:lang w:val="en-US"/>
        </w:rPr>
        <w:t>of</w:t>
      </w:r>
      <w:r w:rsidR="0085025C" w:rsidRPr="00954547">
        <w:rPr>
          <w:lang w:val="en-US"/>
        </w:rPr>
        <w:t xml:space="preserve"> Ilopango </w:t>
      </w:r>
      <w:r w:rsidR="0095271A" w:rsidRPr="00954547">
        <w:rPr>
          <w:lang w:val="en-US"/>
        </w:rPr>
        <w:t>owing</w:t>
      </w:r>
      <w:r w:rsidR="009B0B9E" w:rsidRPr="00954547">
        <w:rPr>
          <w:lang w:val="en-US"/>
        </w:rPr>
        <w:t xml:space="preserve"> to</w:t>
      </w:r>
      <w:r w:rsidR="0095271A" w:rsidRPr="00954547">
        <w:rPr>
          <w:lang w:val="en-US"/>
        </w:rPr>
        <w:t xml:space="preserve"> the failure to transfer </w:t>
      </w:r>
      <w:r w:rsidR="0085025C" w:rsidRPr="00954547">
        <w:rPr>
          <w:lang w:val="en-US"/>
        </w:rPr>
        <w:t xml:space="preserve">Manuela </w:t>
      </w:r>
      <w:r w:rsidR="0095271A" w:rsidRPr="00954547">
        <w:rPr>
          <w:lang w:val="en-US"/>
        </w:rPr>
        <w:t xml:space="preserve">to chemotherapy sessions in April and November </w:t>
      </w:r>
      <w:r w:rsidR="0085025C" w:rsidRPr="00954547">
        <w:rPr>
          <w:lang w:val="en-US"/>
        </w:rPr>
        <w:t>2009</w:t>
      </w:r>
      <w:r w:rsidR="0095271A" w:rsidRPr="00954547">
        <w:rPr>
          <w:lang w:val="en-US"/>
        </w:rPr>
        <w:t>,</w:t>
      </w:r>
      <w:r w:rsidR="0085025C" w:rsidRPr="00954547">
        <w:rPr>
          <w:rStyle w:val="FootnoteReference"/>
          <w:lang w:val="en-US"/>
        </w:rPr>
        <w:footnoteReference w:id="179"/>
      </w:r>
      <w:r w:rsidR="0095271A" w:rsidRPr="00954547">
        <w:rPr>
          <w:lang w:val="en-US"/>
        </w:rPr>
        <w:t xml:space="preserve"> which was declared inadmissible,</w:t>
      </w:r>
      <w:r w:rsidR="0085025C" w:rsidRPr="00954547">
        <w:rPr>
          <w:rStyle w:val="FootnoteReference"/>
          <w:lang w:val="en-US"/>
        </w:rPr>
        <w:footnoteReference w:id="180"/>
      </w:r>
      <w:r w:rsidR="0078694F" w:rsidRPr="00954547">
        <w:rPr>
          <w:lang w:val="en-US"/>
        </w:rPr>
        <w:t xml:space="preserve"> and </w:t>
      </w:r>
      <w:r w:rsidR="0085025C" w:rsidRPr="00954547">
        <w:rPr>
          <w:lang w:val="en-US"/>
        </w:rPr>
        <w:t xml:space="preserve">(iv) </w:t>
      </w:r>
      <w:r w:rsidR="0095271A" w:rsidRPr="00954547">
        <w:rPr>
          <w:lang w:val="en-US"/>
        </w:rPr>
        <w:t>filed a</w:t>
      </w:r>
      <w:r w:rsidR="00B01CA8" w:rsidRPr="00954547">
        <w:rPr>
          <w:lang w:val="en-US"/>
        </w:rPr>
        <w:t>n appeal for review against the judgment convicting</w:t>
      </w:r>
      <w:r w:rsidR="0085025C" w:rsidRPr="00954547">
        <w:rPr>
          <w:lang w:val="en-US"/>
        </w:rPr>
        <w:t xml:space="preserve"> Manuela</w:t>
      </w:r>
      <w:r w:rsidR="00B01CA8" w:rsidRPr="00954547">
        <w:rPr>
          <w:lang w:val="en-US"/>
        </w:rPr>
        <w:t>.</w:t>
      </w:r>
      <w:r w:rsidR="0085025C" w:rsidRPr="00954547">
        <w:rPr>
          <w:rStyle w:val="FootnoteReference"/>
          <w:rFonts w:eastAsiaTheme="minorHAnsi"/>
          <w:lang w:val="en-US"/>
        </w:rPr>
        <w:footnoteReference w:id="181"/>
      </w:r>
    </w:p>
    <w:p w14:paraId="07B60919" w14:textId="6F47D200" w:rsidR="0085025C" w:rsidRPr="00954547" w:rsidRDefault="00B01CA8" w:rsidP="009C02FC">
      <w:pPr>
        <w:pStyle w:val="Numberedparagraphs"/>
        <w:tabs>
          <w:tab w:val="clear" w:pos="720"/>
          <w:tab w:val="left" w:pos="567"/>
        </w:tabs>
        <w:rPr>
          <w:lang w:val="en-US"/>
        </w:rPr>
      </w:pPr>
      <w:r w:rsidRPr="00954547">
        <w:rPr>
          <w:lang w:val="en-US"/>
        </w:rPr>
        <w:t>On January 22,</w:t>
      </w:r>
      <w:r w:rsidR="0085025C" w:rsidRPr="00954547">
        <w:rPr>
          <w:lang w:val="en-US"/>
        </w:rPr>
        <w:t xml:space="preserve"> 2012</w:t>
      </w:r>
      <w:r w:rsidRPr="00954547">
        <w:rPr>
          <w:lang w:val="en-US"/>
        </w:rPr>
        <w:t>,</w:t>
      </w:r>
      <w:r w:rsidR="0085025C" w:rsidRPr="00954547">
        <w:rPr>
          <w:lang w:val="en-US"/>
        </w:rPr>
        <w:t xml:space="preserve"> </w:t>
      </w:r>
      <w:r w:rsidR="00E76B1A" w:rsidRPr="00954547">
        <w:rPr>
          <w:lang w:val="en-US"/>
        </w:rPr>
        <w:t xml:space="preserve">the </w:t>
      </w:r>
      <w:r w:rsidR="003212CD" w:rsidRPr="00954547">
        <w:rPr>
          <w:lang w:val="en-US"/>
        </w:rPr>
        <w:t>Trial Court</w:t>
      </w:r>
      <w:r w:rsidR="00B8393C" w:rsidRPr="00954547">
        <w:rPr>
          <w:lang w:val="en-US"/>
        </w:rPr>
        <w:t xml:space="preserve"> of</w:t>
      </w:r>
      <w:r w:rsidR="0085025C" w:rsidRPr="00954547">
        <w:rPr>
          <w:lang w:val="en-US"/>
        </w:rPr>
        <w:t xml:space="preserve"> San Francisco Gotera declar</w:t>
      </w:r>
      <w:r w:rsidRPr="00954547">
        <w:rPr>
          <w:lang w:val="en-US"/>
        </w:rPr>
        <w:t>ed the appeal for review inadmissible, indicating that the evidence used by the trial court had “rea</w:t>
      </w:r>
      <w:r w:rsidR="009C02FC" w:rsidRPr="00954547">
        <w:rPr>
          <w:lang w:val="en-US"/>
        </w:rPr>
        <w:t>s</w:t>
      </w:r>
      <w:r w:rsidRPr="00954547">
        <w:rPr>
          <w:lang w:val="en-US"/>
        </w:rPr>
        <w:t>onably and legitimately convinced us of the offense, and the direct connection of the defendant to its perpetration.</w:t>
      </w:r>
      <w:r w:rsidR="0085025C" w:rsidRPr="00954547">
        <w:rPr>
          <w:lang w:val="en-US"/>
        </w:rPr>
        <w:t>”</w:t>
      </w:r>
      <w:r w:rsidR="0085025C" w:rsidRPr="00954547">
        <w:rPr>
          <w:rStyle w:val="FootnoteReference"/>
          <w:rFonts w:eastAsiaTheme="minorHAnsi"/>
          <w:lang w:val="en-US"/>
        </w:rPr>
        <w:footnoteReference w:id="182"/>
      </w:r>
    </w:p>
    <w:p w14:paraId="31504EC6" w14:textId="0594E07B" w:rsidR="009C02FC" w:rsidRPr="00954547" w:rsidRDefault="009C02FC" w:rsidP="009C02FC">
      <w:pPr>
        <w:pStyle w:val="Heading1"/>
        <w:tabs>
          <w:tab w:val="left" w:pos="567"/>
        </w:tabs>
        <w:rPr>
          <w:bdr w:val="none" w:sz="0" w:space="0" w:color="auto"/>
        </w:rPr>
      </w:pPr>
      <w:bookmarkStart w:id="50" w:name="_Toc106353906"/>
      <w:r w:rsidRPr="00954547">
        <w:rPr>
          <w:bdr w:val="none" w:sz="0" w:space="0" w:color="auto"/>
        </w:rPr>
        <w:t>VIII</w:t>
      </w:r>
      <w:r w:rsidRPr="00954547">
        <w:rPr>
          <w:bdr w:val="none" w:sz="0" w:space="0" w:color="auto"/>
        </w:rPr>
        <w:br/>
        <w:t>MERITS</w:t>
      </w:r>
      <w:bookmarkEnd w:id="50"/>
    </w:p>
    <w:p w14:paraId="7BA6AC0C" w14:textId="0B8F745D" w:rsidR="009C02FC" w:rsidRPr="00954547" w:rsidRDefault="009C02FC" w:rsidP="009C02FC">
      <w:pPr>
        <w:pStyle w:val="Numberedparagraphs"/>
        <w:tabs>
          <w:tab w:val="clear" w:pos="720"/>
          <w:tab w:val="num" w:pos="540"/>
          <w:tab w:val="left" w:pos="567"/>
        </w:tabs>
        <w:rPr>
          <w:lang w:val="en-US"/>
        </w:rPr>
      </w:pPr>
      <w:r w:rsidRPr="00954547">
        <w:rPr>
          <w:lang w:val="en-US"/>
        </w:rPr>
        <w:t xml:space="preserve">In the instant case, there is no dispute regarding the facts that Manuela was pregnant, gave birth and suffered from preeclampsia, a complication of pregnancy which, as it constitutes a serious health risk, should be characterized as an obstetric emergency.  </w:t>
      </w:r>
    </w:p>
    <w:p w14:paraId="5D6FF606" w14:textId="63DB752D" w:rsidR="00723D1E" w:rsidRPr="00954547" w:rsidRDefault="009C02FC" w:rsidP="000365EC">
      <w:pPr>
        <w:pStyle w:val="Numberedparagraphs"/>
        <w:numPr>
          <w:ilvl w:val="0"/>
          <w:numId w:val="13"/>
        </w:numPr>
        <w:tabs>
          <w:tab w:val="clear" w:pos="720"/>
          <w:tab w:val="left" w:pos="567"/>
        </w:tabs>
        <w:rPr>
          <w:lang w:val="en-US"/>
        </w:rPr>
      </w:pPr>
      <w:r w:rsidRPr="00954547">
        <w:rPr>
          <w:lang w:val="en-US"/>
        </w:rPr>
        <w:t xml:space="preserve">What is in dispute is the </w:t>
      </w:r>
      <w:r w:rsidR="00EC5275" w:rsidRPr="00954547">
        <w:rPr>
          <w:lang w:val="en-US"/>
        </w:rPr>
        <w:t xml:space="preserve">State’s </w:t>
      </w:r>
      <w:r w:rsidRPr="00954547">
        <w:rPr>
          <w:lang w:val="en-US"/>
        </w:rPr>
        <w:t xml:space="preserve">alleged responsibility for the detention, prosecution and conviction </w:t>
      </w:r>
      <w:r w:rsidR="00607E12" w:rsidRPr="00954547">
        <w:rPr>
          <w:lang w:val="en-US"/>
        </w:rPr>
        <w:t>of the presumed victim</w:t>
      </w:r>
      <w:r w:rsidR="004A6EA3" w:rsidRPr="00954547">
        <w:rPr>
          <w:lang w:val="en-US"/>
        </w:rPr>
        <w:t xml:space="preserve"> </w:t>
      </w:r>
      <w:r w:rsidRPr="00954547">
        <w:rPr>
          <w:lang w:val="en-US"/>
        </w:rPr>
        <w:t>f</w:t>
      </w:r>
      <w:r w:rsidR="004A6EA3" w:rsidRPr="00954547">
        <w:rPr>
          <w:lang w:val="en-US"/>
        </w:rPr>
        <w:t>or</w:t>
      </w:r>
      <w:r w:rsidRPr="00954547">
        <w:rPr>
          <w:lang w:val="en-US"/>
        </w:rPr>
        <w:t xml:space="preserve"> </w:t>
      </w:r>
      <w:r w:rsidR="00B66AA2" w:rsidRPr="00954547">
        <w:rPr>
          <w:lang w:val="en-US"/>
        </w:rPr>
        <w:t>aggravated homicide</w:t>
      </w:r>
      <w:r w:rsidR="00723D1E" w:rsidRPr="00954547">
        <w:rPr>
          <w:lang w:val="en-US"/>
        </w:rPr>
        <w:t xml:space="preserve"> </w:t>
      </w:r>
      <w:r w:rsidRPr="00954547">
        <w:rPr>
          <w:lang w:val="en-US"/>
        </w:rPr>
        <w:t xml:space="preserve">following </w:t>
      </w:r>
      <w:r w:rsidR="00EC5275" w:rsidRPr="00954547">
        <w:rPr>
          <w:lang w:val="en-US"/>
        </w:rPr>
        <w:t>the</w:t>
      </w:r>
      <w:r w:rsidR="00723D1E" w:rsidRPr="00954547">
        <w:rPr>
          <w:lang w:val="en-US"/>
        </w:rPr>
        <w:t xml:space="preserve"> </w:t>
      </w:r>
      <w:r w:rsidR="00B72FE4" w:rsidRPr="00954547">
        <w:rPr>
          <w:lang w:val="en-US"/>
        </w:rPr>
        <w:t>obstetric emergency</w:t>
      </w:r>
      <w:r w:rsidRPr="00954547">
        <w:rPr>
          <w:lang w:val="en-US"/>
        </w:rPr>
        <w:t xml:space="preserve"> that she suffered, and also for the medical </w:t>
      </w:r>
      <w:r w:rsidR="00144817" w:rsidRPr="00954547">
        <w:rPr>
          <w:lang w:val="en-US"/>
        </w:rPr>
        <w:t>care</w:t>
      </w:r>
      <w:r w:rsidRPr="00954547">
        <w:rPr>
          <w:lang w:val="en-US"/>
        </w:rPr>
        <w:t xml:space="preserve"> that </w:t>
      </w:r>
      <w:r w:rsidR="00607E12" w:rsidRPr="00954547">
        <w:rPr>
          <w:lang w:val="en-US"/>
        </w:rPr>
        <w:t>the presumed victim</w:t>
      </w:r>
      <w:r w:rsidRPr="00954547">
        <w:rPr>
          <w:lang w:val="en-US"/>
        </w:rPr>
        <w:t xml:space="preserve"> received</w:t>
      </w:r>
      <w:r w:rsidR="00723D1E" w:rsidRPr="00954547">
        <w:rPr>
          <w:lang w:val="en-US"/>
        </w:rPr>
        <w:t>,</w:t>
      </w:r>
      <w:r w:rsidR="0078694F" w:rsidRPr="00954547">
        <w:rPr>
          <w:lang w:val="en-US"/>
        </w:rPr>
        <w:t xml:space="preserve"> and </w:t>
      </w:r>
      <w:r w:rsidR="00144817" w:rsidRPr="00954547">
        <w:rPr>
          <w:lang w:val="en-US"/>
        </w:rPr>
        <w:t xml:space="preserve">the alleged violation of </w:t>
      </w:r>
      <w:r w:rsidR="00674DA3" w:rsidRPr="00954547">
        <w:rPr>
          <w:lang w:val="en-US"/>
        </w:rPr>
        <w:t xml:space="preserve">professional </w:t>
      </w:r>
      <w:r w:rsidR="00EC5275" w:rsidRPr="00954547">
        <w:rPr>
          <w:lang w:val="en-US"/>
        </w:rPr>
        <w:t>secrecy</w:t>
      </w:r>
      <w:r w:rsidR="00144817" w:rsidRPr="00954547">
        <w:rPr>
          <w:lang w:val="en-US"/>
        </w:rPr>
        <w:t xml:space="preserve"> by the medical staff who attended her. Bearing in mind that this case does not refer to the occurrence of a therapeutic abortion, the context establish</w:t>
      </w:r>
      <w:r w:rsidR="00EC5275" w:rsidRPr="00954547">
        <w:rPr>
          <w:lang w:val="en-US"/>
        </w:rPr>
        <w:t>ed</w:t>
      </w:r>
      <w:r w:rsidR="00144817" w:rsidRPr="00954547">
        <w:rPr>
          <w:lang w:val="en-US"/>
        </w:rPr>
        <w:t xml:space="preserve"> above will only be taken into account to the extent that it relates to the purpose of the dispute</w:t>
      </w:r>
      <w:r w:rsidR="00F8553A" w:rsidRPr="00954547">
        <w:rPr>
          <w:lang w:val="en-US"/>
        </w:rPr>
        <w:t>.</w:t>
      </w:r>
    </w:p>
    <w:p w14:paraId="2757C977" w14:textId="510C9391" w:rsidR="0031387C" w:rsidRPr="00954547" w:rsidRDefault="00144817" w:rsidP="000365EC">
      <w:pPr>
        <w:pStyle w:val="Numberedparagraphs"/>
        <w:numPr>
          <w:ilvl w:val="0"/>
          <w:numId w:val="13"/>
        </w:numPr>
        <w:tabs>
          <w:tab w:val="clear" w:pos="720"/>
          <w:tab w:val="left" w:pos="567"/>
        </w:tabs>
        <w:rPr>
          <w:lang w:val="en-US"/>
        </w:rPr>
      </w:pPr>
      <w:r w:rsidRPr="00954547">
        <w:rPr>
          <w:lang w:val="en-US"/>
        </w:rPr>
        <w:t>Based on the</w:t>
      </w:r>
      <w:r w:rsidR="0031387C" w:rsidRPr="00954547">
        <w:rPr>
          <w:lang w:val="en-US"/>
        </w:rPr>
        <w:t xml:space="preserve"> </w:t>
      </w:r>
      <w:r w:rsidR="00B8393C" w:rsidRPr="00954547">
        <w:rPr>
          <w:lang w:val="en-US"/>
        </w:rPr>
        <w:t>arguments</w:t>
      </w:r>
      <w:r w:rsidR="003A0C7A" w:rsidRPr="00954547">
        <w:rPr>
          <w:lang w:val="en-US"/>
        </w:rPr>
        <w:t xml:space="preserve"> of the parties and</w:t>
      </w:r>
      <w:r w:rsidR="0078694F" w:rsidRPr="00954547">
        <w:rPr>
          <w:lang w:val="en-US"/>
        </w:rPr>
        <w:t xml:space="preserve"> </w:t>
      </w:r>
      <w:r w:rsidR="00E76B1A" w:rsidRPr="00954547">
        <w:rPr>
          <w:lang w:val="en-US"/>
        </w:rPr>
        <w:t>the Commission</w:t>
      </w:r>
      <w:r w:rsidR="0031387C" w:rsidRPr="00954547">
        <w:rPr>
          <w:lang w:val="en-US"/>
        </w:rPr>
        <w:t xml:space="preserve">, </w:t>
      </w:r>
      <w:r w:rsidRPr="00954547">
        <w:rPr>
          <w:lang w:val="en-US"/>
        </w:rPr>
        <w:t xml:space="preserve">in the instant case, the Court will examine: </w:t>
      </w:r>
      <w:r w:rsidR="0031387C" w:rsidRPr="00954547">
        <w:rPr>
          <w:color w:val="auto"/>
          <w:lang w:val="en-US"/>
        </w:rPr>
        <w:t xml:space="preserve">(1) </w:t>
      </w:r>
      <w:r w:rsidRPr="00954547">
        <w:rPr>
          <w:color w:val="auto"/>
          <w:lang w:val="en-US"/>
        </w:rPr>
        <w:t>the rights to</w:t>
      </w:r>
      <w:r w:rsidR="0031387C" w:rsidRPr="00954547">
        <w:rPr>
          <w:color w:val="auto"/>
          <w:lang w:val="en-US"/>
        </w:rPr>
        <w:t xml:space="preserve"> </w:t>
      </w:r>
      <w:r w:rsidR="0078694F" w:rsidRPr="00954547">
        <w:rPr>
          <w:color w:val="auto"/>
          <w:lang w:val="en-US"/>
        </w:rPr>
        <w:t xml:space="preserve">personal liberty and </w:t>
      </w:r>
      <w:r w:rsidRPr="00954547">
        <w:rPr>
          <w:color w:val="auto"/>
          <w:lang w:val="en-US"/>
        </w:rPr>
        <w:t>presumption of innocence</w:t>
      </w:r>
      <w:r w:rsidR="005F7EB5" w:rsidRPr="00954547">
        <w:rPr>
          <w:color w:val="auto"/>
          <w:lang w:val="en-US"/>
        </w:rPr>
        <w:t xml:space="preserve">, </w:t>
      </w:r>
      <w:r w:rsidRPr="00954547">
        <w:rPr>
          <w:color w:val="auto"/>
          <w:lang w:val="en-US"/>
        </w:rPr>
        <w:t>in relation to the obligations</w:t>
      </w:r>
      <w:r w:rsidR="005F7EB5" w:rsidRPr="00954547">
        <w:rPr>
          <w:color w:val="auto"/>
          <w:lang w:val="en-US"/>
        </w:rPr>
        <w:t xml:space="preserve"> </w:t>
      </w:r>
      <w:r w:rsidRPr="00954547">
        <w:rPr>
          <w:color w:val="auto"/>
          <w:lang w:val="en-US"/>
        </w:rPr>
        <w:t>to respect rights and to</w:t>
      </w:r>
      <w:r w:rsidR="005F7EB5" w:rsidRPr="00954547">
        <w:rPr>
          <w:color w:val="auto"/>
          <w:lang w:val="en-US"/>
        </w:rPr>
        <w:t xml:space="preserve"> </w:t>
      </w:r>
      <w:r w:rsidRPr="00954547">
        <w:rPr>
          <w:color w:val="auto"/>
          <w:lang w:val="en-US"/>
        </w:rPr>
        <w:t>adopt domestic legal provisions</w:t>
      </w:r>
      <w:r w:rsidR="0031387C" w:rsidRPr="00954547">
        <w:rPr>
          <w:color w:val="auto"/>
          <w:lang w:val="en-US"/>
        </w:rPr>
        <w:t>; (2)</w:t>
      </w:r>
      <w:r w:rsidR="00A67AE9" w:rsidRPr="00954547">
        <w:rPr>
          <w:color w:val="auto"/>
          <w:lang w:val="en-US"/>
        </w:rPr>
        <w:t xml:space="preserve"> </w:t>
      </w:r>
      <w:r w:rsidRPr="00954547">
        <w:rPr>
          <w:color w:val="auto"/>
          <w:lang w:val="en-US"/>
        </w:rPr>
        <w:t>the rights to</w:t>
      </w:r>
      <w:r w:rsidR="00723D1E" w:rsidRPr="00954547">
        <w:rPr>
          <w:color w:val="auto"/>
          <w:lang w:val="en-US"/>
        </w:rPr>
        <w:t xml:space="preserve"> </w:t>
      </w:r>
      <w:r w:rsidR="0078694F" w:rsidRPr="00954547">
        <w:rPr>
          <w:color w:val="auto"/>
          <w:lang w:val="en-US"/>
        </w:rPr>
        <w:t>judicial guarantees</w:t>
      </w:r>
      <w:r w:rsidR="005F7EB5" w:rsidRPr="00954547">
        <w:rPr>
          <w:color w:val="auto"/>
          <w:lang w:val="en-US"/>
        </w:rPr>
        <w:t xml:space="preserve">, </w:t>
      </w:r>
      <w:r w:rsidRPr="00954547">
        <w:rPr>
          <w:color w:val="auto"/>
          <w:lang w:val="en-US"/>
        </w:rPr>
        <w:t>personal integrity</w:t>
      </w:r>
      <w:r w:rsidR="0078694F" w:rsidRPr="00954547">
        <w:rPr>
          <w:color w:val="auto"/>
          <w:lang w:val="en-US"/>
        </w:rPr>
        <w:t xml:space="preserve"> and equality before the law</w:t>
      </w:r>
      <w:r w:rsidR="005F7EB5" w:rsidRPr="00954547">
        <w:rPr>
          <w:color w:val="auto"/>
          <w:lang w:val="en-US"/>
        </w:rPr>
        <w:t xml:space="preserve">, </w:t>
      </w:r>
      <w:r w:rsidRPr="00954547">
        <w:rPr>
          <w:color w:val="auto"/>
          <w:lang w:val="en-US"/>
        </w:rPr>
        <w:t>in relation to the obligation</w:t>
      </w:r>
      <w:r w:rsidR="00BC7072" w:rsidRPr="00954547">
        <w:rPr>
          <w:color w:val="auto"/>
          <w:lang w:val="en-US"/>
        </w:rPr>
        <w:t>s</w:t>
      </w:r>
      <w:r w:rsidRPr="00954547">
        <w:rPr>
          <w:color w:val="auto"/>
          <w:lang w:val="en-US"/>
        </w:rPr>
        <w:t xml:space="preserve"> to respect rights without discrimination</w:t>
      </w:r>
      <w:r w:rsidR="0078694F" w:rsidRPr="00954547">
        <w:rPr>
          <w:color w:val="auto"/>
          <w:lang w:val="en-US"/>
        </w:rPr>
        <w:t xml:space="preserve"> and </w:t>
      </w:r>
      <w:r w:rsidR="00BC7072" w:rsidRPr="00954547">
        <w:rPr>
          <w:color w:val="auto"/>
          <w:lang w:val="en-US"/>
        </w:rPr>
        <w:t>to</w:t>
      </w:r>
      <w:r w:rsidR="005F7EB5" w:rsidRPr="00954547">
        <w:rPr>
          <w:color w:val="auto"/>
          <w:lang w:val="en-US"/>
        </w:rPr>
        <w:t xml:space="preserve"> </w:t>
      </w:r>
      <w:r w:rsidRPr="00954547">
        <w:rPr>
          <w:color w:val="auto"/>
          <w:lang w:val="en-US"/>
        </w:rPr>
        <w:t>adopt domestic legal provisions</w:t>
      </w:r>
      <w:r w:rsidR="00723D1E" w:rsidRPr="00954547">
        <w:rPr>
          <w:color w:val="auto"/>
          <w:lang w:val="en-US"/>
        </w:rPr>
        <w:t xml:space="preserve">; (3) </w:t>
      </w:r>
      <w:r w:rsidR="00BC7072" w:rsidRPr="00954547">
        <w:rPr>
          <w:color w:val="auto"/>
          <w:lang w:val="en-US"/>
        </w:rPr>
        <w:t>the rights to life</w:t>
      </w:r>
      <w:r w:rsidR="00723D1E" w:rsidRPr="00954547">
        <w:rPr>
          <w:color w:val="auto"/>
          <w:lang w:val="en-US"/>
        </w:rPr>
        <w:t xml:space="preserve">, </w:t>
      </w:r>
      <w:r w:rsidRPr="00954547">
        <w:rPr>
          <w:color w:val="auto"/>
          <w:lang w:val="en-US"/>
        </w:rPr>
        <w:t>personal integrity</w:t>
      </w:r>
      <w:r w:rsidR="005F7EB5" w:rsidRPr="00954547">
        <w:rPr>
          <w:color w:val="auto"/>
          <w:lang w:val="en-US"/>
        </w:rPr>
        <w:t xml:space="preserve">, </w:t>
      </w:r>
      <w:r w:rsidR="00BC7072" w:rsidRPr="00954547">
        <w:rPr>
          <w:color w:val="auto"/>
          <w:lang w:val="en-US"/>
        </w:rPr>
        <w:t>health</w:t>
      </w:r>
      <w:r w:rsidR="00C13E92" w:rsidRPr="00954547">
        <w:rPr>
          <w:color w:val="auto"/>
          <w:lang w:val="en-US"/>
        </w:rPr>
        <w:t xml:space="preserve">, </w:t>
      </w:r>
      <w:r w:rsidR="00BC7072" w:rsidRPr="00954547">
        <w:rPr>
          <w:color w:val="auto"/>
          <w:lang w:val="en-US"/>
        </w:rPr>
        <w:t>privacy</w:t>
      </w:r>
      <w:r w:rsidR="005F7EB5" w:rsidRPr="00954547">
        <w:rPr>
          <w:color w:val="auto"/>
          <w:lang w:val="en-US"/>
        </w:rPr>
        <w:t>,</w:t>
      </w:r>
      <w:r w:rsidR="0078694F" w:rsidRPr="00954547">
        <w:rPr>
          <w:color w:val="auto"/>
          <w:lang w:val="en-US"/>
        </w:rPr>
        <w:t xml:space="preserve"> and </w:t>
      </w:r>
      <w:r w:rsidR="00BC7072" w:rsidRPr="00954547">
        <w:rPr>
          <w:color w:val="auto"/>
          <w:lang w:val="en-US"/>
        </w:rPr>
        <w:t>equality before the law</w:t>
      </w:r>
      <w:r w:rsidR="005F7EB5" w:rsidRPr="00954547">
        <w:rPr>
          <w:color w:val="auto"/>
          <w:lang w:val="en-US"/>
        </w:rPr>
        <w:t xml:space="preserve">, </w:t>
      </w:r>
      <w:r w:rsidR="00BC7072" w:rsidRPr="00954547">
        <w:rPr>
          <w:color w:val="auto"/>
          <w:lang w:val="en-US"/>
        </w:rPr>
        <w:t>in relation to the obligation to respect rights without discrimination</w:t>
      </w:r>
      <w:r w:rsidR="0078694F" w:rsidRPr="00954547">
        <w:rPr>
          <w:color w:val="auto"/>
          <w:lang w:val="en-US"/>
        </w:rPr>
        <w:t xml:space="preserve"> and </w:t>
      </w:r>
      <w:r w:rsidR="00BC7072" w:rsidRPr="00954547">
        <w:rPr>
          <w:color w:val="auto"/>
          <w:lang w:val="en-US"/>
        </w:rPr>
        <w:t>to</w:t>
      </w:r>
      <w:r w:rsidR="005F7EB5" w:rsidRPr="00954547">
        <w:rPr>
          <w:color w:val="auto"/>
          <w:lang w:val="en-US"/>
        </w:rPr>
        <w:t xml:space="preserve"> </w:t>
      </w:r>
      <w:r w:rsidRPr="00954547">
        <w:rPr>
          <w:color w:val="auto"/>
          <w:lang w:val="en-US"/>
        </w:rPr>
        <w:t>adopt domestic legal provisions</w:t>
      </w:r>
      <w:r w:rsidR="0078694F" w:rsidRPr="00954547">
        <w:rPr>
          <w:color w:val="auto"/>
          <w:lang w:val="en-US"/>
        </w:rPr>
        <w:t xml:space="preserve"> and </w:t>
      </w:r>
      <w:r w:rsidR="003E32B0" w:rsidRPr="00954547">
        <w:rPr>
          <w:color w:val="auto"/>
          <w:lang w:val="en-US"/>
        </w:rPr>
        <w:t xml:space="preserve">(4) </w:t>
      </w:r>
      <w:r w:rsidR="00BC7072" w:rsidRPr="00954547">
        <w:rPr>
          <w:color w:val="auto"/>
          <w:lang w:val="en-US"/>
        </w:rPr>
        <w:t>the right to</w:t>
      </w:r>
      <w:r w:rsidR="00723D1E" w:rsidRPr="00954547">
        <w:rPr>
          <w:color w:val="auto"/>
          <w:lang w:val="en-US"/>
        </w:rPr>
        <w:t xml:space="preserve"> </w:t>
      </w:r>
      <w:r w:rsidRPr="00954547">
        <w:rPr>
          <w:color w:val="auto"/>
          <w:lang w:val="en-US"/>
        </w:rPr>
        <w:t>personal integrity</w:t>
      </w:r>
      <w:r w:rsidR="00723D1E" w:rsidRPr="00954547">
        <w:rPr>
          <w:color w:val="auto"/>
          <w:lang w:val="en-US"/>
        </w:rPr>
        <w:t xml:space="preserve"> </w:t>
      </w:r>
      <w:r w:rsidR="00BC7072" w:rsidRPr="00954547">
        <w:rPr>
          <w:color w:val="auto"/>
          <w:lang w:val="en-US"/>
        </w:rPr>
        <w:t>of the family members</w:t>
      </w:r>
      <w:r w:rsidR="005F7EB5" w:rsidRPr="00954547">
        <w:rPr>
          <w:color w:val="auto"/>
          <w:lang w:val="en-US"/>
        </w:rPr>
        <w:t xml:space="preserve">, </w:t>
      </w:r>
      <w:r w:rsidRPr="00954547">
        <w:rPr>
          <w:color w:val="auto"/>
          <w:lang w:val="en-US"/>
        </w:rPr>
        <w:t>in relation to the obligation</w:t>
      </w:r>
      <w:r w:rsidR="00BC7072" w:rsidRPr="00954547">
        <w:rPr>
          <w:color w:val="auto"/>
          <w:lang w:val="en-US"/>
        </w:rPr>
        <w:t xml:space="preserve"> to respect rights</w:t>
      </w:r>
      <w:r w:rsidR="00723D1E" w:rsidRPr="00954547">
        <w:rPr>
          <w:color w:val="auto"/>
          <w:lang w:val="en-US"/>
        </w:rPr>
        <w:t xml:space="preserve">. </w:t>
      </w:r>
    </w:p>
    <w:p w14:paraId="2F5AF533" w14:textId="7C54FD17" w:rsidR="0031387C" w:rsidRPr="00954547" w:rsidRDefault="00BC2440" w:rsidP="00386B24">
      <w:pPr>
        <w:pStyle w:val="Heading1"/>
        <w:tabs>
          <w:tab w:val="left" w:pos="567"/>
        </w:tabs>
      </w:pPr>
      <w:bookmarkStart w:id="51" w:name="_Toc106353907"/>
      <w:r w:rsidRPr="00954547">
        <w:t>VI</w:t>
      </w:r>
      <w:r w:rsidR="00EB564A" w:rsidRPr="00954547">
        <w:t>I</w:t>
      </w:r>
      <w:r w:rsidR="00CF5A9D" w:rsidRPr="00954547">
        <w:t>I</w:t>
      </w:r>
      <w:r w:rsidR="009E3AAD" w:rsidRPr="00954547">
        <w:t>-1</w:t>
      </w:r>
      <w:r w:rsidR="0031387C" w:rsidRPr="00954547">
        <w:br/>
      </w:r>
      <w:r w:rsidR="009E3F9E" w:rsidRPr="00954547">
        <w:t>RIGHTS TO</w:t>
      </w:r>
      <w:r w:rsidR="0031387C" w:rsidRPr="00954547">
        <w:t xml:space="preserve"> </w:t>
      </w:r>
      <w:r w:rsidR="0078694F" w:rsidRPr="00954547">
        <w:t>PERSONAL LIBERTY</w:t>
      </w:r>
      <w:r w:rsidR="0031387C" w:rsidRPr="00954547">
        <w:rPr>
          <w:rStyle w:val="FootnoteReference"/>
        </w:rPr>
        <w:footnoteReference w:id="183"/>
      </w:r>
      <w:r w:rsidR="0078694F" w:rsidRPr="00954547">
        <w:t xml:space="preserve"> </w:t>
      </w:r>
      <w:r w:rsidR="009E3F9E" w:rsidRPr="00954547">
        <w:t>AND PRESUMPTION OF INNOCENCE</w:t>
      </w:r>
      <w:r w:rsidR="00BF67C9" w:rsidRPr="00954547">
        <w:rPr>
          <w:rStyle w:val="FootnoteReference"/>
        </w:rPr>
        <w:footnoteReference w:id="184"/>
      </w:r>
      <w:r w:rsidR="003031E6" w:rsidRPr="00954547">
        <w:t xml:space="preserve"> </w:t>
      </w:r>
      <w:r w:rsidR="009E3F9E" w:rsidRPr="00954547">
        <w:t>IN RELATION TO THE OBLIGATIONS TO RESPECT RIGHTS</w:t>
      </w:r>
      <w:r w:rsidR="003031E6" w:rsidRPr="00954547">
        <w:rPr>
          <w:rStyle w:val="FootnoteReference"/>
        </w:rPr>
        <w:footnoteReference w:id="185"/>
      </w:r>
      <w:r w:rsidR="0078694F" w:rsidRPr="00954547">
        <w:t xml:space="preserve"> </w:t>
      </w:r>
      <w:r w:rsidR="009E3F9E" w:rsidRPr="00954547">
        <w:t>AND TO ADOPT DOMESTIC LEGAL PROVISIONS</w:t>
      </w:r>
      <w:r w:rsidR="003031E6" w:rsidRPr="00954547">
        <w:rPr>
          <w:rStyle w:val="FootnoteReference"/>
        </w:rPr>
        <w:footnoteReference w:id="186"/>
      </w:r>
      <w:bookmarkEnd w:id="51"/>
    </w:p>
    <w:p w14:paraId="4F7D789F" w14:textId="4E7DADD3" w:rsidR="0031387C" w:rsidRPr="00954547" w:rsidRDefault="00B8393C" w:rsidP="000365EC">
      <w:pPr>
        <w:pStyle w:val="Heading2"/>
        <w:numPr>
          <w:ilvl w:val="0"/>
          <w:numId w:val="9"/>
        </w:numPr>
        <w:tabs>
          <w:tab w:val="clear" w:pos="1134"/>
          <w:tab w:val="left" w:pos="567"/>
        </w:tabs>
        <w:autoSpaceDE w:val="0"/>
        <w:autoSpaceDN w:val="0"/>
        <w:adjustRightInd w:val="0"/>
        <w:ind w:left="1134" w:hanging="567"/>
        <w:jc w:val="both"/>
        <w:rPr>
          <w:lang w:val="en-US"/>
        </w:rPr>
      </w:pPr>
      <w:bookmarkStart w:id="52" w:name="_Toc106353908"/>
      <w:r w:rsidRPr="00954547">
        <w:rPr>
          <w:lang w:val="en-US"/>
        </w:rPr>
        <w:t>Arguments</w:t>
      </w:r>
      <w:r w:rsidR="003A0C7A" w:rsidRPr="00954547">
        <w:rPr>
          <w:lang w:val="en-US"/>
        </w:rPr>
        <w:t xml:space="preserve"> of the parties and the</w:t>
      </w:r>
      <w:r w:rsidR="00607E12" w:rsidRPr="00954547">
        <w:rPr>
          <w:lang w:val="en-US"/>
        </w:rPr>
        <w:t xml:space="preserve"> </w:t>
      </w:r>
      <w:r w:rsidR="00E76B1A" w:rsidRPr="00954547">
        <w:rPr>
          <w:lang w:val="en-US"/>
        </w:rPr>
        <w:t>Commission</w:t>
      </w:r>
      <w:bookmarkEnd w:id="52"/>
    </w:p>
    <w:p w14:paraId="1B895676" w14:textId="4A575F02" w:rsidR="0031387C" w:rsidRPr="00954547" w:rsidRDefault="00E76B1A" w:rsidP="002A54F0">
      <w:pPr>
        <w:pStyle w:val="Numberedparagraphs"/>
        <w:tabs>
          <w:tab w:val="left" w:pos="567"/>
        </w:tabs>
        <w:rPr>
          <w:lang w:val="en-US"/>
        </w:rPr>
      </w:pPr>
      <w:r w:rsidRPr="00954547">
        <w:rPr>
          <w:lang w:val="en-US"/>
        </w:rPr>
        <w:t xml:space="preserve">The </w:t>
      </w:r>
      <w:r w:rsidRPr="00954547">
        <w:rPr>
          <w:b/>
          <w:bCs/>
          <w:i/>
          <w:iCs/>
          <w:lang w:val="en-US"/>
        </w:rPr>
        <w:t>Commission</w:t>
      </w:r>
      <w:r w:rsidR="0031387C" w:rsidRPr="00954547">
        <w:rPr>
          <w:lang w:val="en-US"/>
        </w:rPr>
        <w:t xml:space="preserve"> a</w:t>
      </w:r>
      <w:r w:rsidR="002A54F0" w:rsidRPr="00954547">
        <w:rPr>
          <w:lang w:val="en-US"/>
        </w:rPr>
        <w:t>rgu</w:t>
      </w:r>
      <w:r w:rsidR="00333476" w:rsidRPr="00954547">
        <w:rPr>
          <w:lang w:val="en-US"/>
        </w:rPr>
        <w:t xml:space="preserve">ed that the initial </w:t>
      </w:r>
      <w:r w:rsidR="002A54F0" w:rsidRPr="00954547">
        <w:rPr>
          <w:lang w:val="en-US"/>
        </w:rPr>
        <w:t>detention</w:t>
      </w:r>
      <w:r w:rsidR="00333476" w:rsidRPr="00954547">
        <w:rPr>
          <w:lang w:val="en-US"/>
        </w:rPr>
        <w:t xml:space="preserve"> </w:t>
      </w:r>
      <w:r w:rsidR="00607E12" w:rsidRPr="00954547">
        <w:rPr>
          <w:lang w:val="en-US"/>
        </w:rPr>
        <w:t>of the presumed victim</w:t>
      </w:r>
      <w:r w:rsidR="0031387C" w:rsidRPr="00954547">
        <w:rPr>
          <w:lang w:val="en-US"/>
        </w:rPr>
        <w:t xml:space="preserve"> </w:t>
      </w:r>
      <w:r w:rsidR="00333476" w:rsidRPr="00954547">
        <w:rPr>
          <w:lang w:val="en-US"/>
        </w:rPr>
        <w:t xml:space="preserve">was unlawful because it was not in keeping with </w:t>
      </w:r>
      <w:r w:rsidR="00333476" w:rsidRPr="00954547">
        <w:rPr>
          <w:i/>
          <w:iCs/>
          <w:lang w:val="en-US"/>
        </w:rPr>
        <w:t>in flagrante delicto</w:t>
      </w:r>
      <w:r w:rsidR="00333476" w:rsidRPr="00954547">
        <w:rPr>
          <w:lang w:val="en-US"/>
        </w:rPr>
        <w:t xml:space="preserve">. It also considered that the </w:t>
      </w:r>
      <w:r w:rsidR="002A54F0" w:rsidRPr="00954547">
        <w:rPr>
          <w:lang w:val="en-US"/>
        </w:rPr>
        <w:t>pretrial</w:t>
      </w:r>
      <w:r w:rsidR="00333476" w:rsidRPr="00954547">
        <w:rPr>
          <w:lang w:val="en-US"/>
        </w:rPr>
        <w:t xml:space="preserve"> detention of </w:t>
      </w:r>
      <w:r w:rsidR="00B2341E" w:rsidRPr="00954547">
        <w:rPr>
          <w:lang w:val="en-US"/>
        </w:rPr>
        <w:t>Manuela “</w:t>
      </w:r>
      <w:r w:rsidR="00333476" w:rsidRPr="00954547">
        <w:rPr>
          <w:lang w:val="en-US"/>
        </w:rPr>
        <w:t xml:space="preserve">was arbitrary from the outset and </w:t>
      </w:r>
      <w:r w:rsidR="002A54F0" w:rsidRPr="00954547">
        <w:rPr>
          <w:lang w:val="en-US"/>
        </w:rPr>
        <w:t>disregarded</w:t>
      </w:r>
      <w:r w:rsidR="00333476" w:rsidRPr="00954547">
        <w:rPr>
          <w:lang w:val="en-US"/>
        </w:rPr>
        <w:t xml:space="preserve"> the principle of </w:t>
      </w:r>
      <w:r w:rsidR="00144817" w:rsidRPr="00954547">
        <w:rPr>
          <w:lang w:val="en-US"/>
        </w:rPr>
        <w:t>presumption of innocence</w:t>
      </w:r>
      <w:r w:rsidR="00B2341E" w:rsidRPr="00954547">
        <w:rPr>
          <w:lang w:val="en-US"/>
        </w:rPr>
        <w:t>”</w:t>
      </w:r>
      <w:r w:rsidR="0031387C" w:rsidRPr="00954547">
        <w:rPr>
          <w:lang w:val="en-US"/>
        </w:rPr>
        <w:t xml:space="preserve"> </w:t>
      </w:r>
      <w:r w:rsidR="00333476" w:rsidRPr="00954547">
        <w:rPr>
          <w:lang w:val="en-US"/>
        </w:rPr>
        <w:t xml:space="preserve">because the judicial decisions that imposed this presumed that, owing to the gravity of the </w:t>
      </w:r>
      <w:r w:rsidR="00E14B61" w:rsidRPr="00954547">
        <w:rPr>
          <w:lang w:val="en-US"/>
        </w:rPr>
        <w:t>crime</w:t>
      </w:r>
      <w:r w:rsidR="0031387C" w:rsidRPr="00954547">
        <w:rPr>
          <w:lang w:val="en-US"/>
        </w:rPr>
        <w:t xml:space="preserve">, </w:t>
      </w:r>
      <w:r w:rsidR="00607E12" w:rsidRPr="00954547">
        <w:rPr>
          <w:lang w:val="en-US"/>
        </w:rPr>
        <w:t>the presumed victim</w:t>
      </w:r>
      <w:r w:rsidR="0031387C" w:rsidRPr="00954547">
        <w:rPr>
          <w:lang w:val="en-US"/>
        </w:rPr>
        <w:t xml:space="preserve"> </w:t>
      </w:r>
      <w:r w:rsidR="00FA1BCA" w:rsidRPr="00954547">
        <w:rPr>
          <w:lang w:val="en-US"/>
        </w:rPr>
        <w:t xml:space="preserve">might obstruct the proceedings. It stressed that </w:t>
      </w:r>
      <w:r w:rsidR="0031387C" w:rsidRPr="00954547">
        <w:rPr>
          <w:lang w:val="en-US"/>
        </w:rPr>
        <w:t>“</w:t>
      </w:r>
      <w:r w:rsidR="00FA1BCA" w:rsidRPr="00954547">
        <w:rPr>
          <w:lang w:val="en-US"/>
        </w:rPr>
        <w:t xml:space="preserve">article 294 of </w:t>
      </w:r>
      <w:r w:rsidR="00BA4784" w:rsidRPr="00954547">
        <w:rPr>
          <w:lang w:val="en-US"/>
        </w:rPr>
        <w:t>the Code of Criminal Procedure</w:t>
      </w:r>
      <w:r w:rsidR="009E6B43" w:rsidRPr="00954547">
        <w:rPr>
          <w:lang w:val="en-US"/>
        </w:rPr>
        <w:t xml:space="preserve"> of El </w:t>
      </w:r>
      <w:r w:rsidR="0031387C" w:rsidRPr="00954547">
        <w:rPr>
          <w:lang w:val="en-US"/>
        </w:rPr>
        <w:t>Salvador</w:t>
      </w:r>
      <w:r w:rsidR="00FA1BCA" w:rsidRPr="00954547">
        <w:rPr>
          <w:lang w:val="en-US"/>
        </w:rPr>
        <w:t xml:space="preserve"> explicitly established that</w:t>
      </w:r>
      <w:r w:rsidR="00E14B61" w:rsidRPr="00954547">
        <w:rPr>
          <w:lang w:val="en-US"/>
        </w:rPr>
        <w:t>,</w:t>
      </w:r>
      <w:r w:rsidR="00FA1BCA" w:rsidRPr="00954547">
        <w:rPr>
          <w:lang w:val="en-US"/>
        </w:rPr>
        <w:t xml:space="preserve"> in </w:t>
      </w:r>
      <w:r w:rsidR="00E14B61" w:rsidRPr="00954547">
        <w:rPr>
          <w:lang w:val="en-US"/>
        </w:rPr>
        <w:t xml:space="preserve">a </w:t>
      </w:r>
      <w:r w:rsidR="00FA1BCA" w:rsidRPr="00954547">
        <w:rPr>
          <w:lang w:val="en-US"/>
        </w:rPr>
        <w:t xml:space="preserve">case of aggravated homicide, pretrial detention cannot be replaced by any other measure.” In addition, it underlined that the presumed victim had no effective judicial remedy to contest </w:t>
      </w:r>
      <w:r w:rsidR="002A54F0" w:rsidRPr="00954547">
        <w:rPr>
          <w:lang w:val="en-US"/>
        </w:rPr>
        <w:t xml:space="preserve">the fact </w:t>
      </w:r>
      <w:r w:rsidR="00E14B61" w:rsidRPr="00954547">
        <w:rPr>
          <w:lang w:val="en-US"/>
        </w:rPr>
        <w:t xml:space="preserve">that </w:t>
      </w:r>
      <w:r w:rsidR="002A54F0" w:rsidRPr="00954547">
        <w:rPr>
          <w:lang w:val="en-US"/>
        </w:rPr>
        <w:t>her pretrial detention “contravened the Convention.”</w:t>
      </w:r>
      <w:r w:rsidR="00FA1BCA" w:rsidRPr="00954547">
        <w:rPr>
          <w:lang w:val="en-US"/>
        </w:rPr>
        <w:t xml:space="preserve"> </w:t>
      </w:r>
    </w:p>
    <w:p w14:paraId="7EC6B984" w14:textId="60A1FED6" w:rsidR="0031387C" w:rsidRPr="00954547" w:rsidRDefault="00B8393C" w:rsidP="00B2341E">
      <w:pPr>
        <w:pStyle w:val="Numberedparagraphs"/>
        <w:tabs>
          <w:tab w:val="left" w:pos="567"/>
        </w:tabs>
        <w:rPr>
          <w:lang w:val="en-US"/>
        </w:rPr>
      </w:pPr>
      <w:r w:rsidRPr="00954547">
        <w:rPr>
          <w:lang w:val="en-US"/>
        </w:rPr>
        <w:t xml:space="preserve">The </w:t>
      </w:r>
      <w:r w:rsidR="006E0D5E" w:rsidRPr="00954547">
        <w:rPr>
          <w:b/>
          <w:bCs/>
          <w:i/>
          <w:iCs/>
          <w:lang w:val="en-US"/>
        </w:rPr>
        <w:t>representatives</w:t>
      </w:r>
      <w:r w:rsidR="0031387C" w:rsidRPr="00954547">
        <w:rPr>
          <w:lang w:val="en-US"/>
        </w:rPr>
        <w:t xml:space="preserve"> a</w:t>
      </w:r>
      <w:r w:rsidR="002A54F0" w:rsidRPr="00954547">
        <w:rPr>
          <w:lang w:val="en-US"/>
        </w:rPr>
        <w:t xml:space="preserve">rgued that </w:t>
      </w:r>
      <w:r w:rsidR="0031387C" w:rsidRPr="00954547">
        <w:rPr>
          <w:lang w:val="en-US"/>
        </w:rPr>
        <w:t>“M</w:t>
      </w:r>
      <w:r w:rsidR="00B2341E" w:rsidRPr="00954547">
        <w:rPr>
          <w:lang w:val="en-US"/>
        </w:rPr>
        <w:t>anuela</w:t>
      </w:r>
      <w:r w:rsidR="002A54F0" w:rsidRPr="00954547">
        <w:rPr>
          <w:lang w:val="en-US"/>
        </w:rPr>
        <w:t xml:space="preserve">’s detention was unlawful and arbitrary because: </w:t>
      </w:r>
      <w:r w:rsidR="00B2341E" w:rsidRPr="00954547">
        <w:rPr>
          <w:lang w:val="en-US"/>
        </w:rPr>
        <w:t xml:space="preserve">(a) </w:t>
      </w:r>
      <w:r w:rsidR="00AD1DEC" w:rsidRPr="00954547">
        <w:rPr>
          <w:lang w:val="en-US"/>
        </w:rPr>
        <w:t>she was detain</w:t>
      </w:r>
      <w:r w:rsidR="00E14B61" w:rsidRPr="00954547">
        <w:rPr>
          <w:lang w:val="en-US"/>
        </w:rPr>
        <w:t>ed</w:t>
      </w:r>
      <w:r w:rsidR="00AD1DEC" w:rsidRPr="00954547">
        <w:rPr>
          <w:lang w:val="en-US"/>
        </w:rPr>
        <w:t xml:space="preserve"> by application of a presumption of </w:t>
      </w:r>
      <w:r w:rsidR="00E14B61" w:rsidRPr="00954547">
        <w:rPr>
          <w:i/>
          <w:iCs/>
          <w:lang w:val="en-US"/>
        </w:rPr>
        <w:t>in f</w:t>
      </w:r>
      <w:r w:rsidR="00AD1DEC" w:rsidRPr="00954547">
        <w:rPr>
          <w:i/>
          <w:iCs/>
          <w:lang w:val="en-US"/>
        </w:rPr>
        <w:t>lagrante delicto</w:t>
      </w:r>
      <w:r w:rsidR="00AD1DEC" w:rsidRPr="00954547">
        <w:rPr>
          <w:lang w:val="en-US"/>
        </w:rPr>
        <w:t xml:space="preserve"> which is contrary to the object and purpose of the treaty; </w:t>
      </w:r>
      <w:r w:rsidR="00B2341E" w:rsidRPr="00954547">
        <w:rPr>
          <w:lang w:val="en-US"/>
        </w:rPr>
        <w:t xml:space="preserve">(b) </w:t>
      </w:r>
      <w:r w:rsidR="00AD1DEC" w:rsidRPr="00954547">
        <w:rPr>
          <w:lang w:val="en-US"/>
        </w:rPr>
        <w:t>she was not informed of the reasons for her detention and the charges against her;</w:t>
      </w:r>
      <w:r w:rsidR="00B2341E" w:rsidRPr="00954547">
        <w:rPr>
          <w:lang w:val="en-US"/>
        </w:rPr>
        <w:t xml:space="preserve"> (c) </w:t>
      </w:r>
      <w:r w:rsidR="00AD1DEC" w:rsidRPr="00954547">
        <w:rPr>
          <w:lang w:val="en-US"/>
        </w:rPr>
        <w:t>her pretrial detention was ordered based on a legal presumption of guilt</w:t>
      </w:r>
      <w:r w:rsidR="008050AF" w:rsidRPr="00954547">
        <w:rPr>
          <w:lang w:val="en-US"/>
        </w:rPr>
        <w:t>;</w:t>
      </w:r>
      <w:r w:rsidR="00B2341E" w:rsidRPr="00954547">
        <w:rPr>
          <w:lang w:val="en-US"/>
        </w:rPr>
        <w:t xml:space="preserve"> (d) </w:t>
      </w:r>
      <w:r w:rsidR="00AD1DEC" w:rsidRPr="00954547">
        <w:rPr>
          <w:lang w:val="en-US"/>
        </w:rPr>
        <w:t>her criminal trial was conducted in contravention of</w:t>
      </w:r>
      <w:r w:rsidR="00B2341E" w:rsidRPr="00954547">
        <w:rPr>
          <w:lang w:val="en-US"/>
        </w:rPr>
        <w:t xml:space="preserve"> </w:t>
      </w:r>
      <w:r w:rsidR="0078694F" w:rsidRPr="00954547">
        <w:rPr>
          <w:lang w:val="en-US"/>
        </w:rPr>
        <w:t>judicial guarantees and judicial protection</w:t>
      </w:r>
      <w:r w:rsidR="00B2341E" w:rsidRPr="00954547">
        <w:rPr>
          <w:lang w:val="en-US"/>
        </w:rPr>
        <w:t>,</w:t>
      </w:r>
      <w:r w:rsidR="0078694F" w:rsidRPr="00954547">
        <w:rPr>
          <w:lang w:val="en-US"/>
        </w:rPr>
        <w:t xml:space="preserve"> and </w:t>
      </w:r>
      <w:r w:rsidR="00B2341E" w:rsidRPr="00954547">
        <w:rPr>
          <w:lang w:val="en-US"/>
        </w:rPr>
        <w:t xml:space="preserve">(e) </w:t>
      </w:r>
      <w:r w:rsidR="00AD1DEC" w:rsidRPr="00954547">
        <w:rPr>
          <w:lang w:val="en-US"/>
        </w:rPr>
        <w:t xml:space="preserve">the laws applied were contrary to the principle of the legality of criminal proceedings.” They emphasized that the pretrial detention </w:t>
      </w:r>
      <w:r w:rsidR="00F13498" w:rsidRPr="00954547">
        <w:rPr>
          <w:lang w:val="en-US"/>
        </w:rPr>
        <w:t xml:space="preserve">ordered against </w:t>
      </w:r>
      <w:r w:rsidR="00607E12" w:rsidRPr="00954547">
        <w:rPr>
          <w:lang w:val="en-US"/>
        </w:rPr>
        <w:t>the presumed victim</w:t>
      </w:r>
      <w:r w:rsidR="00B2341E" w:rsidRPr="00954547">
        <w:rPr>
          <w:lang w:val="en-US"/>
        </w:rPr>
        <w:t xml:space="preserve"> </w:t>
      </w:r>
      <w:r w:rsidR="00F13498" w:rsidRPr="00954547">
        <w:rPr>
          <w:lang w:val="en-US"/>
        </w:rPr>
        <w:t xml:space="preserve">was based on </w:t>
      </w:r>
      <w:r w:rsidR="002D5A78" w:rsidRPr="00954547">
        <w:rPr>
          <w:lang w:val="en-US"/>
        </w:rPr>
        <w:t>the court’s</w:t>
      </w:r>
      <w:r w:rsidR="003D19E4" w:rsidRPr="00954547">
        <w:rPr>
          <w:lang w:val="en-US"/>
        </w:rPr>
        <w:t xml:space="preserve"> </w:t>
      </w:r>
      <w:r w:rsidR="00F13498" w:rsidRPr="00954547">
        <w:rPr>
          <w:lang w:val="en-US"/>
        </w:rPr>
        <w:t xml:space="preserve">presumption of guilt and also argued that </w:t>
      </w:r>
      <w:r w:rsidR="00607E12" w:rsidRPr="00954547">
        <w:rPr>
          <w:lang w:val="en-US"/>
        </w:rPr>
        <w:t>the presumed victim</w:t>
      </w:r>
      <w:r w:rsidR="0031387C" w:rsidRPr="00954547">
        <w:rPr>
          <w:lang w:val="en-US"/>
        </w:rPr>
        <w:t xml:space="preserve"> </w:t>
      </w:r>
      <w:r w:rsidR="00F13498" w:rsidRPr="00954547">
        <w:rPr>
          <w:lang w:val="en-US"/>
        </w:rPr>
        <w:t xml:space="preserve">had no remedy to contest the imposition of </w:t>
      </w:r>
      <w:r w:rsidR="00AD1DEC" w:rsidRPr="00954547">
        <w:rPr>
          <w:lang w:val="en-US"/>
        </w:rPr>
        <w:t>pretrial detention</w:t>
      </w:r>
      <w:r w:rsidR="00A67AE9" w:rsidRPr="00954547">
        <w:rPr>
          <w:lang w:val="en-US"/>
        </w:rPr>
        <w:t>.</w:t>
      </w:r>
    </w:p>
    <w:p w14:paraId="7772B680" w14:textId="77FD683A" w:rsidR="000D6886" w:rsidRPr="00954547" w:rsidRDefault="00B8393C" w:rsidP="00B2341E">
      <w:pPr>
        <w:pStyle w:val="Numberedparagraphs"/>
        <w:tabs>
          <w:tab w:val="left" w:pos="567"/>
        </w:tabs>
        <w:rPr>
          <w:lang w:val="en-US"/>
        </w:rPr>
      </w:pPr>
      <w:r w:rsidRPr="00954547">
        <w:rPr>
          <w:lang w:val="en-US"/>
        </w:rPr>
        <w:t xml:space="preserve">The </w:t>
      </w:r>
      <w:r w:rsidRPr="00954547">
        <w:rPr>
          <w:b/>
          <w:bCs/>
          <w:i/>
          <w:iCs/>
          <w:lang w:val="en-US"/>
        </w:rPr>
        <w:t>State</w:t>
      </w:r>
      <w:r w:rsidR="0031387C" w:rsidRPr="00954547">
        <w:rPr>
          <w:b/>
          <w:bCs/>
          <w:i/>
          <w:iCs/>
          <w:lang w:val="en-US"/>
        </w:rPr>
        <w:t xml:space="preserve"> </w:t>
      </w:r>
      <w:r w:rsidR="000D6886" w:rsidRPr="00954547">
        <w:rPr>
          <w:lang w:val="en-US"/>
        </w:rPr>
        <w:t xml:space="preserve">pointed out </w:t>
      </w:r>
      <w:r w:rsidR="00F13498" w:rsidRPr="00954547">
        <w:rPr>
          <w:lang w:val="en-US"/>
        </w:rPr>
        <w:t xml:space="preserve">that the initial detention was in </w:t>
      </w:r>
      <w:r w:rsidR="002D5A78" w:rsidRPr="00954547">
        <w:rPr>
          <w:lang w:val="en-US"/>
        </w:rPr>
        <w:t>keeping</w:t>
      </w:r>
      <w:r w:rsidR="00F13498" w:rsidRPr="00954547">
        <w:rPr>
          <w:lang w:val="en-US"/>
        </w:rPr>
        <w:t xml:space="preserve"> with the </w:t>
      </w:r>
      <w:r w:rsidR="00BA4784" w:rsidRPr="00954547">
        <w:rPr>
          <w:lang w:val="en-US"/>
        </w:rPr>
        <w:t>Code of Criminal Procedure</w:t>
      </w:r>
      <w:r w:rsidR="00B2341E" w:rsidRPr="00954547">
        <w:rPr>
          <w:lang w:val="en-US"/>
        </w:rPr>
        <w:t xml:space="preserve">. </w:t>
      </w:r>
      <w:r w:rsidR="000D6886" w:rsidRPr="00954547">
        <w:rPr>
          <w:lang w:val="en-US"/>
        </w:rPr>
        <w:t>Regarding the arbitrary nature of</w:t>
      </w:r>
      <w:r w:rsidR="0031387C" w:rsidRPr="00954547">
        <w:rPr>
          <w:lang w:val="en-US"/>
        </w:rPr>
        <w:t xml:space="preserve"> </w:t>
      </w:r>
      <w:r w:rsidR="00AD1DEC" w:rsidRPr="00954547">
        <w:rPr>
          <w:lang w:val="en-US"/>
        </w:rPr>
        <w:t>the pretrial detention</w:t>
      </w:r>
      <w:r w:rsidR="0031387C" w:rsidRPr="00954547">
        <w:rPr>
          <w:lang w:val="en-US"/>
        </w:rPr>
        <w:t>, El Salvador argu</w:t>
      </w:r>
      <w:r w:rsidR="000D6886" w:rsidRPr="00954547">
        <w:rPr>
          <w:lang w:val="en-US"/>
        </w:rPr>
        <w:t xml:space="preserve">ed that the judges who intervened in the case, “first, considered that the </w:t>
      </w:r>
      <w:r w:rsidR="002D5A78" w:rsidRPr="00954547">
        <w:rPr>
          <w:lang w:val="en-US"/>
        </w:rPr>
        <w:t>crime</w:t>
      </w:r>
      <w:r w:rsidR="000D6886" w:rsidRPr="00954547">
        <w:rPr>
          <w:lang w:val="en-US"/>
        </w:rPr>
        <w:t xml:space="preserve"> of homicide had been established and, second, had sufficient evidence to reasonably consider the ‘positive probability of the </w:t>
      </w:r>
      <w:r w:rsidR="002D5A78" w:rsidRPr="00954547">
        <w:rPr>
          <w:lang w:val="en-US"/>
        </w:rPr>
        <w:t xml:space="preserve">defendant’s </w:t>
      </w:r>
      <w:r w:rsidR="000D6886" w:rsidRPr="00954547">
        <w:rPr>
          <w:lang w:val="en-US"/>
        </w:rPr>
        <w:t>participation</w:t>
      </w:r>
      <w:r w:rsidR="002D5A78" w:rsidRPr="00954547">
        <w:rPr>
          <w:lang w:val="en-US"/>
        </w:rPr>
        <w:t xml:space="preserve">’ </w:t>
      </w:r>
      <w:r w:rsidR="000D6886" w:rsidRPr="00954547">
        <w:rPr>
          <w:lang w:val="en-US"/>
        </w:rPr>
        <w:t>in this, without the presumption of innocence in her favor having been adversely affected to date.</w:t>
      </w:r>
    </w:p>
    <w:p w14:paraId="1A3C6562" w14:textId="5A8B8F06" w:rsidR="0031387C" w:rsidRPr="00954547" w:rsidRDefault="00B8393C" w:rsidP="00386B24">
      <w:pPr>
        <w:pStyle w:val="Heading2"/>
        <w:tabs>
          <w:tab w:val="clear" w:pos="1134"/>
          <w:tab w:val="left" w:pos="567"/>
        </w:tabs>
        <w:autoSpaceDE w:val="0"/>
        <w:autoSpaceDN w:val="0"/>
        <w:adjustRightInd w:val="0"/>
        <w:ind w:left="1134" w:hanging="567"/>
        <w:jc w:val="both"/>
        <w:rPr>
          <w:lang w:val="en-US"/>
        </w:rPr>
      </w:pPr>
      <w:bookmarkStart w:id="53" w:name="_Toc106353909"/>
      <w:r w:rsidRPr="00954547">
        <w:rPr>
          <w:lang w:val="en-US"/>
        </w:rPr>
        <w:t>Considerations</w:t>
      </w:r>
      <w:r w:rsidR="00607E12" w:rsidRPr="00954547">
        <w:rPr>
          <w:lang w:val="en-US"/>
        </w:rPr>
        <w:t xml:space="preserve"> of the </w:t>
      </w:r>
      <w:r w:rsidR="00E76B1A" w:rsidRPr="00954547">
        <w:rPr>
          <w:lang w:val="en-US"/>
        </w:rPr>
        <w:t>Court</w:t>
      </w:r>
      <w:bookmarkEnd w:id="53"/>
    </w:p>
    <w:p w14:paraId="3DFD51F7" w14:textId="557CFA5F" w:rsidR="000D6886" w:rsidRPr="00954547" w:rsidRDefault="00E76B1A" w:rsidP="00386B24">
      <w:pPr>
        <w:pStyle w:val="Numberedparagraphs"/>
        <w:tabs>
          <w:tab w:val="left" w:pos="567"/>
        </w:tabs>
        <w:rPr>
          <w:rFonts w:eastAsia="Calibri"/>
          <w:lang w:val="en-US"/>
        </w:rPr>
      </w:pPr>
      <w:bookmarkStart w:id="54" w:name="_Ref33106089"/>
      <w:r w:rsidRPr="00954547">
        <w:rPr>
          <w:lang w:val="en-US"/>
        </w:rPr>
        <w:t>The Court</w:t>
      </w:r>
      <w:r w:rsidR="0031387C" w:rsidRPr="00954547">
        <w:rPr>
          <w:lang w:val="en-US"/>
        </w:rPr>
        <w:t xml:space="preserve"> ha</w:t>
      </w:r>
      <w:r w:rsidR="000D6886" w:rsidRPr="00954547">
        <w:rPr>
          <w:lang w:val="en-US"/>
        </w:rPr>
        <w:t xml:space="preserve">s maintained that the essential content </w:t>
      </w:r>
      <w:r w:rsidR="00041C12" w:rsidRPr="00954547">
        <w:rPr>
          <w:lang w:val="en-US"/>
        </w:rPr>
        <w:t>of Article</w:t>
      </w:r>
      <w:r w:rsidR="0031387C" w:rsidRPr="00954547">
        <w:rPr>
          <w:lang w:val="en-US"/>
        </w:rPr>
        <w:t xml:space="preserve"> 7</w:t>
      </w:r>
      <w:r w:rsidR="005E0FD1" w:rsidRPr="00954547">
        <w:rPr>
          <w:lang w:val="en-US"/>
        </w:rPr>
        <w:t xml:space="preserve"> of the American Convention</w:t>
      </w:r>
      <w:r w:rsidR="0031387C" w:rsidRPr="00954547">
        <w:rPr>
          <w:lang w:val="en-US"/>
        </w:rPr>
        <w:t xml:space="preserve"> </w:t>
      </w:r>
      <w:r w:rsidR="000D6886" w:rsidRPr="00954547">
        <w:rPr>
          <w:lang w:val="en-US"/>
        </w:rPr>
        <w:t>is the protection of the liberty of the individual against any arbitrary or unlawful interference by</w:t>
      </w:r>
      <w:r w:rsidR="00607E12" w:rsidRPr="00954547">
        <w:rPr>
          <w:lang w:val="en-US"/>
        </w:rPr>
        <w:t xml:space="preserve"> the </w:t>
      </w:r>
      <w:r w:rsidR="00B8393C" w:rsidRPr="00954547">
        <w:rPr>
          <w:lang w:val="en-US"/>
        </w:rPr>
        <w:t>State</w:t>
      </w:r>
      <w:r w:rsidR="000D6886" w:rsidRPr="00954547">
        <w:rPr>
          <w:lang w:val="en-US"/>
        </w:rPr>
        <w:t>.</w:t>
      </w:r>
      <w:r w:rsidR="0031387C" w:rsidRPr="00954547">
        <w:rPr>
          <w:rStyle w:val="FootnoteReference"/>
          <w:lang w:val="en-US"/>
        </w:rPr>
        <w:footnoteReference w:id="187"/>
      </w:r>
      <w:r w:rsidR="000D6886" w:rsidRPr="00954547">
        <w:rPr>
          <w:lang w:val="en-US"/>
        </w:rPr>
        <w:t xml:space="preserve"> This article contains two </w:t>
      </w:r>
      <w:r w:rsidR="00F35A6E" w:rsidRPr="00954547">
        <w:rPr>
          <w:lang w:val="en-US"/>
        </w:rPr>
        <w:t>very different types of regulation</w:t>
      </w:r>
      <w:r w:rsidR="00722330" w:rsidRPr="00954547">
        <w:rPr>
          <w:lang w:val="en-US"/>
        </w:rPr>
        <w:t>s</w:t>
      </w:r>
      <w:r w:rsidR="000D6886" w:rsidRPr="00954547">
        <w:rPr>
          <w:lang w:val="en-US"/>
        </w:rPr>
        <w:t xml:space="preserve">, one general and the other specific. The general </w:t>
      </w:r>
      <w:r w:rsidR="00F35A6E" w:rsidRPr="00954547">
        <w:rPr>
          <w:lang w:val="en-US"/>
        </w:rPr>
        <w:t>aspect</w:t>
      </w:r>
      <w:r w:rsidR="000D6886" w:rsidRPr="00954547">
        <w:rPr>
          <w:lang w:val="en-US"/>
        </w:rPr>
        <w:t xml:space="preserve"> is found in the first paragraph:</w:t>
      </w:r>
      <w:r w:rsidR="00F35A6E" w:rsidRPr="00954547">
        <w:rPr>
          <w:lang w:val="en-US"/>
        </w:rPr>
        <w:t xml:space="preserve"> “</w:t>
      </w:r>
      <w:r w:rsidR="00F35A6E" w:rsidRPr="00954547">
        <w:rPr>
          <w:spacing w:val="-3"/>
          <w:lang w:val="en-US"/>
        </w:rPr>
        <w:t>[e]very person has the right to personal liberty and security.” While the specific aspect is composed of a series of guarantees that protect the right not to be deprived of liberty unlawfully</w:t>
      </w:r>
      <w:r w:rsidR="00F35A6E" w:rsidRPr="00954547">
        <w:rPr>
          <w:rFonts w:eastAsia="Calibri"/>
          <w:lang w:val="en-US"/>
        </w:rPr>
        <w:t xml:space="preserve"> (Article 7(2)) or arbitrarily (Article 7(3)), to be informed of the reasons for the detention and the charges (Article 7(4)), to judicial control of the deprivation of liberty and the reasonableness of the time of pre</w:t>
      </w:r>
      <w:r w:rsidR="00722330" w:rsidRPr="00954547">
        <w:rPr>
          <w:rFonts w:eastAsia="Calibri"/>
          <w:lang w:val="en-US"/>
        </w:rPr>
        <w:t>trial</w:t>
      </w:r>
      <w:r w:rsidR="00F35A6E" w:rsidRPr="00954547">
        <w:rPr>
          <w:rFonts w:eastAsia="Calibri"/>
          <w:lang w:val="en-US"/>
        </w:rPr>
        <w:t xml:space="preserve"> detention (Article 7(5)), to contest the lawfulness of the detention (Article 7(6)) and not to be detained for debt (Article 7(7)). Any violation of paragraphs 2 to 7 of Article 7 of the Convention will necessarily result in the violation of Article 7(1).</w:t>
      </w:r>
      <w:r w:rsidR="00F35A6E" w:rsidRPr="00954547">
        <w:rPr>
          <w:rFonts w:eastAsia="Calibri"/>
          <w:spacing w:val="-2"/>
          <w:vertAlign w:val="superscript"/>
          <w:lang w:val="en-US"/>
        </w:rPr>
        <w:footnoteReference w:id="188"/>
      </w:r>
    </w:p>
    <w:bookmarkEnd w:id="54"/>
    <w:p w14:paraId="2EAA9883" w14:textId="01A32490" w:rsidR="007F7D55" w:rsidRPr="00954547" w:rsidRDefault="00F35A6E" w:rsidP="00E033A5">
      <w:pPr>
        <w:pStyle w:val="Numberedparagraphs"/>
        <w:tabs>
          <w:tab w:val="left" w:pos="567"/>
        </w:tabs>
        <w:rPr>
          <w:lang w:val="en-US"/>
        </w:rPr>
      </w:pPr>
      <w:r w:rsidRPr="00954547">
        <w:rPr>
          <w:rFonts w:eastAsia="Calibri"/>
          <w:lang w:val="en-US"/>
        </w:rPr>
        <w:t xml:space="preserve">In the instant case, a series of violations of </w:t>
      </w:r>
      <w:r w:rsidRPr="00954547">
        <w:rPr>
          <w:lang w:val="en-US"/>
        </w:rPr>
        <w:t xml:space="preserve">personal liberty have been alleged. </w:t>
      </w:r>
      <w:r w:rsidR="00E76B1A" w:rsidRPr="00954547">
        <w:rPr>
          <w:lang w:val="en-US"/>
        </w:rPr>
        <w:t>The Court</w:t>
      </w:r>
      <w:r w:rsidR="00D56C35" w:rsidRPr="00954547">
        <w:rPr>
          <w:lang w:val="en-US"/>
        </w:rPr>
        <w:t xml:space="preserve"> </w:t>
      </w:r>
      <w:r w:rsidRPr="00954547">
        <w:rPr>
          <w:lang w:val="en-US"/>
        </w:rPr>
        <w:t xml:space="preserve">only has sufficient evidence to examine the </w:t>
      </w:r>
      <w:r w:rsidR="00B8393C" w:rsidRPr="00954547">
        <w:rPr>
          <w:lang w:val="en-US"/>
        </w:rPr>
        <w:t>arguments</w:t>
      </w:r>
      <w:r w:rsidR="000F5185" w:rsidRPr="00954547">
        <w:rPr>
          <w:lang w:val="en-US"/>
        </w:rPr>
        <w:t xml:space="preserve"> </w:t>
      </w:r>
      <w:r w:rsidRPr="00954547">
        <w:rPr>
          <w:lang w:val="en-US"/>
        </w:rPr>
        <w:t>concerning</w:t>
      </w:r>
      <w:r w:rsidR="000F5185" w:rsidRPr="00954547">
        <w:rPr>
          <w:lang w:val="en-US"/>
        </w:rPr>
        <w:t xml:space="preserve"> </w:t>
      </w:r>
      <w:r w:rsidR="00AD1DEC" w:rsidRPr="00954547">
        <w:rPr>
          <w:lang w:val="en-US"/>
        </w:rPr>
        <w:t xml:space="preserve">the </w:t>
      </w:r>
      <w:r w:rsidR="00607E12" w:rsidRPr="00954547">
        <w:rPr>
          <w:lang w:val="en-US"/>
        </w:rPr>
        <w:t>presumed victim</w:t>
      </w:r>
      <w:r w:rsidRPr="00954547">
        <w:rPr>
          <w:lang w:val="en-US"/>
        </w:rPr>
        <w:t>’s pretrial detention</w:t>
      </w:r>
      <w:r w:rsidR="00D574DF" w:rsidRPr="00954547">
        <w:rPr>
          <w:lang w:val="en-US"/>
        </w:rPr>
        <w:t>.</w:t>
      </w:r>
    </w:p>
    <w:p w14:paraId="0E8A42F0" w14:textId="7A8FCFD1" w:rsidR="00B0484C" w:rsidRPr="00954547" w:rsidRDefault="00D602DE" w:rsidP="002C30C8">
      <w:pPr>
        <w:pStyle w:val="Numberedparagraphs"/>
        <w:tabs>
          <w:tab w:val="clear" w:pos="720"/>
          <w:tab w:val="num" w:pos="567"/>
        </w:tabs>
        <w:rPr>
          <w:lang w:val="en-US" w:eastAsia="en-GB"/>
        </w:rPr>
      </w:pPr>
      <w:bookmarkStart w:id="55" w:name="_Ref87971473"/>
      <w:r w:rsidRPr="00954547">
        <w:rPr>
          <w:bCs/>
          <w:lang w:val="en-US"/>
        </w:rPr>
        <w:t xml:space="preserve">According to this Court’s case law, </w:t>
      </w:r>
      <w:r w:rsidR="00AD1DEC" w:rsidRPr="00954547">
        <w:rPr>
          <w:lang w:val="en-US" w:eastAsia="en-GB"/>
        </w:rPr>
        <w:t>pretrial detention</w:t>
      </w:r>
      <w:r w:rsidR="00B0484C" w:rsidRPr="00954547">
        <w:rPr>
          <w:lang w:val="en-US" w:eastAsia="en-GB"/>
        </w:rPr>
        <w:t xml:space="preserve"> </w:t>
      </w:r>
      <w:r w:rsidRPr="00954547">
        <w:rPr>
          <w:lang w:val="en-US" w:eastAsia="en-GB"/>
        </w:rPr>
        <w:t>is the most severe measure that can be applied to anyone charged with an offense. Consequently, it should only be applied exceptionally.</w:t>
      </w:r>
      <w:r w:rsidR="00B0484C" w:rsidRPr="00954547">
        <w:rPr>
          <w:rStyle w:val="FootnoteReference"/>
          <w:rFonts w:eastAsia="Times New Roman"/>
          <w:lang w:val="en-US" w:eastAsia="en-GB"/>
        </w:rPr>
        <w:footnoteReference w:id="189"/>
      </w:r>
      <w:r w:rsidR="00B0484C" w:rsidRPr="00954547">
        <w:rPr>
          <w:lang w:val="en-US" w:eastAsia="en-GB"/>
        </w:rPr>
        <w:t xml:space="preserve"> </w:t>
      </w:r>
      <w:r w:rsidRPr="00954547">
        <w:rPr>
          <w:lang w:val="en-US" w:eastAsia="en-GB"/>
        </w:rPr>
        <w:t>To ensure that a precautionary measure that restrict</w:t>
      </w:r>
      <w:r w:rsidR="00722330" w:rsidRPr="00954547">
        <w:rPr>
          <w:lang w:val="en-US" w:eastAsia="en-GB"/>
        </w:rPr>
        <w:t>s</w:t>
      </w:r>
      <w:r w:rsidRPr="00954547">
        <w:rPr>
          <w:lang w:val="en-US" w:eastAsia="en-GB"/>
        </w:rPr>
        <w:t xml:space="preserve"> liberty is not arbitrary, it is necessary that: (</w:t>
      </w:r>
      <w:r w:rsidR="00B0484C" w:rsidRPr="00954547">
        <w:rPr>
          <w:lang w:val="en-US"/>
        </w:rPr>
        <w:t xml:space="preserve">i) </w:t>
      </w:r>
      <w:r w:rsidRPr="00954547">
        <w:rPr>
          <w:lang w:val="en-US"/>
        </w:rPr>
        <w:t>substantive presumption</w:t>
      </w:r>
      <w:r w:rsidR="00C47C33" w:rsidRPr="00954547">
        <w:rPr>
          <w:lang w:val="en-US"/>
        </w:rPr>
        <w:t>s</w:t>
      </w:r>
      <w:r w:rsidR="00722330" w:rsidRPr="00954547">
        <w:rPr>
          <w:lang w:val="en-US"/>
        </w:rPr>
        <w:t xml:space="preserve"> exist</w:t>
      </w:r>
      <w:r w:rsidR="00C47C33" w:rsidRPr="00954547">
        <w:rPr>
          <w:lang w:val="en-US"/>
        </w:rPr>
        <w:t xml:space="preserve"> relat</w:t>
      </w:r>
      <w:r w:rsidR="00722330" w:rsidRPr="00954547">
        <w:rPr>
          <w:lang w:val="en-US"/>
        </w:rPr>
        <w:t>ing</w:t>
      </w:r>
      <w:r w:rsidR="00C47C33" w:rsidRPr="00954547">
        <w:rPr>
          <w:lang w:val="en-US"/>
        </w:rPr>
        <w:t xml:space="preserve"> to</w:t>
      </w:r>
      <w:r w:rsidRPr="00954547">
        <w:rPr>
          <w:lang w:val="en-US"/>
        </w:rPr>
        <w:t xml:space="preserve"> an unlawful act and </w:t>
      </w:r>
      <w:r w:rsidR="00C47C33" w:rsidRPr="00954547">
        <w:rPr>
          <w:lang w:val="en-US"/>
        </w:rPr>
        <w:t xml:space="preserve">to the connection of the defendant to that act; (ii) the measure that restricts liberty complies with the four elements of the “proportionality test”; in other words, the purpose of the measure must be legitimate (compatible </w:t>
      </w:r>
      <w:r w:rsidR="00722330" w:rsidRPr="00954547">
        <w:rPr>
          <w:lang w:val="en-US"/>
        </w:rPr>
        <w:t>with</w:t>
      </w:r>
      <w:r w:rsidR="00C47C33" w:rsidRPr="00954547">
        <w:rPr>
          <w:lang w:val="en-US"/>
        </w:rPr>
        <w:t xml:space="preserve"> the American Convention),</w:t>
      </w:r>
      <w:r w:rsidR="00C47C33" w:rsidRPr="00954547">
        <w:rPr>
          <w:rStyle w:val="FootnoteReference"/>
          <w:lang w:val="en-US"/>
        </w:rPr>
        <w:footnoteReference w:id="190"/>
      </w:r>
      <w:r w:rsidR="00C47C33" w:rsidRPr="00954547">
        <w:rPr>
          <w:lang w:val="en-US"/>
        </w:rPr>
        <w:t xml:space="preserve"> appropriate to comply with the purpose sought, necessary</w:t>
      </w:r>
      <w:r w:rsidR="00722330" w:rsidRPr="00954547">
        <w:rPr>
          <w:lang w:val="en-US"/>
        </w:rPr>
        <w:t>,</w:t>
      </w:r>
      <w:r w:rsidR="00C47C33" w:rsidRPr="00954547">
        <w:rPr>
          <w:lang w:val="en-US"/>
        </w:rPr>
        <w:t xml:space="preserve"> and strictly proportionate</w:t>
      </w:r>
      <w:r w:rsidR="00C47C33" w:rsidRPr="00954547">
        <w:rPr>
          <w:lang w:val="en-US" w:eastAsia="en-GB"/>
        </w:rPr>
        <w:t>,</w:t>
      </w:r>
      <w:r w:rsidR="00B0484C" w:rsidRPr="00954547">
        <w:rPr>
          <w:rStyle w:val="FootnoteReference"/>
          <w:lang w:val="en-US"/>
        </w:rPr>
        <w:footnoteReference w:id="191"/>
      </w:r>
      <w:r w:rsidR="0078694F" w:rsidRPr="00954547">
        <w:rPr>
          <w:lang w:val="en-US"/>
        </w:rPr>
        <w:t xml:space="preserve"> and </w:t>
      </w:r>
      <w:r w:rsidR="00C47C33" w:rsidRPr="00954547">
        <w:rPr>
          <w:lang w:val="en-US"/>
        </w:rPr>
        <w:t>(</w:t>
      </w:r>
      <w:r w:rsidR="00B0484C" w:rsidRPr="00954547">
        <w:rPr>
          <w:lang w:val="en-US"/>
        </w:rPr>
        <w:t xml:space="preserve">iii) </w:t>
      </w:r>
      <w:r w:rsidR="00C47C33" w:rsidRPr="00954547">
        <w:rPr>
          <w:lang w:val="en-US"/>
        </w:rPr>
        <w:t xml:space="preserve">the decision imposing such measures must include sufficient reasoning to permit an assessment of whether they are in keeping with the </w:t>
      </w:r>
      <w:r w:rsidR="00722330" w:rsidRPr="00954547">
        <w:rPr>
          <w:lang w:val="en-US"/>
        </w:rPr>
        <w:t>aforementioned</w:t>
      </w:r>
      <w:r w:rsidR="00C47C33" w:rsidRPr="00954547">
        <w:rPr>
          <w:lang w:val="en-US"/>
        </w:rPr>
        <w:t xml:space="preserve"> conditions</w:t>
      </w:r>
      <w:r w:rsidR="002C30C8" w:rsidRPr="00954547">
        <w:rPr>
          <w:lang w:val="en-US"/>
        </w:rPr>
        <w:t>.</w:t>
      </w:r>
      <w:r w:rsidR="00B0484C" w:rsidRPr="00954547">
        <w:rPr>
          <w:rStyle w:val="FootnoteReference"/>
          <w:lang w:val="en-US"/>
        </w:rPr>
        <w:footnoteReference w:id="192"/>
      </w:r>
      <w:bookmarkEnd w:id="55"/>
      <w:r w:rsidR="00B0484C" w:rsidRPr="00954547">
        <w:rPr>
          <w:lang w:val="en-US"/>
        </w:rPr>
        <w:t xml:space="preserve"> </w:t>
      </w:r>
    </w:p>
    <w:p w14:paraId="007C2733" w14:textId="59FF87C7" w:rsidR="00B0484C" w:rsidRPr="00954547" w:rsidRDefault="002C30C8" w:rsidP="002C30C8">
      <w:pPr>
        <w:pStyle w:val="Numberedparagraphs"/>
        <w:tabs>
          <w:tab w:val="clear" w:pos="720"/>
          <w:tab w:val="num" w:pos="567"/>
        </w:tabs>
        <w:rPr>
          <w:lang w:val="en-US"/>
        </w:rPr>
      </w:pPr>
      <w:bookmarkStart w:id="56" w:name="_Ref87971440"/>
      <w:r w:rsidRPr="00954547">
        <w:rPr>
          <w:lang w:val="en-US"/>
        </w:rPr>
        <w:t>With regard to the first element of the proportionality test – that is, the purpose of the measure that restricts liberty – the Court has indicated that a measure of this nature should only be imposed to satisfy a legitimate purpose, namely: that the accused will not impede the development of the proceedings or evade the action of justice.</w:t>
      </w:r>
      <w:r w:rsidR="00B0484C" w:rsidRPr="00954547">
        <w:rPr>
          <w:rStyle w:val="FootnoteReference"/>
          <w:lang w:val="en-US"/>
        </w:rPr>
        <w:footnoteReference w:id="193"/>
      </w:r>
      <w:r w:rsidRPr="00954547">
        <w:rPr>
          <w:lang w:val="en-US"/>
        </w:rPr>
        <w:t xml:space="preserve"> It has also stressed that procedural risk cannot be presumed, but must be verified in each case, based on the </w:t>
      </w:r>
      <w:r w:rsidR="005B4FAA" w:rsidRPr="00954547">
        <w:rPr>
          <w:lang w:val="en-US"/>
        </w:rPr>
        <w:t>true</w:t>
      </w:r>
      <w:r w:rsidRPr="00954547">
        <w:rPr>
          <w:lang w:val="en-US"/>
        </w:rPr>
        <w:t xml:space="preserve"> and objective circumstances of the specific case.</w:t>
      </w:r>
      <w:r w:rsidR="00B0484C" w:rsidRPr="00954547">
        <w:rPr>
          <w:rStyle w:val="FootnoteReference"/>
          <w:lang w:val="en-US"/>
        </w:rPr>
        <w:footnoteReference w:id="194"/>
      </w:r>
      <w:r w:rsidRPr="00954547">
        <w:rPr>
          <w:lang w:val="en-US"/>
        </w:rPr>
        <w:t xml:space="preserve"> This is based on </w:t>
      </w:r>
      <w:r w:rsidR="00A17F8C" w:rsidRPr="00954547">
        <w:rPr>
          <w:lang w:val="en-US"/>
        </w:rPr>
        <w:t>Articles</w:t>
      </w:r>
      <w:r w:rsidR="00B0484C" w:rsidRPr="00954547">
        <w:rPr>
          <w:lang w:val="en-US"/>
        </w:rPr>
        <w:t xml:space="preserve"> </w:t>
      </w:r>
      <w:r w:rsidR="005E0FD1" w:rsidRPr="00954547">
        <w:rPr>
          <w:lang w:val="en-US"/>
        </w:rPr>
        <w:t>7(3)</w:t>
      </w:r>
      <w:r w:rsidR="00B0484C" w:rsidRPr="00954547">
        <w:rPr>
          <w:lang w:val="en-US"/>
        </w:rPr>
        <w:t xml:space="preserve">, </w:t>
      </w:r>
      <w:r w:rsidR="006E0D5E" w:rsidRPr="00954547">
        <w:rPr>
          <w:lang w:val="en-US"/>
        </w:rPr>
        <w:t>7(5)</w:t>
      </w:r>
      <w:r w:rsidR="0078694F" w:rsidRPr="00954547">
        <w:rPr>
          <w:lang w:val="en-US"/>
        </w:rPr>
        <w:t xml:space="preserve"> and </w:t>
      </w:r>
      <w:r w:rsidR="00B0484C" w:rsidRPr="00954547">
        <w:rPr>
          <w:lang w:val="en-US"/>
        </w:rPr>
        <w:t>8</w:t>
      </w:r>
      <w:r w:rsidR="00E033A5" w:rsidRPr="00954547">
        <w:rPr>
          <w:lang w:val="en-US"/>
        </w:rPr>
        <w:t>(</w:t>
      </w:r>
      <w:r w:rsidR="00B0484C" w:rsidRPr="00954547">
        <w:rPr>
          <w:lang w:val="en-US"/>
        </w:rPr>
        <w:t>2</w:t>
      </w:r>
      <w:r w:rsidR="00E033A5" w:rsidRPr="00954547">
        <w:rPr>
          <w:lang w:val="en-US"/>
        </w:rPr>
        <w:t>)</w:t>
      </w:r>
      <w:r w:rsidR="00B0484C" w:rsidRPr="00954547">
        <w:rPr>
          <w:lang w:val="en-US"/>
        </w:rPr>
        <w:t xml:space="preserve"> </w:t>
      </w:r>
      <w:r w:rsidR="005E0FD1" w:rsidRPr="00954547">
        <w:rPr>
          <w:lang w:val="en-US"/>
        </w:rPr>
        <w:t>of the Convention</w:t>
      </w:r>
      <w:r w:rsidR="00B0484C" w:rsidRPr="00954547">
        <w:rPr>
          <w:lang w:val="en-US"/>
        </w:rPr>
        <w:t>.</w:t>
      </w:r>
      <w:bookmarkEnd w:id="56"/>
      <w:r w:rsidR="00B0484C" w:rsidRPr="00954547">
        <w:rPr>
          <w:strike/>
          <w:lang w:val="en-US"/>
        </w:rPr>
        <w:t xml:space="preserve"> </w:t>
      </w:r>
    </w:p>
    <w:p w14:paraId="07A24C0E" w14:textId="3AD744BC" w:rsidR="00B0484C" w:rsidRPr="00954547" w:rsidRDefault="00E033A5" w:rsidP="00E033A5">
      <w:pPr>
        <w:pStyle w:val="Numberedparagraphs"/>
        <w:tabs>
          <w:tab w:val="clear" w:pos="720"/>
          <w:tab w:val="num" w:pos="567"/>
        </w:tabs>
        <w:rPr>
          <w:lang w:val="en-US"/>
        </w:rPr>
      </w:pPr>
      <w:bookmarkStart w:id="57" w:name="_Ref87971479"/>
      <w:r w:rsidRPr="00954547">
        <w:rPr>
          <w:rFonts w:eastAsia="Times New Roman"/>
          <w:lang w:val="en-US"/>
        </w:rPr>
        <w:t xml:space="preserve">In addition, the Court has considered that any restriction of liberty </w:t>
      </w:r>
      <w:r w:rsidR="00AB56FC" w:rsidRPr="00954547">
        <w:rPr>
          <w:lang w:val="en-US"/>
        </w:rPr>
        <w:t>which</w:t>
      </w:r>
      <w:r w:rsidRPr="00954547">
        <w:rPr>
          <w:lang w:val="en-US"/>
        </w:rPr>
        <w:t xml:space="preserve"> does not include sufficient reasoning that permits an assessment of whether it is in keeping with the foregoing conditions will be arbitrary. The judicial decision must be </w:t>
      </w:r>
      <w:r w:rsidR="00AB56FC" w:rsidRPr="00954547">
        <w:rPr>
          <w:lang w:val="en-US"/>
        </w:rPr>
        <w:t>justified</w:t>
      </w:r>
      <w:r w:rsidRPr="00954547">
        <w:rPr>
          <w:lang w:val="en-US"/>
        </w:rPr>
        <w:t xml:space="preserve"> and indicate, clearly and with reasons, the existence of sufficient evidence that proves the unlawful conduct of the person</w:t>
      </w:r>
      <w:r w:rsidR="00AB56FC" w:rsidRPr="00954547">
        <w:rPr>
          <w:lang w:val="en-US"/>
        </w:rPr>
        <w:t xml:space="preserve"> concerned</w:t>
      </w:r>
      <w:r w:rsidRPr="00954547">
        <w:rPr>
          <w:lang w:val="en-US"/>
        </w:rPr>
        <w:t>;</w:t>
      </w:r>
      <w:r w:rsidR="00B0484C" w:rsidRPr="00954547">
        <w:rPr>
          <w:rStyle w:val="FootnoteReference"/>
          <w:rFonts w:eastAsia="Times New Roman"/>
          <w:lang w:val="en-US" w:eastAsia="en-GB"/>
        </w:rPr>
        <w:footnoteReference w:id="195"/>
      </w:r>
      <w:r w:rsidRPr="00954547">
        <w:rPr>
          <w:rFonts w:eastAsia="Times New Roman" w:cs="Times New Roman"/>
          <w:lang w:val="en-US" w:eastAsia="en-GB"/>
        </w:rPr>
        <w:t xml:space="preserve"> this safeguards</w:t>
      </w:r>
      <w:r w:rsidR="00B0484C" w:rsidRPr="00954547">
        <w:rPr>
          <w:rFonts w:eastAsia="Times New Roman" w:cs="Times New Roman"/>
          <w:lang w:val="en-US" w:eastAsia="en-GB"/>
        </w:rPr>
        <w:t xml:space="preserve"> </w:t>
      </w:r>
      <w:r w:rsidR="00AB56FC" w:rsidRPr="00954547">
        <w:rPr>
          <w:rFonts w:eastAsia="Times New Roman" w:cs="Times New Roman"/>
          <w:lang w:val="en-US" w:eastAsia="en-GB"/>
        </w:rPr>
        <w:t xml:space="preserve">the </w:t>
      </w:r>
      <w:r w:rsidR="00144817" w:rsidRPr="00954547">
        <w:rPr>
          <w:rFonts w:eastAsia="Times New Roman" w:cs="Times New Roman"/>
          <w:lang w:val="en-US" w:eastAsia="en-GB"/>
        </w:rPr>
        <w:t>presumption of innocence</w:t>
      </w:r>
      <w:r w:rsidRPr="00954547">
        <w:rPr>
          <w:rFonts w:eastAsia="Times New Roman" w:cs="Times New Roman"/>
          <w:lang w:val="en-US" w:eastAsia="en-GB"/>
        </w:rPr>
        <w:t>.</w:t>
      </w:r>
      <w:r w:rsidR="00B0484C" w:rsidRPr="00954547">
        <w:rPr>
          <w:rStyle w:val="FootnoteReference"/>
          <w:rFonts w:eastAsia="Times New Roman"/>
          <w:lang w:val="en-US" w:eastAsia="en-GB"/>
        </w:rPr>
        <w:footnoteReference w:id="196"/>
      </w:r>
      <w:r w:rsidR="00B0484C" w:rsidRPr="00954547">
        <w:rPr>
          <w:rFonts w:eastAsia="Times New Roman" w:cs="Times New Roman"/>
          <w:lang w:val="en-US" w:eastAsia="en-GB"/>
        </w:rPr>
        <w:t xml:space="preserve"> </w:t>
      </w:r>
      <w:r w:rsidRPr="00954547">
        <w:rPr>
          <w:rFonts w:eastAsia="Times New Roman" w:cs="Times New Roman"/>
          <w:lang w:val="en-US" w:eastAsia="en-GB"/>
        </w:rPr>
        <w:t>Moreover, the personal characteristics of the supposed offender and the gravity of the offense he</w:t>
      </w:r>
      <w:r w:rsidR="00AE6A44" w:rsidRPr="00954547">
        <w:rPr>
          <w:rFonts w:eastAsia="Times New Roman" w:cs="Times New Roman"/>
          <w:lang w:val="en-US" w:eastAsia="en-GB"/>
        </w:rPr>
        <w:t xml:space="preserve"> or she</w:t>
      </w:r>
      <w:r w:rsidRPr="00954547">
        <w:rPr>
          <w:rFonts w:eastAsia="Times New Roman" w:cs="Times New Roman"/>
          <w:lang w:val="en-US" w:eastAsia="en-GB"/>
        </w:rPr>
        <w:t xml:space="preserve"> is charged with are not, in themselves, sufficient justification for </w:t>
      </w:r>
      <w:r w:rsidR="00AD1DEC" w:rsidRPr="00954547">
        <w:rPr>
          <w:rFonts w:eastAsia="Times New Roman" w:cs="Times New Roman"/>
          <w:lang w:val="en-US" w:eastAsia="en-GB"/>
        </w:rPr>
        <w:t>pretrial detention</w:t>
      </w:r>
      <w:r w:rsidRPr="00954547">
        <w:rPr>
          <w:rFonts w:eastAsia="Times New Roman" w:cs="Times New Roman"/>
          <w:lang w:val="en-US" w:eastAsia="en-GB"/>
        </w:rPr>
        <w:t>.</w:t>
      </w:r>
      <w:r w:rsidR="00B0484C" w:rsidRPr="00954547">
        <w:rPr>
          <w:rStyle w:val="FootnoteReference"/>
          <w:rFonts w:eastAsia="Times New Roman"/>
          <w:lang w:val="en-US" w:eastAsia="en-GB"/>
        </w:rPr>
        <w:footnoteReference w:id="197"/>
      </w:r>
      <w:bookmarkEnd w:id="57"/>
    </w:p>
    <w:p w14:paraId="5F62C81D" w14:textId="58411165" w:rsidR="0031387C" w:rsidRPr="00954547" w:rsidRDefault="00E033A5" w:rsidP="00386B24">
      <w:pPr>
        <w:pStyle w:val="Numberedparagraphs"/>
        <w:tabs>
          <w:tab w:val="left" w:pos="567"/>
        </w:tabs>
        <w:rPr>
          <w:lang w:val="en-US"/>
        </w:rPr>
      </w:pPr>
      <w:bookmarkStart w:id="58" w:name="_Ref369624903"/>
      <w:r w:rsidRPr="00954547">
        <w:rPr>
          <w:lang w:val="en-US"/>
        </w:rPr>
        <w:t>At the time of the events</w:t>
      </w:r>
      <w:r w:rsidR="00BF20F4" w:rsidRPr="00954547">
        <w:rPr>
          <w:lang w:val="en-US"/>
        </w:rPr>
        <w:t>,</w:t>
      </w:r>
      <w:r w:rsidR="0031387C" w:rsidRPr="00954547">
        <w:rPr>
          <w:lang w:val="en-US"/>
        </w:rPr>
        <w:t xml:space="preserve"> </w:t>
      </w:r>
      <w:r w:rsidR="00BA4784" w:rsidRPr="00954547">
        <w:rPr>
          <w:lang w:val="en-US"/>
        </w:rPr>
        <w:t>the Code of Criminal Procedure</w:t>
      </w:r>
      <w:r w:rsidR="009E6B43" w:rsidRPr="00954547">
        <w:rPr>
          <w:lang w:val="en-US"/>
        </w:rPr>
        <w:t xml:space="preserve"> of El </w:t>
      </w:r>
      <w:r w:rsidR="00AD6AC9" w:rsidRPr="00954547">
        <w:rPr>
          <w:lang w:val="en-US"/>
        </w:rPr>
        <w:t>Salvador</w:t>
      </w:r>
      <w:r w:rsidR="0031387C" w:rsidRPr="00954547">
        <w:rPr>
          <w:lang w:val="en-US"/>
        </w:rPr>
        <w:t xml:space="preserve"> </w:t>
      </w:r>
      <w:r w:rsidRPr="00954547">
        <w:rPr>
          <w:lang w:val="en-US"/>
        </w:rPr>
        <w:t>stipulated</w:t>
      </w:r>
      <w:r w:rsidR="0031387C" w:rsidRPr="00954547">
        <w:rPr>
          <w:lang w:val="en-US"/>
        </w:rPr>
        <w:t>:</w:t>
      </w:r>
    </w:p>
    <w:p w14:paraId="27626C48" w14:textId="757ABF42" w:rsidR="00BE1658" w:rsidRPr="00954547" w:rsidRDefault="00A17F8C" w:rsidP="00386B24">
      <w:pPr>
        <w:tabs>
          <w:tab w:val="left" w:pos="567"/>
        </w:tabs>
        <w:spacing w:before="120" w:after="120"/>
        <w:ind w:left="567" w:right="567"/>
        <w:jc w:val="both"/>
        <w:rPr>
          <w:rFonts w:ascii="Verdana" w:hAnsi="Verdana"/>
          <w:sz w:val="18"/>
          <w:szCs w:val="18"/>
        </w:rPr>
      </w:pPr>
      <w:r w:rsidRPr="00954547">
        <w:rPr>
          <w:rFonts w:ascii="Verdana" w:hAnsi="Verdana"/>
          <w:sz w:val="18"/>
          <w:szCs w:val="18"/>
        </w:rPr>
        <w:t>Article</w:t>
      </w:r>
      <w:r w:rsidR="0031387C" w:rsidRPr="00954547">
        <w:rPr>
          <w:rFonts w:ascii="Verdana" w:hAnsi="Verdana"/>
          <w:sz w:val="18"/>
          <w:szCs w:val="18"/>
        </w:rPr>
        <w:t xml:space="preserve"> 292.</w:t>
      </w:r>
      <w:r w:rsidR="00BE1658" w:rsidRPr="00954547">
        <w:rPr>
          <w:rFonts w:ascii="Verdana" w:hAnsi="Verdana"/>
          <w:sz w:val="18"/>
          <w:szCs w:val="18"/>
        </w:rPr>
        <w:t xml:space="preserve"> To order the pretrial detention of the accused, the following requirements must be met: (1) </w:t>
      </w:r>
      <w:r w:rsidR="00AE6A44" w:rsidRPr="00954547">
        <w:rPr>
          <w:rFonts w:ascii="Verdana" w:hAnsi="Verdana"/>
          <w:sz w:val="18"/>
          <w:szCs w:val="18"/>
        </w:rPr>
        <w:t>t</w:t>
      </w:r>
      <w:r w:rsidR="00BE1658" w:rsidRPr="00954547">
        <w:rPr>
          <w:rFonts w:ascii="Verdana" w:hAnsi="Verdana"/>
          <w:sz w:val="18"/>
          <w:szCs w:val="18"/>
        </w:rPr>
        <w:t xml:space="preserve">hat the existence of an act defined as an </w:t>
      </w:r>
      <w:r w:rsidR="00AE6A44" w:rsidRPr="00954547">
        <w:rPr>
          <w:rFonts w:ascii="Verdana" w:hAnsi="Verdana"/>
          <w:sz w:val="18"/>
          <w:szCs w:val="18"/>
        </w:rPr>
        <w:t>offense</w:t>
      </w:r>
      <w:r w:rsidR="00BE1658" w:rsidRPr="00954547">
        <w:rPr>
          <w:rFonts w:ascii="Verdana" w:hAnsi="Verdana"/>
          <w:sz w:val="18"/>
          <w:szCs w:val="18"/>
        </w:rPr>
        <w:t xml:space="preserve"> has been proved and that there is sufficient evidence to maintain, reasonably, that the accused is the probable perpetrator or participant, and (2) that the </w:t>
      </w:r>
      <w:r w:rsidR="006050A7" w:rsidRPr="00954547">
        <w:rPr>
          <w:rFonts w:ascii="Verdana" w:hAnsi="Verdana"/>
          <w:sz w:val="18"/>
          <w:szCs w:val="18"/>
        </w:rPr>
        <w:t xml:space="preserve">punishment for the </w:t>
      </w:r>
      <w:r w:rsidR="00BE1658" w:rsidRPr="00954547">
        <w:rPr>
          <w:rFonts w:ascii="Verdana" w:hAnsi="Verdana"/>
          <w:sz w:val="18"/>
          <w:szCs w:val="18"/>
        </w:rPr>
        <w:t xml:space="preserve">offense </w:t>
      </w:r>
      <w:r w:rsidR="006050A7" w:rsidRPr="00954547">
        <w:rPr>
          <w:rFonts w:ascii="Verdana" w:hAnsi="Verdana"/>
          <w:sz w:val="18"/>
          <w:szCs w:val="18"/>
        </w:rPr>
        <w:t xml:space="preserve">is more than three years’ imprisonment, or that, even if the punishment is less than this, the judge considers that pretrial detention is necessary, based on the circumstances of the act, the public </w:t>
      </w:r>
      <w:r w:rsidR="00390F96" w:rsidRPr="00954547">
        <w:rPr>
          <w:rFonts w:ascii="Verdana" w:hAnsi="Verdana"/>
          <w:sz w:val="18"/>
          <w:szCs w:val="18"/>
        </w:rPr>
        <w:t xml:space="preserve">alarm </w:t>
      </w:r>
      <w:r w:rsidR="006050A7" w:rsidRPr="00954547">
        <w:rPr>
          <w:rFonts w:ascii="Verdana" w:hAnsi="Verdana"/>
          <w:sz w:val="18"/>
          <w:szCs w:val="18"/>
        </w:rPr>
        <w:t>that its perpetration has caused or the frequency with which similar acts are committed, or if the accused is subject to another precautionary measure.</w:t>
      </w:r>
    </w:p>
    <w:p w14:paraId="0AA6A7E6" w14:textId="77777777" w:rsidR="0031387C" w:rsidRPr="00954547" w:rsidRDefault="0031387C" w:rsidP="00386B24">
      <w:pPr>
        <w:tabs>
          <w:tab w:val="left" w:pos="567"/>
        </w:tabs>
        <w:spacing w:before="120" w:after="120"/>
        <w:ind w:left="567" w:right="567"/>
        <w:jc w:val="both"/>
        <w:rPr>
          <w:rFonts w:ascii="Verdana" w:hAnsi="Verdana"/>
          <w:sz w:val="18"/>
          <w:szCs w:val="18"/>
        </w:rPr>
      </w:pPr>
      <w:r w:rsidRPr="00954547">
        <w:rPr>
          <w:rFonts w:ascii="Verdana" w:hAnsi="Verdana"/>
          <w:sz w:val="18"/>
          <w:szCs w:val="18"/>
        </w:rPr>
        <w:t>[…]</w:t>
      </w:r>
    </w:p>
    <w:p w14:paraId="7DC49F66" w14:textId="33DDB71B" w:rsidR="0031387C" w:rsidRPr="00954547" w:rsidRDefault="00A17F8C" w:rsidP="001567A7">
      <w:pPr>
        <w:tabs>
          <w:tab w:val="left" w:pos="567"/>
        </w:tabs>
        <w:spacing w:before="120" w:after="120"/>
        <w:ind w:left="567" w:right="567"/>
        <w:jc w:val="both"/>
        <w:rPr>
          <w:rFonts w:ascii="Verdana" w:hAnsi="Verdana"/>
          <w:sz w:val="18"/>
          <w:szCs w:val="18"/>
        </w:rPr>
      </w:pPr>
      <w:r w:rsidRPr="00954547">
        <w:rPr>
          <w:rFonts w:ascii="Verdana" w:hAnsi="Verdana"/>
          <w:sz w:val="18"/>
          <w:szCs w:val="18"/>
        </w:rPr>
        <w:t>Article</w:t>
      </w:r>
      <w:r w:rsidR="0031387C" w:rsidRPr="00954547">
        <w:rPr>
          <w:rFonts w:ascii="Verdana" w:hAnsi="Verdana"/>
          <w:sz w:val="18"/>
          <w:szCs w:val="18"/>
        </w:rPr>
        <w:t xml:space="preserve"> 294.</w:t>
      </w:r>
      <w:r w:rsidR="006050A7" w:rsidRPr="00954547">
        <w:rPr>
          <w:rFonts w:ascii="Verdana" w:hAnsi="Verdana"/>
          <w:sz w:val="18"/>
          <w:szCs w:val="18"/>
        </w:rPr>
        <w:t xml:space="preserve"> Notwithstanding the provisions of the two preceding articles, and even if the offense warranted a greater punishment that the one indicated in paragraph 2 of article </w:t>
      </w:r>
      <w:r w:rsidR="0031387C" w:rsidRPr="00954547">
        <w:rPr>
          <w:rFonts w:ascii="Verdana" w:hAnsi="Verdana"/>
          <w:sz w:val="18"/>
          <w:szCs w:val="18"/>
        </w:rPr>
        <w:t xml:space="preserve">292 </w:t>
      </w:r>
      <w:r w:rsidR="006050A7" w:rsidRPr="00954547">
        <w:rPr>
          <w:rFonts w:ascii="Verdana" w:hAnsi="Verdana"/>
          <w:sz w:val="18"/>
          <w:szCs w:val="18"/>
        </w:rPr>
        <w:t>of this Code</w:t>
      </w:r>
      <w:r w:rsidR="0031387C" w:rsidRPr="00954547">
        <w:rPr>
          <w:rFonts w:ascii="Verdana" w:hAnsi="Verdana"/>
          <w:sz w:val="18"/>
          <w:szCs w:val="18"/>
        </w:rPr>
        <w:t xml:space="preserve">, </w:t>
      </w:r>
      <w:r w:rsidR="00DE7A9F" w:rsidRPr="00954547">
        <w:rPr>
          <w:rFonts w:ascii="Verdana" w:hAnsi="Verdana"/>
          <w:sz w:val="18"/>
          <w:szCs w:val="18"/>
        </w:rPr>
        <w:t xml:space="preserve">when the accused is not subject to other precautionary measures and it is reasonable to believe that </w:t>
      </w:r>
      <w:r w:rsidR="00AE6A44" w:rsidRPr="00954547">
        <w:rPr>
          <w:rFonts w:ascii="Verdana" w:hAnsi="Verdana"/>
          <w:sz w:val="18"/>
          <w:szCs w:val="18"/>
        </w:rPr>
        <w:t>he</w:t>
      </w:r>
      <w:r w:rsidR="00DE7A9F" w:rsidRPr="00954547">
        <w:rPr>
          <w:rFonts w:ascii="Verdana" w:hAnsi="Verdana"/>
          <w:sz w:val="18"/>
          <w:szCs w:val="18"/>
        </w:rPr>
        <w:t xml:space="preserve"> will not try to evade the action of justice, and also that the offense has not caused </w:t>
      </w:r>
      <w:r w:rsidR="00F400F0" w:rsidRPr="00954547">
        <w:rPr>
          <w:rFonts w:ascii="Verdana" w:hAnsi="Verdana"/>
          <w:sz w:val="18"/>
          <w:szCs w:val="18"/>
        </w:rPr>
        <w:t xml:space="preserve">public </w:t>
      </w:r>
      <w:r w:rsidR="00390F96" w:rsidRPr="00954547">
        <w:rPr>
          <w:rFonts w:ascii="Verdana" w:hAnsi="Verdana"/>
          <w:sz w:val="18"/>
          <w:szCs w:val="18"/>
        </w:rPr>
        <w:t>alarm</w:t>
      </w:r>
      <w:r w:rsidR="00F400F0" w:rsidRPr="00954547">
        <w:rPr>
          <w:rFonts w:ascii="Verdana" w:hAnsi="Verdana"/>
          <w:sz w:val="18"/>
          <w:szCs w:val="18"/>
        </w:rPr>
        <w:t>,</w:t>
      </w:r>
      <w:r w:rsidR="00DE7A9F" w:rsidRPr="00954547">
        <w:rPr>
          <w:rFonts w:ascii="Verdana" w:hAnsi="Verdana"/>
          <w:sz w:val="18"/>
          <w:szCs w:val="18"/>
        </w:rPr>
        <w:t xml:space="preserve"> pretrial detention may be substituted by another precautionary measure. Pretrial detention cannot be replaced with any other measure in the following crimes: homicide, aggravated homicide, kidnapping, offenses against sexual liberty, aggravated theft, extorsion, fraud against the public purse, aggravated civil disorder, </w:t>
      </w:r>
      <w:r w:rsidR="001567A7" w:rsidRPr="00954547">
        <w:rPr>
          <w:rFonts w:ascii="Verdana" w:hAnsi="Verdana"/>
          <w:sz w:val="18"/>
          <w:szCs w:val="18"/>
        </w:rPr>
        <w:t>the sale of persons, people smuggling, people trafficking, offenses established in the Law regulating Drug-related Activities and the offenses established in the Law against Asset</w:t>
      </w:r>
      <w:r w:rsidR="00AE6A44" w:rsidRPr="00954547">
        <w:rPr>
          <w:rFonts w:ascii="Verdana" w:hAnsi="Verdana"/>
          <w:sz w:val="18"/>
          <w:szCs w:val="18"/>
        </w:rPr>
        <w:t>-</w:t>
      </w:r>
      <w:r w:rsidR="001567A7" w:rsidRPr="00954547">
        <w:rPr>
          <w:rFonts w:ascii="Verdana" w:hAnsi="Verdana"/>
          <w:sz w:val="18"/>
          <w:szCs w:val="18"/>
        </w:rPr>
        <w:t xml:space="preserve"> and Money-Laundering.</w:t>
      </w:r>
      <w:r w:rsidR="00E7527E" w:rsidRPr="00954547">
        <w:rPr>
          <w:rStyle w:val="FootnoteReference"/>
          <w:rFonts w:ascii="Verdana" w:hAnsi="Verdana"/>
          <w:sz w:val="18"/>
          <w:szCs w:val="18"/>
        </w:rPr>
        <w:footnoteReference w:id="198"/>
      </w:r>
    </w:p>
    <w:p w14:paraId="44313B3E" w14:textId="1DC937C1" w:rsidR="00390F96" w:rsidRPr="00954547" w:rsidRDefault="00E76B1A" w:rsidP="00390F96">
      <w:pPr>
        <w:pStyle w:val="Numberedparagraphs"/>
        <w:tabs>
          <w:tab w:val="clear" w:pos="720"/>
          <w:tab w:val="num" w:pos="567"/>
        </w:tabs>
        <w:rPr>
          <w:lang w:val="en-US" w:eastAsia="en-GB"/>
        </w:rPr>
      </w:pPr>
      <w:bookmarkStart w:id="59" w:name="_Ref88035326"/>
      <w:r w:rsidRPr="00954547">
        <w:rPr>
          <w:lang w:val="en-US" w:eastAsia="en-GB"/>
        </w:rPr>
        <w:t>The Court</w:t>
      </w:r>
      <w:r w:rsidR="009E6FF3" w:rsidRPr="00954547">
        <w:rPr>
          <w:lang w:val="en-US" w:eastAsia="en-GB"/>
        </w:rPr>
        <w:t xml:space="preserve"> </w:t>
      </w:r>
      <w:r w:rsidR="00577158" w:rsidRPr="00954547">
        <w:rPr>
          <w:lang w:val="en-US" w:eastAsia="en-GB"/>
        </w:rPr>
        <w:t xml:space="preserve">notes that, according to the law, </w:t>
      </w:r>
      <w:r w:rsidR="00AE6A44" w:rsidRPr="00954547">
        <w:rPr>
          <w:lang w:val="en-US" w:eastAsia="en-GB"/>
        </w:rPr>
        <w:t xml:space="preserve">in order </w:t>
      </w:r>
      <w:r w:rsidR="00577158" w:rsidRPr="00954547">
        <w:rPr>
          <w:lang w:val="en-US" w:eastAsia="en-GB"/>
        </w:rPr>
        <w:t>to order pretrial detention, it was sufficient that the judge indicate that “</w:t>
      </w:r>
      <w:r w:rsidR="00AE6A44" w:rsidRPr="00954547">
        <w:rPr>
          <w:lang w:val="en-US"/>
        </w:rPr>
        <w:t>there is sufficient evidence to maintain, reasonably, that the accused is the probable perpetrator or participant</w:t>
      </w:r>
      <w:r w:rsidR="00577158" w:rsidRPr="00954547">
        <w:rPr>
          <w:lang w:val="en-US" w:eastAsia="en-GB"/>
        </w:rPr>
        <w:t xml:space="preserve">” </w:t>
      </w:r>
      <w:r w:rsidR="00AE6A44" w:rsidRPr="00954547">
        <w:rPr>
          <w:lang w:val="en-US" w:eastAsia="en-GB"/>
        </w:rPr>
        <w:t xml:space="preserve">in </w:t>
      </w:r>
      <w:r w:rsidR="00577158" w:rsidRPr="00954547">
        <w:rPr>
          <w:lang w:val="en-US" w:eastAsia="en-GB"/>
        </w:rPr>
        <w:t>an offense and that the punishment applicable to that offense was more than three years’ imprisonment or that, even if the punishment was less, the judge considered pretrial detention necessary, among other reasons, owing to “the public a</w:t>
      </w:r>
      <w:r w:rsidR="00390F96" w:rsidRPr="00954547">
        <w:rPr>
          <w:lang w:val="en-US" w:eastAsia="en-GB"/>
        </w:rPr>
        <w:t xml:space="preserve">larm </w:t>
      </w:r>
      <w:r w:rsidR="00577158" w:rsidRPr="00954547">
        <w:rPr>
          <w:lang w:val="en-US" w:eastAsia="en-GB"/>
        </w:rPr>
        <w:t>that its perpetration has caused.”</w:t>
      </w:r>
      <w:r w:rsidR="00390F96" w:rsidRPr="00954547">
        <w:rPr>
          <w:lang w:val="en-US" w:eastAsia="en-GB"/>
        </w:rPr>
        <w:t xml:space="preserve"> Thus, the judge was not required to analyze or justify whether or not the procedural purposes of the detention were met during the proceedings, </w:t>
      </w:r>
      <w:r w:rsidR="00C23755" w:rsidRPr="00954547">
        <w:rPr>
          <w:lang w:val="en-US" w:eastAsia="en-GB"/>
        </w:rPr>
        <w:t xml:space="preserve">or </w:t>
      </w:r>
      <w:r w:rsidR="00390F96" w:rsidRPr="00954547">
        <w:rPr>
          <w:lang w:val="en-US" w:eastAsia="en-GB"/>
        </w:rPr>
        <w:t xml:space="preserve">its appropriateness, necessity and proportionality, in accordance with the obligations derived from </w:t>
      </w:r>
      <w:r w:rsidR="005E0FD1" w:rsidRPr="00954547">
        <w:rPr>
          <w:lang w:val="en-US" w:eastAsia="en-GB"/>
        </w:rPr>
        <w:t>the American Convention</w:t>
      </w:r>
      <w:r w:rsidR="009E6FF3" w:rsidRPr="00954547">
        <w:rPr>
          <w:lang w:val="en-US" w:eastAsia="en-GB"/>
        </w:rPr>
        <w:t xml:space="preserve"> (</w:t>
      </w:r>
      <w:r w:rsidR="009E6FF3" w:rsidRPr="00954547">
        <w:rPr>
          <w:i/>
          <w:lang w:val="en-US" w:eastAsia="en-GB"/>
        </w:rPr>
        <w:t xml:space="preserve">supra </w:t>
      </w:r>
      <w:r w:rsidR="00B10E5A" w:rsidRPr="00954547">
        <w:rPr>
          <w:lang w:val="en-US" w:eastAsia="en-GB"/>
        </w:rPr>
        <w:t>para.</w:t>
      </w:r>
      <w:r w:rsidR="00BF20F4" w:rsidRPr="00954547">
        <w:rPr>
          <w:lang w:val="en-US" w:eastAsia="en-GB"/>
        </w:rPr>
        <w:t xml:space="preserve"> </w:t>
      </w:r>
      <w:r w:rsidR="00BF20F4" w:rsidRPr="00954547">
        <w:rPr>
          <w:lang w:val="en-US" w:eastAsia="en-GB"/>
        </w:rPr>
        <w:fldChar w:fldCharType="begin"/>
      </w:r>
      <w:r w:rsidR="00BF20F4" w:rsidRPr="00954547">
        <w:rPr>
          <w:lang w:val="en-US" w:eastAsia="en-GB"/>
        </w:rPr>
        <w:instrText xml:space="preserve"> REF _Ref87971440 \r \h </w:instrText>
      </w:r>
      <w:r w:rsidR="00793F65" w:rsidRPr="00954547">
        <w:rPr>
          <w:lang w:val="en-US" w:eastAsia="en-GB"/>
        </w:rPr>
        <w:instrText xml:space="preserve"> \* MERGEFORMAT </w:instrText>
      </w:r>
      <w:r w:rsidR="00BF20F4" w:rsidRPr="00954547">
        <w:rPr>
          <w:lang w:val="en-US" w:eastAsia="en-GB"/>
        </w:rPr>
      </w:r>
      <w:r w:rsidR="00BF20F4" w:rsidRPr="00954547">
        <w:rPr>
          <w:lang w:val="en-US" w:eastAsia="en-GB"/>
        </w:rPr>
        <w:fldChar w:fldCharType="separate"/>
      </w:r>
      <w:r w:rsidR="000E4488" w:rsidRPr="00954547">
        <w:rPr>
          <w:lang w:val="en-US" w:eastAsia="en-GB"/>
        </w:rPr>
        <w:t>100</w:t>
      </w:r>
      <w:r w:rsidR="00BF20F4" w:rsidRPr="00954547">
        <w:rPr>
          <w:lang w:val="en-US" w:eastAsia="en-GB"/>
        </w:rPr>
        <w:fldChar w:fldCharType="end"/>
      </w:r>
      <w:r w:rsidR="005F001B" w:rsidRPr="00954547">
        <w:rPr>
          <w:lang w:val="en-US" w:eastAsia="en-GB"/>
        </w:rPr>
        <w:t>).</w:t>
      </w:r>
      <w:r w:rsidR="00970B81" w:rsidRPr="00954547">
        <w:rPr>
          <w:lang w:val="en-US" w:eastAsia="en-GB"/>
        </w:rPr>
        <w:t xml:space="preserve"> </w:t>
      </w:r>
      <w:r w:rsidR="00390F96" w:rsidRPr="00954547">
        <w:rPr>
          <w:lang w:val="en-US" w:eastAsia="en-GB"/>
        </w:rPr>
        <w:t xml:space="preserve">To the contrary, the law presumed that pretrial detention was necessary, and it was only possible not to order </w:t>
      </w:r>
      <w:r w:rsidR="00C23755" w:rsidRPr="00954547">
        <w:rPr>
          <w:lang w:val="en-US" w:eastAsia="en-GB"/>
        </w:rPr>
        <w:t>this</w:t>
      </w:r>
      <w:r w:rsidR="00390F96" w:rsidRPr="00954547">
        <w:rPr>
          <w:lang w:val="en-US" w:eastAsia="en-GB"/>
        </w:rPr>
        <w:t xml:space="preserve"> when “it </w:t>
      </w:r>
      <w:r w:rsidR="00390F96" w:rsidRPr="00954547">
        <w:rPr>
          <w:lang w:val="en-US"/>
        </w:rPr>
        <w:t xml:space="preserve">is reasonable to believe that [the accused] will not try to evade the action of justice, and also that the offense has not caused </w:t>
      </w:r>
      <w:r w:rsidR="00F400F0" w:rsidRPr="00954547">
        <w:rPr>
          <w:lang w:val="en-US"/>
        </w:rPr>
        <w:t xml:space="preserve">public </w:t>
      </w:r>
      <w:r w:rsidR="00390F96" w:rsidRPr="00954547">
        <w:rPr>
          <w:lang w:val="en-US"/>
        </w:rPr>
        <w:t>alarm.”</w:t>
      </w:r>
    </w:p>
    <w:p w14:paraId="3CFAF78B" w14:textId="4937C9A3" w:rsidR="0031387C" w:rsidRPr="00954547" w:rsidRDefault="00582E49" w:rsidP="00386B24">
      <w:pPr>
        <w:pStyle w:val="Numberedparagraphs"/>
        <w:tabs>
          <w:tab w:val="left" w:pos="567"/>
        </w:tabs>
        <w:rPr>
          <w:lang w:val="en-US"/>
        </w:rPr>
      </w:pPr>
      <w:bookmarkStart w:id="60" w:name="_Ref87971635"/>
      <w:bookmarkEnd w:id="59"/>
      <w:r w:rsidRPr="00954547">
        <w:rPr>
          <w:lang w:val="en-US"/>
        </w:rPr>
        <w:t>In addition</w:t>
      </w:r>
      <w:r w:rsidR="0031387C" w:rsidRPr="00954547">
        <w:rPr>
          <w:lang w:val="en-US"/>
        </w:rPr>
        <w:t xml:space="preserve">, </w:t>
      </w:r>
      <w:r w:rsidRPr="00954547">
        <w:rPr>
          <w:lang w:val="en-US"/>
        </w:rPr>
        <w:t>a</w:t>
      </w:r>
      <w:r w:rsidR="00A17F8C" w:rsidRPr="00954547">
        <w:rPr>
          <w:lang w:val="en-US"/>
        </w:rPr>
        <w:t>rticle</w:t>
      </w:r>
      <w:r w:rsidR="0031387C" w:rsidRPr="00954547">
        <w:rPr>
          <w:lang w:val="en-US"/>
        </w:rPr>
        <w:t xml:space="preserve"> 294</w:t>
      </w:r>
      <w:r w:rsidR="00053A7C" w:rsidRPr="00954547">
        <w:rPr>
          <w:lang w:val="en-US"/>
        </w:rPr>
        <w:t xml:space="preserve"> of the </w:t>
      </w:r>
      <w:r w:rsidR="00BA4784" w:rsidRPr="00954547">
        <w:rPr>
          <w:lang w:val="en-US"/>
        </w:rPr>
        <w:t>Code of Criminal Procedure</w:t>
      </w:r>
      <w:r w:rsidR="009E6B43" w:rsidRPr="00954547">
        <w:rPr>
          <w:lang w:val="en-US"/>
        </w:rPr>
        <w:t xml:space="preserve"> of El </w:t>
      </w:r>
      <w:r w:rsidR="004D0D9B" w:rsidRPr="00954547">
        <w:rPr>
          <w:lang w:val="en-US"/>
        </w:rPr>
        <w:t xml:space="preserve">Salvador </w:t>
      </w:r>
      <w:r w:rsidRPr="00954547">
        <w:rPr>
          <w:lang w:val="en-US"/>
        </w:rPr>
        <w:t xml:space="preserve">prohibited the substitution of </w:t>
      </w:r>
      <w:r w:rsidR="00AD1DEC" w:rsidRPr="00954547">
        <w:rPr>
          <w:lang w:val="en-US"/>
        </w:rPr>
        <w:t>pretrial detention</w:t>
      </w:r>
      <w:r w:rsidR="005278B8" w:rsidRPr="00954547">
        <w:rPr>
          <w:lang w:val="en-US"/>
        </w:rPr>
        <w:t xml:space="preserve"> </w:t>
      </w:r>
      <w:r w:rsidRPr="00954547">
        <w:rPr>
          <w:lang w:val="en-US"/>
        </w:rPr>
        <w:t xml:space="preserve">when the proceedings referred to several </w:t>
      </w:r>
      <w:r w:rsidR="00C23755" w:rsidRPr="00954547">
        <w:rPr>
          <w:lang w:val="en-US"/>
        </w:rPr>
        <w:t>crimes</w:t>
      </w:r>
      <w:r w:rsidRPr="00954547">
        <w:rPr>
          <w:lang w:val="en-US"/>
        </w:rPr>
        <w:t xml:space="preserve">, including homicide and </w:t>
      </w:r>
      <w:r w:rsidR="00B66AA2" w:rsidRPr="00954547">
        <w:rPr>
          <w:lang w:val="en-US"/>
        </w:rPr>
        <w:t>aggravated homicide</w:t>
      </w:r>
      <w:r w:rsidR="0031387C" w:rsidRPr="00954547">
        <w:rPr>
          <w:lang w:val="en-US"/>
        </w:rPr>
        <w:t xml:space="preserve">. </w:t>
      </w:r>
      <w:r w:rsidRPr="00954547">
        <w:rPr>
          <w:lang w:val="en-US"/>
        </w:rPr>
        <w:t xml:space="preserve">This automatic determination of pretrial detention based on the type of offense being criminally prosecuted is contrary to the aforementioned standards </w:t>
      </w:r>
      <w:r w:rsidR="0031387C" w:rsidRPr="00954547">
        <w:rPr>
          <w:lang w:val="en-US"/>
        </w:rPr>
        <w:t>(</w:t>
      </w:r>
      <w:r w:rsidR="0031387C" w:rsidRPr="00954547">
        <w:rPr>
          <w:i/>
          <w:lang w:val="en-US"/>
        </w:rPr>
        <w:t xml:space="preserve">supra </w:t>
      </w:r>
      <w:r w:rsidR="00B10E5A" w:rsidRPr="00954547">
        <w:rPr>
          <w:lang w:val="en-US"/>
        </w:rPr>
        <w:t>paras.</w:t>
      </w:r>
      <w:r w:rsidR="0031387C" w:rsidRPr="00954547">
        <w:rPr>
          <w:lang w:val="en-US"/>
        </w:rPr>
        <w:t xml:space="preserve"> </w:t>
      </w:r>
      <w:r w:rsidR="00BF20F4" w:rsidRPr="00954547">
        <w:rPr>
          <w:lang w:val="en-US"/>
        </w:rPr>
        <w:fldChar w:fldCharType="begin"/>
      </w:r>
      <w:r w:rsidR="00BF20F4" w:rsidRPr="00954547">
        <w:rPr>
          <w:lang w:val="en-US"/>
        </w:rPr>
        <w:instrText xml:space="preserve"> REF _Ref87971473 \r \h </w:instrText>
      </w:r>
      <w:r w:rsidR="00793F65" w:rsidRPr="00954547">
        <w:rPr>
          <w:lang w:val="en-US"/>
        </w:rPr>
        <w:instrText xml:space="preserve"> \* MERGEFORMAT </w:instrText>
      </w:r>
      <w:r w:rsidR="00BF20F4" w:rsidRPr="00954547">
        <w:rPr>
          <w:lang w:val="en-US"/>
        </w:rPr>
      </w:r>
      <w:r w:rsidR="00BF20F4" w:rsidRPr="00954547">
        <w:rPr>
          <w:lang w:val="en-US"/>
        </w:rPr>
        <w:fldChar w:fldCharType="separate"/>
      </w:r>
      <w:r w:rsidR="000E4488" w:rsidRPr="00954547">
        <w:rPr>
          <w:lang w:val="en-US"/>
        </w:rPr>
        <w:t>99</w:t>
      </w:r>
      <w:r w:rsidR="00BF20F4" w:rsidRPr="00954547">
        <w:rPr>
          <w:lang w:val="en-US"/>
        </w:rPr>
        <w:fldChar w:fldCharType="end"/>
      </w:r>
      <w:r w:rsidR="00BF20F4" w:rsidRPr="00954547">
        <w:rPr>
          <w:lang w:val="en-US"/>
        </w:rPr>
        <w:t xml:space="preserve"> </w:t>
      </w:r>
      <w:r w:rsidR="00632738" w:rsidRPr="00954547">
        <w:rPr>
          <w:lang w:val="en-US"/>
        </w:rPr>
        <w:t>to</w:t>
      </w:r>
      <w:r w:rsidR="00BF20F4" w:rsidRPr="00954547">
        <w:rPr>
          <w:lang w:val="en-US"/>
        </w:rPr>
        <w:t xml:space="preserve"> </w:t>
      </w:r>
      <w:r w:rsidR="00BF20F4" w:rsidRPr="00954547">
        <w:rPr>
          <w:lang w:val="en-US"/>
        </w:rPr>
        <w:fldChar w:fldCharType="begin"/>
      </w:r>
      <w:r w:rsidR="00BF20F4" w:rsidRPr="00954547">
        <w:rPr>
          <w:lang w:val="en-US"/>
        </w:rPr>
        <w:instrText xml:space="preserve"> REF _Ref87971479 \r \h </w:instrText>
      </w:r>
      <w:r w:rsidR="00793F65" w:rsidRPr="00954547">
        <w:rPr>
          <w:lang w:val="en-US"/>
        </w:rPr>
        <w:instrText xml:space="preserve"> \* MERGEFORMAT </w:instrText>
      </w:r>
      <w:r w:rsidR="00BF20F4" w:rsidRPr="00954547">
        <w:rPr>
          <w:lang w:val="en-US"/>
        </w:rPr>
      </w:r>
      <w:r w:rsidR="00BF20F4" w:rsidRPr="00954547">
        <w:rPr>
          <w:lang w:val="en-US"/>
        </w:rPr>
        <w:fldChar w:fldCharType="separate"/>
      </w:r>
      <w:r w:rsidR="000E4488" w:rsidRPr="00954547">
        <w:rPr>
          <w:lang w:val="en-US"/>
        </w:rPr>
        <w:t>101</w:t>
      </w:r>
      <w:r w:rsidR="00BF20F4" w:rsidRPr="00954547">
        <w:rPr>
          <w:lang w:val="en-US"/>
        </w:rPr>
        <w:fldChar w:fldCharType="end"/>
      </w:r>
      <w:r w:rsidR="0031387C" w:rsidRPr="00954547">
        <w:rPr>
          <w:lang w:val="en-US"/>
        </w:rPr>
        <w:t>),</w:t>
      </w:r>
      <w:r w:rsidR="00632738" w:rsidRPr="00954547">
        <w:rPr>
          <w:lang w:val="en-US"/>
        </w:rPr>
        <w:t xml:space="preserve"> which require proving, in each specific case, that the detention is strictly necessary and designed to ensure that the accused will not impede the development of the proceedings or evade the action of justice.</w:t>
      </w:r>
      <w:r w:rsidR="0031387C" w:rsidRPr="00954547">
        <w:rPr>
          <w:rStyle w:val="FootnoteReference"/>
          <w:lang w:val="en-US"/>
        </w:rPr>
        <w:footnoteReference w:id="199"/>
      </w:r>
      <w:bookmarkEnd w:id="60"/>
    </w:p>
    <w:p w14:paraId="57E491AF" w14:textId="264E3627" w:rsidR="00A87424" w:rsidRPr="00954547" w:rsidRDefault="0031387C" w:rsidP="00A87424">
      <w:pPr>
        <w:pStyle w:val="Numberedparagraphs"/>
        <w:tabs>
          <w:tab w:val="left" w:pos="567"/>
        </w:tabs>
        <w:rPr>
          <w:lang w:val="en-US"/>
        </w:rPr>
      </w:pPr>
      <w:r w:rsidRPr="00954547">
        <w:rPr>
          <w:lang w:val="en-US"/>
        </w:rPr>
        <w:t xml:space="preserve"> </w:t>
      </w:r>
      <w:r w:rsidR="00632738" w:rsidRPr="00954547">
        <w:rPr>
          <w:lang w:val="en-US"/>
        </w:rPr>
        <w:t>In application of the</w:t>
      </w:r>
      <w:r w:rsidR="00C23755" w:rsidRPr="00954547">
        <w:rPr>
          <w:lang w:val="en-US"/>
        </w:rPr>
        <w:t xml:space="preserve"> said</w:t>
      </w:r>
      <w:r w:rsidR="00632738" w:rsidRPr="00954547">
        <w:rPr>
          <w:lang w:val="en-US"/>
        </w:rPr>
        <w:t xml:space="preserve"> provisions</w:t>
      </w:r>
      <w:r w:rsidRPr="00954547">
        <w:rPr>
          <w:lang w:val="en-US"/>
        </w:rPr>
        <w:t xml:space="preserve">, </w:t>
      </w:r>
      <w:r w:rsidR="00632738" w:rsidRPr="00954547">
        <w:rPr>
          <w:lang w:val="en-US"/>
        </w:rPr>
        <w:t>on March 3,</w:t>
      </w:r>
      <w:r w:rsidRPr="00954547">
        <w:rPr>
          <w:lang w:val="en-US"/>
        </w:rPr>
        <w:t xml:space="preserve"> 2008</w:t>
      </w:r>
      <w:r w:rsidR="00632738" w:rsidRPr="00954547">
        <w:rPr>
          <w:lang w:val="en-US"/>
        </w:rPr>
        <w:t xml:space="preserve">, the pretrial detention of Manuela was ordered, considering that “the existence of the </w:t>
      </w:r>
      <w:r w:rsidR="00A87424" w:rsidRPr="00954547">
        <w:rPr>
          <w:lang w:val="en-US"/>
        </w:rPr>
        <w:t>crime</w:t>
      </w:r>
      <w:r w:rsidR="00632738" w:rsidRPr="00954547">
        <w:rPr>
          <w:lang w:val="en-US"/>
        </w:rPr>
        <w:t xml:space="preserve"> has been established, and also the probable participation in it of the defendant” and taking into account the nature of the </w:t>
      </w:r>
      <w:r w:rsidR="00A87424" w:rsidRPr="00954547">
        <w:rPr>
          <w:lang w:val="en-US"/>
        </w:rPr>
        <w:t>crime</w:t>
      </w:r>
      <w:r w:rsidR="00632738" w:rsidRPr="00954547">
        <w:rPr>
          <w:lang w:val="en-US"/>
        </w:rPr>
        <w:t>. The decision also indicated that</w:t>
      </w:r>
      <w:r w:rsidRPr="00954547">
        <w:rPr>
          <w:lang w:val="en-US"/>
        </w:rPr>
        <w:t>:</w:t>
      </w:r>
    </w:p>
    <w:p w14:paraId="186216B9" w14:textId="6AD0C041" w:rsidR="0031387C" w:rsidRPr="00954547" w:rsidRDefault="00632738" w:rsidP="00BA1D0E">
      <w:pPr>
        <w:pStyle w:val="ListParagraph"/>
        <w:numPr>
          <w:ilvl w:val="0"/>
          <w:numId w:val="0"/>
        </w:numPr>
        <w:ind w:left="567" w:right="616"/>
        <w:rPr>
          <w:sz w:val="18"/>
          <w:szCs w:val="18"/>
          <w:lang w:val="en-US"/>
        </w:rPr>
      </w:pPr>
      <w:r w:rsidRPr="00954547">
        <w:rPr>
          <w:sz w:val="18"/>
          <w:szCs w:val="18"/>
          <w:lang w:val="en-US"/>
        </w:rPr>
        <w:t xml:space="preserve">It is presumed that the said defendant will try to evade the punishment imposed on the </w:t>
      </w:r>
      <w:r w:rsidR="00A87424" w:rsidRPr="00954547">
        <w:rPr>
          <w:sz w:val="18"/>
          <w:szCs w:val="18"/>
          <w:lang w:val="en-US"/>
        </w:rPr>
        <w:t>crime</w:t>
      </w:r>
      <w:r w:rsidRPr="00954547">
        <w:rPr>
          <w:sz w:val="18"/>
          <w:szCs w:val="18"/>
          <w:lang w:val="en-US"/>
        </w:rPr>
        <w:t xml:space="preserve"> committed, and she may obstruct the specific investigation measures by removing, hiding and even threatening the witnesses; in addition, the said </w:t>
      </w:r>
      <w:r w:rsidR="00A87424" w:rsidRPr="00954547">
        <w:rPr>
          <w:sz w:val="18"/>
          <w:szCs w:val="18"/>
          <w:lang w:val="en-US"/>
        </w:rPr>
        <w:t>crime</w:t>
      </w:r>
      <w:r w:rsidRPr="00954547">
        <w:rPr>
          <w:sz w:val="18"/>
          <w:szCs w:val="18"/>
          <w:lang w:val="en-US"/>
        </w:rPr>
        <w:t xml:space="preserve"> committed by the defendant against her newborn son has caused </w:t>
      </w:r>
      <w:r w:rsidR="00BA1D0E" w:rsidRPr="00954547">
        <w:rPr>
          <w:sz w:val="18"/>
          <w:szCs w:val="18"/>
          <w:lang w:val="en-US"/>
        </w:rPr>
        <w:t xml:space="preserve">public </w:t>
      </w:r>
      <w:r w:rsidRPr="00954547">
        <w:rPr>
          <w:sz w:val="18"/>
          <w:szCs w:val="18"/>
          <w:lang w:val="en-US"/>
        </w:rPr>
        <w:t xml:space="preserve">alarm </w:t>
      </w:r>
      <w:r w:rsidR="00BA1D0E" w:rsidRPr="00954547">
        <w:rPr>
          <w:sz w:val="18"/>
          <w:szCs w:val="18"/>
          <w:lang w:val="en-US"/>
        </w:rPr>
        <w:t>with</w:t>
      </w:r>
      <w:r w:rsidRPr="00954547">
        <w:rPr>
          <w:sz w:val="18"/>
          <w:szCs w:val="18"/>
          <w:lang w:val="en-US"/>
        </w:rPr>
        <w:t xml:space="preserve">in the </w:t>
      </w:r>
      <w:r w:rsidR="00BA1D0E" w:rsidRPr="00954547">
        <w:rPr>
          <w:sz w:val="18"/>
          <w:szCs w:val="18"/>
          <w:lang w:val="en-US"/>
        </w:rPr>
        <w:t>villagers</w:t>
      </w:r>
      <w:r w:rsidRPr="00954547">
        <w:rPr>
          <w:sz w:val="18"/>
          <w:szCs w:val="18"/>
          <w:lang w:val="en-US"/>
        </w:rPr>
        <w:t xml:space="preserve"> of Las Mesas […] who condemn this unacceptable act executed by [the presumed victim</w:t>
      </w:r>
      <w:r w:rsidR="0031387C" w:rsidRPr="00954547">
        <w:rPr>
          <w:sz w:val="18"/>
          <w:szCs w:val="18"/>
          <w:lang w:val="en-US"/>
        </w:rPr>
        <w:t>]</w:t>
      </w:r>
      <w:r w:rsidR="00BA1D0E" w:rsidRPr="00954547">
        <w:rPr>
          <w:sz w:val="18"/>
          <w:szCs w:val="18"/>
          <w:lang w:val="en-US"/>
        </w:rPr>
        <w:t>.</w:t>
      </w:r>
      <w:r w:rsidR="0077425D" w:rsidRPr="00954547">
        <w:rPr>
          <w:rStyle w:val="FootnoteReference"/>
          <w:sz w:val="18"/>
          <w:szCs w:val="18"/>
          <w:lang w:val="en-US"/>
        </w:rPr>
        <w:footnoteReference w:id="200"/>
      </w:r>
    </w:p>
    <w:p w14:paraId="060E79BF" w14:textId="22B9210B" w:rsidR="0031387C" w:rsidRPr="00954547" w:rsidRDefault="00BA1D0E" w:rsidP="00AE4765">
      <w:pPr>
        <w:pStyle w:val="Numberedparagraphs"/>
        <w:tabs>
          <w:tab w:val="clear" w:pos="720"/>
          <w:tab w:val="num" w:pos="567"/>
        </w:tabs>
        <w:rPr>
          <w:lang w:val="en-US"/>
        </w:rPr>
      </w:pPr>
      <w:r w:rsidRPr="00954547">
        <w:rPr>
          <w:lang w:val="en-US"/>
        </w:rPr>
        <w:t xml:space="preserve">Even though the decision mentions the possibility that Manuela could obstruct the proceedings, this possibility is not substantiated by </w:t>
      </w:r>
      <w:r w:rsidR="005B4FAA" w:rsidRPr="00954547">
        <w:rPr>
          <w:lang w:val="en-US"/>
        </w:rPr>
        <w:t xml:space="preserve">true </w:t>
      </w:r>
      <w:r w:rsidRPr="00954547">
        <w:rPr>
          <w:lang w:val="en-US"/>
        </w:rPr>
        <w:t>and objective circumstances in her specific case. The Court recalls that procedural risk cannot be presumed, but must be verified in each case, based on the true and objective circumstances of the specific case.</w:t>
      </w:r>
      <w:r w:rsidR="0031387C" w:rsidRPr="00954547">
        <w:rPr>
          <w:rStyle w:val="FootnoteReference"/>
          <w:lang w:val="en-US"/>
        </w:rPr>
        <w:footnoteReference w:id="201"/>
      </w:r>
      <w:r w:rsidRPr="00954547">
        <w:rPr>
          <w:lang w:val="en-US"/>
        </w:rPr>
        <w:t xml:space="preserve"> </w:t>
      </w:r>
      <w:r w:rsidR="00AE4765" w:rsidRPr="00954547">
        <w:rPr>
          <w:lang w:val="en-US"/>
        </w:rPr>
        <w:t xml:space="preserve">Thus, to respect the </w:t>
      </w:r>
      <w:r w:rsidR="00144817" w:rsidRPr="00954547">
        <w:rPr>
          <w:lang w:val="en-US"/>
        </w:rPr>
        <w:t>presumption of innocence</w:t>
      </w:r>
      <w:r w:rsidR="00AE4765" w:rsidRPr="00954547">
        <w:rPr>
          <w:lang w:val="en-US"/>
        </w:rPr>
        <w:t xml:space="preserve">, when ordering measures that restrict liberty the existence of the said requirements stipulated by the Convention </w:t>
      </w:r>
      <w:r w:rsidR="005B4FAA" w:rsidRPr="00954547">
        <w:rPr>
          <w:lang w:val="en-US"/>
        </w:rPr>
        <w:t>must be</w:t>
      </w:r>
      <w:r w:rsidR="00AE4765" w:rsidRPr="00954547">
        <w:rPr>
          <w:lang w:val="en-US"/>
        </w:rPr>
        <w:t xml:space="preserve"> </w:t>
      </w:r>
      <w:r w:rsidR="005B4FAA" w:rsidRPr="00954547">
        <w:rPr>
          <w:lang w:val="en-US"/>
        </w:rPr>
        <w:t>justified</w:t>
      </w:r>
      <w:r w:rsidR="00AE4765" w:rsidRPr="00954547">
        <w:rPr>
          <w:lang w:val="en-US"/>
        </w:rPr>
        <w:t xml:space="preserve"> and proved, clearly and with reasons, in each specific case.</w:t>
      </w:r>
      <w:r w:rsidR="0031387C" w:rsidRPr="00954547">
        <w:rPr>
          <w:rStyle w:val="FootnoteReference"/>
          <w:lang w:val="en-US"/>
        </w:rPr>
        <w:footnoteReference w:id="202"/>
      </w:r>
      <w:r w:rsidR="00AE4765" w:rsidRPr="00954547">
        <w:rPr>
          <w:lang w:val="en-US"/>
        </w:rPr>
        <w:t xml:space="preserve"> In addition, the mention of the public alarm that the occurrence of the presumed </w:t>
      </w:r>
      <w:r w:rsidR="005B4FAA" w:rsidRPr="00954547">
        <w:rPr>
          <w:lang w:val="en-US"/>
        </w:rPr>
        <w:t>crime</w:t>
      </w:r>
      <w:r w:rsidR="00AE4765" w:rsidRPr="00954547">
        <w:rPr>
          <w:lang w:val="en-US"/>
        </w:rPr>
        <w:t xml:space="preserve"> allegedly caused is contrary to the rationale behind precautionary measures because it does not refer to the particular circumstances of the person who has been accused, but to subjective and political assessments, which should not form part of the substantiation of an order of pretrial detention. Since the decision to order </w:t>
      </w:r>
      <w:r w:rsidR="00AE4765" w:rsidRPr="00954547">
        <w:rPr>
          <w:lang w:val="en-US" w:eastAsia="en-GB"/>
        </w:rPr>
        <w:t>pretrial detention was not grounded on object</w:t>
      </w:r>
      <w:r w:rsidR="005B4FAA" w:rsidRPr="00954547">
        <w:rPr>
          <w:lang w:val="en-US" w:eastAsia="en-GB"/>
        </w:rPr>
        <w:t>ive</w:t>
      </w:r>
      <w:r w:rsidR="00AE4765" w:rsidRPr="00954547">
        <w:rPr>
          <w:lang w:val="en-US" w:eastAsia="en-GB"/>
        </w:rPr>
        <w:t xml:space="preserve"> circumstances that proved the procedural risk in this case, </w:t>
      </w:r>
      <w:r w:rsidR="00495E4B" w:rsidRPr="00954547">
        <w:rPr>
          <w:lang w:val="en-US" w:eastAsia="en-GB"/>
        </w:rPr>
        <w:t>this</w:t>
      </w:r>
      <w:r w:rsidR="00AE4765" w:rsidRPr="00954547">
        <w:rPr>
          <w:lang w:val="en-US" w:eastAsia="en-GB"/>
        </w:rPr>
        <w:t xml:space="preserve"> detention was contrary to</w:t>
      </w:r>
      <w:r w:rsidR="00AE4765" w:rsidRPr="00954547">
        <w:rPr>
          <w:lang w:val="en-US"/>
        </w:rPr>
        <w:t xml:space="preserve"> </w:t>
      </w:r>
      <w:r w:rsidR="005E0FD1" w:rsidRPr="00954547">
        <w:rPr>
          <w:lang w:val="en-US" w:eastAsia="en-GB"/>
        </w:rPr>
        <w:t>the American Convention</w:t>
      </w:r>
      <w:r w:rsidR="00F404D9" w:rsidRPr="00954547">
        <w:rPr>
          <w:lang w:val="en-US" w:eastAsia="en-GB"/>
        </w:rPr>
        <w:t>.</w:t>
      </w:r>
    </w:p>
    <w:p w14:paraId="74615340" w14:textId="1D53339D" w:rsidR="0031387C" w:rsidRPr="00954547" w:rsidRDefault="00495E4B" w:rsidP="00876BC4">
      <w:pPr>
        <w:pStyle w:val="Numberedparagraphs"/>
        <w:tabs>
          <w:tab w:val="left" w:pos="567"/>
        </w:tabs>
        <w:rPr>
          <w:lang w:val="en-US"/>
        </w:rPr>
      </w:pPr>
      <w:r w:rsidRPr="00954547">
        <w:rPr>
          <w:lang w:val="en-US"/>
        </w:rPr>
        <w:t>This Court also notes that the</w:t>
      </w:r>
      <w:r w:rsidR="0031387C" w:rsidRPr="00954547">
        <w:rPr>
          <w:lang w:val="en-US"/>
        </w:rPr>
        <w:t xml:space="preserve"> </w:t>
      </w:r>
      <w:r w:rsidRPr="00954547">
        <w:rPr>
          <w:lang w:val="en-US"/>
        </w:rPr>
        <w:t>pretrial detention</w:t>
      </w:r>
      <w:r w:rsidR="0031387C" w:rsidRPr="00954547">
        <w:rPr>
          <w:lang w:val="en-US"/>
        </w:rPr>
        <w:t xml:space="preserve"> </w:t>
      </w:r>
      <w:r w:rsidRPr="00954547">
        <w:rPr>
          <w:lang w:val="en-US"/>
        </w:rPr>
        <w:t>of</w:t>
      </w:r>
      <w:r w:rsidR="0031387C" w:rsidRPr="00954547">
        <w:rPr>
          <w:lang w:val="en-US"/>
        </w:rPr>
        <w:t xml:space="preserve"> Manuela </w:t>
      </w:r>
      <w:r w:rsidRPr="00954547">
        <w:rPr>
          <w:lang w:val="en-US"/>
        </w:rPr>
        <w:t xml:space="preserve">was reviewed on June 5, </w:t>
      </w:r>
      <w:r w:rsidR="0031387C" w:rsidRPr="00954547">
        <w:rPr>
          <w:lang w:val="en-US"/>
        </w:rPr>
        <w:t>2008</w:t>
      </w:r>
      <w:r w:rsidRPr="00954547">
        <w:rPr>
          <w:lang w:val="en-US"/>
        </w:rPr>
        <w:t>.</w:t>
      </w:r>
      <w:r w:rsidR="00A67AE9" w:rsidRPr="00954547">
        <w:rPr>
          <w:rStyle w:val="FootnoteReference"/>
          <w:lang w:val="en-US"/>
        </w:rPr>
        <w:footnoteReference w:id="203"/>
      </w:r>
      <w:r w:rsidRPr="00954547">
        <w:rPr>
          <w:lang w:val="en-US"/>
        </w:rPr>
        <w:t xml:space="preserve"> However, in cases of </w:t>
      </w:r>
      <w:r w:rsidR="00582E49" w:rsidRPr="00954547">
        <w:rPr>
          <w:lang w:val="en-US"/>
        </w:rPr>
        <w:t>aggravated</w:t>
      </w:r>
      <w:r w:rsidR="00B66AA2" w:rsidRPr="00954547">
        <w:rPr>
          <w:lang w:val="en-US"/>
        </w:rPr>
        <w:t xml:space="preserve"> homicide</w:t>
      </w:r>
      <w:r w:rsidRPr="00954547">
        <w:rPr>
          <w:lang w:val="en-US"/>
        </w:rPr>
        <w:t>, the laws prevented substituting the measure</w:t>
      </w:r>
      <w:r w:rsidR="0031387C" w:rsidRPr="00954547">
        <w:rPr>
          <w:lang w:val="en-US"/>
        </w:rPr>
        <w:t xml:space="preserve">. </w:t>
      </w:r>
      <w:r w:rsidRPr="00954547">
        <w:rPr>
          <w:lang w:val="en-US"/>
        </w:rPr>
        <w:t>In addition, when examining the pertinence of the measure, the court merely considered that the circumstances that gave rise to the adoption of the precautionary measure subsisted and therefore referred back to the reasons included in the decision of March 3, 2008, in its statement of reasons.</w:t>
      </w:r>
      <w:r w:rsidR="0031387C" w:rsidRPr="00954547">
        <w:rPr>
          <w:vertAlign w:val="superscript"/>
          <w:lang w:val="en-US"/>
        </w:rPr>
        <w:footnoteReference w:id="204"/>
      </w:r>
      <w:r w:rsidRPr="00954547">
        <w:rPr>
          <w:lang w:val="en-US"/>
        </w:rPr>
        <w:t xml:space="preserve"> In this regard, the Court recalls that </w:t>
      </w:r>
      <w:r w:rsidR="00AD1DEC" w:rsidRPr="00954547">
        <w:rPr>
          <w:lang w:val="en-US" w:bidi="en-US"/>
        </w:rPr>
        <w:t>pretrial detention</w:t>
      </w:r>
      <w:r w:rsidR="0031387C" w:rsidRPr="00954547">
        <w:rPr>
          <w:lang w:val="en-US" w:bidi="en-US"/>
        </w:rPr>
        <w:t xml:space="preserve"> </w:t>
      </w:r>
      <w:r w:rsidRPr="00954547">
        <w:rPr>
          <w:lang w:val="en-US" w:bidi="en-US"/>
        </w:rPr>
        <w:t>should not be continued when the reasons for its adoption no longer subsist. When examining the pertinence of continuing them</w:t>
      </w:r>
      <w:r w:rsidR="00876BC4" w:rsidRPr="00954547">
        <w:rPr>
          <w:lang w:val="en-US" w:bidi="en-US"/>
        </w:rPr>
        <w:t xml:space="preserve">, the domestic authorities </w:t>
      </w:r>
      <w:r w:rsidR="005B4FAA" w:rsidRPr="00954547">
        <w:rPr>
          <w:lang w:val="en-US" w:bidi="en-US"/>
        </w:rPr>
        <w:t>must</w:t>
      </w:r>
      <w:r w:rsidR="00876BC4" w:rsidRPr="00954547">
        <w:rPr>
          <w:lang w:val="en-US" w:bidi="en-US"/>
        </w:rPr>
        <w:t xml:space="preserve"> provide sufficient grounds that make it clear why the restriction of liberty should be continued</w:t>
      </w:r>
      <w:r w:rsidR="0031387C" w:rsidRPr="00954547">
        <w:rPr>
          <w:rStyle w:val="FootnoteReference"/>
          <w:lang w:val="en-US"/>
        </w:rPr>
        <w:footnoteReference w:id="205"/>
      </w:r>
      <w:r w:rsidR="00876BC4" w:rsidRPr="00954547">
        <w:rPr>
          <w:lang w:val="en-US" w:bidi="en-US"/>
        </w:rPr>
        <w:t xml:space="preserve"> and, to ensure that it does not become an arbitrary deprivation of liberty pursuant to</w:t>
      </w:r>
      <w:r w:rsidR="0031387C" w:rsidRPr="00954547">
        <w:rPr>
          <w:lang w:val="en-US"/>
        </w:rPr>
        <w:t xml:space="preserve"> </w:t>
      </w:r>
      <w:r w:rsidR="00A17F8C" w:rsidRPr="00954547">
        <w:rPr>
          <w:lang w:val="en-US"/>
        </w:rPr>
        <w:t>Article</w:t>
      </w:r>
      <w:r w:rsidR="0031387C" w:rsidRPr="00954547">
        <w:rPr>
          <w:lang w:val="en-US"/>
        </w:rPr>
        <w:t xml:space="preserve"> </w:t>
      </w:r>
      <w:r w:rsidR="005E0FD1" w:rsidRPr="00954547">
        <w:rPr>
          <w:lang w:val="en-US"/>
        </w:rPr>
        <w:t>7(3) of the American Convention</w:t>
      </w:r>
      <w:r w:rsidR="0031387C" w:rsidRPr="00954547">
        <w:rPr>
          <w:lang w:val="en-US"/>
        </w:rPr>
        <w:t>,</w:t>
      </w:r>
      <w:r w:rsidR="00876BC4" w:rsidRPr="00954547">
        <w:rPr>
          <w:lang w:val="en-US"/>
        </w:rPr>
        <w:t xml:space="preserve"> it must be founded on the need to ensure that the detainee will not impede the efficient development of the investigations or evade the action of justice.</w:t>
      </w:r>
      <w:r w:rsidR="0031387C" w:rsidRPr="00954547">
        <w:rPr>
          <w:rStyle w:val="FootnoteReference"/>
          <w:lang w:val="en-US"/>
        </w:rPr>
        <w:footnoteReference w:id="206"/>
      </w:r>
      <w:r w:rsidR="00876BC4" w:rsidRPr="00954547">
        <w:rPr>
          <w:lang w:val="en-US"/>
        </w:rPr>
        <w:t xml:space="preserve"> Consequently, the failure to analyze the need </w:t>
      </w:r>
      <w:r w:rsidR="005B4FAA" w:rsidRPr="00954547">
        <w:rPr>
          <w:lang w:val="en-US"/>
        </w:rPr>
        <w:t>for</w:t>
      </w:r>
      <w:r w:rsidR="00876BC4" w:rsidRPr="00954547">
        <w:rPr>
          <w:lang w:val="en-US"/>
        </w:rPr>
        <w:t xml:space="preserve"> continu</w:t>
      </w:r>
      <w:r w:rsidR="005B4FAA" w:rsidRPr="00954547">
        <w:rPr>
          <w:lang w:val="en-US"/>
        </w:rPr>
        <w:t>ing the</w:t>
      </w:r>
      <w:r w:rsidR="00876BC4" w:rsidRPr="00954547">
        <w:rPr>
          <w:lang w:val="en-US"/>
        </w:rPr>
        <w:t xml:space="preserve"> </w:t>
      </w:r>
      <w:r w:rsidR="00AD1DEC" w:rsidRPr="00954547">
        <w:rPr>
          <w:lang w:val="en-US"/>
        </w:rPr>
        <w:t>pretrial detention</w:t>
      </w:r>
      <w:r w:rsidR="00A67AE9" w:rsidRPr="00954547">
        <w:rPr>
          <w:lang w:val="en-US"/>
        </w:rPr>
        <w:t xml:space="preserve"> constitu</w:t>
      </w:r>
      <w:r w:rsidR="00876BC4" w:rsidRPr="00954547">
        <w:rPr>
          <w:lang w:val="en-US"/>
        </w:rPr>
        <w:t xml:space="preserve">ted a violation </w:t>
      </w:r>
      <w:r w:rsidR="005E0FD1" w:rsidRPr="00954547">
        <w:rPr>
          <w:lang w:val="en-US"/>
        </w:rPr>
        <w:t>of the American Convention</w:t>
      </w:r>
      <w:r w:rsidR="00A67AE9" w:rsidRPr="00954547">
        <w:rPr>
          <w:lang w:val="en-US"/>
        </w:rPr>
        <w:t>.</w:t>
      </w:r>
    </w:p>
    <w:p w14:paraId="692696B6" w14:textId="1BEFD837" w:rsidR="001D1EE8" w:rsidRPr="00954547" w:rsidRDefault="00876BC4" w:rsidP="001D1EE8">
      <w:pPr>
        <w:pStyle w:val="Numberedparagraphs"/>
        <w:tabs>
          <w:tab w:val="left" w:pos="567"/>
        </w:tabs>
        <w:rPr>
          <w:lang w:val="en-US"/>
        </w:rPr>
      </w:pPr>
      <w:r w:rsidRPr="00954547">
        <w:rPr>
          <w:lang w:val="en-US"/>
        </w:rPr>
        <w:t>Furthermore</w:t>
      </w:r>
      <w:r w:rsidR="005B4FAA" w:rsidRPr="00954547">
        <w:rPr>
          <w:lang w:val="en-US"/>
        </w:rPr>
        <w:t>,</w:t>
      </w:r>
      <w:r w:rsidR="00761315" w:rsidRPr="00954547">
        <w:rPr>
          <w:lang w:val="en-US"/>
        </w:rPr>
        <w:t xml:space="preserve"> </w:t>
      </w:r>
      <w:r w:rsidR="00A17F8C" w:rsidRPr="00954547">
        <w:rPr>
          <w:lang w:val="en-US"/>
        </w:rPr>
        <w:t>Article</w:t>
      </w:r>
      <w:r w:rsidR="00761315" w:rsidRPr="00954547">
        <w:rPr>
          <w:lang w:val="en-US"/>
        </w:rPr>
        <w:t xml:space="preserve"> 2 </w:t>
      </w:r>
      <w:r w:rsidR="005E0FD1" w:rsidRPr="00954547">
        <w:rPr>
          <w:lang w:val="en-US"/>
        </w:rPr>
        <w:t>of the Convention</w:t>
      </w:r>
      <w:r w:rsidR="00761315" w:rsidRPr="00954547">
        <w:rPr>
          <w:lang w:val="en-US"/>
        </w:rPr>
        <w:t xml:space="preserve"> </w:t>
      </w:r>
      <w:r w:rsidRPr="00954547">
        <w:rPr>
          <w:lang w:val="en-US"/>
        </w:rPr>
        <w:t xml:space="preserve">indicates the duty of the States Parties to the Convention to adapt their domestic laws to the obligations derived from </w:t>
      </w:r>
      <w:r w:rsidR="005E0FD1" w:rsidRPr="00954547">
        <w:rPr>
          <w:lang w:val="en-US"/>
        </w:rPr>
        <w:t>the Convention</w:t>
      </w:r>
      <w:r w:rsidR="00761315" w:rsidRPr="00954547">
        <w:rPr>
          <w:lang w:val="en-US"/>
        </w:rPr>
        <w:t xml:space="preserve">. </w:t>
      </w:r>
      <w:r w:rsidRPr="00954547">
        <w:rPr>
          <w:lang w:val="en-US"/>
        </w:rPr>
        <w:t>In this regard, the Court has indicated that:</w:t>
      </w:r>
    </w:p>
    <w:p w14:paraId="3511C69E" w14:textId="2ADFD692" w:rsidR="00761315" w:rsidRPr="00954547" w:rsidRDefault="001D1EE8" w:rsidP="001D1EE8">
      <w:pPr>
        <w:tabs>
          <w:tab w:val="left" w:pos="567"/>
        </w:tabs>
        <w:ind w:left="567" w:right="567"/>
        <w:jc w:val="both"/>
        <w:rPr>
          <w:rFonts w:ascii="Verdana" w:hAnsi="Verdana"/>
          <w:sz w:val="18"/>
          <w:szCs w:val="18"/>
        </w:rPr>
      </w:pPr>
      <w:r w:rsidRPr="00954547">
        <w:rPr>
          <w:rFonts w:ascii="Verdana" w:hAnsi="Verdana"/>
          <w:sz w:val="18"/>
          <w:szCs w:val="18"/>
        </w:rPr>
        <w:t xml:space="preserve">If the States, pursuant to Article 2 of the American Convention, have a positive obligation to adopt the legislative measures </w:t>
      </w:r>
      <w:r w:rsidR="005B4FAA" w:rsidRPr="00954547">
        <w:rPr>
          <w:rFonts w:ascii="Verdana" w:hAnsi="Verdana"/>
          <w:sz w:val="18"/>
          <w:szCs w:val="18"/>
        </w:rPr>
        <w:t>required</w:t>
      </w:r>
      <w:r w:rsidRPr="00954547">
        <w:rPr>
          <w:rFonts w:ascii="Verdana" w:hAnsi="Verdana"/>
          <w:sz w:val="18"/>
          <w:szCs w:val="18"/>
        </w:rPr>
        <w:t xml:space="preserve"> to guarantee the exercise of the rights recognized in the Convention, it follows that they must also refrain from both promulgating laws that disregard or impede the free exercise of those rights, and </w:t>
      </w:r>
      <w:r w:rsidR="00E1197B" w:rsidRPr="00954547">
        <w:rPr>
          <w:rFonts w:ascii="Verdana" w:hAnsi="Verdana"/>
          <w:sz w:val="18"/>
          <w:szCs w:val="18"/>
        </w:rPr>
        <w:t>eliminating</w:t>
      </w:r>
      <w:r w:rsidRPr="00954547">
        <w:rPr>
          <w:rFonts w:ascii="Verdana" w:hAnsi="Verdana"/>
          <w:sz w:val="18"/>
          <w:szCs w:val="18"/>
        </w:rPr>
        <w:t xml:space="preserve"> or modifying existing laws that protect them. To the contrary, they violate Article 2 of the Convention.</w:t>
      </w:r>
      <w:r w:rsidR="00761315" w:rsidRPr="00954547">
        <w:rPr>
          <w:rStyle w:val="FootnoteReference"/>
          <w:rFonts w:ascii="Verdana" w:hAnsi="Verdana"/>
          <w:sz w:val="16"/>
          <w:szCs w:val="16"/>
          <w:lang w:eastAsia="es-MX"/>
        </w:rPr>
        <w:footnoteReference w:id="207"/>
      </w:r>
    </w:p>
    <w:p w14:paraId="362CB22F" w14:textId="3E09406B" w:rsidR="00252677" w:rsidRPr="00954547" w:rsidRDefault="001D1EE8" w:rsidP="00B54EAA">
      <w:pPr>
        <w:pStyle w:val="Numberedparagraphs"/>
        <w:tabs>
          <w:tab w:val="left" w:pos="567"/>
        </w:tabs>
        <w:rPr>
          <w:lang w:val="en-US"/>
        </w:rPr>
      </w:pPr>
      <w:r w:rsidRPr="00954547">
        <w:rPr>
          <w:lang w:val="en-US"/>
        </w:rPr>
        <w:t xml:space="preserve">In the instant case, the regulation of </w:t>
      </w:r>
      <w:r w:rsidR="00AD1DEC" w:rsidRPr="00954547">
        <w:rPr>
          <w:lang w:val="en-US"/>
        </w:rPr>
        <w:t>pretrial detention</w:t>
      </w:r>
      <w:r w:rsidR="00271B54" w:rsidRPr="00954547">
        <w:rPr>
          <w:lang w:val="en-US"/>
        </w:rPr>
        <w:t xml:space="preserve"> </w:t>
      </w:r>
      <w:r w:rsidR="00E86B13" w:rsidRPr="00954547">
        <w:rPr>
          <w:lang w:val="en-US"/>
        </w:rPr>
        <w:t>that was applied did not require the judge to examine whether or not the procedural purposes of detention were met,</w:t>
      </w:r>
      <w:r w:rsidR="00E1197B" w:rsidRPr="00954547">
        <w:rPr>
          <w:lang w:val="en-US"/>
        </w:rPr>
        <w:t xml:space="preserve"> or</w:t>
      </w:r>
      <w:r w:rsidR="00E86B13" w:rsidRPr="00954547">
        <w:rPr>
          <w:lang w:val="en-US"/>
        </w:rPr>
        <w:t xml:space="preserve"> its appropriateness, necessity or proportionality. To the contrary, the laws established mandatory detention for certain types of </w:t>
      </w:r>
      <w:r w:rsidR="00E1197B" w:rsidRPr="00954547">
        <w:rPr>
          <w:lang w:val="en-US"/>
        </w:rPr>
        <w:t>crime</w:t>
      </w:r>
      <w:r w:rsidR="00E86B13" w:rsidRPr="00954547">
        <w:rPr>
          <w:lang w:val="en-US"/>
        </w:rPr>
        <w:t xml:space="preserve"> and allowed the judge to take into account factors that were external to the person accused, such as the public alarm that the perpetration of the </w:t>
      </w:r>
      <w:r w:rsidR="00E1197B" w:rsidRPr="00954547">
        <w:rPr>
          <w:lang w:val="en-US"/>
        </w:rPr>
        <w:t>crime</w:t>
      </w:r>
      <w:r w:rsidR="00E86B13" w:rsidRPr="00954547">
        <w:rPr>
          <w:lang w:val="en-US"/>
        </w:rPr>
        <w:t xml:space="preserve"> may have caused, or the frequency with which similar acts were committed. These considerations are based on general preventive or special preventive purposes, which could be attributed to the punishment, and this Court has considered </w:t>
      </w:r>
      <w:r w:rsidR="00B54EAA" w:rsidRPr="00954547">
        <w:rPr>
          <w:lang w:val="en-US"/>
        </w:rPr>
        <w:t>that the</w:t>
      </w:r>
      <w:r w:rsidR="00E1197B" w:rsidRPr="00954547">
        <w:rPr>
          <w:lang w:val="en-US"/>
        </w:rPr>
        <w:t>y do not constitute</w:t>
      </w:r>
      <w:r w:rsidR="00E86B13" w:rsidRPr="00954547">
        <w:rPr>
          <w:lang w:val="en-US"/>
        </w:rPr>
        <w:t xml:space="preserve"> valid grounds for pre</w:t>
      </w:r>
      <w:r w:rsidR="00E1197B" w:rsidRPr="00954547">
        <w:rPr>
          <w:lang w:val="en-US"/>
        </w:rPr>
        <w:t>trial</w:t>
      </w:r>
      <w:r w:rsidR="00E86B13" w:rsidRPr="00954547">
        <w:rPr>
          <w:lang w:val="en-US"/>
        </w:rPr>
        <w:t xml:space="preserve"> detention.</w:t>
      </w:r>
      <w:r w:rsidR="00252677" w:rsidRPr="00954547">
        <w:rPr>
          <w:rStyle w:val="FootnoteReference"/>
          <w:lang w:val="en-US"/>
        </w:rPr>
        <w:footnoteReference w:id="208"/>
      </w:r>
      <w:r w:rsidR="00252677" w:rsidRPr="00954547">
        <w:rPr>
          <w:lang w:val="en-US"/>
        </w:rPr>
        <w:t xml:space="preserve">  </w:t>
      </w:r>
    </w:p>
    <w:p w14:paraId="54C3A74C" w14:textId="2449DBC4" w:rsidR="0031387C" w:rsidRPr="00954547" w:rsidRDefault="00E76B1A" w:rsidP="00386B24">
      <w:pPr>
        <w:pStyle w:val="Numberedparagraphs"/>
        <w:tabs>
          <w:tab w:val="left" w:pos="567"/>
        </w:tabs>
        <w:rPr>
          <w:lang w:val="en-US"/>
        </w:rPr>
      </w:pPr>
      <w:r w:rsidRPr="00954547">
        <w:rPr>
          <w:lang w:val="en-US"/>
        </w:rPr>
        <w:t>The</w:t>
      </w:r>
      <w:r w:rsidR="00B54EAA" w:rsidRPr="00954547">
        <w:rPr>
          <w:lang w:val="en-US"/>
        </w:rPr>
        <w:t>refore, the</w:t>
      </w:r>
      <w:r w:rsidRPr="00954547">
        <w:rPr>
          <w:lang w:val="en-US"/>
        </w:rPr>
        <w:t xml:space="preserve"> Court</w:t>
      </w:r>
      <w:r w:rsidR="0031387C" w:rsidRPr="00954547">
        <w:rPr>
          <w:lang w:val="en-US"/>
        </w:rPr>
        <w:t xml:space="preserve"> conclu</w:t>
      </w:r>
      <w:r w:rsidR="00B54EAA" w:rsidRPr="00954547">
        <w:rPr>
          <w:lang w:val="en-US"/>
        </w:rPr>
        <w:t>des that the order of pretrial detention</w:t>
      </w:r>
      <w:r w:rsidR="0031387C" w:rsidRPr="00954547">
        <w:rPr>
          <w:lang w:val="en-US"/>
        </w:rPr>
        <w:t xml:space="preserve"> </w:t>
      </w:r>
      <w:r w:rsidR="00B54EAA" w:rsidRPr="00954547">
        <w:rPr>
          <w:lang w:val="en-US"/>
        </w:rPr>
        <w:t xml:space="preserve">issued against </w:t>
      </w:r>
      <w:r w:rsidR="0031387C" w:rsidRPr="00954547">
        <w:rPr>
          <w:lang w:val="en-US"/>
        </w:rPr>
        <w:t>Manuela</w:t>
      </w:r>
      <w:r w:rsidR="0078694F" w:rsidRPr="00954547">
        <w:rPr>
          <w:lang w:val="en-US"/>
        </w:rPr>
        <w:t xml:space="preserve"> and</w:t>
      </w:r>
      <w:r w:rsidR="00B54EAA" w:rsidRPr="00954547">
        <w:rPr>
          <w:lang w:val="en-US"/>
        </w:rPr>
        <w:t xml:space="preserve"> its continuation following review was arbitrary in violation of </w:t>
      </w:r>
      <w:r w:rsidR="00A17F8C" w:rsidRPr="00954547">
        <w:rPr>
          <w:lang w:val="en-US"/>
        </w:rPr>
        <w:t>Articles</w:t>
      </w:r>
      <w:r w:rsidR="0031387C" w:rsidRPr="00954547">
        <w:rPr>
          <w:lang w:val="en-US"/>
        </w:rPr>
        <w:t xml:space="preserve"> </w:t>
      </w:r>
      <w:r w:rsidR="00A17F8C" w:rsidRPr="00954547">
        <w:rPr>
          <w:lang w:val="en-US"/>
        </w:rPr>
        <w:t>7(1)</w:t>
      </w:r>
      <w:r w:rsidR="0078694F" w:rsidRPr="00954547">
        <w:rPr>
          <w:lang w:val="en-US"/>
        </w:rPr>
        <w:t xml:space="preserve"> and </w:t>
      </w:r>
      <w:r w:rsidR="005E0FD1" w:rsidRPr="00954547">
        <w:rPr>
          <w:lang w:val="en-US"/>
        </w:rPr>
        <w:t>7(3)</w:t>
      </w:r>
      <w:r w:rsidR="00607E12" w:rsidRPr="00954547">
        <w:rPr>
          <w:lang w:val="en-US"/>
        </w:rPr>
        <w:t xml:space="preserve"> of the </w:t>
      </w:r>
      <w:r w:rsidR="00A42A4C" w:rsidRPr="00954547">
        <w:rPr>
          <w:lang w:val="en-US"/>
        </w:rPr>
        <w:t>American Convention on Human Rights</w:t>
      </w:r>
      <w:r w:rsidR="0031387C" w:rsidRPr="00954547">
        <w:rPr>
          <w:lang w:val="en-US"/>
        </w:rPr>
        <w:t xml:space="preserve">, </w:t>
      </w:r>
      <w:r w:rsidR="00B54EAA" w:rsidRPr="00954547">
        <w:rPr>
          <w:lang w:val="en-US"/>
        </w:rPr>
        <w:t>in relation to</w:t>
      </w:r>
      <w:r w:rsidR="0031387C" w:rsidRPr="00954547">
        <w:rPr>
          <w:lang w:val="en-US"/>
        </w:rPr>
        <w:t xml:space="preserve"> </w:t>
      </w:r>
      <w:r w:rsidR="00A17F8C" w:rsidRPr="00954547">
        <w:rPr>
          <w:lang w:val="en-US"/>
        </w:rPr>
        <w:t>Article</w:t>
      </w:r>
      <w:r w:rsidR="0031387C" w:rsidRPr="00954547">
        <w:rPr>
          <w:lang w:val="en-US"/>
        </w:rPr>
        <w:t>s</w:t>
      </w:r>
      <w:r w:rsidR="00A17F8C" w:rsidRPr="00954547">
        <w:rPr>
          <w:lang w:val="en-US"/>
        </w:rPr>
        <w:t xml:space="preserve"> 1(1) </w:t>
      </w:r>
      <w:r w:rsidR="0078694F" w:rsidRPr="00954547">
        <w:rPr>
          <w:lang w:val="en-US"/>
        </w:rPr>
        <w:t xml:space="preserve">and </w:t>
      </w:r>
      <w:r w:rsidR="0031387C" w:rsidRPr="00954547">
        <w:rPr>
          <w:lang w:val="en-US"/>
        </w:rPr>
        <w:t>2</w:t>
      </w:r>
      <w:r w:rsidR="00B54EAA" w:rsidRPr="00954547">
        <w:rPr>
          <w:lang w:val="en-US"/>
        </w:rPr>
        <w:t xml:space="preserve"> of the Convention, because the order was issued without a </w:t>
      </w:r>
      <w:r w:rsidR="007E4541" w:rsidRPr="00954547">
        <w:rPr>
          <w:lang w:val="en-US"/>
        </w:rPr>
        <w:t>statement of reasons</w:t>
      </w:r>
      <w:r w:rsidR="00B54EAA" w:rsidRPr="00954547">
        <w:rPr>
          <w:lang w:val="en-US"/>
        </w:rPr>
        <w:t xml:space="preserve"> that explained the need </w:t>
      </w:r>
      <w:r w:rsidR="007E4541" w:rsidRPr="00954547">
        <w:rPr>
          <w:lang w:val="en-US"/>
        </w:rPr>
        <w:t>for it</w:t>
      </w:r>
      <w:r w:rsidR="00E7028B" w:rsidRPr="00954547">
        <w:rPr>
          <w:lang w:val="en-US"/>
        </w:rPr>
        <w:t>,</w:t>
      </w:r>
      <w:r w:rsidR="007E4541" w:rsidRPr="00954547">
        <w:rPr>
          <w:lang w:val="en-US"/>
        </w:rPr>
        <w:t xml:space="preserve"> </w:t>
      </w:r>
      <w:r w:rsidR="00B54EAA" w:rsidRPr="00954547">
        <w:rPr>
          <w:lang w:val="en-US"/>
        </w:rPr>
        <w:t>and</w:t>
      </w:r>
      <w:r w:rsidR="00E7028B" w:rsidRPr="00954547">
        <w:rPr>
          <w:lang w:val="en-US"/>
        </w:rPr>
        <w:t xml:space="preserve"> it </w:t>
      </w:r>
      <w:r w:rsidR="00B54EAA" w:rsidRPr="00954547">
        <w:rPr>
          <w:lang w:val="en-US"/>
        </w:rPr>
        <w:t>was su</w:t>
      </w:r>
      <w:r w:rsidR="00E7028B" w:rsidRPr="00954547">
        <w:rPr>
          <w:lang w:val="en-US"/>
        </w:rPr>
        <w:t>bstantiated</w:t>
      </w:r>
      <w:r w:rsidR="00B54EAA" w:rsidRPr="00954547">
        <w:rPr>
          <w:lang w:val="en-US"/>
        </w:rPr>
        <w:t xml:space="preserve"> by provisions that</w:t>
      </w:r>
      <w:r w:rsidR="00E7028B" w:rsidRPr="00954547">
        <w:rPr>
          <w:lang w:val="en-US"/>
        </w:rPr>
        <w:t xml:space="preserve"> were contrary to the Convention</w:t>
      </w:r>
      <w:r w:rsidR="00B54EAA" w:rsidRPr="00954547">
        <w:rPr>
          <w:lang w:val="en-US"/>
        </w:rPr>
        <w:t xml:space="preserve"> establishing the admissibility of automatic</w:t>
      </w:r>
      <w:r w:rsidR="00AD1DEC" w:rsidRPr="00954547">
        <w:rPr>
          <w:lang w:val="en-US"/>
        </w:rPr>
        <w:t xml:space="preserve"> pretrial detention</w:t>
      </w:r>
      <w:r w:rsidR="00B54EAA" w:rsidRPr="00954547">
        <w:rPr>
          <w:lang w:val="en-US"/>
        </w:rPr>
        <w:t xml:space="preserve">, as indicated </w:t>
      </w:r>
      <w:r w:rsidR="0031387C" w:rsidRPr="00954547">
        <w:rPr>
          <w:lang w:val="en-US"/>
        </w:rPr>
        <w:t>(</w:t>
      </w:r>
      <w:r w:rsidR="0031387C" w:rsidRPr="00954547">
        <w:rPr>
          <w:i/>
          <w:lang w:val="en-US"/>
        </w:rPr>
        <w:t xml:space="preserve">supra </w:t>
      </w:r>
      <w:r w:rsidR="00B10E5A" w:rsidRPr="00954547">
        <w:rPr>
          <w:lang w:val="en-US"/>
        </w:rPr>
        <w:t>para.</w:t>
      </w:r>
      <w:r w:rsidR="0031387C" w:rsidRPr="00954547">
        <w:rPr>
          <w:lang w:val="en-US"/>
        </w:rPr>
        <w:t xml:space="preserve"> </w:t>
      </w:r>
      <w:r w:rsidR="009C0FD7" w:rsidRPr="00954547">
        <w:rPr>
          <w:lang w:val="en-US"/>
        </w:rPr>
        <w:fldChar w:fldCharType="begin"/>
      </w:r>
      <w:r w:rsidR="009C0FD7" w:rsidRPr="00954547">
        <w:rPr>
          <w:lang w:val="en-US"/>
        </w:rPr>
        <w:instrText xml:space="preserve"> REF _Ref87971635 \r \h </w:instrText>
      </w:r>
      <w:r w:rsidR="00793F65" w:rsidRPr="00954547">
        <w:rPr>
          <w:lang w:val="en-US"/>
        </w:rPr>
        <w:instrText xml:space="preserve"> \* MERGEFORMAT </w:instrText>
      </w:r>
      <w:r w:rsidR="009C0FD7" w:rsidRPr="00954547">
        <w:rPr>
          <w:lang w:val="en-US"/>
        </w:rPr>
      </w:r>
      <w:r w:rsidR="009C0FD7" w:rsidRPr="00954547">
        <w:rPr>
          <w:lang w:val="en-US"/>
        </w:rPr>
        <w:fldChar w:fldCharType="separate"/>
      </w:r>
      <w:r w:rsidR="000E4488" w:rsidRPr="00954547">
        <w:rPr>
          <w:lang w:val="en-US"/>
        </w:rPr>
        <w:t>104</w:t>
      </w:r>
      <w:r w:rsidR="009C0FD7" w:rsidRPr="00954547">
        <w:rPr>
          <w:lang w:val="en-US"/>
        </w:rPr>
        <w:fldChar w:fldCharType="end"/>
      </w:r>
      <w:r w:rsidR="0031387C" w:rsidRPr="00954547">
        <w:rPr>
          <w:lang w:val="en-US"/>
        </w:rPr>
        <w:t>)</w:t>
      </w:r>
      <w:r w:rsidR="00B54EAA" w:rsidRPr="00954547">
        <w:rPr>
          <w:lang w:val="en-US"/>
        </w:rPr>
        <w:t>.</w:t>
      </w:r>
      <w:r w:rsidR="0031387C" w:rsidRPr="00954547">
        <w:rPr>
          <w:lang w:val="en-US"/>
        </w:rPr>
        <w:t xml:space="preserve"> </w:t>
      </w:r>
    </w:p>
    <w:p w14:paraId="70F601EC" w14:textId="2C942D38" w:rsidR="0031387C" w:rsidRPr="00954547" w:rsidRDefault="0031387C" w:rsidP="00CC1C9C">
      <w:pPr>
        <w:pStyle w:val="Numberedparagraphs"/>
        <w:tabs>
          <w:tab w:val="left" w:pos="567"/>
        </w:tabs>
        <w:rPr>
          <w:lang w:val="en-US"/>
        </w:rPr>
      </w:pPr>
      <w:bookmarkStart w:id="61" w:name="_Ref375138171"/>
      <w:r w:rsidRPr="00954547">
        <w:rPr>
          <w:lang w:val="en-US"/>
        </w:rPr>
        <w:t>Ad</w:t>
      </w:r>
      <w:r w:rsidR="00B54EAA" w:rsidRPr="00954547">
        <w:rPr>
          <w:lang w:val="en-US"/>
        </w:rPr>
        <w:t xml:space="preserve">ditionally, </w:t>
      </w:r>
      <w:r w:rsidR="00E76B1A" w:rsidRPr="00954547">
        <w:rPr>
          <w:lang w:val="en-US"/>
        </w:rPr>
        <w:t>the Court</w:t>
      </w:r>
      <w:r w:rsidRPr="00954547">
        <w:rPr>
          <w:lang w:val="en-US"/>
        </w:rPr>
        <w:t xml:space="preserve"> ha</w:t>
      </w:r>
      <w:r w:rsidR="00B54EAA" w:rsidRPr="00954547">
        <w:rPr>
          <w:lang w:val="en-US"/>
        </w:rPr>
        <w:t>s pointed out that an order for arbitrary pretrial detention</w:t>
      </w:r>
      <w:r w:rsidRPr="00954547">
        <w:rPr>
          <w:lang w:val="en-US"/>
        </w:rPr>
        <w:t xml:space="preserve"> </w:t>
      </w:r>
      <w:r w:rsidR="00B54EAA" w:rsidRPr="00954547">
        <w:rPr>
          <w:lang w:val="en-US"/>
        </w:rPr>
        <w:t xml:space="preserve">may result in a violation of the </w:t>
      </w:r>
      <w:r w:rsidR="00144817" w:rsidRPr="00954547">
        <w:rPr>
          <w:lang w:val="en-US"/>
        </w:rPr>
        <w:t>presumption of innocence</w:t>
      </w:r>
      <w:r w:rsidRPr="00954547">
        <w:rPr>
          <w:lang w:val="en-US"/>
        </w:rPr>
        <w:t xml:space="preserve"> (</w:t>
      </w:r>
      <w:r w:rsidRPr="00954547">
        <w:rPr>
          <w:i/>
          <w:lang w:val="en-US"/>
        </w:rPr>
        <w:t xml:space="preserve">supra </w:t>
      </w:r>
      <w:r w:rsidR="00B10E5A" w:rsidRPr="00954547">
        <w:rPr>
          <w:lang w:val="en-US"/>
        </w:rPr>
        <w:t>para.</w:t>
      </w:r>
      <w:r w:rsidRPr="00954547">
        <w:rPr>
          <w:lang w:val="en-US"/>
        </w:rPr>
        <w:t xml:space="preserve"> </w:t>
      </w:r>
      <w:r w:rsidR="009C0FD7" w:rsidRPr="00954547">
        <w:rPr>
          <w:lang w:val="en-US"/>
        </w:rPr>
        <w:fldChar w:fldCharType="begin"/>
      </w:r>
      <w:r w:rsidR="009C0FD7" w:rsidRPr="00954547">
        <w:rPr>
          <w:lang w:val="en-US"/>
        </w:rPr>
        <w:instrText xml:space="preserve"> REF _Ref87971479 \r \h </w:instrText>
      </w:r>
      <w:r w:rsidR="00793F65" w:rsidRPr="00954547">
        <w:rPr>
          <w:lang w:val="en-US"/>
        </w:rPr>
        <w:instrText xml:space="preserve"> \* MERGEFORMAT </w:instrText>
      </w:r>
      <w:r w:rsidR="009C0FD7" w:rsidRPr="00954547">
        <w:rPr>
          <w:lang w:val="en-US"/>
        </w:rPr>
      </w:r>
      <w:r w:rsidR="009C0FD7" w:rsidRPr="00954547">
        <w:rPr>
          <w:lang w:val="en-US"/>
        </w:rPr>
        <w:fldChar w:fldCharType="separate"/>
      </w:r>
      <w:r w:rsidR="000E4488" w:rsidRPr="00954547">
        <w:rPr>
          <w:lang w:val="en-US"/>
        </w:rPr>
        <w:t>101</w:t>
      </w:r>
      <w:r w:rsidR="009C0FD7" w:rsidRPr="00954547">
        <w:rPr>
          <w:lang w:val="en-US"/>
        </w:rPr>
        <w:fldChar w:fldCharType="end"/>
      </w:r>
      <w:r w:rsidRPr="00954547">
        <w:rPr>
          <w:lang w:val="en-US"/>
        </w:rPr>
        <w:t xml:space="preserve">). </w:t>
      </w:r>
      <w:r w:rsidR="00B54EAA" w:rsidRPr="00954547">
        <w:rPr>
          <w:lang w:val="en-US"/>
        </w:rPr>
        <w:t xml:space="preserve">The principle of </w:t>
      </w:r>
      <w:r w:rsidR="00144817" w:rsidRPr="00954547">
        <w:rPr>
          <w:lang w:val="en-US"/>
        </w:rPr>
        <w:t>presumption of innocence</w:t>
      </w:r>
      <w:r w:rsidR="00B54EAA" w:rsidRPr="00954547">
        <w:rPr>
          <w:lang w:val="en-US"/>
        </w:rPr>
        <w:t xml:space="preserve"> is established in </w:t>
      </w:r>
      <w:r w:rsidR="00A17F8C" w:rsidRPr="00954547">
        <w:rPr>
          <w:lang w:val="en-US"/>
        </w:rPr>
        <w:t>Article</w:t>
      </w:r>
      <w:r w:rsidRPr="00954547">
        <w:rPr>
          <w:lang w:val="en-US"/>
        </w:rPr>
        <w:t xml:space="preserve"> 8</w:t>
      </w:r>
      <w:r w:rsidR="00B54EAA" w:rsidRPr="00954547">
        <w:rPr>
          <w:lang w:val="en-US"/>
        </w:rPr>
        <w:t>(</w:t>
      </w:r>
      <w:r w:rsidRPr="00954547">
        <w:rPr>
          <w:lang w:val="en-US"/>
        </w:rPr>
        <w:t>2</w:t>
      </w:r>
      <w:r w:rsidR="00B54EAA" w:rsidRPr="00954547">
        <w:rPr>
          <w:lang w:val="en-US"/>
        </w:rPr>
        <w:t>)</w:t>
      </w:r>
      <w:r w:rsidR="005E0FD1" w:rsidRPr="00954547">
        <w:rPr>
          <w:lang w:val="en-US"/>
        </w:rPr>
        <w:t xml:space="preserve"> of the American Convention</w:t>
      </w:r>
      <w:r w:rsidRPr="00954547">
        <w:rPr>
          <w:lang w:val="en-US"/>
        </w:rPr>
        <w:t>.</w:t>
      </w:r>
      <w:r w:rsidR="00B54EAA" w:rsidRPr="00954547">
        <w:rPr>
          <w:lang w:val="en-US"/>
        </w:rPr>
        <w:t xml:space="preserve"> This Court has established that, in order to respect the</w:t>
      </w:r>
      <w:r w:rsidRPr="00954547">
        <w:rPr>
          <w:lang w:val="en-US"/>
        </w:rPr>
        <w:t xml:space="preserve"> </w:t>
      </w:r>
      <w:r w:rsidR="00144817" w:rsidRPr="00954547">
        <w:rPr>
          <w:lang w:val="en-US"/>
        </w:rPr>
        <w:t>presumption of innocence</w:t>
      </w:r>
      <w:r w:rsidRPr="00954547">
        <w:rPr>
          <w:lang w:val="en-US"/>
        </w:rPr>
        <w:t xml:space="preserve">, </w:t>
      </w:r>
      <w:r w:rsidR="00CC1C9C" w:rsidRPr="00954547">
        <w:rPr>
          <w:lang w:val="en-US"/>
        </w:rPr>
        <w:t xml:space="preserve">when ordering measures that restrict liberty, </w:t>
      </w:r>
      <w:r w:rsidR="00485687" w:rsidRPr="00954547">
        <w:rPr>
          <w:lang w:val="en-US"/>
        </w:rPr>
        <w:t xml:space="preserve">in each specific case </w:t>
      </w:r>
      <w:r w:rsidR="00CC1C9C" w:rsidRPr="00954547">
        <w:rPr>
          <w:lang w:val="en-US"/>
        </w:rPr>
        <w:t xml:space="preserve">the State must substantiate and prove, clearly and with reasons, the existence of the </w:t>
      </w:r>
      <w:r w:rsidR="00485687" w:rsidRPr="00954547">
        <w:rPr>
          <w:lang w:val="en-US"/>
        </w:rPr>
        <w:t>aforementioned</w:t>
      </w:r>
      <w:r w:rsidR="00CC1C9C" w:rsidRPr="00954547">
        <w:rPr>
          <w:lang w:val="en-US"/>
        </w:rPr>
        <w:t xml:space="preserve"> requirements stipulated by the Convention</w:t>
      </w:r>
      <w:r w:rsidRPr="00954547">
        <w:rPr>
          <w:lang w:val="en-US"/>
        </w:rPr>
        <w:t xml:space="preserve"> (</w:t>
      </w:r>
      <w:r w:rsidRPr="00954547">
        <w:rPr>
          <w:i/>
          <w:lang w:val="en-US"/>
        </w:rPr>
        <w:t xml:space="preserve">supra </w:t>
      </w:r>
      <w:r w:rsidR="00B10E5A" w:rsidRPr="00954547">
        <w:rPr>
          <w:lang w:val="en-US"/>
        </w:rPr>
        <w:t>para.</w:t>
      </w:r>
      <w:r w:rsidRPr="00954547">
        <w:rPr>
          <w:lang w:val="en-US"/>
        </w:rPr>
        <w:t xml:space="preserve"> </w:t>
      </w:r>
      <w:r w:rsidR="009C0FD7" w:rsidRPr="00954547">
        <w:rPr>
          <w:lang w:val="en-US"/>
        </w:rPr>
        <w:fldChar w:fldCharType="begin"/>
      </w:r>
      <w:r w:rsidR="009C0FD7" w:rsidRPr="00954547">
        <w:rPr>
          <w:lang w:val="en-US"/>
        </w:rPr>
        <w:instrText xml:space="preserve"> REF _Ref87971479 \r \h </w:instrText>
      </w:r>
      <w:r w:rsidR="00793F65" w:rsidRPr="00954547">
        <w:rPr>
          <w:lang w:val="en-US"/>
        </w:rPr>
        <w:instrText xml:space="preserve"> \* MERGEFORMAT </w:instrText>
      </w:r>
      <w:r w:rsidR="009C0FD7" w:rsidRPr="00954547">
        <w:rPr>
          <w:lang w:val="en-US"/>
        </w:rPr>
      </w:r>
      <w:r w:rsidR="009C0FD7" w:rsidRPr="00954547">
        <w:rPr>
          <w:lang w:val="en-US"/>
        </w:rPr>
        <w:fldChar w:fldCharType="separate"/>
      </w:r>
      <w:r w:rsidR="000E4488" w:rsidRPr="00954547">
        <w:rPr>
          <w:lang w:val="en-US"/>
        </w:rPr>
        <w:t>101</w:t>
      </w:r>
      <w:r w:rsidR="009C0FD7" w:rsidRPr="00954547">
        <w:rPr>
          <w:lang w:val="en-US"/>
        </w:rPr>
        <w:fldChar w:fldCharType="end"/>
      </w:r>
      <w:r w:rsidRPr="00954547">
        <w:rPr>
          <w:lang w:val="en-US"/>
        </w:rPr>
        <w:t>).</w:t>
      </w:r>
      <w:bookmarkEnd w:id="61"/>
      <w:r w:rsidRPr="00954547">
        <w:rPr>
          <w:lang w:val="en-US"/>
        </w:rPr>
        <w:t xml:space="preserve"> </w:t>
      </w:r>
    </w:p>
    <w:p w14:paraId="28B4A97B" w14:textId="22307741" w:rsidR="0031387C" w:rsidRPr="00954547" w:rsidRDefault="0031387C" w:rsidP="00CC1C9C">
      <w:pPr>
        <w:pStyle w:val="Numberedparagraphs"/>
        <w:tabs>
          <w:tab w:val="left" w:pos="567"/>
        </w:tabs>
        <w:rPr>
          <w:lang w:val="en-US"/>
        </w:rPr>
      </w:pPr>
      <w:bookmarkStart w:id="62" w:name="_Ref86675594"/>
      <w:r w:rsidRPr="00954547">
        <w:rPr>
          <w:lang w:val="en-US"/>
        </w:rPr>
        <w:t>T</w:t>
      </w:r>
      <w:r w:rsidR="00CC1C9C" w:rsidRPr="00954547">
        <w:rPr>
          <w:lang w:val="en-US"/>
        </w:rPr>
        <w:t xml:space="preserve">aking into account that the order of </w:t>
      </w:r>
      <w:r w:rsidR="00B54EAA" w:rsidRPr="00954547">
        <w:rPr>
          <w:lang w:val="en-US"/>
        </w:rPr>
        <w:t>pretrial detention</w:t>
      </w:r>
      <w:r w:rsidRPr="00954547">
        <w:rPr>
          <w:lang w:val="en-US"/>
        </w:rPr>
        <w:t xml:space="preserve"> </w:t>
      </w:r>
      <w:r w:rsidR="00CC1C9C" w:rsidRPr="00954547">
        <w:rPr>
          <w:lang w:val="en-US"/>
        </w:rPr>
        <w:t>against</w:t>
      </w:r>
      <w:r w:rsidR="00607E12" w:rsidRPr="00954547">
        <w:rPr>
          <w:lang w:val="en-US"/>
        </w:rPr>
        <w:t xml:space="preserve"> the presumed victim</w:t>
      </w:r>
      <w:r w:rsidRPr="00954547">
        <w:rPr>
          <w:lang w:val="en-US"/>
        </w:rPr>
        <w:t xml:space="preserve"> </w:t>
      </w:r>
      <w:r w:rsidR="00CC1C9C" w:rsidRPr="00954547">
        <w:rPr>
          <w:lang w:val="en-US"/>
        </w:rPr>
        <w:t>was arbitrary because it did not contain a reasoned and objective legal justification for its admissibility, and also its duration of more than five months without its pertinence having been duly reviewed by the judicial authorities, the Court declares that El Salvador violated Manuela’s</w:t>
      </w:r>
      <w:r w:rsidR="00BC7072" w:rsidRPr="00954547">
        <w:rPr>
          <w:lang w:val="en-US"/>
        </w:rPr>
        <w:t xml:space="preserve"> right to</w:t>
      </w:r>
      <w:r w:rsidRPr="00954547">
        <w:rPr>
          <w:lang w:val="en-US"/>
        </w:rPr>
        <w:t xml:space="preserve"> </w:t>
      </w:r>
      <w:r w:rsidR="00485687" w:rsidRPr="00954547">
        <w:rPr>
          <w:lang w:val="en-US"/>
        </w:rPr>
        <w:t xml:space="preserve">the </w:t>
      </w:r>
      <w:r w:rsidR="00144817" w:rsidRPr="00954547">
        <w:rPr>
          <w:lang w:val="en-US"/>
        </w:rPr>
        <w:t>presumption of innocence</w:t>
      </w:r>
      <w:r w:rsidRPr="00954547">
        <w:rPr>
          <w:lang w:val="en-US"/>
        </w:rPr>
        <w:t xml:space="preserve"> </w:t>
      </w:r>
      <w:r w:rsidR="00CC1C9C" w:rsidRPr="00954547">
        <w:rPr>
          <w:lang w:val="en-US"/>
        </w:rPr>
        <w:t xml:space="preserve">established in </w:t>
      </w:r>
      <w:r w:rsidR="00A17F8C" w:rsidRPr="00954547">
        <w:rPr>
          <w:lang w:val="en-US"/>
        </w:rPr>
        <w:t>Article</w:t>
      </w:r>
      <w:r w:rsidRPr="00954547">
        <w:rPr>
          <w:lang w:val="en-US"/>
        </w:rPr>
        <w:t xml:space="preserve"> 8</w:t>
      </w:r>
      <w:r w:rsidR="00CC1C9C" w:rsidRPr="00954547">
        <w:rPr>
          <w:lang w:val="en-US"/>
        </w:rPr>
        <w:t>(</w:t>
      </w:r>
      <w:r w:rsidRPr="00954547">
        <w:rPr>
          <w:lang w:val="en-US"/>
        </w:rPr>
        <w:t>2</w:t>
      </w:r>
      <w:r w:rsidR="00CC1C9C" w:rsidRPr="00954547">
        <w:rPr>
          <w:lang w:val="en-US"/>
        </w:rPr>
        <w:t>)</w:t>
      </w:r>
      <w:r w:rsidR="005E0FD1" w:rsidRPr="00954547">
        <w:rPr>
          <w:lang w:val="en-US"/>
        </w:rPr>
        <w:t xml:space="preserve"> of the American Convention</w:t>
      </w:r>
      <w:r w:rsidRPr="00954547">
        <w:rPr>
          <w:lang w:val="en-US"/>
        </w:rPr>
        <w:t xml:space="preserve">, </w:t>
      </w:r>
      <w:r w:rsidR="00CC1C9C" w:rsidRPr="00954547">
        <w:rPr>
          <w:lang w:val="en-US"/>
        </w:rPr>
        <w:t>in relation to</w:t>
      </w:r>
      <w:r w:rsidRPr="00954547">
        <w:rPr>
          <w:lang w:val="en-US"/>
        </w:rPr>
        <w:t xml:space="preserve"> </w:t>
      </w:r>
      <w:r w:rsidR="00A17F8C" w:rsidRPr="00954547">
        <w:rPr>
          <w:lang w:val="en-US"/>
        </w:rPr>
        <w:t xml:space="preserve">Articles 1(1) </w:t>
      </w:r>
      <w:r w:rsidR="0078694F" w:rsidRPr="00954547">
        <w:rPr>
          <w:lang w:val="en-US"/>
        </w:rPr>
        <w:t xml:space="preserve">and </w:t>
      </w:r>
      <w:r w:rsidRPr="00954547">
        <w:rPr>
          <w:lang w:val="en-US"/>
        </w:rPr>
        <w:t xml:space="preserve">2 </w:t>
      </w:r>
      <w:bookmarkEnd w:id="62"/>
      <w:r w:rsidR="00CC1C9C" w:rsidRPr="00954547">
        <w:rPr>
          <w:lang w:val="en-US"/>
        </w:rPr>
        <w:t>of this instrument.</w:t>
      </w:r>
    </w:p>
    <w:p w14:paraId="6FCC4848" w14:textId="3505FA48" w:rsidR="009E3AAD" w:rsidRPr="00954547" w:rsidRDefault="00BC2440" w:rsidP="00386B24">
      <w:pPr>
        <w:pStyle w:val="Heading1"/>
        <w:tabs>
          <w:tab w:val="left" w:pos="567"/>
        </w:tabs>
      </w:pPr>
      <w:bookmarkStart w:id="63" w:name="_Toc106353910"/>
      <w:bookmarkEnd w:id="58"/>
      <w:r w:rsidRPr="00954547">
        <w:t>V</w:t>
      </w:r>
      <w:r w:rsidR="00CF5A9D" w:rsidRPr="00954547">
        <w:t>I</w:t>
      </w:r>
      <w:r w:rsidR="00EB564A" w:rsidRPr="00954547">
        <w:t>I</w:t>
      </w:r>
      <w:r w:rsidR="00CF5A9D" w:rsidRPr="00954547">
        <w:t>I</w:t>
      </w:r>
      <w:r w:rsidR="009E3AAD" w:rsidRPr="00954547">
        <w:t>-2</w:t>
      </w:r>
      <w:r w:rsidR="009E3AAD" w:rsidRPr="00954547">
        <w:br/>
      </w:r>
      <w:r w:rsidR="009E3F9E" w:rsidRPr="00954547">
        <w:t>RIGHTS TO</w:t>
      </w:r>
      <w:r w:rsidR="009E3AAD" w:rsidRPr="00954547">
        <w:t xml:space="preserve"> </w:t>
      </w:r>
      <w:r w:rsidR="0078694F" w:rsidRPr="00954547">
        <w:t>JUDICIAL GUARANTEES</w:t>
      </w:r>
      <w:r w:rsidR="00485687" w:rsidRPr="00954547">
        <w:t>,</w:t>
      </w:r>
      <w:r w:rsidR="0077425D" w:rsidRPr="00954547">
        <w:rPr>
          <w:rStyle w:val="FootnoteReference"/>
        </w:rPr>
        <w:footnoteReference w:id="209"/>
      </w:r>
      <w:r w:rsidR="005F7EB5" w:rsidRPr="00954547">
        <w:t xml:space="preserve"> </w:t>
      </w:r>
      <w:r w:rsidR="00EE7DEB" w:rsidRPr="00954547">
        <w:t>PERSONAL INTEGRITY</w:t>
      </w:r>
      <w:r w:rsidR="0077425D" w:rsidRPr="00954547">
        <w:rPr>
          <w:rStyle w:val="FootnoteReference"/>
        </w:rPr>
        <w:footnoteReference w:id="210"/>
      </w:r>
      <w:r w:rsidR="0078694F" w:rsidRPr="00954547">
        <w:t xml:space="preserve"> </w:t>
      </w:r>
      <w:r w:rsidR="00CC1C9C" w:rsidRPr="00954547">
        <w:t xml:space="preserve">AND </w:t>
      </w:r>
      <w:r w:rsidR="0078694F" w:rsidRPr="00954547">
        <w:t>EQUALITY BEFORE THE LAW</w:t>
      </w:r>
      <w:r w:rsidR="00485687" w:rsidRPr="00954547">
        <w:t>,</w:t>
      </w:r>
      <w:r w:rsidR="005F7EB5" w:rsidRPr="00954547">
        <w:rPr>
          <w:rStyle w:val="FootnoteReference"/>
        </w:rPr>
        <w:footnoteReference w:id="211"/>
      </w:r>
      <w:r w:rsidR="005F7EB5" w:rsidRPr="00954547">
        <w:t xml:space="preserve"> </w:t>
      </w:r>
      <w:r w:rsidR="00EE7DEB" w:rsidRPr="00954547">
        <w:t>IN RELATION TO THE OBLIGATION</w:t>
      </w:r>
      <w:r w:rsidR="00CC1C9C" w:rsidRPr="00954547">
        <w:t>S</w:t>
      </w:r>
      <w:r w:rsidR="00EE7DEB" w:rsidRPr="00954547">
        <w:t xml:space="preserve"> TO RESPECT RIGHTS</w:t>
      </w:r>
      <w:r w:rsidR="005F7EB5" w:rsidRPr="00954547">
        <w:t xml:space="preserve"> </w:t>
      </w:r>
      <w:r w:rsidR="00EE7DEB" w:rsidRPr="00954547">
        <w:t>WITHOUT DISCRIMINATION</w:t>
      </w:r>
      <w:r w:rsidR="005F7EB5" w:rsidRPr="00954547">
        <w:rPr>
          <w:rStyle w:val="FootnoteReference"/>
        </w:rPr>
        <w:footnoteReference w:id="212"/>
      </w:r>
      <w:r w:rsidR="0078694F" w:rsidRPr="00954547">
        <w:t xml:space="preserve"> </w:t>
      </w:r>
      <w:r w:rsidR="009E3F9E" w:rsidRPr="00954547">
        <w:t>AND TO ADOPT DOMESTIC LEGAL PROVISIONS</w:t>
      </w:r>
      <w:r w:rsidR="005F7EB5" w:rsidRPr="00954547">
        <w:rPr>
          <w:rStyle w:val="FootnoteReference"/>
        </w:rPr>
        <w:footnoteReference w:id="213"/>
      </w:r>
      <w:bookmarkEnd w:id="63"/>
    </w:p>
    <w:p w14:paraId="0AFDF728" w14:textId="58796D70" w:rsidR="009E3AAD" w:rsidRPr="00954547" w:rsidRDefault="00B8393C" w:rsidP="000365EC">
      <w:pPr>
        <w:pStyle w:val="Heading2"/>
        <w:numPr>
          <w:ilvl w:val="0"/>
          <w:numId w:val="10"/>
        </w:numPr>
        <w:tabs>
          <w:tab w:val="clear" w:pos="1134"/>
          <w:tab w:val="left" w:pos="567"/>
        </w:tabs>
        <w:autoSpaceDE w:val="0"/>
        <w:autoSpaceDN w:val="0"/>
        <w:adjustRightInd w:val="0"/>
        <w:spacing w:before="120" w:after="120"/>
        <w:ind w:left="1134" w:hanging="567"/>
        <w:jc w:val="both"/>
        <w:rPr>
          <w:lang w:val="en-US"/>
        </w:rPr>
      </w:pPr>
      <w:bookmarkStart w:id="64" w:name="_Toc106353911"/>
      <w:r w:rsidRPr="00954547">
        <w:rPr>
          <w:lang w:val="en-US"/>
        </w:rPr>
        <w:t>Arguments</w:t>
      </w:r>
      <w:r w:rsidR="003A0C7A" w:rsidRPr="00954547">
        <w:rPr>
          <w:lang w:val="en-US"/>
        </w:rPr>
        <w:t xml:space="preserve"> of the parties and the</w:t>
      </w:r>
      <w:r w:rsidR="00607E12" w:rsidRPr="00954547">
        <w:rPr>
          <w:lang w:val="en-US"/>
        </w:rPr>
        <w:t xml:space="preserve"> </w:t>
      </w:r>
      <w:r w:rsidR="00E76B1A" w:rsidRPr="00954547">
        <w:rPr>
          <w:lang w:val="en-US"/>
        </w:rPr>
        <w:t>Commission</w:t>
      </w:r>
      <w:bookmarkEnd w:id="64"/>
    </w:p>
    <w:p w14:paraId="4BFF7CE4" w14:textId="784FFB12" w:rsidR="009E3AAD" w:rsidRPr="00954547" w:rsidRDefault="004F0CAD" w:rsidP="00275450">
      <w:pPr>
        <w:pStyle w:val="Numberedparagraphs"/>
        <w:tabs>
          <w:tab w:val="left" w:pos="567"/>
        </w:tabs>
        <w:rPr>
          <w:b/>
          <w:lang w:val="en-US"/>
        </w:rPr>
      </w:pPr>
      <w:r w:rsidRPr="00954547">
        <w:rPr>
          <w:lang w:val="en-US"/>
        </w:rPr>
        <w:t>First</w:t>
      </w:r>
      <w:r w:rsidR="009E3AAD" w:rsidRPr="00954547">
        <w:rPr>
          <w:lang w:val="en-US"/>
        </w:rPr>
        <w:t xml:space="preserve">, </w:t>
      </w:r>
      <w:r w:rsidR="00E76B1A" w:rsidRPr="00954547">
        <w:rPr>
          <w:lang w:val="en-US"/>
        </w:rPr>
        <w:t xml:space="preserve">the </w:t>
      </w:r>
      <w:r w:rsidR="00E76B1A" w:rsidRPr="00954547">
        <w:rPr>
          <w:b/>
          <w:bCs/>
          <w:i/>
          <w:iCs/>
          <w:lang w:val="en-US"/>
        </w:rPr>
        <w:t>Commission</w:t>
      </w:r>
      <w:r w:rsidR="009E3AAD" w:rsidRPr="00954547">
        <w:rPr>
          <w:lang w:val="en-US"/>
        </w:rPr>
        <w:t xml:space="preserve"> a</w:t>
      </w:r>
      <w:r w:rsidR="008A0CDC" w:rsidRPr="00954547">
        <w:rPr>
          <w:lang w:val="en-US"/>
        </w:rPr>
        <w:t>rgued that</w:t>
      </w:r>
      <w:r w:rsidR="009E3AAD" w:rsidRPr="00954547">
        <w:rPr>
          <w:lang w:val="en-US"/>
        </w:rPr>
        <w:t xml:space="preserve"> “</w:t>
      </w:r>
      <w:r w:rsidR="008A0CDC" w:rsidRPr="00954547">
        <w:rPr>
          <w:lang w:val="en-US"/>
        </w:rPr>
        <w:t>the manifest omissions of her defense counsel meant that Manuela did not have access to the judicial remedies available to challenge the human rights violations that took place during the initial investigative steps or to challenge the guilty verdict.</w:t>
      </w:r>
      <w:r w:rsidR="009E3AAD" w:rsidRPr="00954547">
        <w:rPr>
          <w:lang w:val="en-US"/>
        </w:rPr>
        <w:t xml:space="preserve">” </w:t>
      </w:r>
      <w:r w:rsidR="008A0CDC" w:rsidRPr="00954547">
        <w:rPr>
          <w:lang w:val="en-US"/>
        </w:rPr>
        <w:t>Specifically</w:t>
      </w:r>
      <w:r w:rsidR="009E3AAD" w:rsidRPr="00954547">
        <w:rPr>
          <w:lang w:val="en-US"/>
        </w:rPr>
        <w:t xml:space="preserve">, </w:t>
      </w:r>
      <w:r w:rsidR="00E76B1A" w:rsidRPr="00954547">
        <w:rPr>
          <w:lang w:val="en-US"/>
        </w:rPr>
        <w:t>the Commission</w:t>
      </w:r>
      <w:r w:rsidR="009E3AAD" w:rsidRPr="00954547">
        <w:rPr>
          <w:lang w:val="en-US"/>
        </w:rPr>
        <w:t xml:space="preserve"> </w:t>
      </w:r>
      <w:r w:rsidR="008A0CDC" w:rsidRPr="00954547">
        <w:rPr>
          <w:lang w:val="en-US"/>
        </w:rPr>
        <w:t>pointed out the following alleged flaws: (</w:t>
      </w:r>
      <w:r w:rsidR="009E3AAD" w:rsidRPr="00954547">
        <w:rPr>
          <w:lang w:val="en-US"/>
        </w:rPr>
        <w:t xml:space="preserve">i) </w:t>
      </w:r>
      <w:r w:rsidR="00607E12" w:rsidRPr="00954547">
        <w:rPr>
          <w:lang w:val="en-US"/>
        </w:rPr>
        <w:t>the presumed victim</w:t>
      </w:r>
      <w:r w:rsidR="009E3AAD" w:rsidRPr="00954547">
        <w:rPr>
          <w:lang w:val="en-US"/>
        </w:rPr>
        <w:t xml:space="preserve"> </w:t>
      </w:r>
      <w:r w:rsidR="008A0CDC" w:rsidRPr="00954547">
        <w:rPr>
          <w:lang w:val="en-US"/>
        </w:rPr>
        <w:t xml:space="preserve">did not have a defense counsel during the initial procedures conducted on </w:t>
      </w:r>
      <w:r w:rsidR="00A56980" w:rsidRPr="00954547">
        <w:rPr>
          <w:lang w:val="en-US"/>
        </w:rPr>
        <w:t xml:space="preserve">February </w:t>
      </w:r>
      <w:r w:rsidR="008A0CDC" w:rsidRPr="00954547">
        <w:rPr>
          <w:lang w:val="en-US"/>
        </w:rPr>
        <w:t xml:space="preserve">28 and </w:t>
      </w:r>
      <w:r w:rsidR="00A56980" w:rsidRPr="00954547">
        <w:rPr>
          <w:lang w:val="en-US"/>
        </w:rPr>
        <w:t>29,</w:t>
      </w:r>
      <w:r w:rsidR="009E3AAD" w:rsidRPr="00954547">
        <w:rPr>
          <w:lang w:val="en-US"/>
        </w:rPr>
        <w:t xml:space="preserve"> 2008; </w:t>
      </w:r>
      <w:r w:rsidR="008A0CDC" w:rsidRPr="00954547">
        <w:rPr>
          <w:lang w:val="en-US"/>
        </w:rPr>
        <w:t>(</w:t>
      </w:r>
      <w:r w:rsidR="009E3AAD" w:rsidRPr="00954547">
        <w:rPr>
          <w:lang w:val="en-US"/>
        </w:rPr>
        <w:t xml:space="preserve">ii) </w:t>
      </w:r>
      <w:r w:rsidR="008A0CDC" w:rsidRPr="00954547">
        <w:rPr>
          <w:lang w:val="en-US"/>
        </w:rPr>
        <w:t>there is no record that</w:t>
      </w:r>
      <w:r w:rsidR="009E3AAD" w:rsidRPr="00954547">
        <w:rPr>
          <w:lang w:val="en-US"/>
        </w:rPr>
        <w:t xml:space="preserve"> </w:t>
      </w:r>
      <w:r w:rsidR="00607E12" w:rsidRPr="00954547">
        <w:rPr>
          <w:lang w:val="en-US"/>
        </w:rPr>
        <w:t>the presumed victim</w:t>
      </w:r>
      <w:r w:rsidR="008A0CDC" w:rsidRPr="00954547">
        <w:rPr>
          <w:lang w:val="en-US"/>
        </w:rPr>
        <w:t xml:space="preserve"> was notified of the appointment of her defense counsel </w:t>
      </w:r>
      <w:r w:rsidR="0032123B" w:rsidRPr="00954547">
        <w:rPr>
          <w:lang w:val="en-US"/>
        </w:rPr>
        <w:t>on February 28,</w:t>
      </w:r>
      <w:r w:rsidR="009E3AAD" w:rsidRPr="00954547">
        <w:rPr>
          <w:lang w:val="en-US"/>
        </w:rPr>
        <w:t xml:space="preserve"> 2008; </w:t>
      </w:r>
      <w:r w:rsidR="008A0CDC" w:rsidRPr="00954547">
        <w:rPr>
          <w:lang w:val="en-US"/>
        </w:rPr>
        <w:t>(</w:t>
      </w:r>
      <w:r w:rsidR="009E3AAD" w:rsidRPr="00954547">
        <w:rPr>
          <w:lang w:val="en-US"/>
        </w:rPr>
        <w:t xml:space="preserve">iii) </w:t>
      </w:r>
      <w:r w:rsidR="008A0CDC" w:rsidRPr="00954547">
        <w:rPr>
          <w:lang w:val="en-US"/>
        </w:rPr>
        <w:t xml:space="preserve">the defense counsel presented minimum evidence, merely offering the testimony of </w:t>
      </w:r>
      <w:r w:rsidR="00FF2DDD" w:rsidRPr="00954547">
        <w:rPr>
          <w:lang w:val="en-US"/>
        </w:rPr>
        <w:t>Manuela’s mother</w:t>
      </w:r>
      <w:r w:rsidR="009E3AAD" w:rsidRPr="00954547">
        <w:rPr>
          <w:lang w:val="en-US"/>
        </w:rPr>
        <w:t>,</w:t>
      </w:r>
      <w:r w:rsidR="0078694F" w:rsidRPr="00954547">
        <w:rPr>
          <w:lang w:val="en-US"/>
        </w:rPr>
        <w:t xml:space="preserve"> and </w:t>
      </w:r>
      <w:r w:rsidR="00275450" w:rsidRPr="00954547">
        <w:rPr>
          <w:lang w:val="en-US"/>
        </w:rPr>
        <w:t>(</w:t>
      </w:r>
      <w:r w:rsidR="009E3AAD" w:rsidRPr="00954547">
        <w:rPr>
          <w:lang w:val="en-US"/>
        </w:rPr>
        <w:t xml:space="preserve">iv) </w:t>
      </w:r>
      <w:r w:rsidR="00275450" w:rsidRPr="00954547">
        <w:rPr>
          <w:lang w:val="en-US"/>
        </w:rPr>
        <w:t>the defense counsel failed to question certain inconsistencies in the case file. In addition, Manuela’s defense counsel failed to contest the</w:t>
      </w:r>
      <w:r w:rsidR="009E3AAD" w:rsidRPr="00954547">
        <w:rPr>
          <w:lang w:val="en-US"/>
        </w:rPr>
        <w:t xml:space="preserve"> </w:t>
      </w:r>
      <w:r w:rsidR="00275450" w:rsidRPr="00954547">
        <w:rPr>
          <w:lang w:val="en-US"/>
        </w:rPr>
        <w:t>g</w:t>
      </w:r>
      <w:r w:rsidR="003212CD" w:rsidRPr="00954547">
        <w:rPr>
          <w:lang w:val="en-US"/>
        </w:rPr>
        <w:t>uilty verdict</w:t>
      </w:r>
      <w:r w:rsidR="00275450" w:rsidRPr="00954547">
        <w:rPr>
          <w:lang w:val="en-US"/>
        </w:rPr>
        <w:t xml:space="preserve"> by filing a remedy of cassation, or to inform her or her family about the possibility of doing this, and this meant that the presumed victim was unable to access the available judicial remedies. Second, </w:t>
      </w:r>
      <w:r w:rsidR="00E76B1A" w:rsidRPr="00954547">
        <w:rPr>
          <w:lang w:val="en-US"/>
        </w:rPr>
        <w:t>the Commission</w:t>
      </w:r>
      <w:r w:rsidR="009E3AAD" w:rsidRPr="00954547">
        <w:rPr>
          <w:lang w:val="en-US"/>
        </w:rPr>
        <w:t xml:space="preserve"> </w:t>
      </w:r>
      <w:r w:rsidR="00275450" w:rsidRPr="00954547">
        <w:rPr>
          <w:lang w:val="en-US"/>
        </w:rPr>
        <w:t>considered that</w:t>
      </w:r>
      <w:r w:rsidR="009E3AAD" w:rsidRPr="00954547">
        <w:rPr>
          <w:lang w:val="en-US"/>
        </w:rPr>
        <w:t xml:space="preserve"> </w:t>
      </w:r>
      <w:r w:rsidR="00B8393C" w:rsidRPr="00954547">
        <w:rPr>
          <w:lang w:val="en-US"/>
        </w:rPr>
        <w:t>the State</w:t>
      </w:r>
      <w:r w:rsidR="00275450" w:rsidRPr="00954547">
        <w:rPr>
          <w:lang w:val="en-US"/>
        </w:rPr>
        <w:t xml:space="preserve"> </w:t>
      </w:r>
      <w:r w:rsidR="00485687" w:rsidRPr="00954547">
        <w:rPr>
          <w:lang w:val="en-US"/>
        </w:rPr>
        <w:t xml:space="preserve">had </w:t>
      </w:r>
      <w:r w:rsidR="00275450" w:rsidRPr="00954547">
        <w:rPr>
          <w:lang w:val="en-US"/>
        </w:rPr>
        <w:t>violated the right to appeal the judgment, because the remedy of cassation “did not allow a wide-ranging control of factual, evidentiary and legal issues</w:t>
      </w:r>
      <w:r w:rsidR="009E3AAD" w:rsidRPr="00954547">
        <w:rPr>
          <w:lang w:val="en-US"/>
        </w:rPr>
        <w:t>”</w:t>
      </w:r>
      <w:r w:rsidR="00275450" w:rsidRPr="00954547">
        <w:rPr>
          <w:lang w:val="en-US"/>
        </w:rPr>
        <w:t xml:space="preserve">; therefore, it did not have the “minimum characteristics required by </w:t>
      </w:r>
      <w:r w:rsidR="00A17F8C" w:rsidRPr="00954547">
        <w:rPr>
          <w:lang w:val="en-US"/>
        </w:rPr>
        <w:t>Article</w:t>
      </w:r>
      <w:r w:rsidR="009E3AAD" w:rsidRPr="00954547">
        <w:rPr>
          <w:lang w:val="en-US"/>
        </w:rPr>
        <w:t xml:space="preserve"> 8</w:t>
      </w:r>
      <w:r w:rsidR="00275450" w:rsidRPr="00954547">
        <w:rPr>
          <w:lang w:val="en-US"/>
        </w:rPr>
        <w:t>(</w:t>
      </w:r>
      <w:r w:rsidR="009E3AAD" w:rsidRPr="00954547">
        <w:rPr>
          <w:lang w:val="en-US"/>
        </w:rPr>
        <w:t>2</w:t>
      </w:r>
      <w:r w:rsidR="00275450" w:rsidRPr="00954547">
        <w:rPr>
          <w:lang w:val="en-US"/>
        </w:rPr>
        <w:t>)(</w:t>
      </w:r>
      <w:r w:rsidR="009E3AAD" w:rsidRPr="00954547">
        <w:rPr>
          <w:lang w:val="en-US"/>
        </w:rPr>
        <w:t xml:space="preserve">h) </w:t>
      </w:r>
      <w:r w:rsidR="005E0FD1" w:rsidRPr="00954547">
        <w:rPr>
          <w:lang w:val="en-US"/>
        </w:rPr>
        <w:t>of the Convention</w:t>
      </w:r>
      <w:r w:rsidR="00275450" w:rsidRPr="00954547">
        <w:rPr>
          <w:lang w:val="en-US"/>
        </w:rPr>
        <w:t>.</w:t>
      </w:r>
      <w:r w:rsidR="009E3AAD" w:rsidRPr="00954547">
        <w:rPr>
          <w:lang w:val="en-US"/>
        </w:rPr>
        <w:t>”</w:t>
      </w:r>
      <w:r w:rsidR="009E3AAD" w:rsidRPr="00954547">
        <w:rPr>
          <w:b/>
          <w:lang w:val="en-US"/>
        </w:rPr>
        <w:t xml:space="preserve"> </w:t>
      </w:r>
    </w:p>
    <w:p w14:paraId="23671BFC" w14:textId="72E9D01C" w:rsidR="009E3AAD" w:rsidRPr="00954547" w:rsidRDefault="00485687" w:rsidP="00B54D48">
      <w:pPr>
        <w:pStyle w:val="Numberedparagraphs"/>
        <w:tabs>
          <w:tab w:val="left" w:pos="567"/>
        </w:tabs>
        <w:rPr>
          <w:b/>
          <w:lang w:val="en-US"/>
        </w:rPr>
      </w:pPr>
      <w:r w:rsidRPr="00954547">
        <w:rPr>
          <w:lang w:val="en-US"/>
        </w:rPr>
        <w:t>The</w:t>
      </w:r>
      <w:r w:rsidR="00E76B1A" w:rsidRPr="00954547">
        <w:rPr>
          <w:lang w:val="en-US"/>
        </w:rPr>
        <w:t xml:space="preserve"> Commission</w:t>
      </w:r>
      <w:r w:rsidR="009E3AAD" w:rsidRPr="00954547">
        <w:rPr>
          <w:lang w:val="en-US"/>
        </w:rPr>
        <w:t xml:space="preserve"> </w:t>
      </w:r>
      <w:r w:rsidRPr="00954547">
        <w:rPr>
          <w:lang w:val="en-US"/>
        </w:rPr>
        <w:t xml:space="preserve">also </w:t>
      </w:r>
      <w:r w:rsidR="00275450" w:rsidRPr="00954547">
        <w:rPr>
          <w:lang w:val="en-US"/>
        </w:rPr>
        <w:t>argued that</w:t>
      </w:r>
      <w:r w:rsidR="009E3AAD" w:rsidRPr="00954547">
        <w:rPr>
          <w:lang w:val="en-US"/>
        </w:rPr>
        <w:t xml:space="preserve"> </w:t>
      </w:r>
      <w:r w:rsidR="00B8393C" w:rsidRPr="00954547">
        <w:rPr>
          <w:lang w:val="en-US"/>
        </w:rPr>
        <w:t>the State</w:t>
      </w:r>
      <w:r w:rsidR="009E3AAD" w:rsidRPr="00954547">
        <w:rPr>
          <w:lang w:val="en-US"/>
        </w:rPr>
        <w:t xml:space="preserve"> </w:t>
      </w:r>
      <w:r w:rsidR="00275450" w:rsidRPr="00954547">
        <w:rPr>
          <w:lang w:val="en-US"/>
        </w:rPr>
        <w:t xml:space="preserve">was responsible for the violation of the duty to provide a statement of reasons, the </w:t>
      </w:r>
      <w:r w:rsidR="00144817" w:rsidRPr="00954547">
        <w:rPr>
          <w:lang w:val="en-US"/>
        </w:rPr>
        <w:t>presumption of innocence</w:t>
      </w:r>
      <w:r w:rsidR="0078694F" w:rsidRPr="00954547">
        <w:rPr>
          <w:lang w:val="en-US"/>
        </w:rPr>
        <w:t xml:space="preserve"> and </w:t>
      </w:r>
      <w:r w:rsidR="00275450" w:rsidRPr="00954547">
        <w:rPr>
          <w:lang w:val="en-US"/>
        </w:rPr>
        <w:t>the principle of equality and non-discrimination owing to the application of gender stereoty</w:t>
      </w:r>
      <w:r w:rsidR="00E8681F" w:rsidRPr="00954547">
        <w:rPr>
          <w:lang w:val="en-US"/>
        </w:rPr>
        <w:t>pes</w:t>
      </w:r>
      <w:r w:rsidR="00275450" w:rsidRPr="00954547">
        <w:rPr>
          <w:lang w:val="en-US"/>
        </w:rPr>
        <w:t xml:space="preserve"> during the investigation </w:t>
      </w:r>
      <w:r w:rsidR="00B90E17" w:rsidRPr="00954547">
        <w:rPr>
          <w:lang w:val="en-US"/>
        </w:rPr>
        <w:t xml:space="preserve">and the criminal trial. Such stereotyping was </w:t>
      </w:r>
      <w:r w:rsidR="00E8681F" w:rsidRPr="00954547">
        <w:rPr>
          <w:lang w:val="en-US"/>
        </w:rPr>
        <w:t>revealed</w:t>
      </w:r>
      <w:r w:rsidR="00B90E17" w:rsidRPr="00954547">
        <w:rPr>
          <w:lang w:val="en-US"/>
        </w:rPr>
        <w:t>: (i) by the initial investigation of the case, and by the judge who ordered the formal opening of the proceedings by presuming the presumed victim’s guilt, and (ii) in the judgment convicting her to prove the presumed victim’s motives. The Commission also stressed that “Manuela was a poor, illiterate young woman” and that “</w:t>
      </w:r>
      <w:r w:rsidR="00B54D48" w:rsidRPr="00954547">
        <w:rPr>
          <w:lang w:val="en-US"/>
        </w:rPr>
        <w:t>the stereotyp</w:t>
      </w:r>
      <w:r w:rsidR="00E8681F" w:rsidRPr="00954547">
        <w:rPr>
          <w:lang w:val="en-US"/>
        </w:rPr>
        <w:t>es</w:t>
      </w:r>
      <w:r w:rsidR="00B54D48" w:rsidRPr="00954547">
        <w:rPr>
          <w:lang w:val="en-US"/>
        </w:rPr>
        <w:t xml:space="preserve"> applied during the criminal trial cannot be disassociated from her poverty and reproductive age because, in the practice, their convergence produced a situation of greater vulnerability to being a victim of a specific type of discrimination.</w:t>
      </w:r>
      <w:r w:rsidR="009E3AAD" w:rsidRPr="00954547">
        <w:rPr>
          <w:lang w:val="en-US"/>
        </w:rPr>
        <w:t xml:space="preserve">” </w:t>
      </w:r>
    </w:p>
    <w:p w14:paraId="3F89D88E" w14:textId="58F036AD" w:rsidR="002E5443" w:rsidRPr="00954547" w:rsidRDefault="00B8393C" w:rsidP="002E5443">
      <w:pPr>
        <w:pStyle w:val="Numberedparagraphs"/>
        <w:tabs>
          <w:tab w:val="left" w:pos="567"/>
        </w:tabs>
        <w:rPr>
          <w:b/>
          <w:lang w:val="en-US"/>
        </w:rPr>
      </w:pPr>
      <w:r w:rsidRPr="00954547">
        <w:rPr>
          <w:lang w:val="en-US"/>
        </w:rPr>
        <w:t xml:space="preserve">The </w:t>
      </w:r>
      <w:r w:rsidR="006E0D5E" w:rsidRPr="00954547">
        <w:rPr>
          <w:b/>
          <w:bCs/>
          <w:i/>
          <w:iCs/>
          <w:lang w:val="en-US"/>
        </w:rPr>
        <w:t>representatives</w:t>
      </w:r>
      <w:r w:rsidR="009E3AAD" w:rsidRPr="00954547">
        <w:rPr>
          <w:b/>
          <w:bCs/>
          <w:i/>
          <w:iCs/>
          <w:lang w:val="en-US"/>
        </w:rPr>
        <w:t xml:space="preserve"> </w:t>
      </w:r>
      <w:r w:rsidR="009E3AAD" w:rsidRPr="00954547">
        <w:rPr>
          <w:lang w:val="en-US"/>
        </w:rPr>
        <w:t>a</w:t>
      </w:r>
      <w:r w:rsidR="00B54D48" w:rsidRPr="00954547">
        <w:rPr>
          <w:lang w:val="en-US"/>
        </w:rPr>
        <w:t xml:space="preserve">rgued that the criminal trial was conducted in violation of </w:t>
      </w:r>
      <w:r w:rsidR="0078694F" w:rsidRPr="00954547">
        <w:rPr>
          <w:lang w:val="en-US"/>
        </w:rPr>
        <w:t>judicial guarantees and judicial protection</w:t>
      </w:r>
      <w:r w:rsidR="009E3AAD" w:rsidRPr="00954547">
        <w:rPr>
          <w:lang w:val="en-US"/>
        </w:rPr>
        <w:t xml:space="preserve"> </w:t>
      </w:r>
      <w:r w:rsidR="00B54D48" w:rsidRPr="00954547">
        <w:rPr>
          <w:lang w:val="en-US"/>
        </w:rPr>
        <w:t>because:</w:t>
      </w:r>
      <w:r w:rsidR="009E3AAD" w:rsidRPr="00954547">
        <w:rPr>
          <w:lang w:val="en-US"/>
        </w:rPr>
        <w:t xml:space="preserve"> </w:t>
      </w:r>
      <w:r w:rsidR="00B54D48" w:rsidRPr="00954547">
        <w:rPr>
          <w:lang w:val="en-US"/>
        </w:rPr>
        <w:t>(</w:t>
      </w:r>
      <w:r w:rsidR="009E3AAD" w:rsidRPr="00954547">
        <w:rPr>
          <w:lang w:val="en-US"/>
        </w:rPr>
        <w:t xml:space="preserve">i) </w:t>
      </w:r>
      <w:r w:rsidR="00B54D48" w:rsidRPr="00954547">
        <w:rPr>
          <w:lang w:val="en-US"/>
        </w:rPr>
        <w:t xml:space="preserve">the minimum conditions for the </w:t>
      </w:r>
      <w:r w:rsidR="00E8681F" w:rsidRPr="00954547">
        <w:rPr>
          <w:lang w:val="en-US"/>
        </w:rPr>
        <w:t>rigorous</w:t>
      </w:r>
      <w:r w:rsidR="00B54D48" w:rsidRPr="00954547">
        <w:rPr>
          <w:lang w:val="en-US"/>
        </w:rPr>
        <w:t xml:space="preserve"> determination of Manuela’s criminal responsibility were not provi</w:t>
      </w:r>
      <w:r w:rsidR="00105F3F" w:rsidRPr="00954547">
        <w:rPr>
          <w:lang w:val="en-US"/>
        </w:rPr>
        <w:t>d</w:t>
      </w:r>
      <w:r w:rsidR="00B54D48" w:rsidRPr="00954547">
        <w:rPr>
          <w:lang w:val="en-US"/>
        </w:rPr>
        <w:t>ed; (</w:t>
      </w:r>
      <w:r w:rsidR="009E3AAD" w:rsidRPr="00954547">
        <w:rPr>
          <w:lang w:val="en-US"/>
        </w:rPr>
        <w:t>ii) Manuela</w:t>
      </w:r>
      <w:r w:rsidR="00B54D48" w:rsidRPr="00954547">
        <w:rPr>
          <w:lang w:val="en-US"/>
        </w:rPr>
        <w:t xml:space="preserve"> gave a statement before she was notified of the charges brought against her; (iii</w:t>
      </w:r>
      <w:r w:rsidR="009E3AAD" w:rsidRPr="00954547">
        <w:rPr>
          <w:lang w:val="en-US"/>
        </w:rPr>
        <w:t xml:space="preserve">) </w:t>
      </w:r>
      <w:r w:rsidR="00B54D48" w:rsidRPr="00954547">
        <w:rPr>
          <w:lang w:val="en-US"/>
        </w:rPr>
        <w:t xml:space="preserve">she did not have a suitable </w:t>
      </w:r>
      <w:r w:rsidR="00105F3F" w:rsidRPr="00954547">
        <w:rPr>
          <w:lang w:val="en-US"/>
        </w:rPr>
        <w:t>State-appointed</w:t>
      </w:r>
      <w:r w:rsidR="00B54D48" w:rsidRPr="00954547">
        <w:rPr>
          <w:lang w:val="en-US"/>
        </w:rPr>
        <w:t xml:space="preserve"> </w:t>
      </w:r>
      <w:r w:rsidR="00E8681F" w:rsidRPr="00954547">
        <w:rPr>
          <w:lang w:val="en-US"/>
        </w:rPr>
        <w:t>defense counsel</w:t>
      </w:r>
      <w:r w:rsidR="00B54D48" w:rsidRPr="00954547">
        <w:rPr>
          <w:lang w:val="en-US"/>
        </w:rPr>
        <w:t>, in violation of</w:t>
      </w:r>
      <w:r w:rsidR="009E3AAD" w:rsidRPr="00954547">
        <w:rPr>
          <w:lang w:val="en-US"/>
        </w:rPr>
        <w:t xml:space="preserve"> </w:t>
      </w:r>
      <w:r w:rsidR="00BC7072" w:rsidRPr="00954547">
        <w:rPr>
          <w:lang w:val="en-US"/>
        </w:rPr>
        <w:t xml:space="preserve">the </w:t>
      </w:r>
      <w:r w:rsidR="00105F3F" w:rsidRPr="00954547">
        <w:rPr>
          <w:lang w:val="en-US"/>
        </w:rPr>
        <w:t>right</w:t>
      </w:r>
      <w:r w:rsidR="00BC7072" w:rsidRPr="00954547">
        <w:rPr>
          <w:lang w:val="en-US"/>
        </w:rPr>
        <w:t xml:space="preserve"> to</w:t>
      </w:r>
      <w:r w:rsidR="00105F3F" w:rsidRPr="00954547">
        <w:rPr>
          <w:lang w:val="en-US"/>
        </w:rPr>
        <w:t xml:space="preserve"> adequate time to prepare her defense, to </w:t>
      </w:r>
      <w:r w:rsidR="00105F3F" w:rsidRPr="00954547">
        <w:rPr>
          <w:spacing w:val="-3"/>
          <w:lang w:val="en-US"/>
        </w:rPr>
        <w:t xml:space="preserve">communicate freely and privately with her </w:t>
      </w:r>
      <w:r w:rsidR="00E8681F" w:rsidRPr="00954547">
        <w:rPr>
          <w:spacing w:val="-3"/>
          <w:lang w:val="en-US"/>
        </w:rPr>
        <w:t>legal counsel</w:t>
      </w:r>
      <w:r w:rsidR="00105F3F" w:rsidRPr="00954547">
        <w:rPr>
          <w:spacing w:val="-3"/>
          <w:lang w:val="en-US"/>
        </w:rPr>
        <w:t>, and to have a public defender</w:t>
      </w:r>
      <w:r w:rsidR="009E3AAD" w:rsidRPr="00954547">
        <w:rPr>
          <w:lang w:val="en-US"/>
        </w:rPr>
        <w:t xml:space="preserve">; iv) </w:t>
      </w:r>
      <w:r w:rsidR="00105F3F" w:rsidRPr="00954547">
        <w:rPr>
          <w:lang w:val="en-US"/>
        </w:rPr>
        <w:t>there was no effective remedy available to appeal the first instance judgment, and (</w:t>
      </w:r>
      <w:r w:rsidR="009E3AAD" w:rsidRPr="00954547">
        <w:rPr>
          <w:lang w:val="en-US"/>
        </w:rPr>
        <w:t xml:space="preserve">v) Manuela </w:t>
      </w:r>
      <w:r w:rsidR="00105F3F" w:rsidRPr="00954547">
        <w:rPr>
          <w:lang w:val="en-US"/>
        </w:rPr>
        <w:t xml:space="preserve">was never heard at her trial, she did not have the opportunity to make a statement and to give her version of the facts to the judges who heard her case because she was prevented from doing so by the </w:t>
      </w:r>
      <w:r w:rsidR="001A439B" w:rsidRPr="00954547">
        <w:rPr>
          <w:lang w:val="en-US"/>
        </w:rPr>
        <w:t xml:space="preserve">public </w:t>
      </w:r>
      <w:r w:rsidR="00105F3F" w:rsidRPr="00954547">
        <w:rPr>
          <w:lang w:val="en-US"/>
        </w:rPr>
        <w:t xml:space="preserve">defender </w:t>
      </w:r>
      <w:r w:rsidR="00957939" w:rsidRPr="00954547">
        <w:rPr>
          <w:lang w:val="en-US"/>
        </w:rPr>
        <w:t xml:space="preserve">on </w:t>
      </w:r>
      <w:r w:rsidR="001A439B" w:rsidRPr="00954547">
        <w:rPr>
          <w:lang w:val="en-US"/>
        </w:rPr>
        <w:t>call</w:t>
      </w:r>
      <w:r w:rsidR="00957939" w:rsidRPr="00954547">
        <w:rPr>
          <w:lang w:val="en-US"/>
        </w:rPr>
        <w:t xml:space="preserve"> that she had for the hearings.</w:t>
      </w:r>
    </w:p>
    <w:p w14:paraId="0DBBF444" w14:textId="19BBD070" w:rsidR="00957939" w:rsidRPr="00954547" w:rsidRDefault="00957939" w:rsidP="002E5443">
      <w:pPr>
        <w:pStyle w:val="Numberedparagraphs"/>
        <w:tabs>
          <w:tab w:val="left" w:pos="567"/>
        </w:tabs>
        <w:rPr>
          <w:b/>
          <w:lang w:val="en-US"/>
        </w:rPr>
      </w:pPr>
      <w:r w:rsidRPr="00954547">
        <w:rPr>
          <w:lang w:val="en-US"/>
        </w:rPr>
        <w:t>They also underscored that the forensic evidence used to convict</w:t>
      </w:r>
      <w:r w:rsidR="009E3AAD" w:rsidRPr="00954547">
        <w:rPr>
          <w:lang w:val="en-US"/>
        </w:rPr>
        <w:t xml:space="preserve"> Manuela </w:t>
      </w:r>
      <w:r w:rsidRPr="00954547">
        <w:rPr>
          <w:lang w:val="en-US"/>
        </w:rPr>
        <w:t>did not take into account: (</w:t>
      </w:r>
      <w:r w:rsidR="00710747" w:rsidRPr="00954547">
        <w:rPr>
          <w:lang w:val="en-US"/>
        </w:rPr>
        <w:t>i</w:t>
      </w:r>
      <w:r w:rsidR="009E3AAD" w:rsidRPr="00954547">
        <w:rPr>
          <w:lang w:val="en-US"/>
        </w:rPr>
        <w:t xml:space="preserve">) </w:t>
      </w:r>
      <w:r w:rsidRPr="00954547">
        <w:rPr>
          <w:lang w:val="en-US"/>
        </w:rPr>
        <w:t>Manuela’s serious preeclampsia at the time of the birth, which could have caused the death of the fetus; (ii) that “the autopsy of the fetus did not provide data that the lower airways were completely obstruct</w:t>
      </w:r>
      <w:r w:rsidR="001A439B" w:rsidRPr="00954547">
        <w:rPr>
          <w:lang w:val="en-US"/>
        </w:rPr>
        <w:t>ed,</w:t>
      </w:r>
      <w:r w:rsidRPr="00954547">
        <w:rPr>
          <w:lang w:val="en-US"/>
        </w:rPr>
        <w:t xml:space="preserve"> </w:t>
      </w:r>
      <w:r w:rsidR="001A439B" w:rsidRPr="00954547">
        <w:rPr>
          <w:lang w:val="en-US"/>
        </w:rPr>
        <w:t>sufficiently</w:t>
      </w:r>
      <w:r w:rsidRPr="00954547">
        <w:rPr>
          <w:lang w:val="en-US"/>
        </w:rPr>
        <w:t xml:space="preserve"> to indicate asphyxia”; (iii) that</w:t>
      </w:r>
      <w:r w:rsidR="00416312" w:rsidRPr="00954547">
        <w:rPr>
          <w:lang w:val="en-US"/>
        </w:rPr>
        <w:t xml:space="preserve"> the hydrostatic docimasia </w:t>
      </w:r>
      <w:r w:rsidR="005C2780" w:rsidRPr="00954547">
        <w:rPr>
          <w:lang w:val="en-US"/>
        </w:rPr>
        <w:t xml:space="preserve">test </w:t>
      </w:r>
      <w:r w:rsidR="00416312" w:rsidRPr="00954547">
        <w:rPr>
          <w:lang w:val="en-US"/>
        </w:rPr>
        <w:t>was used</w:t>
      </w:r>
      <w:r w:rsidRPr="00954547">
        <w:rPr>
          <w:lang w:val="en-US"/>
        </w:rPr>
        <w:t xml:space="preserve"> to determine whether the fetus was born alive</w:t>
      </w:r>
      <w:r w:rsidR="00416312" w:rsidRPr="00954547">
        <w:rPr>
          <w:lang w:val="en-US"/>
        </w:rPr>
        <w:t xml:space="preserve"> and, already at the time of the events, it was considered that this was of no use to confirm whether </w:t>
      </w:r>
      <w:r w:rsidR="005C2780" w:rsidRPr="00954547">
        <w:rPr>
          <w:lang w:val="en-US"/>
        </w:rPr>
        <w:t>a</w:t>
      </w:r>
      <w:r w:rsidR="00416312" w:rsidRPr="00954547">
        <w:rPr>
          <w:lang w:val="en-US"/>
        </w:rPr>
        <w:t xml:space="preserve"> fetus had breathed; (iv) “the possibility that a precipitated or preterm delivery had occurred, which frequently causes the death of the fetus as a result of the tumultuous </w:t>
      </w:r>
      <w:r w:rsidR="00FF614D" w:rsidRPr="00954547">
        <w:rPr>
          <w:lang w:val="en-US"/>
        </w:rPr>
        <w:t xml:space="preserve">number of contractions without periods of relaxation, which prevents the uterine blood flow and therefore the oxygenation of the fetus,” and (v) the possibility that the fetus had accidentally fallen into the toilet causing its death. They also emphasized the possibility that the premature birth had been the result of the Hodgkin’s lymphoma, which </w:t>
      </w:r>
      <w:r w:rsidR="005C2780" w:rsidRPr="00954547">
        <w:rPr>
          <w:lang w:val="en-US"/>
        </w:rPr>
        <w:t>was</w:t>
      </w:r>
      <w:r w:rsidR="00FF614D" w:rsidRPr="00954547">
        <w:rPr>
          <w:lang w:val="en-US"/>
        </w:rPr>
        <w:t xml:space="preserve"> a possible complication. In addition, they argued that all the treatment that Manuela received from the State had a discriminatory impact because: (i) during the hearing at which Manuela was convicted, the forensic physician who performed the autopsy of the fetus answered the questions based on the stereotype of “the superhuman sacrifices of maternity” according to which “Manuela should have overcome her fainting spell, her situation of preeclampsia, etc. to try, by all means, to save </w:t>
      </w:r>
      <w:r w:rsidR="005C2780" w:rsidRPr="00954547">
        <w:rPr>
          <w:lang w:val="en-US"/>
        </w:rPr>
        <w:t>a</w:t>
      </w:r>
      <w:r w:rsidR="00FF614D" w:rsidRPr="00954547">
        <w:rPr>
          <w:lang w:val="en-US"/>
        </w:rPr>
        <w:t xml:space="preserve"> fetus,” and (ii) stereotypes provided the grounds for </w:t>
      </w:r>
      <w:r w:rsidR="00DB45DD" w:rsidRPr="00954547">
        <w:rPr>
          <w:lang w:val="en-US"/>
        </w:rPr>
        <w:t>initiating a trial, determining criminal responsibility</w:t>
      </w:r>
      <w:r w:rsidR="005C2780" w:rsidRPr="00954547">
        <w:rPr>
          <w:lang w:val="en-US"/>
        </w:rPr>
        <w:t>,</w:t>
      </w:r>
      <w:r w:rsidR="00DB45DD" w:rsidRPr="00954547">
        <w:rPr>
          <w:lang w:val="en-US"/>
        </w:rPr>
        <w:t xml:space="preserve"> and the guilty verdict.</w:t>
      </w:r>
    </w:p>
    <w:p w14:paraId="3F2A758F" w14:textId="6F2538DA" w:rsidR="009E3AAD" w:rsidRPr="00954547" w:rsidRDefault="00B8393C" w:rsidP="00C26F0B">
      <w:pPr>
        <w:pStyle w:val="Numberedparagraphs"/>
        <w:tabs>
          <w:tab w:val="left" w:pos="567"/>
        </w:tabs>
        <w:rPr>
          <w:b/>
          <w:lang w:val="en-US"/>
        </w:rPr>
      </w:pPr>
      <w:r w:rsidRPr="00954547">
        <w:rPr>
          <w:lang w:val="en-US"/>
        </w:rPr>
        <w:t xml:space="preserve">The </w:t>
      </w:r>
      <w:r w:rsidRPr="00954547">
        <w:rPr>
          <w:b/>
          <w:bCs/>
          <w:i/>
          <w:iCs/>
          <w:lang w:val="en-US"/>
        </w:rPr>
        <w:t>State</w:t>
      </w:r>
      <w:r w:rsidR="009E3AAD" w:rsidRPr="00954547">
        <w:rPr>
          <w:lang w:val="en-US"/>
        </w:rPr>
        <w:t xml:space="preserve"> </w:t>
      </w:r>
      <w:r w:rsidR="00DB45DD" w:rsidRPr="00954547">
        <w:rPr>
          <w:lang w:val="en-US"/>
        </w:rPr>
        <w:t>argued that</w:t>
      </w:r>
      <w:r w:rsidR="009E3AAD" w:rsidRPr="00954547">
        <w:rPr>
          <w:lang w:val="en-US"/>
        </w:rPr>
        <w:t xml:space="preserve">: </w:t>
      </w:r>
      <w:r w:rsidR="00DB45DD" w:rsidRPr="00954547">
        <w:rPr>
          <w:lang w:val="en-US"/>
        </w:rPr>
        <w:t>(</w:t>
      </w:r>
      <w:r w:rsidR="009E3AAD" w:rsidRPr="00954547">
        <w:rPr>
          <w:lang w:val="en-US"/>
        </w:rPr>
        <w:t xml:space="preserve">i) </w:t>
      </w:r>
      <w:r w:rsidR="00DB45DD" w:rsidRPr="00954547">
        <w:rPr>
          <w:lang w:val="en-US"/>
        </w:rPr>
        <w:t>Manuela had never been question</w:t>
      </w:r>
      <w:r w:rsidR="005C2780" w:rsidRPr="00954547">
        <w:rPr>
          <w:lang w:val="en-US"/>
        </w:rPr>
        <w:t>ed</w:t>
      </w:r>
      <w:r w:rsidR="00DB45DD" w:rsidRPr="00954547">
        <w:rPr>
          <w:lang w:val="en-US"/>
        </w:rPr>
        <w:t xml:space="preserve"> without receiving prior notification of the charges against her </w:t>
      </w:r>
      <w:r w:rsidR="005C2780" w:rsidRPr="00954547">
        <w:rPr>
          <w:lang w:val="en-US"/>
        </w:rPr>
        <w:t>and it had</w:t>
      </w:r>
      <w:r w:rsidR="00DB45DD" w:rsidRPr="00954547">
        <w:rPr>
          <w:lang w:val="en-US"/>
        </w:rPr>
        <w:t xml:space="preserve"> </w:t>
      </w:r>
      <w:r w:rsidR="005C2780" w:rsidRPr="00954547">
        <w:rPr>
          <w:lang w:val="en-US"/>
        </w:rPr>
        <w:t>“</w:t>
      </w:r>
      <w:r w:rsidR="00DB45DD" w:rsidRPr="00954547">
        <w:rPr>
          <w:lang w:val="en-US"/>
        </w:rPr>
        <w:t>only wanted to verify the situation</w:t>
      </w:r>
      <w:r w:rsidR="00DB45DD" w:rsidRPr="00954547">
        <w:rPr>
          <w:b/>
          <w:lang w:val="en-US"/>
        </w:rPr>
        <w:t xml:space="preserve"> </w:t>
      </w:r>
      <w:r w:rsidR="00AA0E9D" w:rsidRPr="00954547">
        <w:rPr>
          <w:lang w:val="en-US"/>
        </w:rPr>
        <w:t>reported</w:t>
      </w:r>
      <w:r w:rsidR="002E5443" w:rsidRPr="00954547">
        <w:rPr>
          <w:lang w:val="en-US"/>
        </w:rPr>
        <w:t xml:space="preserve"> </w:t>
      </w:r>
      <w:r w:rsidR="00DB45DD" w:rsidRPr="00954547">
        <w:rPr>
          <w:lang w:val="en-US"/>
        </w:rPr>
        <w:t xml:space="preserve">by </w:t>
      </w:r>
      <w:r w:rsidR="00AA0E9D" w:rsidRPr="00954547">
        <w:rPr>
          <w:lang w:val="en-US"/>
        </w:rPr>
        <w:t xml:space="preserve">the </w:t>
      </w:r>
      <w:r w:rsidR="00CC2596" w:rsidRPr="00954547">
        <w:rPr>
          <w:lang w:val="en-US"/>
        </w:rPr>
        <w:t>medical staff</w:t>
      </w:r>
      <w:r w:rsidR="00781F6B" w:rsidRPr="00954547">
        <w:rPr>
          <w:lang w:val="en-US"/>
        </w:rPr>
        <w:t>”</w:t>
      </w:r>
      <w:r w:rsidR="009E3AAD" w:rsidRPr="00954547">
        <w:rPr>
          <w:lang w:val="en-US"/>
        </w:rPr>
        <w:t xml:space="preserve">; </w:t>
      </w:r>
      <w:r w:rsidR="005C2780" w:rsidRPr="00954547">
        <w:rPr>
          <w:lang w:val="en-US"/>
        </w:rPr>
        <w:t>(</w:t>
      </w:r>
      <w:r w:rsidR="009E3AAD" w:rsidRPr="00954547">
        <w:rPr>
          <w:lang w:val="en-US"/>
        </w:rPr>
        <w:t xml:space="preserve">ii) </w:t>
      </w:r>
      <w:r w:rsidR="00DB45DD" w:rsidRPr="00954547">
        <w:rPr>
          <w:lang w:val="en-US"/>
        </w:rPr>
        <w:t xml:space="preserve">in the record drawn up by the </w:t>
      </w:r>
      <w:r w:rsidR="009E3AAD" w:rsidRPr="00954547">
        <w:rPr>
          <w:lang w:val="en-US"/>
        </w:rPr>
        <w:t>Cacaopera</w:t>
      </w:r>
      <w:r w:rsidR="005C2780" w:rsidRPr="00954547">
        <w:rPr>
          <w:lang w:val="en-US"/>
        </w:rPr>
        <w:t xml:space="preserve"> magistrate</w:t>
      </w:r>
      <w:r w:rsidR="00DB45DD" w:rsidRPr="00954547">
        <w:rPr>
          <w:lang w:val="en-US"/>
        </w:rPr>
        <w:t xml:space="preserve">, </w:t>
      </w:r>
      <w:r w:rsidR="00607E12" w:rsidRPr="00954547">
        <w:rPr>
          <w:lang w:val="en-US"/>
        </w:rPr>
        <w:t>the presumed victim</w:t>
      </w:r>
      <w:r w:rsidR="009E3AAD" w:rsidRPr="00954547">
        <w:rPr>
          <w:lang w:val="en-US"/>
        </w:rPr>
        <w:t xml:space="preserve"> </w:t>
      </w:r>
      <w:r w:rsidR="00DB45DD" w:rsidRPr="00954547">
        <w:rPr>
          <w:lang w:val="en-US"/>
        </w:rPr>
        <w:t>“was notified of the reason for her detention and Manuela received a clear and precise explanation of the facts for which she was being prosecuted</w:t>
      </w:r>
      <w:r w:rsidR="00953B76" w:rsidRPr="00954547">
        <w:rPr>
          <w:lang w:val="en-US"/>
        </w:rPr>
        <w:t xml:space="preserve">;” (iii) </w:t>
      </w:r>
      <w:r w:rsidR="00607E12" w:rsidRPr="00954547">
        <w:rPr>
          <w:lang w:val="en-US"/>
        </w:rPr>
        <w:t>the presumed victim</w:t>
      </w:r>
      <w:r w:rsidR="009E3AAD" w:rsidRPr="00954547">
        <w:rPr>
          <w:lang w:val="en-US"/>
        </w:rPr>
        <w:t xml:space="preserve"> </w:t>
      </w:r>
      <w:r w:rsidR="00953B76" w:rsidRPr="00954547">
        <w:rPr>
          <w:lang w:val="en-US"/>
        </w:rPr>
        <w:t xml:space="preserve">was appointed a public defender </w:t>
      </w:r>
      <w:r w:rsidR="0032123B" w:rsidRPr="00954547">
        <w:rPr>
          <w:lang w:val="en-US"/>
        </w:rPr>
        <w:t>on February 28,</w:t>
      </w:r>
      <w:r w:rsidR="009E3AAD" w:rsidRPr="00954547">
        <w:rPr>
          <w:lang w:val="en-US"/>
        </w:rPr>
        <w:t xml:space="preserve"> 2008; </w:t>
      </w:r>
      <w:r w:rsidR="00953B76" w:rsidRPr="00954547">
        <w:rPr>
          <w:lang w:val="en-US"/>
        </w:rPr>
        <w:t>(</w:t>
      </w:r>
      <w:r w:rsidR="009E3AAD" w:rsidRPr="00954547">
        <w:rPr>
          <w:lang w:val="en-US"/>
        </w:rPr>
        <w:t>iv)</w:t>
      </w:r>
      <w:r w:rsidR="009E3AAD" w:rsidRPr="00954547">
        <w:rPr>
          <w:b/>
          <w:lang w:val="en-US"/>
        </w:rPr>
        <w:t xml:space="preserve"> </w:t>
      </w:r>
      <w:r w:rsidR="009E3AAD" w:rsidRPr="00954547">
        <w:rPr>
          <w:lang w:val="en-US"/>
        </w:rPr>
        <w:t>Manuela</w:t>
      </w:r>
      <w:r w:rsidR="00953B76" w:rsidRPr="00954547">
        <w:rPr>
          <w:lang w:val="en-US"/>
        </w:rPr>
        <w:t xml:space="preserve">’s defense was “reasonable” and “Manuela was not present at the initial hearing because she had not been transferred to the court by the </w:t>
      </w:r>
      <w:r w:rsidR="00810EE4" w:rsidRPr="00954547">
        <w:rPr>
          <w:lang w:val="en-US"/>
        </w:rPr>
        <w:t>Section for the Transfer of Defendants</w:t>
      </w:r>
      <w:r w:rsidR="009E3AAD" w:rsidRPr="00954547">
        <w:rPr>
          <w:lang w:val="en-US"/>
        </w:rPr>
        <w:t xml:space="preserve"> </w:t>
      </w:r>
      <w:r w:rsidR="00810EE4" w:rsidRPr="00954547">
        <w:rPr>
          <w:lang w:val="en-US"/>
        </w:rPr>
        <w:t>of the Eastern Zone of</w:t>
      </w:r>
      <w:r w:rsidR="009E3AAD" w:rsidRPr="00954547">
        <w:rPr>
          <w:lang w:val="en-US"/>
        </w:rPr>
        <w:t xml:space="preserve"> San Miguel, </w:t>
      </w:r>
      <w:r w:rsidR="00953B76" w:rsidRPr="00954547">
        <w:rPr>
          <w:lang w:val="en-US"/>
        </w:rPr>
        <w:t>due to lack of personnel</w:t>
      </w:r>
      <w:r w:rsidR="009E3AAD" w:rsidRPr="00954547">
        <w:rPr>
          <w:lang w:val="en-US"/>
        </w:rPr>
        <w:t xml:space="preserve">”; </w:t>
      </w:r>
      <w:r w:rsidR="00953B76" w:rsidRPr="00954547">
        <w:rPr>
          <w:lang w:val="en-US"/>
        </w:rPr>
        <w:t>(</w:t>
      </w:r>
      <w:r w:rsidR="009E3AAD" w:rsidRPr="00954547">
        <w:rPr>
          <w:lang w:val="en-US"/>
        </w:rPr>
        <w:t xml:space="preserve">v) </w:t>
      </w:r>
      <w:r w:rsidR="00953B76" w:rsidRPr="00954547">
        <w:rPr>
          <w:lang w:val="en-US"/>
        </w:rPr>
        <w:t xml:space="preserve">at the preliminary investigation stage, “all the evidentiary procedures were conducted in the presence of the public defender”; (vi) during the special hearing to review measures, the defense counsel asked for “the review of the extreme measure of </w:t>
      </w:r>
      <w:r w:rsidR="00495E4B" w:rsidRPr="00954547">
        <w:rPr>
          <w:lang w:val="en-US"/>
        </w:rPr>
        <w:t>pretrial detention</w:t>
      </w:r>
      <w:r w:rsidR="0078694F" w:rsidRPr="00954547">
        <w:rPr>
          <w:lang w:val="en-US"/>
        </w:rPr>
        <w:t xml:space="preserve"> and </w:t>
      </w:r>
      <w:r w:rsidR="00953B76" w:rsidRPr="00954547">
        <w:rPr>
          <w:lang w:val="en-US"/>
        </w:rPr>
        <w:t>its substitution by any other measure”; (</w:t>
      </w:r>
      <w:r w:rsidR="009E3AAD" w:rsidRPr="00954547">
        <w:rPr>
          <w:lang w:val="en-US"/>
        </w:rPr>
        <w:t xml:space="preserve">vii) </w:t>
      </w:r>
      <w:r w:rsidR="00326F84" w:rsidRPr="00954547">
        <w:rPr>
          <w:lang w:val="en-US"/>
        </w:rPr>
        <w:t xml:space="preserve">Manuela’s failure to make a statement during the trial is explained by the fact that “this formed part of the defense’s strategy in favor of </w:t>
      </w:r>
      <w:r w:rsidR="009E3AAD" w:rsidRPr="00954547">
        <w:rPr>
          <w:lang w:val="en-US"/>
        </w:rPr>
        <w:t>Manuela</w:t>
      </w:r>
      <w:r w:rsidR="00326F84" w:rsidRPr="00954547">
        <w:rPr>
          <w:lang w:val="en-US"/>
        </w:rPr>
        <w:t>,</w:t>
      </w:r>
      <w:r w:rsidR="009E3AAD" w:rsidRPr="00954547">
        <w:rPr>
          <w:lang w:val="en-US"/>
        </w:rPr>
        <w:t>”</w:t>
      </w:r>
      <w:r w:rsidR="0078694F" w:rsidRPr="00954547">
        <w:rPr>
          <w:lang w:val="en-US"/>
        </w:rPr>
        <w:t xml:space="preserve"> and </w:t>
      </w:r>
      <w:r w:rsidR="00326F84" w:rsidRPr="00954547">
        <w:rPr>
          <w:lang w:val="en-US"/>
        </w:rPr>
        <w:t>(</w:t>
      </w:r>
      <w:r w:rsidR="009E3AAD" w:rsidRPr="00954547">
        <w:rPr>
          <w:lang w:val="en-US"/>
        </w:rPr>
        <w:t xml:space="preserve">viii) </w:t>
      </w:r>
      <w:r w:rsidR="00326F84" w:rsidRPr="00954547">
        <w:rPr>
          <w:lang w:val="en-US"/>
        </w:rPr>
        <w:t xml:space="preserve">at the time the criminal trial was held “there was no remedy that allowed a comprehensive review of a guilty verdict in a criminal trial,” but “the assertion that the defender did not inform Manuela that remedies existed was not proved during the criminal proceedings.” The State also indicated that the judicial decisions were duly reasoned. Lastly, it stressed that, “when delivering the judgment on the merits </w:t>
      </w:r>
      <w:r w:rsidR="007238CC" w:rsidRPr="00954547">
        <w:rPr>
          <w:lang w:val="en-US"/>
        </w:rPr>
        <w:t>of</w:t>
      </w:r>
      <w:r w:rsidR="00326F84" w:rsidRPr="00954547">
        <w:rPr>
          <w:lang w:val="en-US"/>
        </w:rPr>
        <w:t xml:space="preserve"> this case</w:t>
      </w:r>
      <w:r w:rsidR="00C26F0B" w:rsidRPr="00954547">
        <w:rPr>
          <w:lang w:val="en-US"/>
        </w:rPr>
        <w:t xml:space="preserve">, the evidence provided to the court was assessed completely and comprehensively, without filling in factual gaps with stereotypes, because circumstances were proved that led the court to determine with positive certainty the existence of the </w:t>
      </w:r>
      <w:r w:rsidR="007238CC" w:rsidRPr="00954547">
        <w:rPr>
          <w:lang w:val="en-US"/>
        </w:rPr>
        <w:t>crime</w:t>
      </w:r>
      <w:r w:rsidR="00C26F0B" w:rsidRPr="00954547">
        <w:rPr>
          <w:lang w:val="en-US"/>
        </w:rPr>
        <w:t xml:space="preserve"> and the criminal participation.</w:t>
      </w:r>
      <w:r w:rsidR="00F9655C" w:rsidRPr="00954547">
        <w:rPr>
          <w:lang w:val="en-US"/>
        </w:rPr>
        <w:t xml:space="preserve">” </w:t>
      </w:r>
    </w:p>
    <w:p w14:paraId="5AECC005" w14:textId="7D9A3CF7" w:rsidR="009E3AAD" w:rsidRPr="00954547" w:rsidRDefault="00B8393C" w:rsidP="000365EC">
      <w:pPr>
        <w:pStyle w:val="Heading2"/>
        <w:numPr>
          <w:ilvl w:val="0"/>
          <w:numId w:val="10"/>
        </w:numPr>
        <w:tabs>
          <w:tab w:val="clear" w:pos="1134"/>
          <w:tab w:val="left" w:pos="567"/>
        </w:tabs>
        <w:autoSpaceDE w:val="0"/>
        <w:autoSpaceDN w:val="0"/>
        <w:adjustRightInd w:val="0"/>
        <w:ind w:left="1134" w:hanging="567"/>
        <w:jc w:val="both"/>
        <w:rPr>
          <w:lang w:val="en-US"/>
        </w:rPr>
      </w:pPr>
      <w:bookmarkStart w:id="65" w:name="_Toc106353912"/>
      <w:r w:rsidRPr="00954547">
        <w:rPr>
          <w:lang w:val="en-US"/>
        </w:rPr>
        <w:t>Considerations</w:t>
      </w:r>
      <w:r w:rsidR="00607E12" w:rsidRPr="00954547">
        <w:rPr>
          <w:lang w:val="en-US"/>
        </w:rPr>
        <w:t xml:space="preserve"> of the </w:t>
      </w:r>
      <w:r w:rsidR="00E76B1A" w:rsidRPr="00954547">
        <w:rPr>
          <w:lang w:val="en-US"/>
        </w:rPr>
        <w:t>Court</w:t>
      </w:r>
      <w:bookmarkEnd w:id="65"/>
    </w:p>
    <w:p w14:paraId="6482F044" w14:textId="550E54B9" w:rsidR="009E3AAD" w:rsidRPr="00954547" w:rsidRDefault="00E76B1A" w:rsidP="00AC29CF">
      <w:pPr>
        <w:pStyle w:val="Numberedparagraphs"/>
        <w:tabs>
          <w:tab w:val="left" w:pos="567"/>
        </w:tabs>
        <w:rPr>
          <w:rFonts w:eastAsia="Verdana" w:cs="Verdana"/>
          <w:color w:val="FF0000"/>
          <w:lang w:val="en-US"/>
        </w:rPr>
      </w:pPr>
      <w:bookmarkStart w:id="66" w:name="_Ref86675659"/>
      <w:r w:rsidRPr="00954547">
        <w:rPr>
          <w:lang w:val="en-US"/>
        </w:rPr>
        <w:t>The Court</w:t>
      </w:r>
      <w:r w:rsidR="009E3AAD" w:rsidRPr="00954547">
        <w:rPr>
          <w:lang w:val="en-US"/>
        </w:rPr>
        <w:t xml:space="preserve"> ha</w:t>
      </w:r>
      <w:r w:rsidR="00C26F0B" w:rsidRPr="00954547">
        <w:rPr>
          <w:lang w:val="en-US"/>
        </w:rPr>
        <w:t xml:space="preserve">s indicated that the right to due process refers to the series of requirements that must be met in the procedural instances to ensure that individuals are able to adequately defend their rights </w:t>
      </w:r>
      <w:r w:rsidR="007238CC" w:rsidRPr="00954547">
        <w:rPr>
          <w:lang w:val="en-US"/>
        </w:rPr>
        <w:t>vis-à-vis</w:t>
      </w:r>
      <w:r w:rsidR="00C26F0B" w:rsidRPr="00954547">
        <w:rPr>
          <w:lang w:val="en-US"/>
        </w:rPr>
        <w:t xml:space="preserve"> any act of the State adopted by any public authority, whether administrative, legislative or judicial, </w:t>
      </w:r>
      <w:r w:rsidR="00B906C0" w:rsidRPr="00954547">
        <w:rPr>
          <w:lang w:val="en-US"/>
        </w:rPr>
        <w:t xml:space="preserve">that could </w:t>
      </w:r>
      <w:r w:rsidR="007238CC" w:rsidRPr="00954547">
        <w:rPr>
          <w:lang w:val="en-US"/>
        </w:rPr>
        <w:t>impair</w:t>
      </w:r>
      <w:r w:rsidR="00B906C0" w:rsidRPr="00954547">
        <w:rPr>
          <w:lang w:val="en-US"/>
        </w:rPr>
        <w:t xml:space="preserve"> them.</w:t>
      </w:r>
      <w:r w:rsidR="009E3AAD" w:rsidRPr="00954547">
        <w:rPr>
          <w:vertAlign w:val="superscript"/>
          <w:lang w:val="en-US"/>
        </w:rPr>
        <w:footnoteReference w:id="214"/>
      </w:r>
      <w:r w:rsidR="009E3AAD" w:rsidRPr="00954547">
        <w:rPr>
          <w:lang w:val="en-US"/>
        </w:rPr>
        <w:t xml:space="preserve"> </w:t>
      </w:r>
      <w:r w:rsidR="00BC7072" w:rsidRPr="00954547">
        <w:rPr>
          <w:lang w:val="en-US"/>
        </w:rPr>
        <w:t xml:space="preserve">The </w:t>
      </w:r>
      <w:r w:rsidR="00D4015D" w:rsidRPr="00954547">
        <w:rPr>
          <w:lang w:val="en-US"/>
        </w:rPr>
        <w:t>right to defense</w:t>
      </w:r>
      <w:r w:rsidR="00B906C0" w:rsidRPr="00954547">
        <w:rPr>
          <w:lang w:val="en-US"/>
        </w:rPr>
        <w:t>, especially in criminal proceedings, is a central component of due process</w:t>
      </w:r>
      <w:r w:rsidR="0078694F" w:rsidRPr="00954547">
        <w:rPr>
          <w:lang w:val="en-US"/>
        </w:rPr>
        <w:t xml:space="preserve"> and</w:t>
      </w:r>
      <w:r w:rsidR="00B906C0" w:rsidRPr="00954547">
        <w:rPr>
          <w:lang w:val="en-US"/>
        </w:rPr>
        <w:t>, necessarily, it must be possible to exercise this from the moment a person is accused of being the possible perpetrator of, or participant in, an unlawful act, and only ends when the proceedings are concluded, including, if applicable, the stage of execution of the sentence.</w:t>
      </w:r>
      <w:r w:rsidR="009E3AAD" w:rsidRPr="00954547">
        <w:rPr>
          <w:rStyle w:val="Strong"/>
          <w:b w:val="0"/>
          <w:vertAlign w:val="superscript"/>
          <w:lang w:val="en-US"/>
        </w:rPr>
        <w:footnoteReference w:id="215"/>
      </w:r>
      <w:bookmarkEnd w:id="66"/>
    </w:p>
    <w:p w14:paraId="0E484FD3" w14:textId="06F05863" w:rsidR="009E3AAD" w:rsidRPr="00954547" w:rsidRDefault="00B906C0" w:rsidP="00386B24">
      <w:pPr>
        <w:pStyle w:val="Numberedparagraphs"/>
        <w:tabs>
          <w:tab w:val="left" w:pos="567"/>
        </w:tabs>
        <w:rPr>
          <w:lang w:val="en-US"/>
        </w:rPr>
      </w:pPr>
      <w:r w:rsidRPr="00954547">
        <w:rPr>
          <w:lang w:val="en-US"/>
        </w:rPr>
        <w:t xml:space="preserve">In this case, a series of violations of judicial </w:t>
      </w:r>
      <w:r w:rsidR="007238CC" w:rsidRPr="00954547">
        <w:rPr>
          <w:lang w:val="en-US"/>
        </w:rPr>
        <w:t>guarantees</w:t>
      </w:r>
      <w:r w:rsidRPr="00954547">
        <w:rPr>
          <w:lang w:val="en-US"/>
        </w:rPr>
        <w:t xml:space="preserve"> has been a</w:t>
      </w:r>
      <w:r w:rsidR="007238CC" w:rsidRPr="00954547">
        <w:rPr>
          <w:lang w:val="en-US"/>
        </w:rPr>
        <w:t>lleged</w:t>
      </w:r>
      <w:r w:rsidR="00D0455C" w:rsidRPr="00954547">
        <w:rPr>
          <w:lang w:val="en-US"/>
        </w:rPr>
        <w:t xml:space="preserve">. </w:t>
      </w:r>
      <w:r w:rsidR="00E76B1A" w:rsidRPr="00954547">
        <w:rPr>
          <w:lang w:val="en-US"/>
        </w:rPr>
        <w:t>The Court</w:t>
      </w:r>
      <w:r w:rsidR="00D0455C" w:rsidRPr="00954547">
        <w:rPr>
          <w:lang w:val="en-US"/>
        </w:rPr>
        <w:t xml:space="preserve"> </w:t>
      </w:r>
      <w:r w:rsidRPr="00954547">
        <w:rPr>
          <w:lang w:val="en-US"/>
        </w:rPr>
        <w:t xml:space="preserve">only has sufficient evidence to examine: </w:t>
      </w:r>
      <w:r w:rsidR="009E3AAD" w:rsidRPr="00954547">
        <w:rPr>
          <w:lang w:val="en-US"/>
        </w:rPr>
        <w:t xml:space="preserve">(1) </w:t>
      </w:r>
      <w:r w:rsidR="00BC7072" w:rsidRPr="00954547">
        <w:rPr>
          <w:lang w:val="en-US"/>
        </w:rPr>
        <w:t xml:space="preserve">the </w:t>
      </w:r>
      <w:r w:rsidR="00D4015D" w:rsidRPr="00954547">
        <w:rPr>
          <w:lang w:val="en-US"/>
        </w:rPr>
        <w:t>right to defense</w:t>
      </w:r>
      <w:r w:rsidR="00DE6BDD" w:rsidRPr="00954547">
        <w:rPr>
          <w:lang w:val="en-US"/>
        </w:rPr>
        <w:t xml:space="preserve">; </w:t>
      </w:r>
      <w:r w:rsidR="009E3AAD" w:rsidRPr="00954547">
        <w:rPr>
          <w:lang w:val="en-US"/>
        </w:rPr>
        <w:t>(</w:t>
      </w:r>
      <w:r w:rsidR="00D0455C" w:rsidRPr="00954547">
        <w:rPr>
          <w:lang w:val="en-US"/>
        </w:rPr>
        <w:t>2</w:t>
      </w:r>
      <w:r w:rsidR="009E3AAD" w:rsidRPr="00954547">
        <w:rPr>
          <w:lang w:val="en-US"/>
        </w:rPr>
        <w:t xml:space="preserve">) </w:t>
      </w:r>
      <w:r w:rsidR="00C37C6C" w:rsidRPr="00954547">
        <w:rPr>
          <w:lang w:val="en-US"/>
        </w:rPr>
        <w:t>the use of gender stereotypes</w:t>
      </w:r>
      <w:r w:rsidR="0078694F" w:rsidRPr="00954547">
        <w:rPr>
          <w:lang w:val="en-US"/>
        </w:rPr>
        <w:t xml:space="preserve"> and judicial guarantees</w:t>
      </w:r>
      <w:r w:rsidR="00DE6BDD" w:rsidRPr="00954547">
        <w:rPr>
          <w:lang w:val="en-US"/>
        </w:rPr>
        <w:t>,</w:t>
      </w:r>
      <w:r w:rsidR="0078694F" w:rsidRPr="00954547">
        <w:rPr>
          <w:lang w:val="en-US"/>
        </w:rPr>
        <w:t xml:space="preserve"> and </w:t>
      </w:r>
      <w:r w:rsidR="00DE6BDD" w:rsidRPr="00954547">
        <w:rPr>
          <w:lang w:val="en-US"/>
        </w:rPr>
        <w:t xml:space="preserve">(3) </w:t>
      </w:r>
      <w:r w:rsidR="00C37C6C" w:rsidRPr="00954547">
        <w:rPr>
          <w:lang w:val="en-US"/>
        </w:rPr>
        <w:t>the sentence imposed on</w:t>
      </w:r>
      <w:r w:rsidR="007D7B39" w:rsidRPr="00954547">
        <w:rPr>
          <w:lang w:val="en-US"/>
        </w:rPr>
        <w:t xml:space="preserve"> Manuela.</w:t>
      </w:r>
      <w:r w:rsidR="00DE6BDD" w:rsidRPr="00954547">
        <w:rPr>
          <w:lang w:val="en-US"/>
        </w:rPr>
        <w:t xml:space="preserve"> </w:t>
      </w:r>
    </w:p>
    <w:p w14:paraId="0C181FDD" w14:textId="18B99FDA" w:rsidR="009E3AAD" w:rsidRPr="00954547" w:rsidRDefault="009E3AAD" w:rsidP="00386B24">
      <w:pPr>
        <w:pStyle w:val="Heading3"/>
        <w:tabs>
          <w:tab w:val="left" w:pos="567"/>
        </w:tabs>
      </w:pPr>
      <w:bookmarkStart w:id="67" w:name="_Toc106353913"/>
      <w:r w:rsidRPr="00954547">
        <w:t>B.</w:t>
      </w:r>
      <w:r w:rsidR="00D0455C" w:rsidRPr="00954547">
        <w:t>1</w:t>
      </w:r>
      <w:r w:rsidRPr="00954547">
        <w:t xml:space="preserve"> </w:t>
      </w:r>
      <w:r w:rsidRPr="00954547">
        <w:tab/>
      </w:r>
      <w:r w:rsidR="00BC7072" w:rsidRPr="00954547">
        <w:rPr>
          <w:rStyle w:val="Heading3Char"/>
          <w:b/>
        </w:rPr>
        <w:t xml:space="preserve">The </w:t>
      </w:r>
      <w:r w:rsidR="00D4015D" w:rsidRPr="00954547">
        <w:rPr>
          <w:rStyle w:val="Heading3Char"/>
          <w:b/>
        </w:rPr>
        <w:t>right to defense</w:t>
      </w:r>
      <w:bookmarkEnd w:id="67"/>
      <w:r w:rsidRPr="00954547">
        <w:rPr>
          <w:strike/>
        </w:rPr>
        <w:t xml:space="preserve"> </w:t>
      </w:r>
    </w:p>
    <w:p w14:paraId="5F285E20" w14:textId="04D2472E" w:rsidR="00DD7DBE" w:rsidRPr="00954547" w:rsidRDefault="00BC7072" w:rsidP="00432436">
      <w:pPr>
        <w:pStyle w:val="Numberedparagraphs"/>
        <w:rPr>
          <w:b/>
          <w:lang w:val="en-US"/>
        </w:rPr>
      </w:pPr>
      <w:r w:rsidRPr="00954547">
        <w:rPr>
          <w:lang w:val="en-US"/>
        </w:rPr>
        <w:t xml:space="preserve">The </w:t>
      </w:r>
      <w:r w:rsidR="00D4015D" w:rsidRPr="00954547">
        <w:rPr>
          <w:lang w:val="en-US"/>
        </w:rPr>
        <w:t>right to defense</w:t>
      </w:r>
      <w:r w:rsidR="00DD7DBE" w:rsidRPr="00954547">
        <w:rPr>
          <w:lang w:val="en-US"/>
        </w:rPr>
        <w:t xml:space="preserve"> oblig</w:t>
      </w:r>
      <w:r w:rsidR="00070516" w:rsidRPr="00954547">
        <w:rPr>
          <w:lang w:val="en-US"/>
        </w:rPr>
        <w:t>es</w:t>
      </w:r>
      <w:r w:rsidR="00A94F95" w:rsidRPr="00954547">
        <w:rPr>
          <w:lang w:val="en-US"/>
        </w:rPr>
        <w:t xml:space="preserve"> the State</w:t>
      </w:r>
      <w:r w:rsidR="00DD7DBE" w:rsidRPr="00954547">
        <w:rPr>
          <w:lang w:val="en-US"/>
        </w:rPr>
        <w:t xml:space="preserve"> </w:t>
      </w:r>
      <w:r w:rsidR="00070516" w:rsidRPr="00954547">
        <w:rPr>
          <w:lang w:val="en-US"/>
        </w:rPr>
        <w:t>to treat the individual, at all times, as a true subject of the proceedings, in the broadest sense of this concept</w:t>
      </w:r>
      <w:r w:rsidR="00D4015D" w:rsidRPr="00954547">
        <w:rPr>
          <w:lang w:val="en-US"/>
        </w:rPr>
        <w:t>,</w:t>
      </w:r>
      <w:r w:rsidR="00070516" w:rsidRPr="00954547">
        <w:rPr>
          <w:lang w:val="en-US"/>
        </w:rPr>
        <w:t xml:space="preserve"> and not merely as an object of the proceedings.</w:t>
      </w:r>
      <w:r w:rsidR="00DD7DBE" w:rsidRPr="00954547">
        <w:rPr>
          <w:rStyle w:val="FootnoteReference"/>
          <w:lang w:val="en-US"/>
        </w:rPr>
        <w:footnoteReference w:id="216"/>
      </w:r>
      <w:r w:rsidR="00DD7DBE" w:rsidRPr="00954547">
        <w:rPr>
          <w:lang w:val="en-US"/>
        </w:rPr>
        <w:t xml:space="preserve"> </w:t>
      </w:r>
      <w:r w:rsidRPr="00954547">
        <w:rPr>
          <w:lang w:val="en-US"/>
        </w:rPr>
        <w:t xml:space="preserve">The </w:t>
      </w:r>
      <w:r w:rsidR="00D4015D" w:rsidRPr="00954547">
        <w:rPr>
          <w:lang w:val="en-US"/>
        </w:rPr>
        <w:t>right to defense</w:t>
      </w:r>
      <w:r w:rsidR="00DD7DBE" w:rsidRPr="00954547">
        <w:rPr>
          <w:lang w:val="en-US"/>
        </w:rPr>
        <w:t xml:space="preserve"> </w:t>
      </w:r>
      <w:r w:rsidR="00070516" w:rsidRPr="00954547">
        <w:rPr>
          <w:lang w:val="en-US"/>
        </w:rPr>
        <w:t xml:space="preserve">has two aspects during criminal proceedings; on the one hand, the right </w:t>
      </w:r>
      <w:r w:rsidR="00D4015D" w:rsidRPr="00954547">
        <w:rPr>
          <w:lang w:val="en-US"/>
        </w:rPr>
        <w:t>to</w:t>
      </w:r>
      <w:r w:rsidR="00070516" w:rsidRPr="00954547">
        <w:rPr>
          <w:lang w:val="en-US"/>
        </w:rPr>
        <w:t xml:space="preserve"> </w:t>
      </w:r>
      <w:r w:rsidR="006F08C3" w:rsidRPr="00954547">
        <w:rPr>
          <w:lang w:val="en-US"/>
        </w:rPr>
        <w:t xml:space="preserve">a </w:t>
      </w:r>
      <w:r w:rsidR="00070516" w:rsidRPr="00954547">
        <w:rPr>
          <w:lang w:val="en-US"/>
        </w:rPr>
        <w:t>substantive defense</w:t>
      </w:r>
      <w:r w:rsidR="00580BF0" w:rsidRPr="00954547">
        <w:rPr>
          <w:lang w:val="en-US"/>
        </w:rPr>
        <w:t xml:space="preserve"> </w:t>
      </w:r>
      <w:r w:rsidR="006F08C3" w:rsidRPr="00954547">
        <w:rPr>
          <w:lang w:val="en-US"/>
        </w:rPr>
        <w:t>through</w:t>
      </w:r>
      <w:r w:rsidR="00580BF0" w:rsidRPr="00954547">
        <w:rPr>
          <w:lang w:val="en-US"/>
        </w:rPr>
        <w:t xml:space="preserve"> the actions </w:t>
      </w:r>
      <w:r w:rsidR="006F08C3" w:rsidRPr="00954547">
        <w:rPr>
          <w:lang w:val="en-US"/>
        </w:rPr>
        <w:t>taken by</w:t>
      </w:r>
      <w:r w:rsidR="00580BF0" w:rsidRPr="00954547">
        <w:rPr>
          <w:lang w:val="en-US"/>
        </w:rPr>
        <w:t xml:space="preserve"> the defendant, and its principal feature is the possibility of playing an active role in the hearings and procedures and prov</w:t>
      </w:r>
      <w:r w:rsidR="00416F62" w:rsidRPr="00954547">
        <w:rPr>
          <w:lang w:val="en-US"/>
        </w:rPr>
        <w:t>id</w:t>
      </w:r>
      <w:r w:rsidR="006F08C3" w:rsidRPr="00954547">
        <w:rPr>
          <w:lang w:val="en-US"/>
        </w:rPr>
        <w:t>ing</w:t>
      </w:r>
      <w:r w:rsidR="00580BF0" w:rsidRPr="00954547">
        <w:rPr>
          <w:lang w:val="en-US"/>
        </w:rPr>
        <w:t xml:space="preserve"> a</w:t>
      </w:r>
      <w:r w:rsidR="00416F62" w:rsidRPr="00954547">
        <w:rPr>
          <w:lang w:val="en-US"/>
        </w:rPr>
        <w:t xml:space="preserve"> freely-given statement regarding the acts </w:t>
      </w:r>
      <w:r w:rsidR="006F08C3" w:rsidRPr="00954547">
        <w:rPr>
          <w:lang w:val="en-US"/>
        </w:rPr>
        <w:t>with which he has been charged</w:t>
      </w:r>
      <w:r w:rsidR="00416F62" w:rsidRPr="00954547">
        <w:rPr>
          <w:lang w:val="en-US"/>
        </w:rPr>
        <w:t xml:space="preserve"> and, on the other hand, </w:t>
      </w:r>
      <w:r w:rsidR="006F08C3" w:rsidRPr="00954547">
        <w:rPr>
          <w:lang w:val="en-US"/>
        </w:rPr>
        <w:t>through</w:t>
      </w:r>
      <w:r w:rsidR="00416F62" w:rsidRPr="00954547">
        <w:rPr>
          <w:lang w:val="en-US"/>
        </w:rPr>
        <w:t xml:space="preserve"> </w:t>
      </w:r>
      <w:r w:rsidR="006F08C3" w:rsidRPr="00954547">
        <w:rPr>
          <w:lang w:val="en-US"/>
        </w:rPr>
        <w:t>a</w:t>
      </w:r>
      <w:r w:rsidR="00416F62" w:rsidRPr="00954547">
        <w:rPr>
          <w:lang w:val="en-US"/>
        </w:rPr>
        <w:t xml:space="preserve"> professional defense by a legal practitioner, who acts as an adviser to the defendant concerning his rights and obligations, and </w:t>
      </w:r>
      <w:r w:rsidR="006F08C3" w:rsidRPr="00954547">
        <w:rPr>
          <w:lang w:val="en-US"/>
        </w:rPr>
        <w:t>ensures</w:t>
      </w:r>
      <w:r w:rsidR="00416F62" w:rsidRPr="00954547">
        <w:rPr>
          <w:lang w:val="en-US"/>
        </w:rPr>
        <w:t xml:space="preserve">, </w:t>
      </w:r>
      <w:r w:rsidR="00416F62" w:rsidRPr="00954547">
        <w:rPr>
          <w:i/>
          <w:lang w:val="en-US"/>
        </w:rPr>
        <w:t>inter alia,</w:t>
      </w:r>
      <w:r w:rsidR="00416F62" w:rsidRPr="00954547">
        <w:rPr>
          <w:lang w:val="en-US"/>
        </w:rPr>
        <w:t xml:space="preserve"> a </w:t>
      </w:r>
      <w:r w:rsidR="00432436" w:rsidRPr="00954547">
        <w:rPr>
          <w:lang w:val="en-US"/>
        </w:rPr>
        <w:t>detailed</w:t>
      </w:r>
      <w:r w:rsidR="00416F62" w:rsidRPr="00954547">
        <w:rPr>
          <w:lang w:val="en-US"/>
        </w:rPr>
        <w:t xml:space="preserve"> control of </w:t>
      </w:r>
      <w:r w:rsidR="00432436" w:rsidRPr="00954547">
        <w:rPr>
          <w:lang w:val="en-US"/>
        </w:rPr>
        <w:t>legality in the production of evidence.</w:t>
      </w:r>
      <w:r w:rsidR="00D2520A" w:rsidRPr="00954547">
        <w:rPr>
          <w:vertAlign w:val="superscript"/>
          <w:lang w:val="en-US"/>
        </w:rPr>
        <w:footnoteReference w:id="217"/>
      </w:r>
      <w:r w:rsidR="00D2520A" w:rsidRPr="00954547">
        <w:rPr>
          <w:lang w:val="en-US"/>
        </w:rPr>
        <w:t xml:space="preserve"> </w:t>
      </w:r>
      <w:r w:rsidR="005E0FD1" w:rsidRPr="00954547">
        <w:rPr>
          <w:lang w:val="en-US"/>
        </w:rPr>
        <w:t>The American Convention</w:t>
      </w:r>
      <w:r w:rsidR="00DD7DBE" w:rsidRPr="00954547">
        <w:rPr>
          <w:lang w:val="en-US"/>
        </w:rPr>
        <w:t xml:space="preserve"> </w:t>
      </w:r>
      <w:r w:rsidR="00432436" w:rsidRPr="00954547">
        <w:rPr>
          <w:lang w:val="en-US"/>
        </w:rPr>
        <w:t xml:space="preserve">provides specific guarantees for the exercise of both the right </w:t>
      </w:r>
      <w:r w:rsidR="00E34055" w:rsidRPr="00954547">
        <w:rPr>
          <w:lang w:val="en-US"/>
        </w:rPr>
        <w:t>to a</w:t>
      </w:r>
      <w:r w:rsidR="00432436" w:rsidRPr="00954547">
        <w:rPr>
          <w:lang w:val="en-US"/>
        </w:rPr>
        <w:t xml:space="preserve"> substantive defense – for example, by the right of the accused to adequate time and means for the preparation of his defense</w:t>
      </w:r>
      <w:r w:rsidR="00441B13" w:rsidRPr="00954547">
        <w:rPr>
          <w:lang w:val="en-US"/>
        </w:rPr>
        <w:t xml:space="preserve"> (</w:t>
      </w:r>
      <w:r w:rsidR="00A17F8C" w:rsidRPr="00954547">
        <w:rPr>
          <w:lang w:val="en-US"/>
        </w:rPr>
        <w:t>Article</w:t>
      </w:r>
      <w:r w:rsidR="00441B13" w:rsidRPr="00954547">
        <w:rPr>
          <w:lang w:val="en-US"/>
        </w:rPr>
        <w:t xml:space="preserve"> 8</w:t>
      </w:r>
      <w:r w:rsidR="00432436" w:rsidRPr="00954547">
        <w:rPr>
          <w:lang w:val="en-US"/>
        </w:rPr>
        <w:t>(</w:t>
      </w:r>
      <w:r w:rsidR="00441B13" w:rsidRPr="00954547">
        <w:rPr>
          <w:lang w:val="en-US"/>
        </w:rPr>
        <w:t>2</w:t>
      </w:r>
      <w:r w:rsidR="00432436" w:rsidRPr="00954547">
        <w:rPr>
          <w:lang w:val="en-US"/>
        </w:rPr>
        <w:t>)(</w:t>
      </w:r>
      <w:r w:rsidR="00441B13" w:rsidRPr="00954547">
        <w:rPr>
          <w:lang w:val="en-US"/>
        </w:rPr>
        <w:t>c</w:t>
      </w:r>
      <w:r w:rsidR="00432436" w:rsidRPr="00954547">
        <w:rPr>
          <w:lang w:val="en-US"/>
        </w:rPr>
        <w:t>)</w:t>
      </w:r>
      <w:r w:rsidR="00441B13" w:rsidRPr="00954547">
        <w:rPr>
          <w:lang w:val="en-US"/>
        </w:rPr>
        <w:t>)</w:t>
      </w:r>
      <w:r w:rsidR="00E34055" w:rsidRPr="00954547">
        <w:rPr>
          <w:lang w:val="en-US"/>
        </w:rPr>
        <w:t>,</w:t>
      </w:r>
      <w:r w:rsidR="0078694F" w:rsidRPr="00954547">
        <w:rPr>
          <w:lang w:val="en-US"/>
        </w:rPr>
        <w:t xml:space="preserve"> </w:t>
      </w:r>
      <w:r w:rsidR="00432436" w:rsidRPr="00954547">
        <w:rPr>
          <w:lang w:val="en-US"/>
        </w:rPr>
        <w:t>the right not to be compe</w:t>
      </w:r>
      <w:r w:rsidR="006F08C3" w:rsidRPr="00954547">
        <w:rPr>
          <w:lang w:val="en-US"/>
        </w:rPr>
        <w:t>ll</w:t>
      </w:r>
      <w:r w:rsidR="00432436" w:rsidRPr="00954547">
        <w:rPr>
          <w:lang w:val="en-US"/>
        </w:rPr>
        <w:t xml:space="preserve">ed to be a witness against himself </w:t>
      </w:r>
      <w:r w:rsidR="00DD7DBE" w:rsidRPr="00954547">
        <w:rPr>
          <w:lang w:val="en-US"/>
        </w:rPr>
        <w:t>(</w:t>
      </w:r>
      <w:r w:rsidR="00A17F8C" w:rsidRPr="00954547">
        <w:rPr>
          <w:lang w:val="en-US"/>
        </w:rPr>
        <w:t>Article</w:t>
      </w:r>
      <w:r w:rsidR="00DD7DBE" w:rsidRPr="00954547">
        <w:rPr>
          <w:lang w:val="en-US"/>
        </w:rPr>
        <w:t xml:space="preserve"> 8</w:t>
      </w:r>
      <w:r w:rsidR="00432436" w:rsidRPr="00954547">
        <w:rPr>
          <w:lang w:val="en-US"/>
        </w:rPr>
        <w:t>(</w:t>
      </w:r>
      <w:r w:rsidR="00DD7DBE" w:rsidRPr="00954547">
        <w:rPr>
          <w:lang w:val="en-US"/>
        </w:rPr>
        <w:t>2</w:t>
      </w:r>
      <w:r w:rsidR="00432436" w:rsidRPr="00954547">
        <w:rPr>
          <w:lang w:val="en-US"/>
        </w:rPr>
        <w:t>)(</w:t>
      </w:r>
      <w:r w:rsidR="00DD7DBE" w:rsidRPr="00954547">
        <w:rPr>
          <w:lang w:val="en-US"/>
        </w:rPr>
        <w:t>g</w:t>
      </w:r>
      <w:r w:rsidR="00432436" w:rsidRPr="00954547">
        <w:rPr>
          <w:lang w:val="en-US"/>
        </w:rPr>
        <w:t>)</w:t>
      </w:r>
      <w:r w:rsidR="00DD7DBE" w:rsidRPr="00954547">
        <w:rPr>
          <w:lang w:val="en-US"/>
        </w:rPr>
        <w:t xml:space="preserve">) </w:t>
      </w:r>
      <w:r w:rsidR="00E34055" w:rsidRPr="00954547">
        <w:rPr>
          <w:lang w:val="en-US"/>
        </w:rPr>
        <w:t>and</w:t>
      </w:r>
      <w:r w:rsidR="00432436" w:rsidRPr="00954547">
        <w:rPr>
          <w:lang w:val="en-US"/>
        </w:rPr>
        <w:t xml:space="preserve"> the conditions under which a confession may be valid</w:t>
      </w:r>
      <w:r w:rsidR="00DD7DBE" w:rsidRPr="00954547">
        <w:rPr>
          <w:lang w:val="en-US"/>
        </w:rPr>
        <w:t xml:space="preserve"> (</w:t>
      </w:r>
      <w:r w:rsidR="00A17F8C" w:rsidRPr="00954547">
        <w:rPr>
          <w:lang w:val="en-US"/>
        </w:rPr>
        <w:t>Article</w:t>
      </w:r>
      <w:r w:rsidR="00DD7DBE" w:rsidRPr="00954547">
        <w:rPr>
          <w:lang w:val="en-US"/>
        </w:rPr>
        <w:t xml:space="preserve"> 8</w:t>
      </w:r>
      <w:r w:rsidR="00432436" w:rsidRPr="00954547">
        <w:rPr>
          <w:lang w:val="en-US"/>
        </w:rPr>
        <w:t>(</w:t>
      </w:r>
      <w:r w:rsidR="00DD7DBE" w:rsidRPr="00954547">
        <w:rPr>
          <w:lang w:val="en-US"/>
        </w:rPr>
        <w:t>3</w:t>
      </w:r>
      <w:r w:rsidR="00432436" w:rsidRPr="00954547">
        <w:rPr>
          <w:lang w:val="en-US"/>
        </w:rPr>
        <w:t>)</w:t>
      </w:r>
      <w:r w:rsidR="00DD7DBE" w:rsidRPr="00954547">
        <w:rPr>
          <w:lang w:val="en-US"/>
        </w:rPr>
        <w:t>)</w:t>
      </w:r>
      <w:r w:rsidR="00CE421C" w:rsidRPr="00954547">
        <w:rPr>
          <w:lang w:val="en-US"/>
        </w:rPr>
        <w:t xml:space="preserve"> – and also </w:t>
      </w:r>
      <w:r w:rsidR="00E34055" w:rsidRPr="00954547">
        <w:rPr>
          <w:lang w:val="en-US"/>
        </w:rPr>
        <w:t>to a</w:t>
      </w:r>
      <w:r w:rsidR="00CE421C" w:rsidRPr="00954547">
        <w:rPr>
          <w:lang w:val="en-US"/>
        </w:rPr>
        <w:t xml:space="preserve"> professional defense, as described below.</w:t>
      </w:r>
      <w:r w:rsidR="00D2520A" w:rsidRPr="00954547">
        <w:rPr>
          <w:rStyle w:val="FootnoteReference"/>
          <w:lang w:val="en-US"/>
        </w:rPr>
        <w:footnoteReference w:id="218"/>
      </w:r>
    </w:p>
    <w:p w14:paraId="148B1CB5" w14:textId="1CE16927" w:rsidR="009E3AAD" w:rsidRPr="00954547" w:rsidRDefault="00CE421C" w:rsidP="005D1BEE">
      <w:pPr>
        <w:pStyle w:val="Numberedparagraphs"/>
        <w:tabs>
          <w:tab w:val="left" w:pos="567"/>
        </w:tabs>
        <w:rPr>
          <w:b/>
          <w:lang w:val="en-US"/>
        </w:rPr>
      </w:pPr>
      <w:r w:rsidRPr="00954547">
        <w:rPr>
          <w:rFonts w:eastAsia="Batang" w:cs="Times"/>
          <w:noProof/>
          <w:szCs w:val="24"/>
          <w:lang w:val="en-US"/>
        </w:rPr>
        <w:t xml:space="preserve">The Convention regulates the guarantees for </w:t>
      </w:r>
      <w:r w:rsidR="00E34055" w:rsidRPr="00954547">
        <w:rPr>
          <w:rFonts w:eastAsia="Batang" w:cs="Times"/>
          <w:noProof/>
          <w:szCs w:val="24"/>
          <w:lang w:val="en-US"/>
        </w:rPr>
        <w:t xml:space="preserve">a </w:t>
      </w:r>
      <w:r w:rsidRPr="00954547">
        <w:rPr>
          <w:rFonts w:eastAsia="Batang" w:cs="Times"/>
          <w:noProof/>
          <w:szCs w:val="24"/>
          <w:lang w:val="en-US"/>
        </w:rPr>
        <w:t xml:space="preserve">professional defense, such as the right to be assisted by legal counsel </w:t>
      </w:r>
      <w:r w:rsidR="009E3AAD" w:rsidRPr="00954547">
        <w:rPr>
          <w:rFonts w:eastAsia="Batang" w:cs="Times"/>
          <w:noProof/>
          <w:szCs w:val="24"/>
          <w:lang w:val="en-US"/>
        </w:rPr>
        <w:t>(</w:t>
      </w:r>
      <w:r w:rsidR="00A17F8C" w:rsidRPr="00954547">
        <w:rPr>
          <w:rFonts w:eastAsia="Batang" w:cs="Times"/>
          <w:noProof/>
          <w:szCs w:val="24"/>
          <w:lang w:val="en-US"/>
        </w:rPr>
        <w:t>Article</w:t>
      </w:r>
      <w:r w:rsidR="009E3AAD" w:rsidRPr="00954547">
        <w:rPr>
          <w:rFonts w:eastAsia="Batang" w:cs="Times"/>
          <w:noProof/>
          <w:szCs w:val="24"/>
          <w:lang w:val="en-US"/>
        </w:rPr>
        <w:t xml:space="preserve"> </w:t>
      </w:r>
      <w:r w:rsidRPr="00954547">
        <w:rPr>
          <w:rFonts w:eastAsia="Batang" w:cs="Times"/>
          <w:noProof/>
          <w:szCs w:val="24"/>
          <w:lang w:val="en-US"/>
        </w:rPr>
        <w:t>8(2)(d)</w:t>
      </w:r>
      <w:r w:rsidR="0078694F" w:rsidRPr="00954547">
        <w:rPr>
          <w:rFonts w:eastAsia="Batang" w:cs="Times"/>
          <w:noProof/>
          <w:szCs w:val="24"/>
          <w:lang w:val="en-US"/>
        </w:rPr>
        <w:t xml:space="preserve"> and </w:t>
      </w:r>
      <w:r w:rsidRPr="00954547">
        <w:rPr>
          <w:rFonts w:eastAsia="Batang" w:cs="Times"/>
          <w:noProof/>
          <w:szCs w:val="24"/>
          <w:lang w:val="en-US"/>
        </w:rPr>
        <w:t>(</w:t>
      </w:r>
      <w:r w:rsidR="009E3AAD" w:rsidRPr="00954547">
        <w:rPr>
          <w:rFonts w:eastAsia="Batang" w:cs="Times"/>
          <w:noProof/>
          <w:szCs w:val="24"/>
          <w:lang w:val="en-US"/>
        </w:rPr>
        <w:t>e</w:t>
      </w:r>
      <w:r w:rsidRPr="00954547">
        <w:rPr>
          <w:rFonts w:eastAsia="Batang" w:cs="Times"/>
          <w:noProof/>
          <w:szCs w:val="24"/>
          <w:lang w:val="en-US"/>
        </w:rPr>
        <w:t>)</w:t>
      </w:r>
      <w:r w:rsidR="009E3AAD" w:rsidRPr="00954547">
        <w:rPr>
          <w:rFonts w:eastAsia="Batang" w:cs="Times"/>
          <w:noProof/>
          <w:szCs w:val="24"/>
          <w:lang w:val="en-US"/>
        </w:rPr>
        <w:t xml:space="preserve">). </w:t>
      </w:r>
      <w:r w:rsidRPr="00954547">
        <w:rPr>
          <w:rFonts w:eastAsia="Batang" w:cs="Times"/>
          <w:noProof/>
          <w:szCs w:val="24"/>
          <w:lang w:val="en-US"/>
        </w:rPr>
        <w:t xml:space="preserve">This right is violated when it is not ensured that the legal counsel is able to take part and assist the accused in the </w:t>
      </w:r>
      <w:r w:rsidR="00E34055" w:rsidRPr="00954547">
        <w:rPr>
          <w:rFonts w:eastAsia="Batang" w:cs="Times"/>
          <w:noProof/>
          <w:szCs w:val="24"/>
          <w:lang w:val="en-US"/>
        </w:rPr>
        <w:t>principal</w:t>
      </w:r>
      <w:r w:rsidRPr="00954547">
        <w:rPr>
          <w:rFonts w:eastAsia="Batang" w:cs="Times"/>
          <w:noProof/>
          <w:szCs w:val="24"/>
          <w:lang w:val="en-US"/>
        </w:rPr>
        <w:t xml:space="preserve"> acts of the proceedings</w:t>
      </w:r>
      <w:r w:rsidR="005D1BEE" w:rsidRPr="00954547">
        <w:rPr>
          <w:rFonts w:eastAsia="Batang" w:cs="Times"/>
          <w:noProof/>
          <w:szCs w:val="24"/>
          <w:lang w:val="en-US"/>
        </w:rPr>
        <w:t>; for example, if the defendant’s statement is received without the assistance of his/her defense counsel.</w:t>
      </w:r>
      <w:r w:rsidR="009E3AAD" w:rsidRPr="00954547">
        <w:rPr>
          <w:rFonts w:eastAsia="Batang" w:cs="Times New Roman"/>
          <w:vertAlign w:val="superscript"/>
          <w:lang w:val="en-US"/>
        </w:rPr>
        <w:footnoteReference w:id="219"/>
      </w:r>
      <w:r w:rsidR="009E3AAD" w:rsidRPr="00954547">
        <w:rPr>
          <w:rFonts w:eastAsia="Batang" w:cs="Times"/>
          <w:noProof/>
          <w:szCs w:val="24"/>
          <w:lang w:val="en-US"/>
        </w:rPr>
        <w:t xml:space="preserve"> </w:t>
      </w:r>
    </w:p>
    <w:p w14:paraId="37D900CE" w14:textId="05F57B7D" w:rsidR="009E3AAD" w:rsidRPr="00954547" w:rsidRDefault="005D1BEE" w:rsidP="00273958">
      <w:pPr>
        <w:pStyle w:val="Numberedparagraphs"/>
        <w:tabs>
          <w:tab w:val="left" w:pos="567"/>
        </w:tabs>
        <w:rPr>
          <w:b/>
          <w:lang w:val="en-US"/>
        </w:rPr>
      </w:pPr>
      <w:r w:rsidRPr="00954547">
        <w:rPr>
          <w:lang w:val="en-US"/>
        </w:rPr>
        <w:t xml:space="preserve">Although the </w:t>
      </w:r>
      <w:r w:rsidR="00E34055" w:rsidRPr="00954547">
        <w:rPr>
          <w:lang w:val="en-US"/>
        </w:rPr>
        <w:t>law</w:t>
      </w:r>
      <w:r w:rsidRPr="00954547">
        <w:rPr>
          <w:lang w:val="en-US"/>
        </w:rPr>
        <w:t xml:space="preserve"> includes different alternatives for mechanisms t</w:t>
      </w:r>
      <w:r w:rsidR="00E34055" w:rsidRPr="00954547">
        <w:rPr>
          <w:lang w:val="en-US"/>
        </w:rPr>
        <w:t>o</w:t>
      </w:r>
      <w:r w:rsidRPr="00954547">
        <w:rPr>
          <w:lang w:val="en-US"/>
        </w:rPr>
        <w:t xml:space="preserve"> ensure this right, when the individual who requires legal assistance </w:t>
      </w:r>
      <w:r w:rsidR="00EB1814" w:rsidRPr="00954547">
        <w:rPr>
          <w:lang w:val="en-US"/>
        </w:rPr>
        <w:t>has no resources, this must necessarily be provided by the State free of charge.</w:t>
      </w:r>
      <w:r w:rsidR="009E3AAD" w:rsidRPr="00954547">
        <w:rPr>
          <w:vertAlign w:val="superscript"/>
          <w:lang w:val="en-US"/>
        </w:rPr>
        <w:footnoteReference w:id="220"/>
      </w:r>
      <w:r w:rsidR="00EB1814" w:rsidRPr="00954547">
        <w:rPr>
          <w:lang w:val="en-US"/>
        </w:rPr>
        <w:t xml:space="preserve"> However, the Court has considered that the appointment of a public defender merely to comply with a procedural formality is tantamount to not having a professional defense, so that it is imperative that this defense counsel acts diligently</w:t>
      </w:r>
      <w:r w:rsidR="009E3AAD" w:rsidRPr="00954547">
        <w:rPr>
          <w:lang w:val="en-US"/>
        </w:rPr>
        <w:t xml:space="preserve"> </w:t>
      </w:r>
      <w:r w:rsidR="00EB1814" w:rsidRPr="00954547">
        <w:rPr>
          <w:lang w:val="en-US"/>
        </w:rPr>
        <w:t>in order to protect the procedural guarantees of the accused and thus avoid a violation of their rights</w:t>
      </w:r>
      <w:r w:rsidR="009E3AAD" w:rsidRPr="00954547">
        <w:rPr>
          <w:vertAlign w:val="superscript"/>
          <w:lang w:val="en-US"/>
        </w:rPr>
        <w:footnoteReference w:id="221"/>
      </w:r>
      <w:r w:rsidR="0078694F" w:rsidRPr="00954547">
        <w:rPr>
          <w:lang w:val="en-US"/>
        </w:rPr>
        <w:t xml:space="preserve"> and </w:t>
      </w:r>
      <w:r w:rsidR="00EB1814" w:rsidRPr="00954547">
        <w:rPr>
          <w:lang w:val="en-US"/>
        </w:rPr>
        <w:t xml:space="preserve">a breakdown in the relationship of trust. To this end, the institution of public defense, as the means by which the State ensures the essential right of every person accused of an offense to be assisted by </w:t>
      </w:r>
      <w:r w:rsidR="00273958" w:rsidRPr="00954547">
        <w:rPr>
          <w:lang w:val="en-US"/>
        </w:rPr>
        <w:t>defense counsel, must have sufficient guarantees to ensure its effective action with “equality of arms” with the prosecution. The Court has recognized that, to comply with this obligation, the State must take all appropriate measures,</w:t>
      </w:r>
      <w:r w:rsidR="009E3AAD" w:rsidRPr="00954547">
        <w:rPr>
          <w:rStyle w:val="FootnoteReference"/>
          <w:lang w:val="en-US"/>
        </w:rPr>
        <w:footnoteReference w:id="222"/>
      </w:r>
      <w:r w:rsidR="00273958" w:rsidRPr="00954547">
        <w:rPr>
          <w:lang w:val="en-US"/>
        </w:rPr>
        <w:t xml:space="preserve"> including having suitable and qualified defenders who are able to act with functional autonomy.</w:t>
      </w:r>
    </w:p>
    <w:p w14:paraId="1B00A964" w14:textId="2D61DA60" w:rsidR="009E3AAD" w:rsidRPr="00954547" w:rsidRDefault="00015F7C" w:rsidP="00C80980">
      <w:pPr>
        <w:pStyle w:val="Numberedparagraphs"/>
        <w:tabs>
          <w:tab w:val="left" w:pos="567"/>
        </w:tabs>
        <w:rPr>
          <w:b/>
          <w:lang w:val="en-US"/>
        </w:rPr>
      </w:pPr>
      <w:r w:rsidRPr="00954547">
        <w:rPr>
          <w:lang w:val="en-US"/>
        </w:rPr>
        <w:t>In El Salvador</w:t>
      </w:r>
      <w:r w:rsidR="009E3AAD" w:rsidRPr="00954547">
        <w:rPr>
          <w:lang w:val="en-US"/>
        </w:rPr>
        <w:t xml:space="preserve">, </w:t>
      </w:r>
      <w:r w:rsidR="00AC6D29" w:rsidRPr="00954547">
        <w:rPr>
          <w:lang w:val="en-US"/>
        </w:rPr>
        <w:t xml:space="preserve">the constitutional mandate to ensure to “[a]nyone who is accused of an offense, </w:t>
      </w:r>
      <w:r w:rsidR="009E3AAD" w:rsidRPr="00954547">
        <w:rPr>
          <w:lang w:val="en-US"/>
        </w:rPr>
        <w:t xml:space="preserve">[…] </w:t>
      </w:r>
      <w:r w:rsidR="00AC6D29" w:rsidRPr="00954547">
        <w:rPr>
          <w:lang w:val="en-US"/>
        </w:rPr>
        <w:t>all the guarantees necessary for their defense</w:t>
      </w:r>
      <w:r w:rsidR="009E3AAD" w:rsidRPr="00954547">
        <w:rPr>
          <w:lang w:val="en-US"/>
        </w:rPr>
        <w:t>”</w:t>
      </w:r>
      <w:r w:rsidR="009E3AAD" w:rsidRPr="00954547">
        <w:rPr>
          <w:vertAlign w:val="superscript"/>
          <w:lang w:val="en-US"/>
        </w:rPr>
        <w:footnoteReference w:id="223"/>
      </w:r>
      <w:r w:rsidR="009E3AAD" w:rsidRPr="00954547">
        <w:rPr>
          <w:i/>
          <w:lang w:val="en-US"/>
        </w:rPr>
        <w:t xml:space="preserve"> </w:t>
      </w:r>
      <w:r w:rsidR="00AC6D29" w:rsidRPr="00954547">
        <w:rPr>
          <w:lang w:val="en-US"/>
        </w:rPr>
        <w:t>is implemented by means of the professional assistance provided by the Public Def</w:t>
      </w:r>
      <w:r w:rsidR="009E3AAD" w:rsidRPr="00954547">
        <w:rPr>
          <w:lang w:val="en-US"/>
        </w:rPr>
        <w:t>e</w:t>
      </w:r>
      <w:r w:rsidR="00AC6D29" w:rsidRPr="00954547">
        <w:rPr>
          <w:lang w:val="en-US"/>
        </w:rPr>
        <w:t>nders’ Unit.</w:t>
      </w:r>
      <w:r w:rsidR="009E3AAD" w:rsidRPr="00954547">
        <w:rPr>
          <w:vertAlign w:val="superscript"/>
          <w:lang w:val="en-US"/>
        </w:rPr>
        <w:footnoteReference w:id="224"/>
      </w:r>
      <w:r w:rsidR="009E3AAD" w:rsidRPr="00954547">
        <w:rPr>
          <w:lang w:val="en-US"/>
        </w:rPr>
        <w:t xml:space="preserve"> </w:t>
      </w:r>
      <w:r w:rsidR="00AC6D29" w:rsidRPr="00954547">
        <w:rPr>
          <w:lang w:val="en-US"/>
        </w:rPr>
        <w:t>The Public Defenders’ Unit</w:t>
      </w:r>
      <w:r w:rsidR="009E3AAD" w:rsidRPr="00954547">
        <w:rPr>
          <w:lang w:val="en-US"/>
        </w:rPr>
        <w:t xml:space="preserve"> </w:t>
      </w:r>
      <w:r w:rsidR="00AC6D29" w:rsidRPr="00954547">
        <w:rPr>
          <w:lang w:val="en-US"/>
        </w:rPr>
        <w:t>is part of the Office of the Attorney General and can be considered an organ of the State; therefore, its actions should be considered acts of the State i</w:t>
      </w:r>
      <w:r w:rsidR="00C80980" w:rsidRPr="00954547">
        <w:rPr>
          <w:lang w:val="en-US"/>
        </w:rPr>
        <w:t>n the sense accorded to this by the articles on Responsibility of States for Internationally Wrongful Acts drawn up by the International Law Commission.</w:t>
      </w:r>
      <w:r w:rsidR="009E3AAD" w:rsidRPr="00954547">
        <w:rPr>
          <w:vertAlign w:val="superscript"/>
          <w:lang w:val="en-US"/>
        </w:rPr>
        <w:footnoteReference w:id="225"/>
      </w:r>
    </w:p>
    <w:p w14:paraId="5DEBB846" w14:textId="30A4213F" w:rsidR="00EA5A9D" w:rsidRPr="00954547" w:rsidRDefault="00E76B1A" w:rsidP="00176089">
      <w:pPr>
        <w:pStyle w:val="Numberedparagraphs"/>
        <w:tabs>
          <w:tab w:val="left" w:pos="567"/>
        </w:tabs>
        <w:rPr>
          <w:b/>
          <w:lang w:val="en-US"/>
        </w:rPr>
      </w:pPr>
      <w:r w:rsidRPr="00954547">
        <w:rPr>
          <w:lang w:val="en-US"/>
        </w:rPr>
        <w:t>The Court</w:t>
      </w:r>
      <w:r w:rsidR="009E3AAD" w:rsidRPr="00954547">
        <w:rPr>
          <w:lang w:val="en-US"/>
        </w:rPr>
        <w:t xml:space="preserve"> not</w:t>
      </w:r>
      <w:r w:rsidR="00BC02A0" w:rsidRPr="00954547">
        <w:rPr>
          <w:lang w:val="en-US"/>
        </w:rPr>
        <w:t>es that public defenders conducted Manuela’s defense during the criminal proceedings, which concluded with the delivery of a g</w:t>
      </w:r>
      <w:r w:rsidR="003212CD" w:rsidRPr="00954547">
        <w:rPr>
          <w:lang w:val="en-US"/>
        </w:rPr>
        <w:t>uilty verdict</w:t>
      </w:r>
      <w:r w:rsidR="009E3AAD" w:rsidRPr="00954547">
        <w:rPr>
          <w:lang w:val="en-US"/>
        </w:rPr>
        <w:t xml:space="preserve">. </w:t>
      </w:r>
      <w:r w:rsidR="00BC02A0" w:rsidRPr="00954547">
        <w:rPr>
          <w:lang w:val="en-US"/>
        </w:rPr>
        <w:t xml:space="preserve">Even though public defense corresponds to a State function or public service, in all cases public defenders should have the necessary autonomy to exercise their </w:t>
      </w:r>
      <w:r w:rsidR="007D6F44" w:rsidRPr="00954547">
        <w:rPr>
          <w:lang w:val="en-US"/>
        </w:rPr>
        <w:t>advisory</w:t>
      </w:r>
      <w:r w:rsidR="00BC02A0" w:rsidRPr="00954547">
        <w:rPr>
          <w:lang w:val="en-US"/>
        </w:rPr>
        <w:t xml:space="preserve"> functions in accordance with their best professional criteria and based on the</w:t>
      </w:r>
      <w:r w:rsidR="007D6F44" w:rsidRPr="00954547">
        <w:rPr>
          <w:lang w:val="en-US"/>
        </w:rPr>
        <w:t xml:space="preserve"> defendant’s</w:t>
      </w:r>
      <w:r w:rsidR="00BC02A0" w:rsidRPr="00954547">
        <w:rPr>
          <w:lang w:val="en-US"/>
        </w:rPr>
        <w:t xml:space="preserve"> interests. Therefore, the Court finds that the State cannot be considered responsible for all the </w:t>
      </w:r>
      <w:r w:rsidR="00176089" w:rsidRPr="00954547">
        <w:rPr>
          <w:lang w:val="en-US"/>
        </w:rPr>
        <w:t>failings of the public defender, given the independence of the profession and the professional criteria of the defense lawyer.</w:t>
      </w:r>
      <w:r w:rsidR="003E74E8" w:rsidRPr="00954547">
        <w:rPr>
          <w:rStyle w:val="FootnoteReference"/>
          <w:lang w:val="en-US"/>
        </w:rPr>
        <w:footnoteReference w:id="226"/>
      </w:r>
    </w:p>
    <w:p w14:paraId="673C5BAD" w14:textId="187194FB" w:rsidR="00EA5A9D" w:rsidRPr="00954547" w:rsidRDefault="00176089" w:rsidP="00474AFD">
      <w:pPr>
        <w:pStyle w:val="Numberedparagraphs"/>
        <w:tabs>
          <w:tab w:val="left" w:pos="567"/>
        </w:tabs>
        <w:rPr>
          <w:b/>
          <w:lang w:val="en-US"/>
        </w:rPr>
      </w:pPr>
      <w:r w:rsidRPr="00954547">
        <w:rPr>
          <w:lang w:val="en-US"/>
        </w:rPr>
        <w:t xml:space="preserve">Taking this into account, the Court has considered that, in order to analyze whether the State has possibly violated the </w:t>
      </w:r>
      <w:r w:rsidR="00D4015D" w:rsidRPr="00954547">
        <w:rPr>
          <w:lang w:val="en-US"/>
        </w:rPr>
        <w:t>right to defense</w:t>
      </w:r>
      <w:r w:rsidRPr="00954547">
        <w:rPr>
          <w:lang w:val="en-US"/>
        </w:rPr>
        <w:t xml:space="preserve">, it has to assess whether the act or omission of the public defender constituted inexcusable negligence or an evident </w:t>
      </w:r>
      <w:r w:rsidR="007D6F44" w:rsidRPr="00954547">
        <w:rPr>
          <w:lang w:val="en-US"/>
        </w:rPr>
        <w:t>shortcoming</w:t>
      </w:r>
      <w:r w:rsidRPr="00954547">
        <w:rPr>
          <w:lang w:val="en-US"/>
        </w:rPr>
        <w:t xml:space="preserve"> in the exercise of the defense that had, or could have had</w:t>
      </w:r>
      <w:r w:rsidR="007D6F44" w:rsidRPr="00954547">
        <w:rPr>
          <w:lang w:val="en-US"/>
        </w:rPr>
        <w:t>,</w:t>
      </w:r>
      <w:r w:rsidRPr="00954547">
        <w:rPr>
          <w:lang w:val="en-US"/>
        </w:rPr>
        <w:t xml:space="preserve"> a decisive negative impact on the interests of the defendant. A </w:t>
      </w:r>
      <w:r w:rsidR="00474AFD" w:rsidRPr="00954547">
        <w:rPr>
          <w:lang w:val="en-US"/>
        </w:rPr>
        <w:t>non-</w:t>
      </w:r>
      <w:r w:rsidRPr="00954547">
        <w:rPr>
          <w:lang w:val="en-US"/>
        </w:rPr>
        <w:t xml:space="preserve">crucial discrepancy with the defense strategy or with the result </w:t>
      </w:r>
      <w:r w:rsidR="00474AFD" w:rsidRPr="00954547">
        <w:rPr>
          <w:lang w:val="en-US"/>
        </w:rPr>
        <w:t xml:space="preserve">of a trial will not be sufficient to have </w:t>
      </w:r>
      <w:r w:rsidR="007D6F44" w:rsidRPr="00954547">
        <w:rPr>
          <w:lang w:val="en-US"/>
        </w:rPr>
        <w:t>an impact</w:t>
      </w:r>
      <w:r w:rsidR="00474AFD" w:rsidRPr="00954547">
        <w:rPr>
          <w:lang w:val="en-US"/>
        </w:rPr>
        <w:t xml:space="preserve"> on the </w:t>
      </w:r>
      <w:r w:rsidR="00D4015D" w:rsidRPr="00954547">
        <w:rPr>
          <w:lang w:val="en-US"/>
        </w:rPr>
        <w:t>right to defense</w:t>
      </w:r>
      <w:r w:rsidR="00474AFD" w:rsidRPr="00954547">
        <w:rPr>
          <w:lang w:val="en-US"/>
        </w:rPr>
        <w:t>.</w:t>
      </w:r>
      <w:r w:rsidR="00EA5A9D" w:rsidRPr="00954547">
        <w:rPr>
          <w:rStyle w:val="FootnoteReference"/>
          <w:lang w:val="en-US"/>
        </w:rPr>
        <w:footnoteReference w:id="227"/>
      </w:r>
      <w:r w:rsidR="003F2049" w:rsidRPr="00954547">
        <w:rPr>
          <w:lang w:val="en-US"/>
        </w:rPr>
        <w:t xml:space="preserve"> </w:t>
      </w:r>
    </w:p>
    <w:p w14:paraId="1BB2EE8D" w14:textId="0D6EDF1B" w:rsidR="00084270" w:rsidRPr="00954547" w:rsidRDefault="00474AFD" w:rsidP="00084270">
      <w:pPr>
        <w:pStyle w:val="Numberedparagraphs"/>
        <w:tabs>
          <w:tab w:val="left" w:pos="567"/>
        </w:tabs>
        <w:rPr>
          <w:lang w:val="en-US"/>
        </w:rPr>
      </w:pPr>
      <w:r w:rsidRPr="00954547">
        <w:rPr>
          <w:lang w:val="en-US"/>
        </w:rPr>
        <w:t xml:space="preserve">In the instant case, when making a comprehensive assessment of the actions of the public defender, </w:t>
      </w:r>
      <w:r w:rsidR="00E76B1A" w:rsidRPr="00954547">
        <w:rPr>
          <w:lang w:val="en-US"/>
        </w:rPr>
        <w:t>the Court</w:t>
      </w:r>
      <w:r w:rsidR="009E3AAD" w:rsidRPr="00954547">
        <w:rPr>
          <w:lang w:val="en-US"/>
        </w:rPr>
        <w:t xml:space="preserve"> verifi</w:t>
      </w:r>
      <w:r w:rsidRPr="00954547">
        <w:rPr>
          <w:lang w:val="en-US"/>
        </w:rPr>
        <w:t>ed, first, that the public defender asked to be substituted thirty minutes before the preliminary hearing because he had another hearing in a different court.</w:t>
      </w:r>
      <w:r w:rsidR="004E54D4" w:rsidRPr="00954547">
        <w:rPr>
          <w:rStyle w:val="FootnoteReference"/>
          <w:lang w:val="en-US"/>
        </w:rPr>
        <w:footnoteReference w:id="228"/>
      </w:r>
      <w:r w:rsidRPr="00954547">
        <w:rPr>
          <w:lang w:val="en-US"/>
        </w:rPr>
        <w:t xml:space="preserve"> </w:t>
      </w:r>
      <w:r w:rsidR="00BA4784" w:rsidRPr="00954547">
        <w:rPr>
          <w:lang w:val="en-US"/>
        </w:rPr>
        <w:t>The Code of Criminal Procedure</w:t>
      </w:r>
      <w:r w:rsidR="009E6B43" w:rsidRPr="00954547">
        <w:rPr>
          <w:lang w:val="en-US"/>
        </w:rPr>
        <w:t xml:space="preserve"> of El </w:t>
      </w:r>
      <w:r w:rsidR="00BF495B" w:rsidRPr="00954547">
        <w:rPr>
          <w:lang w:val="en-US"/>
        </w:rPr>
        <w:t xml:space="preserve">Salvador </w:t>
      </w:r>
      <w:r w:rsidRPr="00954547">
        <w:rPr>
          <w:lang w:val="en-US"/>
        </w:rPr>
        <w:t>in force at the time of the facts established that, during the preliminary hearing, the evidence offered by the parties was produced and they were given time to substantiate their claims.</w:t>
      </w:r>
      <w:r w:rsidR="00BF495B" w:rsidRPr="00954547">
        <w:rPr>
          <w:vertAlign w:val="superscript"/>
          <w:lang w:val="en-US"/>
        </w:rPr>
        <w:footnoteReference w:id="229"/>
      </w:r>
      <w:r w:rsidRPr="00954547">
        <w:rPr>
          <w:lang w:val="en-US"/>
        </w:rPr>
        <w:t xml:space="preserve"> Following the preliminary hearing, the judge could order, </w:t>
      </w:r>
      <w:r w:rsidRPr="00954547">
        <w:rPr>
          <w:i/>
          <w:iCs/>
          <w:lang w:val="en-US"/>
        </w:rPr>
        <w:t>inter alia</w:t>
      </w:r>
      <w:r w:rsidRPr="00954547">
        <w:rPr>
          <w:lang w:val="en-US"/>
        </w:rPr>
        <w:t>, th</w:t>
      </w:r>
      <w:r w:rsidR="00D10540" w:rsidRPr="00954547">
        <w:rPr>
          <w:lang w:val="en-US"/>
        </w:rPr>
        <w:t>at the accused be sent to trial, a stay of proceedings, or the application of</w:t>
      </w:r>
      <w:r w:rsidR="00D93CAB" w:rsidRPr="00954547">
        <w:rPr>
          <w:lang w:val="en-US"/>
        </w:rPr>
        <w:t xml:space="preserve"> prosecutorial discretion.</w:t>
      </w:r>
      <w:r w:rsidR="00BF495B" w:rsidRPr="00954547">
        <w:rPr>
          <w:vertAlign w:val="superscript"/>
          <w:lang w:val="en-US"/>
        </w:rPr>
        <w:footnoteReference w:id="230"/>
      </w:r>
      <w:r w:rsidR="00D10540" w:rsidRPr="00954547">
        <w:rPr>
          <w:lang w:val="en-US"/>
        </w:rPr>
        <w:t xml:space="preserve"> This Court notes that, during the preliminary hearing of th</w:t>
      </w:r>
      <w:r w:rsidR="00D93CAB" w:rsidRPr="00954547">
        <w:rPr>
          <w:lang w:val="en-US"/>
        </w:rPr>
        <w:t>e</w:t>
      </w:r>
      <w:r w:rsidR="00D10540" w:rsidRPr="00954547">
        <w:rPr>
          <w:lang w:val="en-US"/>
        </w:rPr>
        <w:t xml:space="preserve"> case, the professional defender only presented </w:t>
      </w:r>
      <w:r w:rsidR="00B8393C" w:rsidRPr="00954547">
        <w:rPr>
          <w:lang w:val="en-US"/>
        </w:rPr>
        <w:t>arguments</w:t>
      </w:r>
      <w:r w:rsidR="00BF5FE0" w:rsidRPr="00954547">
        <w:rPr>
          <w:lang w:val="en-US"/>
        </w:rPr>
        <w:t xml:space="preserve"> </w:t>
      </w:r>
      <w:r w:rsidR="00D10540" w:rsidRPr="00954547">
        <w:rPr>
          <w:lang w:val="en-US"/>
        </w:rPr>
        <w:t xml:space="preserve">concerning a formal error in the statements offered by the prosecution. </w:t>
      </w:r>
      <w:r w:rsidR="00084270" w:rsidRPr="00954547">
        <w:rPr>
          <w:lang w:val="en-US"/>
        </w:rPr>
        <w:t>Contrary to the prosecution, the defense did not mention Manuela’s supposed criminal responsibility in his arguments or, for example, request a stay of proceedings.</w:t>
      </w:r>
      <w:r w:rsidR="00A337C3" w:rsidRPr="00954547">
        <w:rPr>
          <w:rStyle w:val="FootnoteReference"/>
          <w:lang w:val="en-US"/>
        </w:rPr>
        <w:footnoteReference w:id="231"/>
      </w:r>
      <w:r w:rsidR="00084270" w:rsidRPr="00954547">
        <w:rPr>
          <w:lang w:val="en-US"/>
        </w:rPr>
        <w:t xml:space="preserve"> Consequently, during the preliminary hearing, the professional defense of Manuela was inadequate, and this could have been the result of the substitute of Manuela’s defense counsel a mere 30 minutes before the start of that hearing, and the consequent absence of communication between the defender and the defendant in such a short period of time.</w:t>
      </w:r>
    </w:p>
    <w:p w14:paraId="05186C51" w14:textId="40F3AB77" w:rsidR="0014594F" w:rsidRPr="00954547" w:rsidRDefault="00084270" w:rsidP="009A2139">
      <w:pPr>
        <w:pStyle w:val="Numberedparagraphs"/>
        <w:tabs>
          <w:tab w:val="left" w:pos="567"/>
        </w:tabs>
        <w:rPr>
          <w:lang w:val="en-US"/>
        </w:rPr>
      </w:pPr>
      <w:r w:rsidRPr="00954547">
        <w:rPr>
          <w:lang w:val="en-US"/>
        </w:rPr>
        <w:t>Second, th</w:t>
      </w:r>
      <w:r w:rsidR="00EE0B34" w:rsidRPr="00954547">
        <w:rPr>
          <w:lang w:val="en-US"/>
        </w:rPr>
        <w:t>e</w:t>
      </w:r>
      <w:r w:rsidRPr="00954547">
        <w:rPr>
          <w:lang w:val="en-US"/>
        </w:rPr>
        <w:t xml:space="preserve"> Court emphasizes that the only evidence offered by the defense was the testimony of </w:t>
      </w:r>
      <w:r w:rsidR="00FF2DDD" w:rsidRPr="00954547">
        <w:rPr>
          <w:lang w:val="en-US"/>
        </w:rPr>
        <w:t>Manuela’s mother</w:t>
      </w:r>
      <w:r w:rsidR="007511DA" w:rsidRPr="00954547">
        <w:rPr>
          <w:lang w:val="en-US"/>
        </w:rPr>
        <w:t>,</w:t>
      </w:r>
      <w:r w:rsidR="0078694F" w:rsidRPr="00954547">
        <w:rPr>
          <w:lang w:val="en-US"/>
        </w:rPr>
        <w:t xml:space="preserve"> and </w:t>
      </w:r>
      <w:r w:rsidRPr="00954547">
        <w:rPr>
          <w:lang w:val="en-US"/>
        </w:rPr>
        <w:t>this was subsequently withdrawn.</w:t>
      </w:r>
      <w:r w:rsidR="00393221" w:rsidRPr="00954547">
        <w:rPr>
          <w:rStyle w:val="FootnoteReference"/>
          <w:lang w:val="en-US"/>
        </w:rPr>
        <w:footnoteReference w:id="232"/>
      </w:r>
      <w:r w:rsidRPr="00954547">
        <w:rPr>
          <w:lang w:val="en-US"/>
        </w:rPr>
        <w:t xml:space="preserve"> The defense did not offer evidence that could prove that what happen</w:t>
      </w:r>
      <w:r w:rsidR="009A2139" w:rsidRPr="00954547">
        <w:rPr>
          <w:lang w:val="en-US"/>
        </w:rPr>
        <w:t>e</w:t>
      </w:r>
      <w:r w:rsidRPr="00954547">
        <w:rPr>
          <w:lang w:val="en-US"/>
        </w:rPr>
        <w:t>d to the newborn could have been an accident</w:t>
      </w:r>
      <w:r w:rsidR="009A2139" w:rsidRPr="00954547">
        <w:rPr>
          <w:lang w:val="en-US"/>
        </w:rPr>
        <w:t xml:space="preserve">; for example, ask </w:t>
      </w:r>
      <w:r w:rsidR="00EE0B34" w:rsidRPr="00954547">
        <w:rPr>
          <w:lang w:val="en-US"/>
        </w:rPr>
        <w:t xml:space="preserve">for an examination of the state of </w:t>
      </w:r>
      <w:r w:rsidR="009A2139" w:rsidRPr="00954547">
        <w:rPr>
          <w:lang w:val="en-US"/>
        </w:rPr>
        <w:t xml:space="preserve">Manuela’s health, the </w:t>
      </w:r>
      <w:r w:rsidR="00EE0B34" w:rsidRPr="00954547">
        <w:rPr>
          <w:lang w:val="en-US"/>
        </w:rPr>
        <w:t>impact of</w:t>
      </w:r>
      <w:r w:rsidR="009A2139" w:rsidRPr="00954547">
        <w:rPr>
          <w:lang w:val="en-US"/>
        </w:rPr>
        <w:t xml:space="preserve"> the preeclampsia and the visible lumps in Manuela’s neck. Furthermore, the defense failed to request that other evidence be obtained to confirm that the </w:t>
      </w:r>
      <w:r w:rsidR="00EE0B34" w:rsidRPr="00954547">
        <w:rPr>
          <w:lang w:val="en-US"/>
        </w:rPr>
        <w:t>newborn</w:t>
      </w:r>
      <w:r w:rsidR="009A2139" w:rsidRPr="00954547">
        <w:rPr>
          <w:lang w:val="en-US"/>
        </w:rPr>
        <w:t xml:space="preserve"> had been born alive. On this point, it should be noted that the expert opinion of Dr. José Mario Naje was presented to the Inter-American Court and he pointed out that the test performed on the newborn during the autopsy was not conclusive as to whether or not it was a live birth, because </w:t>
      </w:r>
      <w:r w:rsidR="00303231" w:rsidRPr="00954547">
        <w:rPr>
          <w:lang w:val="en-US"/>
        </w:rPr>
        <w:t>the possibility that</w:t>
      </w:r>
      <w:r w:rsidR="009A2139" w:rsidRPr="00954547">
        <w:rPr>
          <w:lang w:val="en-US"/>
        </w:rPr>
        <w:t xml:space="preserve"> putrefaction had caused the lung tissue to float</w:t>
      </w:r>
      <w:r w:rsidR="00303231" w:rsidRPr="00954547">
        <w:rPr>
          <w:lang w:val="en-US"/>
        </w:rPr>
        <w:t xml:space="preserve"> had not been ruled out</w:t>
      </w:r>
      <w:r w:rsidR="009A2139" w:rsidRPr="00954547">
        <w:rPr>
          <w:lang w:val="en-US"/>
        </w:rPr>
        <w:t>.</w:t>
      </w:r>
      <w:r w:rsidR="0022023F" w:rsidRPr="00954547">
        <w:rPr>
          <w:rStyle w:val="FootnoteReference"/>
          <w:lang w:val="en-US"/>
        </w:rPr>
        <w:footnoteReference w:id="233"/>
      </w:r>
      <w:r w:rsidR="003F2049" w:rsidRPr="00954547">
        <w:rPr>
          <w:lang w:val="en-US"/>
        </w:rPr>
        <w:t xml:space="preserve"> </w:t>
      </w:r>
    </w:p>
    <w:p w14:paraId="5D59AC08" w14:textId="55AE16F2" w:rsidR="004417B2" w:rsidRPr="00954547" w:rsidRDefault="00E76B1A" w:rsidP="00393221">
      <w:pPr>
        <w:pStyle w:val="Numberedparagraphs"/>
        <w:tabs>
          <w:tab w:val="left" w:pos="567"/>
        </w:tabs>
        <w:rPr>
          <w:lang w:val="en-US"/>
        </w:rPr>
      </w:pPr>
      <w:r w:rsidRPr="00954547">
        <w:rPr>
          <w:lang w:val="en-US"/>
        </w:rPr>
        <w:t>The Court</w:t>
      </w:r>
      <w:r w:rsidR="003F2049" w:rsidRPr="00954547">
        <w:rPr>
          <w:lang w:val="en-US"/>
        </w:rPr>
        <w:t xml:space="preserve"> rec</w:t>
      </w:r>
      <w:r w:rsidR="004417B2" w:rsidRPr="00954547">
        <w:rPr>
          <w:lang w:val="en-US"/>
        </w:rPr>
        <w:t xml:space="preserve">alls that the defense counsel should prevent </w:t>
      </w:r>
      <w:r w:rsidR="0039456F" w:rsidRPr="00954547">
        <w:rPr>
          <w:lang w:val="en-US"/>
        </w:rPr>
        <w:t xml:space="preserve">harm to </w:t>
      </w:r>
      <w:r w:rsidR="004417B2" w:rsidRPr="00954547">
        <w:rPr>
          <w:lang w:val="en-US"/>
        </w:rPr>
        <w:t xml:space="preserve">the rights of the person represented and, therefore, should support his arguments </w:t>
      </w:r>
      <w:r w:rsidR="0039456F" w:rsidRPr="00954547">
        <w:rPr>
          <w:lang w:val="en-US"/>
        </w:rPr>
        <w:t xml:space="preserve">by </w:t>
      </w:r>
      <w:r w:rsidR="004417B2" w:rsidRPr="00954547">
        <w:rPr>
          <w:lang w:val="en-US"/>
        </w:rPr>
        <w:t>offering rebuttal evidence.</w:t>
      </w:r>
      <w:r w:rsidR="003F2049" w:rsidRPr="00954547">
        <w:rPr>
          <w:rStyle w:val="FootnoteReference"/>
          <w:lang w:val="en-US"/>
        </w:rPr>
        <w:footnoteReference w:id="234"/>
      </w:r>
      <w:r w:rsidR="004417B2" w:rsidRPr="00954547">
        <w:rPr>
          <w:lang w:val="en-US"/>
        </w:rPr>
        <w:t xml:space="preserve"> The negative consequences of the minimal evidentiary activity employed by the defense in this case was increased by the decision not to offer Manuela’s statement to the court. Although this could be a valid litigation strategy to avoid the defendant testifying, </w:t>
      </w:r>
      <w:r w:rsidR="005B13E9" w:rsidRPr="00954547">
        <w:rPr>
          <w:lang w:val="en-US"/>
        </w:rPr>
        <w:t xml:space="preserve">in this case, where the defense failed to offer rebuttal evidence, the waiver of Manuela’s statement and the statement of her mother that was originally offered signified accepting the truth of the facts as set out by the prosecution and, consequently, that Manuela </w:t>
      </w:r>
      <w:r w:rsidR="00F4002F" w:rsidRPr="00954547">
        <w:rPr>
          <w:lang w:val="en-US"/>
        </w:rPr>
        <w:t>was faced with</w:t>
      </w:r>
      <w:r w:rsidR="005B13E9" w:rsidRPr="00954547">
        <w:rPr>
          <w:lang w:val="en-US"/>
        </w:rPr>
        <w:t xml:space="preserve"> a sentence of at least 30 years. Therefore, the failure to offer evidence and the waiver of Manuela’s testimony prevented the court from assessing her version of the facts and reveals that the defense failed to defend her interests adequately.</w:t>
      </w:r>
    </w:p>
    <w:p w14:paraId="166EC00C" w14:textId="58A7D611" w:rsidR="0022023F" w:rsidRPr="00954547" w:rsidRDefault="005B13E9" w:rsidP="004E54D4">
      <w:pPr>
        <w:pStyle w:val="Numberedparagraphs"/>
        <w:tabs>
          <w:tab w:val="left" w:pos="567"/>
        </w:tabs>
        <w:rPr>
          <w:rFonts w:cs="Times New Roman"/>
          <w:b/>
          <w:lang w:val="en-US"/>
        </w:rPr>
      </w:pPr>
      <w:r w:rsidRPr="00954547">
        <w:rPr>
          <w:lang w:val="en-US"/>
        </w:rPr>
        <w:t>Lastly,</w:t>
      </w:r>
      <w:r w:rsidR="0022023F" w:rsidRPr="00954547">
        <w:rPr>
          <w:lang w:val="en-US"/>
        </w:rPr>
        <w:t xml:space="preserve"> </w:t>
      </w:r>
      <w:r w:rsidR="00E76B1A" w:rsidRPr="00954547">
        <w:rPr>
          <w:lang w:val="en-US"/>
        </w:rPr>
        <w:t>the Court</w:t>
      </w:r>
      <w:r w:rsidR="0022023F" w:rsidRPr="00954547">
        <w:rPr>
          <w:lang w:val="en-US"/>
        </w:rPr>
        <w:t xml:space="preserve"> </w:t>
      </w:r>
      <w:r w:rsidRPr="00954547">
        <w:rPr>
          <w:lang w:val="en-US"/>
        </w:rPr>
        <w:t>notes that the public defender did not file any appeal against the sentence</w:t>
      </w:r>
      <w:r w:rsidR="00A32D5A" w:rsidRPr="00954547">
        <w:rPr>
          <w:lang w:val="en-US"/>
        </w:rPr>
        <w:t xml:space="preserve"> </w:t>
      </w:r>
      <w:r w:rsidR="0022023F" w:rsidRPr="00954547">
        <w:rPr>
          <w:lang w:val="en-US"/>
        </w:rPr>
        <w:t>(</w:t>
      </w:r>
      <w:r w:rsidR="0022023F" w:rsidRPr="00954547">
        <w:rPr>
          <w:i/>
          <w:lang w:val="en-US"/>
        </w:rPr>
        <w:t xml:space="preserve">supra </w:t>
      </w:r>
      <w:r w:rsidR="00B10E5A" w:rsidRPr="00954547">
        <w:rPr>
          <w:lang w:val="en-US"/>
        </w:rPr>
        <w:t>para.</w:t>
      </w:r>
      <w:r w:rsidR="0022023F" w:rsidRPr="00954547">
        <w:rPr>
          <w:lang w:val="en-US"/>
        </w:rPr>
        <w:t xml:space="preserve"> </w:t>
      </w:r>
      <w:r w:rsidR="00971A2A" w:rsidRPr="00954547">
        <w:rPr>
          <w:lang w:val="en-US"/>
        </w:rPr>
        <w:fldChar w:fldCharType="begin"/>
      </w:r>
      <w:r w:rsidR="00971A2A" w:rsidRPr="00954547">
        <w:rPr>
          <w:lang w:val="en-US"/>
        </w:rPr>
        <w:instrText xml:space="preserve"> REF _Ref88835242 \r \h </w:instrText>
      </w:r>
      <w:r w:rsidR="00793F65" w:rsidRPr="00954547">
        <w:rPr>
          <w:lang w:val="en-US"/>
        </w:rPr>
        <w:instrText xml:space="preserve"> \* MERGEFORMAT </w:instrText>
      </w:r>
      <w:r w:rsidR="00971A2A" w:rsidRPr="00954547">
        <w:rPr>
          <w:lang w:val="en-US"/>
        </w:rPr>
      </w:r>
      <w:r w:rsidR="00971A2A" w:rsidRPr="00954547">
        <w:rPr>
          <w:lang w:val="en-US"/>
        </w:rPr>
        <w:fldChar w:fldCharType="separate"/>
      </w:r>
      <w:r w:rsidR="000E4488" w:rsidRPr="00954547">
        <w:rPr>
          <w:lang w:val="en-US"/>
        </w:rPr>
        <w:t>85</w:t>
      </w:r>
      <w:r w:rsidR="00971A2A" w:rsidRPr="00954547">
        <w:rPr>
          <w:lang w:val="en-US"/>
        </w:rPr>
        <w:fldChar w:fldCharType="end"/>
      </w:r>
      <w:r w:rsidR="0022023F" w:rsidRPr="00954547">
        <w:rPr>
          <w:lang w:val="en-US"/>
        </w:rPr>
        <w:t xml:space="preserve">). </w:t>
      </w:r>
      <w:r w:rsidR="00A32D5A" w:rsidRPr="00954547">
        <w:rPr>
          <w:lang w:val="en-US"/>
        </w:rPr>
        <w:t>It notes that the appeal for cassation was available and also the appeal for review, in which some of the inconsistencies indicated in this judgment could have been argued.</w:t>
      </w:r>
    </w:p>
    <w:p w14:paraId="439C82D8" w14:textId="5D364B24" w:rsidR="009E3AAD" w:rsidRPr="00954547" w:rsidRDefault="00E76B1A" w:rsidP="0009468B">
      <w:pPr>
        <w:pStyle w:val="Numberedparagraphs"/>
        <w:tabs>
          <w:tab w:val="left" w:pos="567"/>
        </w:tabs>
        <w:rPr>
          <w:color w:val="auto"/>
          <w:lang w:val="en-US"/>
        </w:rPr>
      </w:pPr>
      <w:r w:rsidRPr="00954547">
        <w:rPr>
          <w:lang w:val="en-US"/>
        </w:rPr>
        <w:t>The Court</w:t>
      </w:r>
      <w:r w:rsidR="009E3AAD" w:rsidRPr="00954547">
        <w:rPr>
          <w:lang w:val="en-US"/>
        </w:rPr>
        <w:t xml:space="preserve"> consider</w:t>
      </w:r>
      <w:r w:rsidR="00A32D5A" w:rsidRPr="00954547">
        <w:rPr>
          <w:lang w:val="en-US"/>
        </w:rPr>
        <w:t>s that this shows that the actions of the public defender harmed Manuela’s rights and interests, leaving her defenseless, which constituted a violation of the essential right to be assisted by legal counsel. In addition, in this case, Manuela’s substanti</w:t>
      </w:r>
      <w:r w:rsidR="00F4002F" w:rsidRPr="00954547">
        <w:rPr>
          <w:lang w:val="en-US"/>
        </w:rPr>
        <w:t>ve</w:t>
      </w:r>
      <w:r w:rsidR="00A32D5A" w:rsidRPr="00954547">
        <w:rPr>
          <w:lang w:val="en-US"/>
        </w:rPr>
        <w:t xml:space="preserve"> </w:t>
      </w:r>
      <w:r w:rsidR="00D4015D" w:rsidRPr="00954547">
        <w:rPr>
          <w:lang w:val="en-US"/>
        </w:rPr>
        <w:t>right to defense</w:t>
      </w:r>
      <w:r w:rsidR="00A32D5A" w:rsidRPr="00954547">
        <w:rPr>
          <w:lang w:val="en-US"/>
        </w:rPr>
        <w:t xml:space="preserve"> was also violated because she was prevented from defending her interests. </w:t>
      </w:r>
      <w:r w:rsidR="0009468B" w:rsidRPr="00954547">
        <w:rPr>
          <w:lang w:val="en-US"/>
        </w:rPr>
        <w:t xml:space="preserve">Based on the foregoing, the Court concludes that the State is responsible for the violation of </w:t>
      </w:r>
      <w:r w:rsidR="00A17F8C" w:rsidRPr="00954547">
        <w:rPr>
          <w:lang w:val="en-US"/>
        </w:rPr>
        <w:t>Articles</w:t>
      </w:r>
      <w:r w:rsidR="009E3AAD" w:rsidRPr="00954547">
        <w:rPr>
          <w:lang w:val="en-US"/>
        </w:rPr>
        <w:t xml:space="preserve"> </w:t>
      </w:r>
      <w:r w:rsidR="00CE421C" w:rsidRPr="00954547">
        <w:rPr>
          <w:lang w:val="en-US"/>
        </w:rPr>
        <w:t>8(2)(d)</w:t>
      </w:r>
      <w:r w:rsidR="0078694F" w:rsidRPr="00954547">
        <w:rPr>
          <w:lang w:val="en-US"/>
        </w:rPr>
        <w:t xml:space="preserve"> and </w:t>
      </w:r>
      <w:r w:rsidR="00CE421C" w:rsidRPr="00954547">
        <w:rPr>
          <w:lang w:val="en-US"/>
        </w:rPr>
        <w:t>8(2)</w:t>
      </w:r>
      <w:r w:rsidR="0009468B" w:rsidRPr="00954547">
        <w:rPr>
          <w:lang w:val="en-US"/>
        </w:rPr>
        <w:t>(</w:t>
      </w:r>
      <w:r w:rsidR="009E3AAD" w:rsidRPr="00954547">
        <w:rPr>
          <w:lang w:val="en-US"/>
        </w:rPr>
        <w:t>e)</w:t>
      </w:r>
      <w:r w:rsidR="005E0FD1" w:rsidRPr="00954547">
        <w:rPr>
          <w:lang w:val="en-US"/>
        </w:rPr>
        <w:t xml:space="preserve"> of the American Convention</w:t>
      </w:r>
      <w:r w:rsidR="009E3AAD" w:rsidRPr="00954547">
        <w:rPr>
          <w:color w:val="auto"/>
          <w:lang w:val="en-US"/>
        </w:rPr>
        <w:t xml:space="preserve">, </w:t>
      </w:r>
      <w:r w:rsidR="0009468B" w:rsidRPr="00954547">
        <w:rPr>
          <w:color w:val="auto"/>
          <w:lang w:val="en-US"/>
        </w:rPr>
        <w:t>in relation to</w:t>
      </w:r>
      <w:r w:rsidR="009E3AAD" w:rsidRPr="00954547">
        <w:rPr>
          <w:color w:val="auto"/>
          <w:lang w:val="en-US"/>
        </w:rPr>
        <w:t xml:space="preserve"> </w:t>
      </w:r>
      <w:r w:rsidR="00A17F8C" w:rsidRPr="00954547">
        <w:rPr>
          <w:color w:val="auto"/>
          <w:lang w:val="en-US"/>
        </w:rPr>
        <w:t xml:space="preserve">Article 1(1) </w:t>
      </w:r>
      <w:r w:rsidR="0009468B" w:rsidRPr="00954547">
        <w:rPr>
          <w:color w:val="auto"/>
          <w:lang w:val="en-US"/>
        </w:rPr>
        <w:t xml:space="preserve">of this instrument, </w:t>
      </w:r>
      <w:r w:rsidR="0078694F" w:rsidRPr="00954547">
        <w:rPr>
          <w:color w:val="auto"/>
          <w:lang w:val="en-US"/>
        </w:rPr>
        <w:t>to the detriment of</w:t>
      </w:r>
      <w:r w:rsidR="009E3AAD" w:rsidRPr="00954547">
        <w:rPr>
          <w:color w:val="auto"/>
          <w:lang w:val="en-US"/>
        </w:rPr>
        <w:t xml:space="preserve"> Manuela.</w:t>
      </w:r>
      <w:r w:rsidR="00CA6F15" w:rsidRPr="00954547">
        <w:rPr>
          <w:color w:val="auto"/>
          <w:lang w:val="en-US"/>
        </w:rPr>
        <w:t xml:space="preserve"> </w:t>
      </w:r>
    </w:p>
    <w:p w14:paraId="339D061C" w14:textId="24D4E1F7" w:rsidR="003A277A" w:rsidRPr="00954547" w:rsidRDefault="009E3AAD" w:rsidP="00386B24">
      <w:pPr>
        <w:pStyle w:val="Heading3"/>
        <w:tabs>
          <w:tab w:val="left" w:pos="567"/>
        </w:tabs>
        <w:jc w:val="both"/>
      </w:pPr>
      <w:bookmarkStart w:id="68" w:name="_Toc106353914"/>
      <w:r w:rsidRPr="00954547">
        <w:t>B.</w:t>
      </w:r>
      <w:r w:rsidR="00F8553A" w:rsidRPr="00954547">
        <w:t>2</w:t>
      </w:r>
      <w:r w:rsidRPr="00954547">
        <w:t xml:space="preserve"> </w:t>
      </w:r>
      <w:r w:rsidRPr="00954547">
        <w:tab/>
      </w:r>
      <w:r w:rsidR="00C37C6C" w:rsidRPr="00954547">
        <w:t>The use of gender stereotypes</w:t>
      </w:r>
      <w:r w:rsidR="0078694F" w:rsidRPr="00954547">
        <w:t xml:space="preserve"> and judicial guarantees</w:t>
      </w:r>
      <w:bookmarkEnd w:id="68"/>
      <w:r w:rsidRPr="00954547">
        <w:t xml:space="preserve"> </w:t>
      </w:r>
      <w:bookmarkStart w:id="69" w:name="_Ref375063243"/>
    </w:p>
    <w:p w14:paraId="40A49228" w14:textId="540F9E11" w:rsidR="004166F2" w:rsidRPr="00954547" w:rsidRDefault="00A17F8C" w:rsidP="00B74C4E">
      <w:pPr>
        <w:pStyle w:val="Numberedparagraphs"/>
        <w:rPr>
          <w:lang w:val="en-US"/>
        </w:rPr>
      </w:pPr>
      <w:r w:rsidRPr="00954547">
        <w:rPr>
          <w:lang w:val="en-US"/>
        </w:rPr>
        <w:t>Article</w:t>
      </w:r>
      <w:r w:rsidR="004166F2" w:rsidRPr="00954547">
        <w:rPr>
          <w:lang w:val="en-US"/>
        </w:rPr>
        <w:t xml:space="preserve"> </w:t>
      </w:r>
      <w:r w:rsidRPr="00954547">
        <w:rPr>
          <w:lang w:val="en-US"/>
        </w:rPr>
        <w:t>8(1)</w:t>
      </w:r>
      <w:r w:rsidR="004166F2" w:rsidRPr="00954547">
        <w:rPr>
          <w:lang w:val="en-US"/>
        </w:rPr>
        <w:t xml:space="preserve"> </w:t>
      </w:r>
      <w:r w:rsidR="005E0FD1" w:rsidRPr="00954547">
        <w:rPr>
          <w:lang w:val="en-US"/>
        </w:rPr>
        <w:t>of the Convention</w:t>
      </w:r>
      <w:r w:rsidR="004166F2" w:rsidRPr="00954547">
        <w:rPr>
          <w:lang w:val="en-US"/>
        </w:rPr>
        <w:t xml:space="preserve"> establ</w:t>
      </w:r>
      <w:r w:rsidR="0039456F" w:rsidRPr="00954547">
        <w:rPr>
          <w:lang w:val="en-US"/>
        </w:rPr>
        <w:t>ishes that every person has the right to be tried by an impartial court. The guarantee of impartiality requires that the judge acting in a specific dispute approach the facts of the case subjectively free of all prejudice and also offer sufficient objective guarantees to exclude any doubt the parties or the community might entertain as to his or her lack of impartiality.</w:t>
      </w:r>
      <w:r w:rsidR="004166F2" w:rsidRPr="00954547">
        <w:rPr>
          <w:vertAlign w:val="superscript"/>
          <w:lang w:val="en-US"/>
        </w:rPr>
        <w:footnoteReference w:id="235"/>
      </w:r>
      <w:r w:rsidR="00895CFA" w:rsidRPr="00954547">
        <w:rPr>
          <w:lang w:val="en-US"/>
        </w:rPr>
        <w:t xml:space="preserve"> This guarantee means that the members of the court must not have any direct interest, preconceived position, or preference for either of the parties; that they are not involved in the dispute</w:t>
      </w:r>
      <w:r w:rsidR="00F4002F" w:rsidRPr="00954547">
        <w:rPr>
          <w:lang w:val="en-US"/>
        </w:rPr>
        <w:t>,</w:t>
      </w:r>
      <w:r w:rsidR="00895CFA" w:rsidRPr="00954547">
        <w:rPr>
          <w:lang w:val="en-US"/>
        </w:rPr>
        <w:t xml:space="preserve"> and that they inspire the necessary confidence in the parties to the case, as well as to the citizens in a democratic society. Personal or subjective impartiality is to be presumed unless there is evidence to the contrary consisting, for example, in the demonstration that a member of </w:t>
      </w:r>
      <w:r w:rsidR="00F4002F" w:rsidRPr="00954547">
        <w:rPr>
          <w:lang w:val="en-US"/>
        </w:rPr>
        <w:t>the</w:t>
      </w:r>
      <w:r w:rsidR="00895CFA" w:rsidRPr="00954547">
        <w:rPr>
          <w:lang w:val="en-US"/>
        </w:rPr>
        <w:t xml:space="preserve"> court or the judge has personal prejudices or biases against the litigants.</w:t>
      </w:r>
      <w:r w:rsidR="00B74C4E" w:rsidRPr="00954547">
        <w:rPr>
          <w:lang w:val="en-US"/>
        </w:rPr>
        <w:t xml:space="preserve"> Meanwhile, </w:t>
      </w:r>
      <w:r w:rsidR="00895CFA" w:rsidRPr="00954547">
        <w:rPr>
          <w:lang w:val="en-US"/>
        </w:rPr>
        <w:t xml:space="preserve">the so-called objective </w:t>
      </w:r>
      <w:r w:rsidR="00B74C4E" w:rsidRPr="00954547">
        <w:rPr>
          <w:lang w:val="en-US"/>
        </w:rPr>
        <w:t xml:space="preserve">impartiality </w:t>
      </w:r>
      <w:r w:rsidR="00895CFA" w:rsidRPr="00954547">
        <w:rPr>
          <w:lang w:val="en-US"/>
        </w:rPr>
        <w:t xml:space="preserve">consists in determining whether the judge in question </w:t>
      </w:r>
      <w:r w:rsidR="00B74C4E" w:rsidRPr="00954547">
        <w:rPr>
          <w:lang w:val="en-US"/>
        </w:rPr>
        <w:t xml:space="preserve">has </w:t>
      </w:r>
      <w:r w:rsidR="00895CFA" w:rsidRPr="00954547">
        <w:rPr>
          <w:lang w:val="en-US"/>
        </w:rPr>
        <w:t>offered sufficient elements of conviction to exclude any legitimate misgivings or well-grounded suspicion of</w:t>
      </w:r>
      <w:r w:rsidR="00B74C4E" w:rsidRPr="00954547">
        <w:rPr>
          <w:lang w:val="en-US"/>
        </w:rPr>
        <w:t xml:space="preserve"> bias.</w:t>
      </w:r>
      <w:r w:rsidR="004166F2" w:rsidRPr="00954547">
        <w:rPr>
          <w:vertAlign w:val="superscript"/>
          <w:lang w:val="en-US"/>
        </w:rPr>
        <w:footnoteReference w:id="236"/>
      </w:r>
    </w:p>
    <w:p w14:paraId="0553BE4E" w14:textId="010897DE" w:rsidR="006B7464" w:rsidRPr="00954547" w:rsidRDefault="00A17F8C" w:rsidP="006049E4">
      <w:pPr>
        <w:pStyle w:val="Numberedparagraphs"/>
        <w:tabs>
          <w:tab w:val="left" w:pos="567"/>
        </w:tabs>
        <w:rPr>
          <w:lang w:val="en-US"/>
        </w:rPr>
      </w:pPr>
      <w:r w:rsidRPr="00954547">
        <w:rPr>
          <w:bCs/>
          <w:iCs/>
          <w:lang w:val="en-US"/>
        </w:rPr>
        <w:t>Article</w:t>
      </w:r>
      <w:r w:rsidR="006B7464" w:rsidRPr="00954547">
        <w:rPr>
          <w:bCs/>
          <w:iCs/>
          <w:lang w:val="en-US"/>
        </w:rPr>
        <w:t xml:space="preserve"> </w:t>
      </w:r>
      <w:r w:rsidR="00CE421C" w:rsidRPr="00954547">
        <w:rPr>
          <w:bCs/>
          <w:iCs/>
          <w:lang w:val="en-US"/>
        </w:rPr>
        <w:t>8(2)</w:t>
      </w:r>
      <w:r w:rsidR="006B7464" w:rsidRPr="00954547">
        <w:rPr>
          <w:bCs/>
          <w:iCs/>
          <w:lang w:val="en-US"/>
        </w:rPr>
        <w:t xml:space="preserve"> </w:t>
      </w:r>
      <w:r w:rsidR="005E0FD1" w:rsidRPr="00954547">
        <w:rPr>
          <w:bCs/>
          <w:iCs/>
          <w:lang w:val="en-US"/>
        </w:rPr>
        <w:t>of the Convention</w:t>
      </w:r>
      <w:r w:rsidR="006B7464" w:rsidRPr="00954547">
        <w:rPr>
          <w:bCs/>
          <w:iCs/>
          <w:lang w:val="en-US"/>
        </w:rPr>
        <w:t xml:space="preserve"> </w:t>
      </w:r>
      <w:r w:rsidR="00B74C4E" w:rsidRPr="00954547">
        <w:rPr>
          <w:bCs/>
          <w:iCs/>
          <w:lang w:val="en-US"/>
        </w:rPr>
        <w:t>establishes that</w:t>
      </w:r>
      <w:r w:rsidR="006B7464" w:rsidRPr="00954547">
        <w:rPr>
          <w:bCs/>
          <w:iCs/>
          <w:lang w:val="en-US"/>
        </w:rPr>
        <w:t xml:space="preserve"> “[</w:t>
      </w:r>
      <w:r w:rsidR="00B74C4E" w:rsidRPr="00954547">
        <w:rPr>
          <w:bCs/>
          <w:iCs/>
          <w:lang w:val="en-US"/>
        </w:rPr>
        <w:t>e</w:t>
      </w:r>
      <w:r w:rsidR="006B7464" w:rsidRPr="00954547">
        <w:rPr>
          <w:bCs/>
          <w:iCs/>
          <w:lang w:val="en-US"/>
        </w:rPr>
        <w:t>]</w:t>
      </w:r>
      <w:r w:rsidR="00B74C4E" w:rsidRPr="00954547">
        <w:rPr>
          <w:spacing w:val="-3"/>
          <w:lang w:val="en-US"/>
        </w:rPr>
        <w:t xml:space="preserve">very person accused of a criminal offense has the right to be presumed innocent so long as his guilt has not been proven according to law.” In the criminal </w:t>
      </w:r>
      <w:r w:rsidR="004167D8" w:rsidRPr="00954547">
        <w:rPr>
          <w:spacing w:val="-3"/>
          <w:lang w:val="en-US"/>
        </w:rPr>
        <w:t xml:space="preserve">sphere, </w:t>
      </w:r>
      <w:r w:rsidR="00E76B1A" w:rsidRPr="00954547">
        <w:rPr>
          <w:lang w:val="en-US"/>
        </w:rPr>
        <w:t>the Inter-American Court</w:t>
      </w:r>
      <w:r w:rsidR="006B7464" w:rsidRPr="00954547">
        <w:rPr>
          <w:lang w:val="en-US"/>
        </w:rPr>
        <w:t xml:space="preserve"> ha</w:t>
      </w:r>
      <w:r w:rsidR="004167D8" w:rsidRPr="00954547">
        <w:rPr>
          <w:lang w:val="en-US"/>
        </w:rPr>
        <w:t xml:space="preserve">s indicated that </w:t>
      </w:r>
      <w:r w:rsidR="00C11C05" w:rsidRPr="00954547">
        <w:rPr>
          <w:lang w:val="en-US"/>
        </w:rPr>
        <w:t>the principle of presumption of innocence</w:t>
      </w:r>
      <w:r w:rsidR="006B7464" w:rsidRPr="00954547">
        <w:rPr>
          <w:lang w:val="en-US"/>
        </w:rPr>
        <w:t xml:space="preserve"> constitu</w:t>
      </w:r>
      <w:r w:rsidR="004167D8" w:rsidRPr="00954547">
        <w:rPr>
          <w:lang w:val="en-US"/>
        </w:rPr>
        <w:t xml:space="preserve">tes a </w:t>
      </w:r>
      <w:r w:rsidR="00AD7F59" w:rsidRPr="00954547">
        <w:rPr>
          <w:lang w:val="en-US"/>
        </w:rPr>
        <w:t>corner</w:t>
      </w:r>
      <w:r w:rsidR="006049E4" w:rsidRPr="00954547">
        <w:rPr>
          <w:lang w:val="en-US"/>
        </w:rPr>
        <w:t>stone of</w:t>
      </w:r>
      <w:r w:rsidR="004167D8" w:rsidRPr="00954547">
        <w:rPr>
          <w:lang w:val="en-US"/>
        </w:rPr>
        <w:t xml:space="preserve"> </w:t>
      </w:r>
      <w:r w:rsidR="0078694F" w:rsidRPr="00954547">
        <w:rPr>
          <w:lang w:val="en-US"/>
        </w:rPr>
        <w:t>judicial guarantees</w:t>
      </w:r>
      <w:r w:rsidR="004167D8" w:rsidRPr="00954547">
        <w:rPr>
          <w:lang w:val="en-US"/>
        </w:rPr>
        <w:t>.</w:t>
      </w:r>
      <w:r w:rsidR="006B7464" w:rsidRPr="00954547">
        <w:rPr>
          <w:vertAlign w:val="superscript"/>
          <w:lang w:val="en-US"/>
        </w:rPr>
        <w:footnoteReference w:id="237"/>
      </w:r>
      <w:r w:rsidR="006B7464" w:rsidRPr="00954547">
        <w:rPr>
          <w:lang w:val="en-US"/>
        </w:rPr>
        <w:t xml:space="preserve"> </w:t>
      </w:r>
      <w:r w:rsidR="004167D8" w:rsidRPr="00954547">
        <w:rPr>
          <w:lang w:val="en-US"/>
        </w:rPr>
        <w:t>The</w:t>
      </w:r>
      <w:r w:rsidR="006B7464" w:rsidRPr="00954547">
        <w:rPr>
          <w:lang w:val="en-US"/>
        </w:rPr>
        <w:t xml:space="preserve"> </w:t>
      </w:r>
      <w:r w:rsidR="00144817" w:rsidRPr="00954547">
        <w:rPr>
          <w:lang w:val="en-US"/>
        </w:rPr>
        <w:t>presumption of innocence</w:t>
      </w:r>
      <w:r w:rsidR="006B7464" w:rsidRPr="00954547">
        <w:rPr>
          <w:lang w:val="en-US"/>
        </w:rPr>
        <w:t xml:space="preserve"> </w:t>
      </w:r>
      <w:r w:rsidR="004A7239" w:rsidRPr="00954547">
        <w:rPr>
          <w:lang w:val="en-US"/>
        </w:rPr>
        <w:t xml:space="preserve">means that the accused does not have to prove that he has not committed the offense </w:t>
      </w:r>
      <w:r w:rsidR="006049E4" w:rsidRPr="00954547">
        <w:rPr>
          <w:lang w:val="en-US"/>
        </w:rPr>
        <w:t xml:space="preserve">of which </w:t>
      </w:r>
      <w:r w:rsidR="004A7239" w:rsidRPr="00954547">
        <w:rPr>
          <w:lang w:val="en-US"/>
        </w:rPr>
        <w:t>he is accused, because the burden of proof corresponds to the accuser.</w:t>
      </w:r>
      <w:r w:rsidR="006B7464" w:rsidRPr="00954547">
        <w:rPr>
          <w:vertAlign w:val="superscript"/>
          <w:lang w:val="en-US"/>
        </w:rPr>
        <w:footnoteReference w:id="238"/>
      </w:r>
      <w:r w:rsidR="0078694F" w:rsidRPr="00954547">
        <w:rPr>
          <w:lang w:val="en-US"/>
        </w:rPr>
        <w:t xml:space="preserve"> </w:t>
      </w:r>
      <w:r w:rsidR="006049E4" w:rsidRPr="00954547">
        <w:rPr>
          <w:lang w:val="en-US"/>
        </w:rPr>
        <w:t>Moreover,</w:t>
      </w:r>
      <w:r w:rsidR="004A7239" w:rsidRPr="00954547">
        <w:rPr>
          <w:lang w:val="en-US"/>
        </w:rPr>
        <w:t xml:space="preserve"> the accused must have the benefit of the doubt. Thus</w:t>
      </w:r>
      <w:r w:rsidR="006049E4" w:rsidRPr="00954547">
        <w:rPr>
          <w:lang w:val="en-US"/>
        </w:rPr>
        <w:t>,</w:t>
      </w:r>
      <w:r w:rsidR="004A7239" w:rsidRPr="00954547">
        <w:rPr>
          <w:lang w:val="en-US"/>
        </w:rPr>
        <w:t xml:space="preserve"> </w:t>
      </w:r>
      <w:r w:rsidR="006049E4" w:rsidRPr="00954547">
        <w:rPr>
          <w:lang w:val="en-US"/>
        </w:rPr>
        <w:t>authoritative</w:t>
      </w:r>
      <w:r w:rsidR="004A7239" w:rsidRPr="00954547">
        <w:rPr>
          <w:lang w:val="en-US"/>
        </w:rPr>
        <w:t xml:space="preserve"> proof of guilt is an essential requirements for a criminal </w:t>
      </w:r>
      <w:r w:rsidR="006049E4" w:rsidRPr="00954547">
        <w:rPr>
          <w:lang w:val="en-US"/>
        </w:rPr>
        <w:t>conviction, and the burden of proof falls on the accuser and not on the accused.</w:t>
      </w:r>
      <w:r w:rsidR="006B7464" w:rsidRPr="00954547">
        <w:rPr>
          <w:vertAlign w:val="superscript"/>
          <w:lang w:val="en-US"/>
        </w:rPr>
        <w:footnoteReference w:id="239"/>
      </w:r>
      <w:r w:rsidR="006B7464" w:rsidRPr="00954547">
        <w:rPr>
          <w:lang w:val="en-US"/>
        </w:rPr>
        <w:t xml:space="preserve"> </w:t>
      </w:r>
      <w:r w:rsidR="006049E4" w:rsidRPr="00954547">
        <w:rPr>
          <w:lang w:val="en-US"/>
        </w:rPr>
        <w:t xml:space="preserve">In addition, </w:t>
      </w:r>
      <w:r w:rsidR="00C11C05" w:rsidRPr="00954547">
        <w:rPr>
          <w:lang w:val="en-US"/>
        </w:rPr>
        <w:t>the principle of presumption of innocence</w:t>
      </w:r>
      <w:r w:rsidR="006B7464" w:rsidRPr="00954547">
        <w:rPr>
          <w:lang w:val="en-US"/>
        </w:rPr>
        <w:t xml:space="preserve"> </w:t>
      </w:r>
      <w:r w:rsidR="006049E4" w:rsidRPr="00954547">
        <w:rPr>
          <w:lang w:val="en-US"/>
        </w:rPr>
        <w:t>means that judges do not initiate the trial with a preconceived idea that the accused has committed the offense with which he is charged.</w:t>
      </w:r>
      <w:r w:rsidR="006B7464" w:rsidRPr="00954547">
        <w:rPr>
          <w:vertAlign w:val="superscript"/>
          <w:lang w:val="en-US"/>
        </w:rPr>
        <w:footnoteReference w:id="240"/>
      </w:r>
    </w:p>
    <w:p w14:paraId="57E278FA" w14:textId="5CC87127" w:rsidR="00581492" w:rsidRPr="00954547" w:rsidRDefault="00AD7F59" w:rsidP="00374ADF">
      <w:pPr>
        <w:pStyle w:val="Numberedparagraphs"/>
        <w:tabs>
          <w:tab w:val="left" w:pos="567"/>
        </w:tabs>
        <w:rPr>
          <w:color w:val="auto"/>
          <w:lang w:val="en-US"/>
        </w:rPr>
      </w:pPr>
      <w:r w:rsidRPr="00954547">
        <w:rPr>
          <w:lang w:val="en-US"/>
        </w:rPr>
        <w:t>The</w:t>
      </w:r>
      <w:r w:rsidR="00B939BF" w:rsidRPr="00954547">
        <w:rPr>
          <w:lang w:val="en-US"/>
        </w:rPr>
        <w:t xml:space="preserve"> Court has also indicated that gender stereotyping refers to a preconception of attributes, conducts or characteristics</w:t>
      </w:r>
      <w:r w:rsidR="00D44DFF" w:rsidRPr="00954547">
        <w:rPr>
          <w:lang w:val="en-US"/>
        </w:rPr>
        <w:t xml:space="preserve"> possessed by,</w:t>
      </w:r>
      <w:r w:rsidR="00B939BF" w:rsidRPr="00954547">
        <w:rPr>
          <w:lang w:val="en-US"/>
        </w:rPr>
        <w:t xml:space="preserve"> or the roles that are or should be p</w:t>
      </w:r>
      <w:r w:rsidR="00D44DFF" w:rsidRPr="00954547">
        <w:rPr>
          <w:lang w:val="en-US"/>
        </w:rPr>
        <w:t>erformed</w:t>
      </w:r>
      <w:r w:rsidR="00B939BF" w:rsidRPr="00954547">
        <w:rPr>
          <w:lang w:val="en-US"/>
        </w:rPr>
        <w:t xml:space="preserve"> by</w:t>
      </w:r>
      <w:r w:rsidR="00D44DFF" w:rsidRPr="00954547">
        <w:rPr>
          <w:lang w:val="en-US"/>
        </w:rPr>
        <w:t>,</w:t>
      </w:r>
      <w:r w:rsidR="00B939BF" w:rsidRPr="00954547">
        <w:rPr>
          <w:lang w:val="en-US"/>
        </w:rPr>
        <w:t xml:space="preserve"> men and women</w:t>
      </w:r>
      <w:r w:rsidR="00D44DFF" w:rsidRPr="00954547">
        <w:rPr>
          <w:lang w:val="en-US"/>
        </w:rPr>
        <w:t>, respectively</w:t>
      </w:r>
      <w:r w:rsidR="00B939BF" w:rsidRPr="00954547">
        <w:rPr>
          <w:lang w:val="en-US"/>
        </w:rPr>
        <w:t>. The Court has pointed out that it is possible to associate the subordination of women to practices based on socially dominant and socially persistent gender stereotypes. In this regard, their creation and use become a cause and consequences of gender violence against women, conditions that increase when they are reflected, implicitly or explicitly, in policies and practices, particularly in the reasoning and language of state authorities.</w:t>
      </w:r>
      <w:r w:rsidR="009E3AAD" w:rsidRPr="00954547">
        <w:rPr>
          <w:vertAlign w:val="superscript"/>
          <w:lang w:val="en-US"/>
        </w:rPr>
        <w:footnoteReference w:id="241"/>
      </w:r>
      <w:r w:rsidR="005621F0" w:rsidRPr="00954547">
        <w:rPr>
          <w:lang w:val="en-US"/>
        </w:rPr>
        <w:t xml:space="preserve"> Indeed, even if the use of any type of stereotype is common, </w:t>
      </w:r>
      <w:r w:rsidR="00374ADF" w:rsidRPr="00954547">
        <w:rPr>
          <w:lang w:val="en-US"/>
        </w:rPr>
        <w:t xml:space="preserve">it </w:t>
      </w:r>
      <w:r w:rsidR="005621F0" w:rsidRPr="00954547">
        <w:rPr>
          <w:lang w:val="en-US"/>
        </w:rPr>
        <w:t>become</w:t>
      </w:r>
      <w:r w:rsidR="00374ADF" w:rsidRPr="00954547">
        <w:rPr>
          <w:lang w:val="en-US"/>
        </w:rPr>
        <w:t>s</w:t>
      </w:r>
      <w:r w:rsidR="005621F0" w:rsidRPr="00954547">
        <w:rPr>
          <w:lang w:val="en-US"/>
        </w:rPr>
        <w:t xml:space="preserve"> harmful when </w:t>
      </w:r>
      <w:r w:rsidR="00374ADF" w:rsidRPr="00954547">
        <w:rPr>
          <w:lang w:val="en-US"/>
        </w:rPr>
        <w:t>it limits an individual’s capacity to develop their personal abilities or becomes a violation or violations of human rights.</w:t>
      </w:r>
      <w:r w:rsidR="00503DA8" w:rsidRPr="00954547">
        <w:rPr>
          <w:rStyle w:val="FootnoteReference"/>
          <w:bCs/>
          <w:iCs/>
          <w:lang w:val="en-US"/>
        </w:rPr>
        <w:footnoteReference w:id="242"/>
      </w:r>
      <w:r w:rsidR="00581492" w:rsidRPr="00954547">
        <w:rPr>
          <w:lang w:val="en-US"/>
        </w:rPr>
        <w:t xml:space="preserve"> </w:t>
      </w:r>
      <w:r w:rsidR="00E76B1A" w:rsidRPr="00954547">
        <w:rPr>
          <w:bCs/>
          <w:iCs/>
          <w:lang w:val="en-US"/>
        </w:rPr>
        <w:t>The Court</w:t>
      </w:r>
      <w:r w:rsidR="00545B32" w:rsidRPr="00954547">
        <w:rPr>
          <w:bCs/>
          <w:iCs/>
          <w:lang w:val="en-US"/>
        </w:rPr>
        <w:t xml:space="preserve"> </w:t>
      </w:r>
      <w:r w:rsidR="00374ADF" w:rsidRPr="00954547">
        <w:rPr>
          <w:bCs/>
          <w:iCs/>
          <w:lang w:val="en-US"/>
        </w:rPr>
        <w:t xml:space="preserve">also underlines that the use of stereotypes by the judicial authorities in their </w:t>
      </w:r>
      <w:r w:rsidR="00414166" w:rsidRPr="00954547">
        <w:rPr>
          <w:bCs/>
          <w:iCs/>
          <w:lang w:val="en-US"/>
        </w:rPr>
        <w:t>actions</w:t>
      </w:r>
      <w:r w:rsidR="00374ADF" w:rsidRPr="00954547">
        <w:rPr>
          <w:bCs/>
          <w:iCs/>
          <w:lang w:val="en-US"/>
        </w:rPr>
        <w:t xml:space="preserve"> may indicate a lack of impartiality.</w:t>
      </w:r>
      <w:r w:rsidR="0017453E" w:rsidRPr="00954547">
        <w:rPr>
          <w:rStyle w:val="FootnoteReference"/>
          <w:bCs/>
          <w:iCs/>
          <w:color w:val="auto"/>
          <w:lang w:val="en-US"/>
        </w:rPr>
        <w:footnoteReference w:id="243"/>
      </w:r>
    </w:p>
    <w:p w14:paraId="1826AE6B" w14:textId="2C5FF692" w:rsidR="00581492" w:rsidRPr="00954547" w:rsidRDefault="008314F1" w:rsidP="00386B24">
      <w:pPr>
        <w:pStyle w:val="Numberedparagraphs"/>
        <w:tabs>
          <w:tab w:val="left" w:pos="567"/>
        </w:tabs>
        <w:rPr>
          <w:color w:val="auto"/>
          <w:lang w:val="en-US"/>
        </w:rPr>
      </w:pPr>
      <w:r w:rsidRPr="00954547">
        <w:rPr>
          <w:lang w:val="en-US"/>
        </w:rPr>
        <w:t xml:space="preserve">The Court notes that </w:t>
      </w:r>
      <w:r w:rsidR="00C37C6C" w:rsidRPr="00954547">
        <w:rPr>
          <w:lang w:val="en-US"/>
        </w:rPr>
        <w:t>the use of gender stereotypes</w:t>
      </w:r>
      <w:r w:rsidR="009E3AAD" w:rsidRPr="00954547">
        <w:rPr>
          <w:lang w:val="en-US"/>
        </w:rPr>
        <w:t xml:space="preserve"> </w:t>
      </w:r>
      <w:r w:rsidRPr="00954547">
        <w:rPr>
          <w:lang w:val="en-US"/>
        </w:rPr>
        <w:t xml:space="preserve">in criminal proceedings may </w:t>
      </w:r>
      <w:r w:rsidR="005E15BE" w:rsidRPr="00954547">
        <w:rPr>
          <w:lang w:val="en-US"/>
        </w:rPr>
        <w:t>reveal</w:t>
      </w:r>
      <w:r w:rsidRPr="00954547">
        <w:rPr>
          <w:lang w:val="en-US"/>
        </w:rPr>
        <w:t xml:space="preserve"> a violation </w:t>
      </w:r>
      <w:r w:rsidR="00F6091D" w:rsidRPr="00954547">
        <w:rPr>
          <w:lang w:val="en-US"/>
        </w:rPr>
        <w:t xml:space="preserve">of the </w:t>
      </w:r>
      <w:r w:rsidR="00BC7072" w:rsidRPr="00954547">
        <w:rPr>
          <w:lang w:val="en-US"/>
        </w:rPr>
        <w:t>right to</w:t>
      </w:r>
      <w:r w:rsidR="009E3AAD" w:rsidRPr="00954547">
        <w:rPr>
          <w:lang w:val="en-US"/>
        </w:rPr>
        <w:t xml:space="preserve"> </w:t>
      </w:r>
      <w:r w:rsidR="00144817" w:rsidRPr="00954547">
        <w:rPr>
          <w:lang w:val="en-US"/>
        </w:rPr>
        <w:t>presumption of innocence</w:t>
      </w:r>
      <w:r w:rsidR="00113CF6" w:rsidRPr="00954547">
        <w:rPr>
          <w:lang w:val="en-US"/>
        </w:rPr>
        <w:t>,</w:t>
      </w:r>
      <w:r w:rsidR="009E3AAD" w:rsidRPr="00954547">
        <w:rPr>
          <w:lang w:val="en-US"/>
        </w:rPr>
        <w:t xml:space="preserve"> </w:t>
      </w:r>
      <w:r w:rsidRPr="00954547">
        <w:rPr>
          <w:lang w:val="en-US"/>
        </w:rPr>
        <w:t>of the duty to provide the reasons for a decision</w:t>
      </w:r>
      <w:r w:rsidR="005E15BE" w:rsidRPr="00954547">
        <w:rPr>
          <w:lang w:val="en-US"/>
        </w:rPr>
        <w:t>,</w:t>
      </w:r>
      <w:r w:rsidRPr="00954547">
        <w:rPr>
          <w:lang w:val="en-US"/>
        </w:rPr>
        <w:t xml:space="preserve"> and </w:t>
      </w:r>
      <w:r w:rsidR="005E15BE" w:rsidRPr="00954547">
        <w:rPr>
          <w:lang w:val="en-US"/>
        </w:rPr>
        <w:t xml:space="preserve">of </w:t>
      </w:r>
      <w:r w:rsidRPr="00954547">
        <w:rPr>
          <w:lang w:val="en-US"/>
        </w:rPr>
        <w:t>the right to be tried by an impartial court</w:t>
      </w:r>
      <w:r w:rsidR="009E3AAD" w:rsidRPr="00954547">
        <w:rPr>
          <w:color w:val="auto"/>
          <w:lang w:val="en-US"/>
        </w:rPr>
        <w:t>.</w:t>
      </w:r>
      <w:r w:rsidR="00581492" w:rsidRPr="00954547">
        <w:rPr>
          <w:color w:val="auto"/>
          <w:lang w:val="en-US"/>
        </w:rPr>
        <w:t xml:space="preserve"> </w:t>
      </w:r>
      <w:r w:rsidR="006C28E8" w:rsidRPr="00954547">
        <w:rPr>
          <w:color w:val="auto"/>
          <w:lang w:val="en-US"/>
        </w:rPr>
        <w:t>On this basis, the Court will now examine:</w:t>
      </w:r>
      <w:r w:rsidR="00581492" w:rsidRPr="00954547">
        <w:rPr>
          <w:color w:val="auto"/>
          <w:lang w:val="en-US"/>
        </w:rPr>
        <w:t xml:space="preserve"> </w:t>
      </w:r>
      <w:r w:rsidR="006C28E8" w:rsidRPr="00954547">
        <w:rPr>
          <w:color w:val="auto"/>
          <w:lang w:val="en-US"/>
        </w:rPr>
        <w:t>(</w:t>
      </w:r>
      <w:r w:rsidR="00581492" w:rsidRPr="00954547">
        <w:rPr>
          <w:color w:val="auto"/>
          <w:lang w:val="en-US"/>
        </w:rPr>
        <w:t xml:space="preserve">a) </w:t>
      </w:r>
      <w:r w:rsidR="006C28E8" w:rsidRPr="00954547">
        <w:rPr>
          <w:color w:val="auto"/>
          <w:lang w:val="en-US"/>
        </w:rPr>
        <w:t>the investigations conducted</w:t>
      </w:r>
      <w:r w:rsidR="00581492" w:rsidRPr="00954547">
        <w:rPr>
          <w:color w:val="auto"/>
          <w:lang w:val="en-US"/>
        </w:rPr>
        <w:t>,</w:t>
      </w:r>
      <w:r w:rsidR="0078694F" w:rsidRPr="00954547">
        <w:rPr>
          <w:color w:val="auto"/>
          <w:lang w:val="en-US"/>
        </w:rPr>
        <w:t xml:space="preserve"> and </w:t>
      </w:r>
      <w:r w:rsidR="006C28E8" w:rsidRPr="00954547">
        <w:rPr>
          <w:color w:val="auto"/>
          <w:lang w:val="en-US"/>
        </w:rPr>
        <w:t>(</w:t>
      </w:r>
      <w:r w:rsidR="00581492" w:rsidRPr="00954547">
        <w:rPr>
          <w:color w:val="auto"/>
          <w:lang w:val="en-US"/>
        </w:rPr>
        <w:t xml:space="preserve">b) </w:t>
      </w:r>
      <w:r w:rsidR="006C28E8" w:rsidRPr="00954547">
        <w:rPr>
          <w:color w:val="auto"/>
          <w:lang w:val="en-US"/>
        </w:rPr>
        <w:t xml:space="preserve">the reasoning </w:t>
      </w:r>
      <w:r w:rsidR="005E15BE" w:rsidRPr="00954547">
        <w:rPr>
          <w:color w:val="auto"/>
          <w:lang w:val="en-US"/>
        </w:rPr>
        <w:t>behind</w:t>
      </w:r>
      <w:r w:rsidR="006C28E8" w:rsidRPr="00954547">
        <w:rPr>
          <w:color w:val="auto"/>
          <w:lang w:val="en-US"/>
        </w:rPr>
        <w:t xml:space="preserve"> the g</w:t>
      </w:r>
      <w:r w:rsidR="00EE7DEB" w:rsidRPr="00954547">
        <w:rPr>
          <w:color w:val="auto"/>
          <w:lang w:val="en-US"/>
        </w:rPr>
        <w:t>uilty verdict</w:t>
      </w:r>
      <w:r w:rsidR="00581492" w:rsidRPr="00954547">
        <w:rPr>
          <w:color w:val="auto"/>
          <w:lang w:val="en-US"/>
        </w:rPr>
        <w:t xml:space="preserve">. </w:t>
      </w:r>
    </w:p>
    <w:p w14:paraId="241F14E3" w14:textId="7F6B8E87" w:rsidR="00581492" w:rsidRPr="00954547" w:rsidRDefault="00581492" w:rsidP="007F0666">
      <w:pPr>
        <w:pStyle w:val="Heading4"/>
        <w:rPr>
          <w:lang w:val="en-US"/>
        </w:rPr>
      </w:pPr>
      <w:r w:rsidRPr="00954547">
        <w:rPr>
          <w:lang w:val="en-US"/>
        </w:rPr>
        <w:t>B.</w:t>
      </w:r>
      <w:r w:rsidR="00F8553A" w:rsidRPr="00954547">
        <w:rPr>
          <w:lang w:val="en-US"/>
        </w:rPr>
        <w:t>2</w:t>
      </w:r>
      <w:r w:rsidRPr="00954547">
        <w:rPr>
          <w:lang w:val="en-US"/>
        </w:rPr>
        <w:t xml:space="preserve">.a </w:t>
      </w:r>
      <w:r w:rsidR="006C28E8" w:rsidRPr="00954547">
        <w:rPr>
          <w:lang w:val="en-US"/>
        </w:rPr>
        <w:t>The investigations</w:t>
      </w:r>
    </w:p>
    <w:p w14:paraId="444147F9" w14:textId="24C17EE8" w:rsidR="004B64F1" w:rsidRPr="00954547" w:rsidRDefault="00E76B1A" w:rsidP="00BA6705">
      <w:pPr>
        <w:pStyle w:val="Numberedparagraphs"/>
        <w:tabs>
          <w:tab w:val="left" w:pos="567"/>
        </w:tabs>
        <w:rPr>
          <w:color w:val="auto"/>
          <w:lang w:val="en-US"/>
        </w:rPr>
      </w:pPr>
      <w:r w:rsidRPr="00954547">
        <w:rPr>
          <w:lang w:val="en-US"/>
        </w:rPr>
        <w:t>The Court</w:t>
      </w:r>
      <w:r w:rsidR="00662BFF" w:rsidRPr="00954547">
        <w:rPr>
          <w:lang w:val="en-US"/>
        </w:rPr>
        <w:t xml:space="preserve"> ha</w:t>
      </w:r>
      <w:r w:rsidR="004B79A9" w:rsidRPr="00954547">
        <w:rPr>
          <w:lang w:val="en-US"/>
        </w:rPr>
        <w:t>s indicated that the criminal proceedings, which represent the</w:t>
      </w:r>
      <w:r w:rsidR="005E15BE" w:rsidRPr="00954547">
        <w:rPr>
          <w:lang w:val="en-US"/>
        </w:rPr>
        <w:t xml:space="preserve"> State’s</w:t>
      </w:r>
      <w:r w:rsidR="004B79A9" w:rsidRPr="00954547">
        <w:rPr>
          <w:lang w:val="en-US"/>
        </w:rPr>
        <w:t xml:space="preserve"> investigative and judicial response, should constitute an appropriate means </w:t>
      </w:r>
      <w:r w:rsidR="005E15BE" w:rsidRPr="00954547">
        <w:rPr>
          <w:lang w:val="en-US"/>
        </w:rPr>
        <w:t>to conduct a</w:t>
      </w:r>
      <w:r w:rsidR="004B79A9" w:rsidRPr="00954547">
        <w:rPr>
          <w:lang w:val="en-US"/>
        </w:rPr>
        <w:t xml:space="preserve"> genuine search for the truth of what happened by an </w:t>
      </w:r>
      <w:r w:rsidR="00BA6705" w:rsidRPr="00954547">
        <w:rPr>
          <w:lang w:val="en-US"/>
        </w:rPr>
        <w:t>adequate assessment of the</w:t>
      </w:r>
      <w:r w:rsidR="005E15BE" w:rsidRPr="00954547">
        <w:rPr>
          <w:lang w:val="en-US"/>
        </w:rPr>
        <w:t xml:space="preserve"> different</w:t>
      </w:r>
      <w:r w:rsidR="00BA6705" w:rsidRPr="00954547">
        <w:rPr>
          <w:lang w:val="en-US"/>
        </w:rPr>
        <w:t xml:space="preserve"> hypotheses concerning the method and circumstances of the offense.</w:t>
      </w:r>
      <w:r w:rsidR="00662BFF" w:rsidRPr="00954547">
        <w:rPr>
          <w:rStyle w:val="FootnoteReference"/>
          <w:lang w:val="en-US"/>
        </w:rPr>
        <w:footnoteReference w:id="244"/>
      </w:r>
      <w:r w:rsidR="00662BFF" w:rsidRPr="00954547">
        <w:rPr>
          <w:lang w:val="en-US"/>
        </w:rPr>
        <w:t xml:space="preserve"> </w:t>
      </w:r>
      <w:r w:rsidR="00E07520" w:rsidRPr="00954547">
        <w:rPr>
          <w:lang w:val="en-US"/>
        </w:rPr>
        <w:t xml:space="preserve">Consequently, owing to </w:t>
      </w:r>
      <w:r w:rsidR="00C11C05" w:rsidRPr="00954547">
        <w:rPr>
          <w:lang w:val="en-US"/>
        </w:rPr>
        <w:t>the principle of presumption of innocence</w:t>
      </w:r>
      <w:r w:rsidR="00662BFF" w:rsidRPr="00954547">
        <w:rPr>
          <w:lang w:val="en-US"/>
        </w:rPr>
        <w:t xml:space="preserve">, </w:t>
      </w:r>
      <w:r w:rsidR="00E07520" w:rsidRPr="00954547">
        <w:rPr>
          <w:lang w:val="en-US"/>
        </w:rPr>
        <w:t>investigating agencies must investigate no</w:t>
      </w:r>
      <w:r w:rsidR="003B4737" w:rsidRPr="00954547">
        <w:rPr>
          <w:lang w:val="en-US"/>
        </w:rPr>
        <w:t>t</w:t>
      </w:r>
      <w:r w:rsidR="00E07520" w:rsidRPr="00954547">
        <w:rPr>
          <w:lang w:val="en-US"/>
        </w:rPr>
        <w:t xml:space="preserve"> only the perpetration of the offense, but also the possibility that </w:t>
      </w:r>
      <w:r w:rsidR="003B4737" w:rsidRPr="00954547">
        <w:rPr>
          <w:lang w:val="en-US"/>
        </w:rPr>
        <w:t>no offense</w:t>
      </w:r>
      <w:r w:rsidR="00E07520" w:rsidRPr="00954547">
        <w:rPr>
          <w:lang w:val="en-US"/>
        </w:rPr>
        <w:t xml:space="preserve"> has occurred. This same obligations was recognized in Salvadoran legislation at the time of the facts.</w:t>
      </w:r>
      <w:r w:rsidR="00662BFF" w:rsidRPr="00954547">
        <w:rPr>
          <w:color w:val="auto"/>
          <w:vertAlign w:val="superscript"/>
          <w:lang w:val="en-US"/>
        </w:rPr>
        <w:footnoteReference w:id="245"/>
      </w:r>
      <w:r w:rsidR="00662BFF" w:rsidRPr="00954547">
        <w:rPr>
          <w:color w:val="auto"/>
          <w:lang w:val="en-US"/>
        </w:rPr>
        <w:t xml:space="preserve"> </w:t>
      </w:r>
    </w:p>
    <w:p w14:paraId="30532C52" w14:textId="18DF873D" w:rsidR="00640528" w:rsidRPr="00954547" w:rsidRDefault="008D1D8B" w:rsidP="00827C9D">
      <w:pPr>
        <w:pStyle w:val="Numberedparagraphs"/>
        <w:tabs>
          <w:tab w:val="left" w:pos="567"/>
        </w:tabs>
        <w:rPr>
          <w:lang w:val="en-US"/>
        </w:rPr>
      </w:pPr>
      <w:r w:rsidRPr="00954547">
        <w:rPr>
          <w:color w:val="auto"/>
          <w:lang w:val="en-US"/>
        </w:rPr>
        <w:t xml:space="preserve">In the instant case, </w:t>
      </w:r>
      <w:r w:rsidR="00C11C05" w:rsidRPr="00954547">
        <w:rPr>
          <w:color w:val="auto"/>
          <w:lang w:val="en-US"/>
        </w:rPr>
        <w:t>the principle of presumption of innocence</w:t>
      </w:r>
      <w:r w:rsidR="004B64F1" w:rsidRPr="00954547">
        <w:rPr>
          <w:color w:val="auto"/>
          <w:lang w:val="en-US"/>
        </w:rPr>
        <w:t xml:space="preserve"> </w:t>
      </w:r>
      <w:r w:rsidR="00640528" w:rsidRPr="00954547">
        <w:rPr>
          <w:color w:val="auto"/>
          <w:lang w:val="en-US"/>
        </w:rPr>
        <w:t>meant that the domestic authorities should</w:t>
      </w:r>
      <w:r w:rsidR="003B4737" w:rsidRPr="00954547">
        <w:rPr>
          <w:color w:val="auto"/>
          <w:lang w:val="en-US"/>
        </w:rPr>
        <w:t xml:space="preserve"> have</w:t>
      </w:r>
      <w:r w:rsidR="00640528" w:rsidRPr="00954547">
        <w:rPr>
          <w:color w:val="auto"/>
          <w:lang w:val="en-US"/>
        </w:rPr>
        <w:t xml:space="preserve"> investigate</w:t>
      </w:r>
      <w:r w:rsidR="003B4737" w:rsidRPr="00954547">
        <w:rPr>
          <w:color w:val="auto"/>
          <w:lang w:val="en-US"/>
        </w:rPr>
        <w:t>d</w:t>
      </w:r>
      <w:r w:rsidR="00640528" w:rsidRPr="00954547">
        <w:rPr>
          <w:color w:val="auto"/>
          <w:lang w:val="en-US"/>
        </w:rPr>
        <w:t xml:space="preserve"> all the logical lines of inquiry, including the possibility that the newborn’s death was not caused by Manuela, and this theory could have been </w:t>
      </w:r>
      <w:r w:rsidR="003B4737" w:rsidRPr="00954547">
        <w:rPr>
          <w:color w:val="auto"/>
          <w:lang w:val="en-US"/>
        </w:rPr>
        <w:t>assessed</w:t>
      </w:r>
      <w:r w:rsidR="00640528" w:rsidRPr="00954547">
        <w:rPr>
          <w:color w:val="auto"/>
          <w:lang w:val="en-US"/>
        </w:rPr>
        <w:t xml:space="preserve"> by investigating her health situation and whether this could have </w:t>
      </w:r>
      <w:r w:rsidR="003B4737" w:rsidRPr="00954547">
        <w:rPr>
          <w:color w:val="auto"/>
          <w:lang w:val="en-US"/>
        </w:rPr>
        <w:t>had an impact</w:t>
      </w:r>
      <w:r w:rsidR="00640528" w:rsidRPr="00954547">
        <w:rPr>
          <w:color w:val="auto"/>
          <w:lang w:val="en-US"/>
        </w:rPr>
        <w:t xml:space="preserve"> at the time of the birth.</w:t>
      </w:r>
    </w:p>
    <w:p w14:paraId="5F65F2D0" w14:textId="6E462608" w:rsidR="00B37875" w:rsidRPr="00954547" w:rsidRDefault="00640528" w:rsidP="00294314">
      <w:pPr>
        <w:pStyle w:val="Numberedparagraphs"/>
        <w:tabs>
          <w:tab w:val="left" w:pos="567"/>
        </w:tabs>
        <w:rPr>
          <w:lang w:val="en-US"/>
        </w:rPr>
      </w:pPr>
      <w:bookmarkStart w:id="70" w:name="_Ref87980739"/>
      <w:r w:rsidRPr="00954547">
        <w:rPr>
          <w:lang w:val="en-US"/>
        </w:rPr>
        <w:t>In this regard, the Court notes that Manuela was diagnosed with severe preeclampsia</w:t>
      </w:r>
      <w:r w:rsidR="00122E1B" w:rsidRPr="00954547">
        <w:rPr>
          <w:lang w:val="en-US"/>
        </w:rPr>
        <w:t>, which may result in precipitate delivery and increase the risk of perinatal mortality and morbidity, placental abruption, asphyxia and intrauterine fetal death.</w:t>
      </w:r>
      <w:r w:rsidR="004D635E" w:rsidRPr="00954547">
        <w:rPr>
          <w:rStyle w:val="FootnoteReference"/>
          <w:lang w:val="en-US"/>
        </w:rPr>
        <w:footnoteReference w:id="246"/>
      </w:r>
      <w:r w:rsidR="004D635E" w:rsidRPr="00954547">
        <w:rPr>
          <w:lang w:val="en-US"/>
        </w:rPr>
        <w:t xml:space="preserve"> </w:t>
      </w:r>
      <w:r w:rsidR="00122E1B" w:rsidRPr="00954547">
        <w:rPr>
          <w:lang w:val="en-US"/>
        </w:rPr>
        <w:t>In addition</w:t>
      </w:r>
      <w:r w:rsidR="00B37875" w:rsidRPr="00954547">
        <w:rPr>
          <w:lang w:val="en-US"/>
        </w:rPr>
        <w:t>,</w:t>
      </w:r>
      <w:r w:rsidR="007623E2" w:rsidRPr="00954547">
        <w:rPr>
          <w:lang w:val="en-US"/>
        </w:rPr>
        <w:t xml:space="preserve"> </w:t>
      </w:r>
      <w:r w:rsidR="00B37875" w:rsidRPr="00954547">
        <w:rPr>
          <w:lang w:val="en-US"/>
        </w:rPr>
        <w:t>Manuela suf</w:t>
      </w:r>
      <w:r w:rsidR="00122E1B" w:rsidRPr="00954547">
        <w:rPr>
          <w:lang w:val="en-US"/>
        </w:rPr>
        <w:t xml:space="preserve">fered from </w:t>
      </w:r>
      <w:r w:rsidR="003B4737" w:rsidRPr="00954547">
        <w:rPr>
          <w:lang w:val="en-US"/>
        </w:rPr>
        <w:t xml:space="preserve">a </w:t>
      </w:r>
      <w:r w:rsidR="00122E1B" w:rsidRPr="00954547">
        <w:rPr>
          <w:lang w:val="en-US"/>
        </w:rPr>
        <w:t>postpartum</w:t>
      </w:r>
      <w:r w:rsidR="002B0D57" w:rsidRPr="00954547">
        <w:rPr>
          <w:lang w:val="en-US"/>
        </w:rPr>
        <w:t xml:space="preserve"> hemorrhage, caused by the placental retention and tears to the delivery canal.</w:t>
      </w:r>
      <w:r w:rsidR="00B37875" w:rsidRPr="00954547">
        <w:rPr>
          <w:rStyle w:val="FootnoteReference"/>
          <w:lang w:val="en-US"/>
        </w:rPr>
        <w:footnoteReference w:id="247"/>
      </w:r>
      <w:r w:rsidR="002B0D57" w:rsidRPr="00954547">
        <w:rPr>
          <w:lang w:val="en-US"/>
        </w:rPr>
        <w:t xml:space="preserve"> As a result of th</w:t>
      </w:r>
      <w:r w:rsidR="003B4737" w:rsidRPr="00954547">
        <w:rPr>
          <w:lang w:val="en-US"/>
        </w:rPr>
        <w:t>e</w:t>
      </w:r>
      <w:r w:rsidR="002B0D57" w:rsidRPr="00954547">
        <w:rPr>
          <w:lang w:val="en-US"/>
        </w:rPr>
        <w:t xml:space="preserve"> postpartum hemorrhage, Manuela was possibly in a state that made it impossible for her, at the moment of the birth “to look after herself or </w:t>
      </w:r>
      <w:r w:rsidR="003B4737" w:rsidRPr="00954547">
        <w:rPr>
          <w:lang w:val="en-US"/>
        </w:rPr>
        <w:t xml:space="preserve">to </w:t>
      </w:r>
      <w:r w:rsidR="002B0D57" w:rsidRPr="00954547">
        <w:rPr>
          <w:lang w:val="en-US"/>
        </w:rPr>
        <w:t>be able to look after someone else.</w:t>
      </w:r>
      <w:r w:rsidR="00F129E7" w:rsidRPr="00954547">
        <w:rPr>
          <w:lang w:val="en-US"/>
        </w:rPr>
        <w:t>”</w:t>
      </w:r>
      <w:r w:rsidR="00F129E7" w:rsidRPr="00954547">
        <w:rPr>
          <w:rStyle w:val="FootnoteReference"/>
          <w:lang w:val="en-US"/>
        </w:rPr>
        <w:footnoteReference w:id="248"/>
      </w:r>
      <w:r w:rsidR="002B0D57" w:rsidRPr="00954547">
        <w:rPr>
          <w:lang w:val="en-US"/>
        </w:rPr>
        <w:t xml:space="preserve"> Furthermore, </w:t>
      </w:r>
      <w:r w:rsidR="00827C9D" w:rsidRPr="00954547">
        <w:rPr>
          <w:lang w:val="en-US"/>
        </w:rPr>
        <w:t xml:space="preserve">Manuela </w:t>
      </w:r>
      <w:r w:rsidR="002B0D57" w:rsidRPr="00954547">
        <w:rPr>
          <w:lang w:val="en-US"/>
        </w:rPr>
        <w:t xml:space="preserve">had visible lumps in her neck, which were subsequently diagnosed as </w:t>
      </w:r>
      <w:r w:rsidR="00086913" w:rsidRPr="00954547">
        <w:rPr>
          <w:lang w:val="en-US"/>
        </w:rPr>
        <w:t>Hodgkin’s lymphoma; this could have contributed to the appearance of anemia, which may result in a pre</w:t>
      </w:r>
      <w:r w:rsidR="00294314" w:rsidRPr="00954547">
        <w:rPr>
          <w:lang w:val="en-US"/>
        </w:rPr>
        <w:t>term</w:t>
      </w:r>
      <w:r w:rsidR="00086913" w:rsidRPr="00954547">
        <w:rPr>
          <w:lang w:val="en-US"/>
        </w:rPr>
        <w:t xml:space="preserve"> delivery.</w:t>
      </w:r>
      <w:r w:rsidR="004D635E" w:rsidRPr="00954547">
        <w:rPr>
          <w:rStyle w:val="FootnoteReference"/>
          <w:lang w:val="en-US"/>
        </w:rPr>
        <w:footnoteReference w:id="249"/>
      </w:r>
      <w:bookmarkEnd w:id="70"/>
      <w:r w:rsidR="004D635E" w:rsidRPr="00954547">
        <w:rPr>
          <w:lang w:val="en-US"/>
        </w:rPr>
        <w:t xml:space="preserve"> </w:t>
      </w:r>
    </w:p>
    <w:p w14:paraId="1F166578" w14:textId="1FB32CFA" w:rsidR="00294314" w:rsidRPr="00954547" w:rsidRDefault="00294314" w:rsidP="00B37875">
      <w:pPr>
        <w:pStyle w:val="Numberedparagraphs"/>
        <w:tabs>
          <w:tab w:val="left" w:pos="567"/>
        </w:tabs>
        <w:rPr>
          <w:lang w:val="en-US"/>
        </w:rPr>
      </w:pPr>
      <w:r w:rsidRPr="00954547">
        <w:rPr>
          <w:lang w:val="en-US"/>
        </w:rPr>
        <w:t>These characteristics of Manuela’s health, and how this could have affected the birth, were not duly taken into account at any moment of the investigation. On this point, the investigators merely asked the doctor who had performed the autopsy of the newborn if it was possible that the baby could have been expelled accidentally, and he indicated that:</w:t>
      </w:r>
    </w:p>
    <w:p w14:paraId="3C87CB46" w14:textId="4EEAFDF9" w:rsidR="00827C9D" w:rsidRPr="00954547" w:rsidRDefault="00294314" w:rsidP="00C959F0">
      <w:pPr>
        <w:pStyle w:val="Numberedparagraphs"/>
        <w:numPr>
          <w:ilvl w:val="0"/>
          <w:numId w:val="0"/>
        </w:numPr>
        <w:tabs>
          <w:tab w:val="left" w:pos="567"/>
        </w:tabs>
        <w:ind w:left="567" w:right="616"/>
        <w:rPr>
          <w:sz w:val="18"/>
          <w:szCs w:val="18"/>
          <w:lang w:val="en-US"/>
        </w:rPr>
      </w:pPr>
      <w:r w:rsidRPr="00954547">
        <w:rPr>
          <w:sz w:val="18"/>
          <w:szCs w:val="18"/>
          <w:lang w:val="en-US"/>
        </w:rPr>
        <w:t>Yes, this possibility does exist, but</w:t>
      </w:r>
      <w:r w:rsidRPr="00954547">
        <w:rPr>
          <w:lang w:val="en-US"/>
        </w:rPr>
        <w:t xml:space="preserve"> </w:t>
      </w:r>
      <w:r w:rsidR="00827C9D" w:rsidRPr="00954547">
        <w:rPr>
          <w:sz w:val="18"/>
          <w:szCs w:val="18"/>
          <w:lang w:val="en-US"/>
        </w:rPr>
        <w:t xml:space="preserve"> […] normal</w:t>
      </w:r>
      <w:r w:rsidR="0029119E" w:rsidRPr="00954547">
        <w:rPr>
          <w:sz w:val="18"/>
          <w:szCs w:val="18"/>
          <w:lang w:val="en-US"/>
        </w:rPr>
        <w:t xml:space="preserve">ly the </w:t>
      </w:r>
      <w:r w:rsidR="00C83FB8" w:rsidRPr="00954547">
        <w:rPr>
          <w:sz w:val="18"/>
          <w:szCs w:val="18"/>
          <w:lang w:val="en-US"/>
        </w:rPr>
        <w:t>infant</w:t>
      </w:r>
      <w:r w:rsidR="0029119E" w:rsidRPr="00954547">
        <w:rPr>
          <w:sz w:val="18"/>
          <w:szCs w:val="18"/>
          <w:lang w:val="en-US"/>
        </w:rPr>
        <w:t xml:space="preserve"> remains attached to the umbilical cord and although the </w:t>
      </w:r>
      <w:r w:rsidR="00C83FB8" w:rsidRPr="00954547">
        <w:rPr>
          <w:sz w:val="18"/>
          <w:szCs w:val="18"/>
          <w:lang w:val="en-US"/>
        </w:rPr>
        <w:t>infant</w:t>
      </w:r>
      <w:r w:rsidR="0029119E" w:rsidRPr="00954547">
        <w:rPr>
          <w:sz w:val="18"/>
          <w:szCs w:val="18"/>
          <w:lang w:val="en-US"/>
        </w:rPr>
        <w:t xml:space="preserve"> could have been extracted with the cord and the placenta detached around ten minutes after the expulsion of the </w:t>
      </w:r>
      <w:r w:rsidR="00C83FB8" w:rsidRPr="00954547">
        <w:rPr>
          <w:sz w:val="18"/>
          <w:szCs w:val="18"/>
          <w:lang w:val="en-US"/>
        </w:rPr>
        <w:t>infant</w:t>
      </w:r>
      <w:r w:rsidR="0029119E" w:rsidRPr="00954547">
        <w:rPr>
          <w:sz w:val="18"/>
          <w:szCs w:val="18"/>
          <w:lang w:val="en-US"/>
        </w:rPr>
        <w:t xml:space="preserve">, if the placenta </w:t>
      </w:r>
      <w:r w:rsidR="002D4652" w:rsidRPr="00954547">
        <w:rPr>
          <w:sz w:val="18"/>
          <w:szCs w:val="18"/>
          <w:lang w:val="en-US"/>
        </w:rPr>
        <w:t xml:space="preserve">had </w:t>
      </w:r>
      <w:r w:rsidR="0029119E" w:rsidRPr="00954547">
        <w:rPr>
          <w:sz w:val="18"/>
          <w:szCs w:val="18"/>
          <w:lang w:val="en-US"/>
        </w:rPr>
        <w:t xml:space="preserve">detached at once, the placenta and cord would have been found with the </w:t>
      </w:r>
      <w:r w:rsidR="00C83FB8" w:rsidRPr="00954547">
        <w:rPr>
          <w:sz w:val="18"/>
          <w:szCs w:val="18"/>
          <w:lang w:val="en-US"/>
        </w:rPr>
        <w:t>infant</w:t>
      </w:r>
      <w:r w:rsidR="0029119E" w:rsidRPr="00954547">
        <w:rPr>
          <w:sz w:val="18"/>
          <w:szCs w:val="18"/>
          <w:lang w:val="en-US"/>
        </w:rPr>
        <w:t xml:space="preserve">. Moreover, in this case, it was a full-term pregnancy with normal labor in which the </w:t>
      </w:r>
      <w:r w:rsidR="00C83FB8" w:rsidRPr="00954547">
        <w:rPr>
          <w:sz w:val="18"/>
          <w:szCs w:val="18"/>
          <w:lang w:val="en-US"/>
        </w:rPr>
        <w:t>infant</w:t>
      </w:r>
      <w:r w:rsidR="0029119E" w:rsidRPr="00954547">
        <w:rPr>
          <w:sz w:val="18"/>
          <w:szCs w:val="18"/>
          <w:lang w:val="en-US"/>
        </w:rPr>
        <w:t xml:space="preserve"> does not </w:t>
      </w:r>
      <w:r w:rsidR="00C959F0" w:rsidRPr="00954547">
        <w:rPr>
          <w:sz w:val="18"/>
          <w:szCs w:val="18"/>
          <w:lang w:val="en-US"/>
        </w:rPr>
        <w:t xml:space="preserve">emerge all at once; rather, first the head emerges and then the </w:t>
      </w:r>
      <w:r w:rsidR="00C83FB8" w:rsidRPr="00954547">
        <w:rPr>
          <w:sz w:val="18"/>
          <w:szCs w:val="18"/>
          <w:lang w:val="en-US"/>
        </w:rPr>
        <w:t>infant</w:t>
      </w:r>
      <w:r w:rsidR="00C959F0" w:rsidRPr="00954547">
        <w:rPr>
          <w:sz w:val="18"/>
          <w:szCs w:val="18"/>
          <w:lang w:val="en-US"/>
        </w:rPr>
        <w:t xml:space="preserve"> must be turned round so that the shoulders can emerge and </w:t>
      </w:r>
      <w:r w:rsidR="002D4652" w:rsidRPr="00954547">
        <w:rPr>
          <w:sz w:val="18"/>
          <w:szCs w:val="18"/>
          <w:lang w:val="en-US"/>
        </w:rPr>
        <w:t xml:space="preserve">then there is a pause for </w:t>
      </w:r>
      <w:r w:rsidR="00C959F0" w:rsidRPr="00954547">
        <w:rPr>
          <w:sz w:val="18"/>
          <w:szCs w:val="18"/>
          <w:lang w:val="en-US"/>
        </w:rPr>
        <w:t xml:space="preserve">the hips; therefore, it would be difficult for the </w:t>
      </w:r>
      <w:r w:rsidR="00C83FB8" w:rsidRPr="00954547">
        <w:rPr>
          <w:sz w:val="18"/>
          <w:szCs w:val="18"/>
          <w:lang w:val="en-US"/>
        </w:rPr>
        <w:t>infant</w:t>
      </w:r>
      <w:r w:rsidR="00C959F0" w:rsidRPr="00954547">
        <w:rPr>
          <w:sz w:val="18"/>
          <w:szCs w:val="18"/>
          <w:lang w:val="en-US"/>
        </w:rPr>
        <w:t xml:space="preserve"> to emerge at the speed indicated by the mother. This could happen in the case of a woman who had had ten children and the </w:t>
      </w:r>
      <w:r w:rsidR="00C83FB8" w:rsidRPr="00954547">
        <w:rPr>
          <w:sz w:val="18"/>
          <w:szCs w:val="18"/>
          <w:lang w:val="en-US"/>
        </w:rPr>
        <w:t>infant</w:t>
      </w:r>
      <w:r w:rsidR="002D4652" w:rsidRPr="00954547">
        <w:rPr>
          <w:sz w:val="18"/>
          <w:szCs w:val="18"/>
          <w:lang w:val="en-US"/>
        </w:rPr>
        <w:t xml:space="preserve"> had a</w:t>
      </w:r>
      <w:r w:rsidR="00C959F0" w:rsidRPr="00954547">
        <w:rPr>
          <w:sz w:val="18"/>
          <w:szCs w:val="18"/>
          <w:lang w:val="en-US"/>
        </w:rPr>
        <w:t xml:space="preserve"> low birthweight; in that situation, it is possible to speak of an accident, but in this case no.</w:t>
      </w:r>
      <w:r w:rsidR="00827C9D" w:rsidRPr="00954547">
        <w:rPr>
          <w:rStyle w:val="FootnoteReference"/>
          <w:sz w:val="18"/>
          <w:szCs w:val="18"/>
          <w:lang w:val="en-US"/>
        </w:rPr>
        <w:footnoteReference w:id="250"/>
      </w:r>
    </w:p>
    <w:p w14:paraId="2BE8F9A8" w14:textId="0868F57E" w:rsidR="00F129E7" w:rsidRPr="00954547" w:rsidRDefault="00E76B1A" w:rsidP="00F129E7">
      <w:pPr>
        <w:pStyle w:val="Numberedparagraphs"/>
        <w:tabs>
          <w:tab w:val="left" w:pos="567"/>
        </w:tabs>
        <w:rPr>
          <w:lang w:val="en-US"/>
        </w:rPr>
      </w:pPr>
      <w:bookmarkStart w:id="71" w:name="_Ref87980741"/>
      <w:r w:rsidRPr="00954547">
        <w:rPr>
          <w:lang w:val="en-US"/>
        </w:rPr>
        <w:t>The Court</w:t>
      </w:r>
      <w:r w:rsidR="004D3BEC" w:rsidRPr="00954547">
        <w:rPr>
          <w:lang w:val="en-US"/>
        </w:rPr>
        <w:t xml:space="preserve"> </w:t>
      </w:r>
      <w:r w:rsidR="002D4652" w:rsidRPr="00954547">
        <w:rPr>
          <w:lang w:val="en-US"/>
        </w:rPr>
        <w:t>notes that this doctor had only examined the newborn and had not examined Manuela, and did not take into account Manuela’s health when responding to the question.</w:t>
      </w:r>
      <w:bookmarkEnd w:id="71"/>
    </w:p>
    <w:p w14:paraId="595FF24B" w14:textId="15D5F95F" w:rsidR="00EE4318" w:rsidRPr="00954547" w:rsidRDefault="00A30817" w:rsidP="00A30817">
      <w:pPr>
        <w:pStyle w:val="Numberedparagraphs"/>
        <w:tabs>
          <w:tab w:val="left" w:pos="567"/>
        </w:tabs>
        <w:rPr>
          <w:lang w:val="en-US"/>
        </w:rPr>
      </w:pPr>
      <w:r w:rsidRPr="00954547">
        <w:rPr>
          <w:lang w:val="en-US"/>
        </w:rPr>
        <w:t>Therefore</w:t>
      </w:r>
      <w:r w:rsidR="002D4652" w:rsidRPr="00954547">
        <w:rPr>
          <w:lang w:val="en-US"/>
        </w:rPr>
        <w:t xml:space="preserve">, this does </w:t>
      </w:r>
      <w:r w:rsidR="00C74705" w:rsidRPr="00954547">
        <w:rPr>
          <w:lang w:val="en-US"/>
        </w:rPr>
        <w:t>invalidate</w:t>
      </w:r>
      <w:r w:rsidR="002D4652" w:rsidRPr="00954547">
        <w:rPr>
          <w:lang w:val="en-US"/>
        </w:rPr>
        <w:t xml:space="preserve"> the possibility that the newborn’s death </w:t>
      </w:r>
      <w:r w:rsidRPr="00954547">
        <w:rPr>
          <w:lang w:val="en-US"/>
        </w:rPr>
        <w:t xml:space="preserve">occurred owing to the </w:t>
      </w:r>
      <w:r w:rsidR="00B72FE4" w:rsidRPr="00954547">
        <w:rPr>
          <w:lang w:val="en-US"/>
        </w:rPr>
        <w:t>obstetric emergency</w:t>
      </w:r>
      <w:r w:rsidR="004D635E" w:rsidRPr="00954547">
        <w:rPr>
          <w:lang w:val="en-US"/>
        </w:rPr>
        <w:t xml:space="preserve"> </w:t>
      </w:r>
      <w:r w:rsidRPr="00954547">
        <w:rPr>
          <w:lang w:val="en-US"/>
        </w:rPr>
        <w:t>suffered by</w:t>
      </w:r>
      <w:r w:rsidR="004D635E" w:rsidRPr="00954547">
        <w:rPr>
          <w:lang w:val="en-US"/>
        </w:rPr>
        <w:t xml:space="preserve"> Manuela </w:t>
      </w:r>
      <w:r w:rsidRPr="00954547">
        <w:rPr>
          <w:lang w:val="en-US"/>
        </w:rPr>
        <w:t>or another circumstance that could not be attributed to her. To the contrary, the autopsy</w:t>
      </w:r>
      <w:r w:rsidR="00C83FB8" w:rsidRPr="00954547">
        <w:rPr>
          <w:lang w:val="en-US"/>
        </w:rPr>
        <w:t>’s conclusion</w:t>
      </w:r>
      <w:r w:rsidRPr="00954547">
        <w:rPr>
          <w:lang w:val="en-US"/>
        </w:rPr>
        <w:t xml:space="preserve"> that the newborn was born alive was sufficient for the authorities to assume that a crime had occurred. Consequently, the obligation to follow up on all the logical lines of investigation was not complied with, including the possibility that the newborn’s death was not caused by Manuela.</w:t>
      </w:r>
    </w:p>
    <w:p w14:paraId="7DDFFABA" w14:textId="6C14944D" w:rsidR="00F3717A" w:rsidRPr="00954547" w:rsidRDefault="002C1EBA" w:rsidP="00D00E87">
      <w:pPr>
        <w:pStyle w:val="Numberedparagraphs"/>
        <w:tabs>
          <w:tab w:val="left" w:pos="567"/>
        </w:tabs>
        <w:rPr>
          <w:color w:val="auto"/>
          <w:lang w:val="en-US"/>
        </w:rPr>
      </w:pPr>
      <w:r w:rsidRPr="00954547">
        <w:rPr>
          <w:lang w:val="en-US"/>
        </w:rPr>
        <w:t>T</w:t>
      </w:r>
      <w:r w:rsidR="00D00E87" w:rsidRPr="00954547">
        <w:rPr>
          <w:lang w:val="en-US"/>
        </w:rPr>
        <w:t xml:space="preserve">he Court has </w:t>
      </w:r>
      <w:r w:rsidRPr="00954547">
        <w:rPr>
          <w:lang w:val="en-US"/>
        </w:rPr>
        <w:t xml:space="preserve">also </w:t>
      </w:r>
      <w:r w:rsidR="00D00E87" w:rsidRPr="00954547">
        <w:rPr>
          <w:lang w:val="en-US"/>
        </w:rPr>
        <w:t>recognized that personal prejudices and gender stereotypes can affect the objectivity of state officials responsible for investigating complaints, influencing their opinion of whether or not a violent act has occurred, and their assessment of the credibility of witnesses and of the victims themselves.</w:t>
      </w:r>
      <w:r w:rsidR="00F3717A" w:rsidRPr="00954547">
        <w:rPr>
          <w:rStyle w:val="FootnoteReference"/>
          <w:color w:val="auto"/>
          <w:lang w:val="en-US"/>
        </w:rPr>
        <w:footnoteReference w:id="251"/>
      </w:r>
      <w:r w:rsidR="00F3717A" w:rsidRPr="00954547">
        <w:rPr>
          <w:color w:val="auto"/>
          <w:lang w:val="en-US"/>
        </w:rPr>
        <w:t xml:space="preserve"> </w:t>
      </w:r>
    </w:p>
    <w:p w14:paraId="14A2BA78" w14:textId="62736F2E" w:rsidR="00F3717A" w:rsidRPr="00954547" w:rsidRDefault="00D00E87" w:rsidP="00386B24">
      <w:pPr>
        <w:pStyle w:val="Numberedparagraphs"/>
        <w:tabs>
          <w:tab w:val="left" w:pos="567"/>
        </w:tabs>
        <w:rPr>
          <w:lang w:val="en-US"/>
        </w:rPr>
      </w:pPr>
      <w:r w:rsidRPr="00954547">
        <w:rPr>
          <w:color w:val="auto"/>
          <w:lang w:val="en-US"/>
        </w:rPr>
        <w:t>In the instant case, in the record resuming the facts, the investigator in charge of the case indicated that:</w:t>
      </w:r>
    </w:p>
    <w:p w14:paraId="41D83BAD" w14:textId="3B372AC0" w:rsidR="00F3717A" w:rsidRPr="00954547" w:rsidRDefault="00D00E87" w:rsidP="00DD7FAB">
      <w:pPr>
        <w:tabs>
          <w:tab w:val="left" w:pos="567"/>
          <w:tab w:val="left" w:pos="1440"/>
        </w:tabs>
        <w:spacing w:before="120" w:after="120"/>
        <w:ind w:left="567" w:right="900"/>
        <w:jc w:val="both"/>
        <w:rPr>
          <w:rFonts w:ascii="Verdana" w:hAnsi="Verdana"/>
          <w:sz w:val="18"/>
          <w:szCs w:val="18"/>
        </w:rPr>
      </w:pPr>
      <w:r w:rsidRPr="00954547">
        <w:rPr>
          <w:rFonts w:ascii="Verdana" w:hAnsi="Verdana"/>
          <w:sz w:val="18"/>
          <w:szCs w:val="18"/>
        </w:rPr>
        <w:t>I cannot fail to mention that</w:t>
      </w:r>
      <w:r w:rsidR="002C1EBA" w:rsidRPr="00954547">
        <w:rPr>
          <w:rFonts w:ascii="Verdana" w:hAnsi="Verdana"/>
          <w:sz w:val="18"/>
          <w:szCs w:val="18"/>
        </w:rPr>
        <w:t>,</w:t>
      </w:r>
      <w:r w:rsidRPr="00954547">
        <w:rPr>
          <w:rFonts w:ascii="Verdana" w:hAnsi="Verdana"/>
          <w:sz w:val="18"/>
          <w:szCs w:val="18"/>
        </w:rPr>
        <w:t xml:space="preserve"> as an investigator and a woman, </w:t>
      </w:r>
      <w:r w:rsidR="00DD7FAB" w:rsidRPr="00954547">
        <w:rPr>
          <w:rFonts w:ascii="Verdana" w:hAnsi="Verdana"/>
          <w:sz w:val="18"/>
          <w:szCs w:val="18"/>
        </w:rPr>
        <w:t>I consider that I would not have done what [Manuela] did. If she did not want her son, she could haves given him the chance to live; there are people who are unable to have children and desperately want them. The baby found dead and full or worms was a well-formed boy, with light brown skin […] and physically very nice looking</w:t>
      </w:r>
      <w:r w:rsidR="002C1EBA" w:rsidRPr="00954547">
        <w:rPr>
          <w:rFonts w:ascii="Verdana" w:hAnsi="Verdana"/>
          <w:sz w:val="18"/>
          <w:szCs w:val="18"/>
        </w:rPr>
        <w:t>;</w:t>
      </w:r>
      <w:r w:rsidR="00DD7FAB" w:rsidRPr="00954547">
        <w:rPr>
          <w:rFonts w:ascii="Verdana" w:hAnsi="Verdana"/>
          <w:sz w:val="18"/>
          <w:szCs w:val="18"/>
        </w:rPr>
        <w:t xml:space="preserve"> any woman or mother would have raised </w:t>
      </w:r>
      <w:r w:rsidR="002C1EBA" w:rsidRPr="00954547">
        <w:rPr>
          <w:rFonts w:ascii="Verdana" w:hAnsi="Verdana"/>
          <w:sz w:val="18"/>
          <w:szCs w:val="18"/>
        </w:rPr>
        <w:t xml:space="preserve">him </w:t>
      </w:r>
      <w:r w:rsidR="00DD7FAB" w:rsidRPr="00954547">
        <w:rPr>
          <w:rFonts w:ascii="Verdana" w:hAnsi="Verdana"/>
          <w:sz w:val="18"/>
          <w:szCs w:val="18"/>
        </w:rPr>
        <w:t>with love</w:t>
      </w:r>
      <w:r w:rsidR="00F3717A" w:rsidRPr="00954547">
        <w:rPr>
          <w:rFonts w:ascii="Verdana" w:hAnsi="Verdana"/>
          <w:sz w:val="18"/>
          <w:szCs w:val="18"/>
        </w:rPr>
        <w:t xml:space="preserve"> […]</w:t>
      </w:r>
      <w:r w:rsidR="00DD7FAB" w:rsidRPr="00954547">
        <w:rPr>
          <w:rFonts w:ascii="Verdana" w:hAnsi="Verdana"/>
          <w:sz w:val="18"/>
          <w:szCs w:val="18"/>
        </w:rPr>
        <w:t>.</w:t>
      </w:r>
      <w:r w:rsidR="00F3717A" w:rsidRPr="00954547">
        <w:rPr>
          <w:rStyle w:val="FootnoteReference"/>
          <w:rFonts w:ascii="Verdana" w:hAnsi="Verdana"/>
          <w:sz w:val="18"/>
          <w:szCs w:val="18"/>
        </w:rPr>
        <w:footnoteReference w:id="252"/>
      </w:r>
      <w:r w:rsidR="00F3717A" w:rsidRPr="00954547">
        <w:rPr>
          <w:rFonts w:ascii="Verdana" w:hAnsi="Verdana"/>
          <w:sz w:val="18"/>
          <w:szCs w:val="18"/>
        </w:rPr>
        <w:t xml:space="preserve"> </w:t>
      </w:r>
      <w:r w:rsidR="00DD7FAB" w:rsidRPr="00954547">
        <w:rPr>
          <w:rFonts w:ascii="Verdana" w:hAnsi="Verdana"/>
          <w:sz w:val="18"/>
          <w:szCs w:val="18"/>
        </w:rPr>
        <w:t xml:space="preserve"> </w:t>
      </w:r>
    </w:p>
    <w:p w14:paraId="1F762A86" w14:textId="6B5470A1" w:rsidR="00F3717A" w:rsidRPr="00954547" w:rsidRDefault="0081103A" w:rsidP="00386B24">
      <w:pPr>
        <w:pStyle w:val="Numberedparagraphs"/>
        <w:tabs>
          <w:tab w:val="left" w:pos="567"/>
        </w:tabs>
        <w:rPr>
          <w:color w:val="auto"/>
          <w:lang w:val="en-US"/>
        </w:rPr>
      </w:pPr>
      <w:r w:rsidRPr="00954547">
        <w:rPr>
          <w:color w:val="auto"/>
          <w:lang w:val="en-US"/>
        </w:rPr>
        <w:t>These</w:t>
      </w:r>
      <w:r w:rsidR="00F3717A" w:rsidRPr="00954547">
        <w:rPr>
          <w:color w:val="auto"/>
          <w:lang w:val="en-US"/>
        </w:rPr>
        <w:t xml:space="preserve"> </w:t>
      </w:r>
      <w:r w:rsidR="00B8393C" w:rsidRPr="00954547">
        <w:rPr>
          <w:color w:val="auto"/>
          <w:lang w:val="en-US"/>
        </w:rPr>
        <w:t>considerations</w:t>
      </w:r>
      <w:r w:rsidR="00F3717A" w:rsidRPr="00954547">
        <w:rPr>
          <w:color w:val="auto"/>
          <w:lang w:val="en-US"/>
        </w:rPr>
        <w:t xml:space="preserve"> </w:t>
      </w:r>
      <w:r w:rsidRPr="00954547">
        <w:rPr>
          <w:color w:val="auto"/>
          <w:lang w:val="en-US"/>
        </w:rPr>
        <w:t xml:space="preserve">were transcribed in the order requiring the formal opening of the preliminary proceedings with the order for Manuela’s </w:t>
      </w:r>
      <w:r w:rsidR="00495E4B" w:rsidRPr="00954547">
        <w:rPr>
          <w:color w:val="auto"/>
          <w:lang w:val="en-US"/>
        </w:rPr>
        <w:t>pretrial detention</w:t>
      </w:r>
      <w:r w:rsidRPr="00954547">
        <w:rPr>
          <w:color w:val="auto"/>
          <w:lang w:val="en-US"/>
        </w:rPr>
        <w:t>.</w:t>
      </w:r>
      <w:r w:rsidR="00F3717A" w:rsidRPr="00954547">
        <w:rPr>
          <w:rStyle w:val="FootnoteReference"/>
          <w:color w:val="auto"/>
          <w:lang w:val="en-US"/>
        </w:rPr>
        <w:footnoteReference w:id="253"/>
      </w:r>
      <w:r w:rsidR="00F3717A" w:rsidRPr="00954547">
        <w:rPr>
          <w:color w:val="auto"/>
          <w:lang w:val="en-US"/>
        </w:rPr>
        <w:t xml:space="preserve"> </w:t>
      </w:r>
    </w:p>
    <w:p w14:paraId="134A25E2" w14:textId="7B2DF551" w:rsidR="00F3717A" w:rsidRPr="00954547" w:rsidRDefault="00E76B1A" w:rsidP="00BC3345">
      <w:pPr>
        <w:pStyle w:val="Numberedparagraphs"/>
        <w:tabs>
          <w:tab w:val="left" w:pos="567"/>
        </w:tabs>
        <w:rPr>
          <w:color w:val="auto"/>
          <w:lang w:val="en-US"/>
        </w:rPr>
      </w:pPr>
      <w:r w:rsidRPr="00954547">
        <w:rPr>
          <w:color w:val="auto"/>
          <w:lang w:val="en-US"/>
        </w:rPr>
        <w:t>The Court</w:t>
      </w:r>
      <w:r w:rsidR="00F3717A" w:rsidRPr="00954547">
        <w:rPr>
          <w:color w:val="auto"/>
          <w:lang w:val="en-US"/>
        </w:rPr>
        <w:t xml:space="preserve"> </w:t>
      </w:r>
      <w:r w:rsidR="0081103A" w:rsidRPr="00954547">
        <w:rPr>
          <w:color w:val="auto"/>
          <w:lang w:val="en-US"/>
        </w:rPr>
        <w:t xml:space="preserve">notes, first, that these </w:t>
      </w:r>
      <w:r w:rsidR="00B8393C" w:rsidRPr="00954547">
        <w:rPr>
          <w:color w:val="auto"/>
          <w:lang w:val="en-US"/>
        </w:rPr>
        <w:t>considerations</w:t>
      </w:r>
      <w:r w:rsidR="00F3717A" w:rsidRPr="00954547">
        <w:rPr>
          <w:color w:val="auto"/>
          <w:lang w:val="en-US"/>
        </w:rPr>
        <w:t xml:space="preserve"> </w:t>
      </w:r>
      <w:r w:rsidR="0081103A" w:rsidRPr="00954547">
        <w:rPr>
          <w:color w:val="auto"/>
          <w:lang w:val="en-US"/>
        </w:rPr>
        <w:t xml:space="preserve">are based on the assumption that </w:t>
      </w:r>
      <w:r w:rsidR="00A83087" w:rsidRPr="00954547">
        <w:rPr>
          <w:color w:val="auto"/>
          <w:lang w:val="en-US"/>
        </w:rPr>
        <w:t xml:space="preserve">Manuela </w:t>
      </w:r>
      <w:r w:rsidR="0081103A" w:rsidRPr="00954547">
        <w:rPr>
          <w:color w:val="auto"/>
          <w:lang w:val="en-US"/>
        </w:rPr>
        <w:t xml:space="preserve">was responsible for the </w:t>
      </w:r>
      <w:r w:rsidR="002C1EBA" w:rsidRPr="00954547">
        <w:rPr>
          <w:color w:val="auto"/>
          <w:lang w:val="en-US"/>
        </w:rPr>
        <w:t>crime</w:t>
      </w:r>
      <w:r w:rsidR="0081103A" w:rsidRPr="00954547">
        <w:rPr>
          <w:color w:val="auto"/>
          <w:lang w:val="en-US"/>
        </w:rPr>
        <w:t xml:space="preserve"> she was accused of, because they reveal an evident bias concerning Manuela’s guilt and this, in turn, creates doubts about the objectivity of the investigation. In addition, they represent a personal opinion of the investigator based on preconceived ideas with regard to the role of women and maternity. These are ideas based on stereotypes that condition a woman’s value to being a mother and, therefore, assume that women who decide not to be mother</w:t>
      </w:r>
      <w:r w:rsidR="002C1EBA" w:rsidRPr="00954547">
        <w:rPr>
          <w:color w:val="auto"/>
          <w:lang w:val="en-US"/>
        </w:rPr>
        <w:t>s</w:t>
      </w:r>
      <w:r w:rsidR="0081103A" w:rsidRPr="00954547">
        <w:rPr>
          <w:color w:val="auto"/>
          <w:lang w:val="en-US"/>
        </w:rPr>
        <w:t xml:space="preserve"> </w:t>
      </w:r>
      <w:r w:rsidR="00BC3345" w:rsidRPr="00954547">
        <w:rPr>
          <w:color w:val="auto"/>
          <w:lang w:val="en-US"/>
        </w:rPr>
        <w:t>have less worth tha</w:t>
      </w:r>
      <w:r w:rsidR="002C1EBA" w:rsidRPr="00954547">
        <w:rPr>
          <w:color w:val="auto"/>
          <w:lang w:val="en-US"/>
        </w:rPr>
        <w:t>n</w:t>
      </w:r>
      <w:r w:rsidR="00BC3345" w:rsidRPr="00954547">
        <w:rPr>
          <w:color w:val="auto"/>
          <w:lang w:val="en-US"/>
        </w:rPr>
        <w:t xml:space="preserve"> the others, or are undesirable</w:t>
      </w:r>
      <w:r w:rsidR="002C1EBA" w:rsidRPr="00954547">
        <w:rPr>
          <w:color w:val="auto"/>
          <w:lang w:val="en-US"/>
        </w:rPr>
        <w:t xml:space="preserve"> persons</w:t>
      </w:r>
      <w:r w:rsidR="00BC3345" w:rsidRPr="00954547">
        <w:rPr>
          <w:color w:val="auto"/>
          <w:lang w:val="en-US"/>
        </w:rPr>
        <w:t>. In addition, this imposes on women the responsibility of prioritizing the well-being of their children, even over their own well-being, regardless of the circumstances</w:t>
      </w:r>
      <w:r w:rsidR="009C4B10" w:rsidRPr="00954547">
        <w:rPr>
          <w:lang w:val="en-US"/>
        </w:rPr>
        <w:t>.</w:t>
      </w:r>
    </w:p>
    <w:p w14:paraId="02927811" w14:textId="2D291784" w:rsidR="00F3717A" w:rsidRPr="00954547" w:rsidRDefault="00BC3345" w:rsidP="00386B24">
      <w:pPr>
        <w:pStyle w:val="Numberedparagraphs"/>
        <w:tabs>
          <w:tab w:val="left" w:pos="567"/>
        </w:tabs>
        <w:rPr>
          <w:color w:val="auto"/>
          <w:lang w:val="en-US"/>
        </w:rPr>
      </w:pPr>
      <w:r w:rsidRPr="00954547">
        <w:rPr>
          <w:lang w:val="en-US"/>
        </w:rPr>
        <w:t>In this regard, the Court stresses that such gender stereotyping is incompatible with international human rights law.</w:t>
      </w:r>
      <w:r w:rsidR="00F3717A" w:rsidRPr="00954547">
        <w:rPr>
          <w:rStyle w:val="FootnoteReference"/>
          <w:lang w:val="en-US"/>
        </w:rPr>
        <w:footnoteReference w:id="254"/>
      </w:r>
      <w:r w:rsidRPr="00954547">
        <w:rPr>
          <w:lang w:val="en-US"/>
        </w:rPr>
        <w:t xml:space="preserve"> The Court also reiterates that the use of stereotyping by state authorities is particularly worrying</w:t>
      </w:r>
      <w:r w:rsidR="00F3717A" w:rsidRPr="00954547">
        <w:rPr>
          <w:rStyle w:val="FootnoteReference"/>
          <w:color w:val="auto"/>
          <w:lang w:val="en-US"/>
        </w:rPr>
        <w:footnoteReference w:id="255"/>
      </w:r>
      <w:r w:rsidR="0078694F" w:rsidRPr="00954547">
        <w:rPr>
          <w:color w:val="auto"/>
          <w:lang w:val="en-US"/>
        </w:rPr>
        <w:t xml:space="preserve"> and</w:t>
      </w:r>
      <w:r w:rsidRPr="00954547">
        <w:rPr>
          <w:color w:val="auto"/>
          <w:lang w:val="en-US"/>
        </w:rPr>
        <w:t xml:space="preserve">, therefore, </w:t>
      </w:r>
      <w:r w:rsidR="00C17646" w:rsidRPr="00954547">
        <w:rPr>
          <w:color w:val="auto"/>
          <w:lang w:val="en-US"/>
        </w:rPr>
        <w:t>measure</w:t>
      </w:r>
      <w:r w:rsidR="002C1EBA" w:rsidRPr="00954547">
        <w:rPr>
          <w:color w:val="auto"/>
          <w:lang w:val="en-US"/>
        </w:rPr>
        <w:t>s</w:t>
      </w:r>
      <w:r w:rsidR="00C17646" w:rsidRPr="00954547">
        <w:rPr>
          <w:color w:val="auto"/>
          <w:lang w:val="en-US"/>
        </w:rPr>
        <w:t xml:space="preserve"> to eliminate it should be taken immediately.</w:t>
      </w:r>
    </w:p>
    <w:p w14:paraId="0E33576A" w14:textId="684956B7" w:rsidR="00DB0174" w:rsidRPr="00954547" w:rsidRDefault="00C17646" w:rsidP="00F546F2">
      <w:pPr>
        <w:pStyle w:val="Numberedparagraphs"/>
        <w:tabs>
          <w:tab w:val="left" w:pos="567"/>
        </w:tabs>
        <w:rPr>
          <w:lang w:val="en-US"/>
        </w:rPr>
      </w:pPr>
      <w:r w:rsidRPr="00954547">
        <w:rPr>
          <w:color w:val="auto"/>
          <w:lang w:val="en-US"/>
        </w:rPr>
        <w:t>Based on the above</w:t>
      </w:r>
      <w:r w:rsidR="00DB0174" w:rsidRPr="00954547">
        <w:rPr>
          <w:color w:val="auto"/>
          <w:lang w:val="en-US"/>
        </w:rPr>
        <w:t xml:space="preserve">, </w:t>
      </w:r>
      <w:r w:rsidR="00E76B1A" w:rsidRPr="00954547">
        <w:rPr>
          <w:color w:val="auto"/>
          <w:lang w:val="en-US"/>
        </w:rPr>
        <w:t>the Court</w:t>
      </w:r>
      <w:r w:rsidR="00DB0174" w:rsidRPr="00954547">
        <w:rPr>
          <w:color w:val="auto"/>
          <w:lang w:val="en-US"/>
        </w:rPr>
        <w:t xml:space="preserve"> consider</w:t>
      </w:r>
      <w:r w:rsidRPr="00954547">
        <w:rPr>
          <w:color w:val="auto"/>
          <w:lang w:val="en-US"/>
        </w:rPr>
        <w:t xml:space="preserve">s that Manuela’s guilt was presumed from the very start of the investigation. Moreover, little effort was made to determine the truth of what happened and to take into account the probative elements that could </w:t>
      </w:r>
      <w:r w:rsidR="006257BD" w:rsidRPr="00954547">
        <w:rPr>
          <w:color w:val="auto"/>
          <w:lang w:val="en-US"/>
        </w:rPr>
        <w:t xml:space="preserve">have </w:t>
      </w:r>
      <w:r w:rsidRPr="00954547">
        <w:rPr>
          <w:color w:val="auto"/>
          <w:lang w:val="en-US"/>
        </w:rPr>
        <w:t>disprove</w:t>
      </w:r>
      <w:r w:rsidR="006257BD" w:rsidRPr="00954547">
        <w:rPr>
          <w:color w:val="auto"/>
          <w:lang w:val="en-US"/>
        </w:rPr>
        <w:t>d</w:t>
      </w:r>
      <w:r w:rsidRPr="00954547">
        <w:rPr>
          <w:color w:val="auto"/>
          <w:lang w:val="en-US"/>
        </w:rPr>
        <w:t xml:space="preserve"> the thesis of the presumed victim’s guilt. This attitude was also encouraged by the investigators</w:t>
      </w:r>
      <w:r w:rsidR="006257BD" w:rsidRPr="00954547">
        <w:rPr>
          <w:color w:val="auto"/>
          <w:lang w:val="en-US"/>
        </w:rPr>
        <w:t>’ prejudices</w:t>
      </w:r>
      <w:r w:rsidRPr="00954547">
        <w:rPr>
          <w:color w:val="auto"/>
          <w:lang w:val="en-US"/>
        </w:rPr>
        <w:t xml:space="preserve"> against women who do not </w:t>
      </w:r>
      <w:r w:rsidR="006257BD" w:rsidRPr="00954547">
        <w:rPr>
          <w:color w:val="auto"/>
          <w:lang w:val="en-US"/>
        </w:rPr>
        <w:t>comply with</w:t>
      </w:r>
      <w:r w:rsidR="00F546F2" w:rsidRPr="00954547">
        <w:rPr>
          <w:color w:val="auto"/>
          <w:lang w:val="en-US"/>
        </w:rPr>
        <w:t xml:space="preserve"> the role of self-sacrificing mothers who must always seek to protect their children. The prejudices and negative gender stereotyping affected the objectivity of the agents in charge of the investigations, closing possible lines of investigation into the actual circumstances</w:t>
      </w:r>
      <w:r w:rsidR="00F546F2" w:rsidRPr="00954547">
        <w:rPr>
          <w:lang w:val="en-US"/>
        </w:rPr>
        <w:t>.</w:t>
      </w:r>
      <w:r w:rsidR="00DB0174" w:rsidRPr="00954547">
        <w:rPr>
          <w:rStyle w:val="FootnoteReference"/>
          <w:lang w:val="en-US"/>
        </w:rPr>
        <w:footnoteReference w:id="256"/>
      </w:r>
      <w:r w:rsidR="00DB0174" w:rsidRPr="00954547">
        <w:rPr>
          <w:lang w:val="en-US"/>
        </w:rPr>
        <w:t xml:space="preserve"> </w:t>
      </w:r>
      <w:r w:rsidR="00E76B1A" w:rsidRPr="00954547">
        <w:rPr>
          <w:lang w:val="en-US"/>
        </w:rPr>
        <w:t>The Court</w:t>
      </w:r>
      <w:r w:rsidR="00DB0174" w:rsidRPr="00954547">
        <w:rPr>
          <w:lang w:val="en-US"/>
        </w:rPr>
        <w:t xml:space="preserve"> a</w:t>
      </w:r>
      <w:r w:rsidR="00F546F2" w:rsidRPr="00954547">
        <w:rPr>
          <w:lang w:val="en-US"/>
        </w:rPr>
        <w:t xml:space="preserve">lso notes that, in this case, the failings in the investigation </w:t>
      </w:r>
      <w:r w:rsidR="000A2350" w:rsidRPr="00954547">
        <w:rPr>
          <w:lang w:val="en-US"/>
        </w:rPr>
        <w:t>correspond to</w:t>
      </w:r>
      <w:r w:rsidR="00F546F2" w:rsidRPr="00954547">
        <w:rPr>
          <w:lang w:val="en-US"/>
        </w:rPr>
        <w:t xml:space="preserve"> the context previously determined by the Court (</w:t>
      </w:r>
      <w:r w:rsidR="00DB0174" w:rsidRPr="00954547">
        <w:rPr>
          <w:i/>
          <w:lang w:val="en-US"/>
        </w:rPr>
        <w:t xml:space="preserve">supra </w:t>
      </w:r>
      <w:r w:rsidR="00B10E5A" w:rsidRPr="00954547">
        <w:rPr>
          <w:lang w:val="en-US"/>
        </w:rPr>
        <w:t>para.</w:t>
      </w:r>
      <w:r w:rsidR="007334C4" w:rsidRPr="00954547">
        <w:rPr>
          <w:lang w:val="en-US"/>
        </w:rPr>
        <w:t xml:space="preserve"> </w:t>
      </w:r>
      <w:r w:rsidR="007334C4" w:rsidRPr="00954547">
        <w:rPr>
          <w:lang w:val="en-US"/>
        </w:rPr>
        <w:fldChar w:fldCharType="begin"/>
      </w:r>
      <w:r w:rsidR="007334C4" w:rsidRPr="00954547">
        <w:rPr>
          <w:lang w:val="en-US"/>
        </w:rPr>
        <w:instrText xml:space="preserve"> REF _Ref87977386 \r \h </w:instrText>
      </w:r>
      <w:r w:rsidR="00793F65" w:rsidRPr="00954547">
        <w:rPr>
          <w:lang w:val="en-US"/>
        </w:rPr>
        <w:instrText xml:space="preserve"> \* MERGEFORMAT </w:instrText>
      </w:r>
      <w:r w:rsidR="007334C4" w:rsidRPr="00954547">
        <w:rPr>
          <w:lang w:val="en-US"/>
        </w:rPr>
      </w:r>
      <w:r w:rsidR="007334C4" w:rsidRPr="00954547">
        <w:rPr>
          <w:lang w:val="en-US"/>
        </w:rPr>
        <w:fldChar w:fldCharType="separate"/>
      </w:r>
      <w:r w:rsidR="000E4488" w:rsidRPr="00954547">
        <w:rPr>
          <w:lang w:val="en-US"/>
        </w:rPr>
        <w:t>44</w:t>
      </w:r>
      <w:r w:rsidR="007334C4" w:rsidRPr="00954547">
        <w:rPr>
          <w:lang w:val="en-US"/>
        </w:rPr>
        <w:fldChar w:fldCharType="end"/>
      </w:r>
      <w:r w:rsidR="00DB0174" w:rsidRPr="00954547">
        <w:rPr>
          <w:lang w:val="en-US"/>
        </w:rPr>
        <w:t>)</w:t>
      </w:r>
      <w:r w:rsidR="001C7150" w:rsidRPr="00954547">
        <w:rPr>
          <w:lang w:val="en-US"/>
        </w:rPr>
        <w:t xml:space="preserve">, </w:t>
      </w:r>
      <w:r w:rsidR="000A2350" w:rsidRPr="00954547">
        <w:rPr>
          <w:lang w:val="en-US"/>
        </w:rPr>
        <w:t xml:space="preserve">in which, frequently, </w:t>
      </w:r>
      <w:r w:rsidR="006257BD" w:rsidRPr="00954547">
        <w:rPr>
          <w:lang w:val="en-US"/>
        </w:rPr>
        <w:t xml:space="preserve">no investigation is conducted into </w:t>
      </w:r>
      <w:r w:rsidR="000A2350" w:rsidRPr="00954547">
        <w:rPr>
          <w:lang w:val="en-US"/>
        </w:rPr>
        <w:t xml:space="preserve">the possibility that the mother is not responsible for causing the death </w:t>
      </w:r>
      <w:r w:rsidR="006257BD" w:rsidRPr="00954547">
        <w:rPr>
          <w:lang w:val="en-US"/>
        </w:rPr>
        <w:t xml:space="preserve">of which </w:t>
      </w:r>
      <w:r w:rsidR="000A2350" w:rsidRPr="00954547">
        <w:rPr>
          <w:lang w:val="en-US"/>
        </w:rPr>
        <w:t xml:space="preserve">she is accused. </w:t>
      </w:r>
    </w:p>
    <w:p w14:paraId="689FC616" w14:textId="1E8ED02C" w:rsidR="00DD0116" w:rsidRPr="00954547" w:rsidRDefault="00DD0116" w:rsidP="007F0666">
      <w:pPr>
        <w:pStyle w:val="Heading4"/>
        <w:rPr>
          <w:lang w:val="en-US"/>
        </w:rPr>
      </w:pPr>
      <w:r w:rsidRPr="00954547">
        <w:rPr>
          <w:lang w:val="en-US"/>
        </w:rPr>
        <w:t>B.</w:t>
      </w:r>
      <w:r w:rsidR="00F8553A" w:rsidRPr="00954547">
        <w:rPr>
          <w:lang w:val="en-US"/>
        </w:rPr>
        <w:t>2</w:t>
      </w:r>
      <w:r w:rsidRPr="00954547">
        <w:rPr>
          <w:lang w:val="en-US"/>
        </w:rPr>
        <w:t xml:space="preserve">.b </w:t>
      </w:r>
      <w:r w:rsidR="000A2350" w:rsidRPr="00954547">
        <w:rPr>
          <w:lang w:val="en-US"/>
        </w:rPr>
        <w:t xml:space="preserve">The reasoning </w:t>
      </w:r>
      <w:r w:rsidR="006257BD" w:rsidRPr="00954547">
        <w:rPr>
          <w:lang w:val="en-US"/>
        </w:rPr>
        <w:t>behind</w:t>
      </w:r>
      <w:r w:rsidR="000A2350" w:rsidRPr="00954547">
        <w:rPr>
          <w:lang w:val="en-US"/>
        </w:rPr>
        <w:t xml:space="preserve"> the</w:t>
      </w:r>
      <w:r w:rsidRPr="00954547">
        <w:rPr>
          <w:lang w:val="en-US"/>
        </w:rPr>
        <w:t xml:space="preserve"> </w:t>
      </w:r>
      <w:r w:rsidR="000A2350" w:rsidRPr="00954547">
        <w:rPr>
          <w:lang w:val="en-US"/>
        </w:rPr>
        <w:t>g</w:t>
      </w:r>
      <w:r w:rsidR="00EE7DEB" w:rsidRPr="00954547">
        <w:rPr>
          <w:lang w:val="en-US"/>
        </w:rPr>
        <w:t>uilty verdict</w:t>
      </w:r>
    </w:p>
    <w:p w14:paraId="588D0369" w14:textId="55526122" w:rsidR="0085158E" w:rsidRPr="00954547" w:rsidRDefault="000A2350" w:rsidP="00C11C05">
      <w:pPr>
        <w:pStyle w:val="Numberedparagraphs"/>
        <w:tabs>
          <w:tab w:val="left" w:pos="567"/>
        </w:tabs>
        <w:rPr>
          <w:lang w:val="en-US"/>
        </w:rPr>
      </w:pPr>
      <w:r w:rsidRPr="00954547">
        <w:rPr>
          <w:lang w:val="en-US"/>
        </w:rPr>
        <w:t xml:space="preserve">In this regard, it should be recalled that this Court does not constitute a fourth instance that can assess the evidence </w:t>
      </w:r>
      <w:r w:rsidR="00310E89" w:rsidRPr="00954547">
        <w:rPr>
          <w:lang w:val="en-US"/>
        </w:rPr>
        <w:t>concerning</w:t>
      </w:r>
      <w:r w:rsidRPr="00954547">
        <w:rPr>
          <w:lang w:val="en-US"/>
        </w:rPr>
        <w:t xml:space="preserve"> </w:t>
      </w:r>
      <w:r w:rsidR="00C11C05" w:rsidRPr="00954547">
        <w:rPr>
          <w:lang w:val="en-US"/>
        </w:rPr>
        <w:t>the possible guilt or innocence of</w:t>
      </w:r>
      <w:r w:rsidRPr="00954547">
        <w:rPr>
          <w:lang w:val="en-US"/>
        </w:rPr>
        <w:t xml:space="preserve"> the presumed victim</w:t>
      </w:r>
      <w:r w:rsidR="00C11C05" w:rsidRPr="00954547">
        <w:rPr>
          <w:lang w:val="en-US"/>
        </w:rPr>
        <w:t xml:space="preserve"> in this case.</w:t>
      </w:r>
      <w:r w:rsidR="00147BD9" w:rsidRPr="00954547">
        <w:rPr>
          <w:rStyle w:val="FootnoteReference"/>
          <w:lang w:val="en-US"/>
        </w:rPr>
        <w:footnoteReference w:id="257"/>
      </w:r>
      <w:r w:rsidR="00C11C05" w:rsidRPr="00954547">
        <w:rPr>
          <w:lang w:val="en-US"/>
        </w:rPr>
        <w:t xml:space="preserve"> </w:t>
      </w:r>
      <w:r w:rsidR="00310E89" w:rsidRPr="00954547">
        <w:rPr>
          <w:lang w:val="en-US"/>
        </w:rPr>
        <w:t>Its</w:t>
      </w:r>
      <w:r w:rsidR="00C11C05" w:rsidRPr="00954547">
        <w:rPr>
          <w:lang w:val="en-US"/>
        </w:rPr>
        <w:t xml:space="preserve"> purpose is not to determine </w:t>
      </w:r>
      <w:r w:rsidR="00310E89" w:rsidRPr="00954547">
        <w:rPr>
          <w:lang w:val="en-US"/>
        </w:rPr>
        <w:t>Manuela’s</w:t>
      </w:r>
      <w:r w:rsidR="00C11C05" w:rsidRPr="00954547">
        <w:rPr>
          <w:lang w:val="en-US"/>
        </w:rPr>
        <w:t xml:space="preserve"> innocence or guilt, but rather to decide whether the judicial authorities violated obligations established in the Convention; particularly, the obligation to provide the reasons for a decision, the principle of presumption of innocence</w:t>
      </w:r>
      <w:r w:rsidR="00310E89" w:rsidRPr="00954547">
        <w:rPr>
          <w:lang w:val="en-US"/>
        </w:rPr>
        <w:t>,</w:t>
      </w:r>
      <w:r w:rsidR="0078694F" w:rsidRPr="00954547">
        <w:rPr>
          <w:lang w:val="en-US"/>
        </w:rPr>
        <w:t xml:space="preserve"> and </w:t>
      </w:r>
      <w:r w:rsidR="00C11C05" w:rsidRPr="00954547">
        <w:rPr>
          <w:color w:val="auto"/>
          <w:lang w:val="en-US"/>
        </w:rPr>
        <w:t>the right to be tried by an impartial court.</w:t>
      </w:r>
    </w:p>
    <w:p w14:paraId="7C5B4CD3" w14:textId="1B33A419" w:rsidR="00635003" w:rsidRPr="00954547" w:rsidRDefault="00C11C05" w:rsidP="003D33FD">
      <w:pPr>
        <w:pStyle w:val="Numberedparagraphs"/>
        <w:tabs>
          <w:tab w:val="left" w:pos="567"/>
        </w:tabs>
        <w:rPr>
          <w:lang w:val="en-US"/>
        </w:rPr>
      </w:pPr>
      <w:r w:rsidRPr="00954547">
        <w:rPr>
          <w:lang w:val="en-US"/>
        </w:rPr>
        <w:t>The duty to state</w:t>
      </w:r>
      <w:r w:rsidR="00310E89" w:rsidRPr="00954547">
        <w:rPr>
          <w:lang w:val="en-US"/>
        </w:rPr>
        <w:t xml:space="preserve"> the</w:t>
      </w:r>
      <w:r w:rsidRPr="00954547">
        <w:rPr>
          <w:lang w:val="en-US"/>
        </w:rPr>
        <w:t xml:space="preserve"> reasons</w:t>
      </w:r>
      <w:r w:rsidR="00310E89" w:rsidRPr="00954547">
        <w:rPr>
          <w:lang w:val="en-US"/>
        </w:rPr>
        <w:t xml:space="preserve"> for a decision</w:t>
      </w:r>
      <w:r w:rsidRPr="00954547">
        <w:rPr>
          <w:lang w:val="en-US"/>
        </w:rPr>
        <w:t xml:space="preserve"> is one of the “due guarantees” included in </w:t>
      </w:r>
      <w:r w:rsidR="00A17F8C" w:rsidRPr="00954547">
        <w:rPr>
          <w:lang w:val="en-US"/>
        </w:rPr>
        <w:t>Article</w:t>
      </w:r>
      <w:r w:rsidR="00635003" w:rsidRPr="00954547">
        <w:rPr>
          <w:lang w:val="en-US"/>
        </w:rPr>
        <w:t xml:space="preserve"> </w:t>
      </w:r>
      <w:r w:rsidR="00A17F8C" w:rsidRPr="00954547">
        <w:rPr>
          <w:lang w:val="en-US"/>
        </w:rPr>
        <w:t>8(1)</w:t>
      </w:r>
      <w:r w:rsidR="00635003" w:rsidRPr="00954547">
        <w:rPr>
          <w:lang w:val="en-US"/>
        </w:rPr>
        <w:t xml:space="preserve"> </w:t>
      </w:r>
      <w:r w:rsidRPr="00954547">
        <w:rPr>
          <w:lang w:val="en-US"/>
        </w:rPr>
        <w:t>to safeguard the right to due process.</w:t>
      </w:r>
      <w:r w:rsidR="00635003" w:rsidRPr="00954547">
        <w:rPr>
          <w:vertAlign w:val="superscript"/>
          <w:lang w:val="en-US"/>
        </w:rPr>
        <w:footnoteReference w:id="258"/>
      </w:r>
      <w:r w:rsidR="00635003" w:rsidRPr="00954547">
        <w:rPr>
          <w:lang w:val="en-US"/>
        </w:rPr>
        <w:t xml:space="preserve"> </w:t>
      </w:r>
      <w:r w:rsidR="00E76B1A" w:rsidRPr="00954547">
        <w:rPr>
          <w:lang w:val="en-US"/>
        </w:rPr>
        <w:t>The Court</w:t>
      </w:r>
      <w:r w:rsidR="00635003" w:rsidRPr="00954547">
        <w:rPr>
          <w:lang w:val="en-US"/>
        </w:rPr>
        <w:t xml:space="preserve"> ha</w:t>
      </w:r>
      <w:r w:rsidRPr="00954547">
        <w:rPr>
          <w:lang w:val="en-US"/>
        </w:rPr>
        <w:t xml:space="preserve">s established that the statement of reasons is the </w:t>
      </w:r>
      <w:r w:rsidR="003D33FD" w:rsidRPr="00954547">
        <w:rPr>
          <w:lang w:val="en-US"/>
        </w:rPr>
        <w:t>externalization of the reasoned justification that allows a conclusion to be reached</w:t>
      </w:r>
      <w:r w:rsidR="00635003" w:rsidRPr="00954547">
        <w:rPr>
          <w:vertAlign w:val="superscript"/>
          <w:lang w:val="en-US"/>
        </w:rPr>
        <w:footnoteReference w:id="259"/>
      </w:r>
      <w:r w:rsidR="0078694F" w:rsidRPr="00954547">
        <w:rPr>
          <w:lang w:val="en-US"/>
        </w:rPr>
        <w:t xml:space="preserve"> and </w:t>
      </w:r>
      <w:r w:rsidR="003D33FD" w:rsidRPr="00954547">
        <w:rPr>
          <w:lang w:val="en-US"/>
        </w:rPr>
        <w:t xml:space="preserve">entails a rational presentation of the reasons that led the judge to take a decision. The relevance of this guarantee </w:t>
      </w:r>
      <w:r w:rsidR="00310E89" w:rsidRPr="00954547">
        <w:rPr>
          <w:lang w:val="en-US"/>
        </w:rPr>
        <w:t>relates</w:t>
      </w:r>
      <w:r w:rsidR="003D33FD" w:rsidRPr="00954547">
        <w:rPr>
          <w:lang w:val="en-US"/>
        </w:rPr>
        <w:t xml:space="preserve"> to the correct administration of justice and </w:t>
      </w:r>
      <w:r w:rsidR="00310E89" w:rsidRPr="00954547">
        <w:rPr>
          <w:lang w:val="en-US"/>
        </w:rPr>
        <w:t xml:space="preserve">the avoidance of </w:t>
      </w:r>
      <w:r w:rsidR="003D33FD" w:rsidRPr="00954547">
        <w:rPr>
          <w:lang w:val="en-US"/>
        </w:rPr>
        <w:t>arbitrary decisions. Furthermore, the statement of reasons provides credibility to legal decisions within a democratic society and indicates to the parties that they have been heard.</w:t>
      </w:r>
      <w:r w:rsidR="00635003" w:rsidRPr="00954547">
        <w:rPr>
          <w:vertAlign w:val="superscript"/>
          <w:lang w:val="en-US"/>
        </w:rPr>
        <w:footnoteReference w:id="260"/>
      </w:r>
    </w:p>
    <w:p w14:paraId="2EE1DB5A" w14:textId="2324A63D" w:rsidR="00635003" w:rsidRPr="00954547" w:rsidRDefault="00B6194C" w:rsidP="00A638A5">
      <w:pPr>
        <w:pStyle w:val="Numberedparagraphs"/>
        <w:tabs>
          <w:tab w:val="left" w:pos="567"/>
        </w:tabs>
        <w:rPr>
          <w:lang w:val="en-US"/>
        </w:rPr>
      </w:pPr>
      <w:r w:rsidRPr="00954547">
        <w:rPr>
          <w:lang w:val="en-US"/>
        </w:rPr>
        <w:t>As</w:t>
      </w:r>
      <w:r w:rsidR="00560FBB" w:rsidRPr="00954547">
        <w:rPr>
          <w:lang w:val="en-US"/>
        </w:rPr>
        <w:t xml:space="preserve"> a guarantee for the </w:t>
      </w:r>
      <w:r w:rsidR="00310E89" w:rsidRPr="00954547">
        <w:rPr>
          <w:lang w:val="en-US"/>
        </w:rPr>
        <w:t>defendant</w:t>
      </w:r>
      <w:r w:rsidRPr="00954547">
        <w:rPr>
          <w:lang w:val="en-US"/>
        </w:rPr>
        <w:t xml:space="preserve"> in criminal proceedings</w:t>
      </w:r>
      <w:r w:rsidR="00560FBB" w:rsidRPr="00954547">
        <w:rPr>
          <w:lang w:val="en-US"/>
        </w:rPr>
        <w:t xml:space="preserve">, the statement of reasons is also addressed at ensuring the principle of </w:t>
      </w:r>
      <w:r w:rsidR="00560FBB" w:rsidRPr="00954547">
        <w:rPr>
          <w:rFonts w:cs="MSTT3132dbeaafO05102100"/>
          <w:lang w:val="en-US"/>
        </w:rPr>
        <w:t xml:space="preserve">presumption of innocence because it allows the individual subject to the punitive powers of the State to understand the reasons why a firm conviction </w:t>
      </w:r>
      <w:r w:rsidRPr="00954547">
        <w:rPr>
          <w:rFonts w:cs="MSTT3132dbeaafO05102100"/>
          <w:lang w:val="en-US"/>
        </w:rPr>
        <w:t xml:space="preserve">was reached </w:t>
      </w:r>
      <w:r w:rsidR="00560FBB" w:rsidRPr="00954547">
        <w:rPr>
          <w:rFonts w:cs="MSTT3132dbeaafO05102100"/>
          <w:lang w:val="en-US"/>
        </w:rPr>
        <w:t xml:space="preserve">concerning the attribution of criminal responsibility, </w:t>
      </w:r>
      <w:r w:rsidRPr="00954547">
        <w:rPr>
          <w:rFonts w:cs="MSTT3132dbeaafO05102100"/>
          <w:lang w:val="en-US"/>
        </w:rPr>
        <w:t>and also</w:t>
      </w:r>
      <w:r w:rsidR="00560FBB" w:rsidRPr="00954547">
        <w:rPr>
          <w:rFonts w:cs="MSTT3132dbeaafO05102100"/>
          <w:lang w:val="en-US"/>
        </w:rPr>
        <w:t xml:space="preserve"> how the evidence was assessed in order to disprove</w:t>
      </w:r>
      <w:r w:rsidRPr="00954547">
        <w:rPr>
          <w:rFonts w:cs="MSTT3132dbeaafO05102100"/>
          <w:lang w:val="en-US"/>
        </w:rPr>
        <w:t xml:space="preserve"> any hypothesis of innocence, and thus confirm or refute the accusatory hypothesis.</w:t>
      </w:r>
      <w:r w:rsidR="00635003" w:rsidRPr="00954547">
        <w:rPr>
          <w:vertAlign w:val="superscript"/>
          <w:lang w:val="en-US"/>
        </w:rPr>
        <w:footnoteReference w:id="261"/>
      </w:r>
      <w:r w:rsidR="00635003" w:rsidRPr="00954547">
        <w:rPr>
          <w:lang w:val="en-US"/>
        </w:rPr>
        <w:t xml:space="preserve"> </w:t>
      </w:r>
      <w:r w:rsidR="00A638A5" w:rsidRPr="00954547">
        <w:rPr>
          <w:lang w:val="en-US"/>
        </w:rPr>
        <w:t>This allow</w:t>
      </w:r>
      <w:r w:rsidR="001A1764" w:rsidRPr="00954547">
        <w:rPr>
          <w:lang w:val="en-US"/>
        </w:rPr>
        <w:t>s</w:t>
      </w:r>
      <w:r w:rsidR="00A638A5" w:rsidRPr="00954547">
        <w:rPr>
          <w:lang w:val="en-US"/>
        </w:rPr>
        <w:t xml:space="preserve"> the </w:t>
      </w:r>
      <w:r w:rsidR="00144817" w:rsidRPr="00954547">
        <w:rPr>
          <w:lang w:val="en-US"/>
        </w:rPr>
        <w:t>presumption of innocence</w:t>
      </w:r>
      <w:r w:rsidR="0078694F" w:rsidRPr="00954547">
        <w:rPr>
          <w:lang w:val="en-US"/>
        </w:rPr>
        <w:t xml:space="preserve"> </w:t>
      </w:r>
      <w:r w:rsidR="00A638A5" w:rsidRPr="00954547">
        <w:rPr>
          <w:lang w:val="en-US"/>
        </w:rPr>
        <w:t xml:space="preserve">to be disproved </w:t>
      </w:r>
      <w:r w:rsidR="0078694F" w:rsidRPr="00954547">
        <w:rPr>
          <w:lang w:val="en-US"/>
        </w:rPr>
        <w:t xml:space="preserve">and </w:t>
      </w:r>
      <w:r w:rsidR="00A638A5" w:rsidRPr="00954547">
        <w:rPr>
          <w:lang w:val="en-US"/>
        </w:rPr>
        <w:t>criminal responsibility</w:t>
      </w:r>
      <w:r w:rsidR="001A1764" w:rsidRPr="00954547">
        <w:rPr>
          <w:lang w:val="en-US"/>
        </w:rPr>
        <w:t xml:space="preserve"> determined</w:t>
      </w:r>
      <w:r w:rsidR="00A638A5" w:rsidRPr="00954547">
        <w:rPr>
          <w:lang w:val="en-US"/>
        </w:rPr>
        <w:t xml:space="preserve"> beyond any reasonable doubt, </w:t>
      </w:r>
      <w:r w:rsidR="001A1764" w:rsidRPr="00954547">
        <w:rPr>
          <w:lang w:val="en-US"/>
        </w:rPr>
        <w:t>and also</w:t>
      </w:r>
      <w:r w:rsidR="00A638A5" w:rsidRPr="00954547">
        <w:rPr>
          <w:lang w:val="en-US"/>
        </w:rPr>
        <w:t xml:space="preserve"> make</w:t>
      </w:r>
      <w:r w:rsidR="001A1764" w:rsidRPr="00954547">
        <w:rPr>
          <w:lang w:val="en-US"/>
        </w:rPr>
        <w:t>s</w:t>
      </w:r>
      <w:r w:rsidR="00A638A5" w:rsidRPr="00954547">
        <w:rPr>
          <w:lang w:val="en-US"/>
        </w:rPr>
        <w:t xml:space="preserve"> it possible to exercise the </w:t>
      </w:r>
      <w:r w:rsidR="00D4015D" w:rsidRPr="00954547">
        <w:rPr>
          <w:lang w:val="en-US"/>
        </w:rPr>
        <w:t>right to defense</w:t>
      </w:r>
      <w:r w:rsidR="00A638A5" w:rsidRPr="00954547">
        <w:rPr>
          <w:lang w:val="en-US"/>
        </w:rPr>
        <w:t xml:space="preserve"> by the ability to appeal the guilty verdict.</w:t>
      </w:r>
      <w:r w:rsidR="00635003" w:rsidRPr="00954547">
        <w:rPr>
          <w:rStyle w:val="FootnoteReference"/>
          <w:snapToGrid w:val="0"/>
          <w:lang w:val="en-US"/>
        </w:rPr>
        <w:footnoteReference w:id="262"/>
      </w:r>
    </w:p>
    <w:p w14:paraId="77F504B7" w14:textId="6362CFA3" w:rsidR="00B37875" w:rsidRPr="00954547" w:rsidRDefault="00A638A5" w:rsidP="00155086">
      <w:pPr>
        <w:pStyle w:val="Numberedparagraphs"/>
        <w:tabs>
          <w:tab w:val="left" w:pos="567"/>
        </w:tabs>
        <w:rPr>
          <w:lang w:val="en-US"/>
        </w:rPr>
      </w:pPr>
      <w:r w:rsidRPr="00954547">
        <w:rPr>
          <w:lang w:val="en-US"/>
        </w:rPr>
        <w:t>In this way, the statement of reasons demonstrates to the parties that they have been heard and, in those cases in which</w:t>
      </w:r>
      <w:r w:rsidR="00225BB9" w:rsidRPr="00954547">
        <w:rPr>
          <w:lang w:val="en-US"/>
        </w:rPr>
        <w:t xml:space="preserve"> the</w:t>
      </w:r>
      <w:r w:rsidRPr="00954547">
        <w:rPr>
          <w:lang w:val="en-US"/>
        </w:rPr>
        <w:t xml:space="preserve"> </w:t>
      </w:r>
      <w:r w:rsidR="00225BB9" w:rsidRPr="00954547">
        <w:rPr>
          <w:lang w:val="en-US"/>
        </w:rPr>
        <w:t>ruling</w:t>
      </w:r>
      <w:r w:rsidR="00155086" w:rsidRPr="00954547">
        <w:rPr>
          <w:lang w:val="en-US"/>
        </w:rPr>
        <w:t xml:space="preserve"> can be appealed, </w:t>
      </w:r>
      <w:r w:rsidR="00225BB9" w:rsidRPr="00954547">
        <w:rPr>
          <w:lang w:val="en-US"/>
        </w:rPr>
        <w:t xml:space="preserve">enables the </w:t>
      </w:r>
      <w:r w:rsidR="001B0355" w:rsidRPr="00954547">
        <w:rPr>
          <w:lang w:val="en-US"/>
        </w:rPr>
        <w:t xml:space="preserve">decision </w:t>
      </w:r>
      <w:r w:rsidR="00225BB9" w:rsidRPr="00954547">
        <w:rPr>
          <w:lang w:val="en-US"/>
        </w:rPr>
        <w:t>to be</w:t>
      </w:r>
      <w:r w:rsidR="00155086" w:rsidRPr="00954547">
        <w:rPr>
          <w:lang w:val="en-US"/>
        </w:rPr>
        <w:t xml:space="preserve"> </w:t>
      </w:r>
      <w:r w:rsidR="001B0355" w:rsidRPr="00954547">
        <w:rPr>
          <w:lang w:val="en-US"/>
        </w:rPr>
        <w:t>challenged</w:t>
      </w:r>
      <w:r w:rsidR="00225BB9" w:rsidRPr="00954547">
        <w:rPr>
          <w:lang w:val="en-US"/>
        </w:rPr>
        <w:t xml:space="preserve"> in order to achieve</w:t>
      </w:r>
      <w:r w:rsidR="00155086" w:rsidRPr="00954547">
        <w:rPr>
          <w:lang w:val="en-US"/>
        </w:rPr>
        <w:t xml:space="preserve"> a fresh examination by </w:t>
      </w:r>
      <w:r w:rsidR="00225BB9" w:rsidRPr="00954547">
        <w:rPr>
          <w:lang w:val="en-US"/>
        </w:rPr>
        <w:t xml:space="preserve">a </w:t>
      </w:r>
      <w:r w:rsidR="00155086" w:rsidRPr="00954547">
        <w:rPr>
          <w:lang w:val="en-US"/>
        </w:rPr>
        <w:t>higher court</w:t>
      </w:r>
      <w:r w:rsidR="00B37875" w:rsidRPr="00954547">
        <w:rPr>
          <w:lang w:val="en-US"/>
        </w:rPr>
        <w:t xml:space="preserve">. </w:t>
      </w:r>
      <w:r w:rsidR="00155086" w:rsidRPr="00954547">
        <w:rPr>
          <w:lang w:val="en-US"/>
        </w:rPr>
        <w:t xml:space="preserve">On this basis, the reasoning that supports a ruling </w:t>
      </w:r>
      <w:r w:rsidR="00225BB9" w:rsidRPr="00954547">
        <w:rPr>
          <w:lang w:val="en-US"/>
        </w:rPr>
        <w:t>or</w:t>
      </w:r>
      <w:r w:rsidR="00155086" w:rsidRPr="00954547">
        <w:rPr>
          <w:lang w:val="en-US"/>
        </w:rPr>
        <w:t xml:space="preserve"> certain administrative proceedings should allow the facts, reasons and laws on which the authority based </w:t>
      </w:r>
      <w:r w:rsidR="001B0355" w:rsidRPr="00954547">
        <w:rPr>
          <w:lang w:val="en-US"/>
        </w:rPr>
        <w:t>itself</w:t>
      </w:r>
      <w:r w:rsidR="00155086" w:rsidRPr="00954547">
        <w:rPr>
          <w:lang w:val="en-US"/>
        </w:rPr>
        <w:t xml:space="preserve"> to take </w:t>
      </w:r>
      <w:r w:rsidR="001B0355" w:rsidRPr="00954547">
        <w:rPr>
          <w:lang w:val="en-US"/>
        </w:rPr>
        <w:t>the</w:t>
      </w:r>
      <w:r w:rsidR="00155086" w:rsidRPr="00954547">
        <w:rPr>
          <w:lang w:val="en-US"/>
        </w:rPr>
        <w:t xml:space="preserve"> decision to be known </w:t>
      </w:r>
      <w:r w:rsidR="001B0355" w:rsidRPr="00954547">
        <w:rPr>
          <w:lang w:val="en-US"/>
        </w:rPr>
        <w:t>so as</w:t>
      </w:r>
      <w:r w:rsidR="00155086" w:rsidRPr="00954547">
        <w:rPr>
          <w:lang w:val="en-US"/>
        </w:rPr>
        <w:t xml:space="preserve"> to rule out any indication of arbitrariness.</w:t>
      </w:r>
      <w:r w:rsidR="00B37875" w:rsidRPr="00954547">
        <w:rPr>
          <w:rStyle w:val="FootnoteReference"/>
          <w:lang w:val="en-US"/>
        </w:rPr>
        <w:footnoteReference w:id="263"/>
      </w:r>
    </w:p>
    <w:p w14:paraId="6BD6ECD2" w14:textId="0926F2F7" w:rsidR="00503DA8" w:rsidRPr="00954547" w:rsidRDefault="002860BB" w:rsidP="00D1589C">
      <w:pPr>
        <w:pStyle w:val="Numberedparagraphs"/>
        <w:tabs>
          <w:tab w:val="left" w:pos="567"/>
        </w:tabs>
        <w:rPr>
          <w:lang w:val="en-US"/>
        </w:rPr>
      </w:pPr>
      <w:r w:rsidRPr="00954547">
        <w:rPr>
          <w:lang w:val="en-US"/>
        </w:rPr>
        <w:t>Additionally,</w:t>
      </w:r>
      <w:r w:rsidR="00503DA8" w:rsidRPr="00954547">
        <w:rPr>
          <w:lang w:val="en-US"/>
        </w:rPr>
        <w:t xml:space="preserve"> </w:t>
      </w:r>
      <w:r w:rsidR="00C74705" w:rsidRPr="00954547">
        <w:rPr>
          <w:lang w:val="en-US"/>
        </w:rPr>
        <w:t xml:space="preserve">the Court emphasizes that </w:t>
      </w:r>
      <w:r w:rsidR="00C37C6C" w:rsidRPr="00954547">
        <w:rPr>
          <w:lang w:val="en-US"/>
        </w:rPr>
        <w:t>the use of gender stereotypes</w:t>
      </w:r>
      <w:r w:rsidR="00503DA8" w:rsidRPr="00954547">
        <w:rPr>
          <w:lang w:val="en-US"/>
        </w:rPr>
        <w:t xml:space="preserve"> </w:t>
      </w:r>
      <w:r w:rsidR="00C74705" w:rsidRPr="00954547">
        <w:rPr>
          <w:lang w:val="en-US"/>
        </w:rPr>
        <w:t xml:space="preserve">as grounds for a legal decision may reveal that the decision was based on preconceived beliefs </w:t>
      </w:r>
      <w:r w:rsidR="00BD7B4B" w:rsidRPr="00954547">
        <w:rPr>
          <w:lang w:val="en-US"/>
        </w:rPr>
        <w:t>rather than relevant</w:t>
      </w:r>
      <w:r w:rsidR="00C74705" w:rsidRPr="00954547">
        <w:rPr>
          <w:lang w:val="en-US"/>
        </w:rPr>
        <w:t xml:space="preserve"> facts. Therefore, stereotyping may </w:t>
      </w:r>
      <w:r w:rsidR="001B0355" w:rsidRPr="00954547">
        <w:rPr>
          <w:lang w:val="en-US"/>
        </w:rPr>
        <w:t xml:space="preserve">reveal </w:t>
      </w:r>
      <w:r w:rsidR="00C74705" w:rsidRPr="00954547">
        <w:rPr>
          <w:lang w:val="en-US"/>
        </w:rPr>
        <w:t>the absence of reasoning</w:t>
      </w:r>
      <w:r w:rsidR="001B0355" w:rsidRPr="00954547">
        <w:rPr>
          <w:lang w:val="en-US"/>
        </w:rPr>
        <w:t xml:space="preserve"> and a</w:t>
      </w:r>
      <w:r w:rsidR="00C74705" w:rsidRPr="00954547">
        <w:rPr>
          <w:lang w:val="en-US"/>
        </w:rPr>
        <w:t xml:space="preserve"> violation of the </w:t>
      </w:r>
      <w:r w:rsidR="00144817" w:rsidRPr="00954547">
        <w:rPr>
          <w:lang w:val="en-US"/>
        </w:rPr>
        <w:t>presumption of innocence</w:t>
      </w:r>
      <w:r w:rsidR="00C74705" w:rsidRPr="00954547">
        <w:rPr>
          <w:lang w:val="en-US"/>
        </w:rPr>
        <w:t>,</w:t>
      </w:r>
      <w:r w:rsidR="0078694F" w:rsidRPr="00954547">
        <w:rPr>
          <w:lang w:val="en-US"/>
        </w:rPr>
        <w:t xml:space="preserve"> and </w:t>
      </w:r>
      <w:r w:rsidR="001B0355" w:rsidRPr="00954547">
        <w:rPr>
          <w:lang w:val="en-US"/>
        </w:rPr>
        <w:t>jeopardize</w:t>
      </w:r>
      <w:r w:rsidR="00C74705" w:rsidRPr="00954547">
        <w:rPr>
          <w:lang w:val="en-US"/>
        </w:rPr>
        <w:t xml:space="preserve"> the impartiality of the judge.</w:t>
      </w:r>
      <w:r w:rsidR="00503DA8" w:rsidRPr="00954547">
        <w:rPr>
          <w:rStyle w:val="FootnoteReference"/>
          <w:bCs/>
          <w:iCs/>
          <w:lang w:val="en-US"/>
        </w:rPr>
        <w:footnoteReference w:id="264"/>
      </w:r>
      <w:r w:rsidR="00503DA8" w:rsidRPr="00954547">
        <w:rPr>
          <w:lang w:val="en-US"/>
        </w:rPr>
        <w:t xml:space="preserve"> </w:t>
      </w:r>
    </w:p>
    <w:p w14:paraId="0A3A1FCC" w14:textId="30C0722A" w:rsidR="00E611B3" w:rsidRPr="00954547" w:rsidRDefault="00E611B3" w:rsidP="00E611B3">
      <w:pPr>
        <w:pStyle w:val="Numberedparagraphs"/>
        <w:tabs>
          <w:tab w:val="left" w:pos="567"/>
        </w:tabs>
        <w:rPr>
          <w:lang w:val="en-US"/>
        </w:rPr>
      </w:pPr>
      <w:r w:rsidRPr="00954547">
        <w:rPr>
          <w:lang w:val="en-US"/>
        </w:rPr>
        <w:t xml:space="preserve">In this case, the reasoning </w:t>
      </w:r>
      <w:r w:rsidR="0052125E" w:rsidRPr="00954547">
        <w:rPr>
          <w:lang w:val="en-US"/>
        </w:rPr>
        <w:t>of the judgment</w:t>
      </w:r>
      <w:r w:rsidR="00D1589C" w:rsidRPr="00954547">
        <w:rPr>
          <w:lang w:val="en-US"/>
        </w:rPr>
        <w:t xml:space="preserve"> </w:t>
      </w:r>
      <w:r w:rsidRPr="00954547">
        <w:rPr>
          <w:lang w:val="en-US"/>
        </w:rPr>
        <w:t>did not establish the causal nexus between Manuela’s actions and the death of the newborn</w:t>
      </w:r>
      <w:r w:rsidR="00BD7B4B" w:rsidRPr="00954547">
        <w:rPr>
          <w:lang w:val="en-US"/>
        </w:rPr>
        <w:t xml:space="preserve"> with factual evidence</w:t>
      </w:r>
      <w:r w:rsidRPr="00954547">
        <w:rPr>
          <w:lang w:val="en-US"/>
        </w:rPr>
        <w:t xml:space="preserve">, </w:t>
      </w:r>
      <w:r w:rsidR="00BD7B4B" w:rsidRPr="00954547">
        <w:rPr>
          <w:lang w:val="en-US"/>
        </w:rPr>
        <w:t xml:space="preserve">other than </w:t>
      </w:r>
      <w:r w:rsidRPr="00954547">
        <w:rPr>
          <w:lang w:val="en-US"/>
        </w:rPr>
        <w:t xml:space="preserve">mentioning the supposed complaint made by </w:t>
      </w:r>
      <w:r w:rsidR="00FF2DDD" w:rsidRPr="00954547">
        <w:rPr>
          <w:lang w:val="en-US"/>
        </w:rPr>
        <w:t>Manuela’s father</w:t>
      </w:r>
      <w:r w:rsidRPr="00954547">
        <w:rPr>
          <w:lang w:val="en-US"/>
        </w:rPr>
        <w:t>.</w:t>
      </w:r>
      <w:r w:rsidR="00F94AE6" w:rsidRPr="00954547">
        <w:rPr>
          <w:rStyle w:val="FootnoteReference"/>
          <w:lang w:val="en-US"/>
        </w:rPr>
        <w:footnoteReference w:id="265"/>
      </w:r>
      <w:r w:rsidRPr="00954547">
        <w:rPr>
          <w:lang w:val="en-US"/>
        </w:rPr>
        <w:t xml:space="preserve"> This absence </w:t>
      </w:r>
      <w:r w:rsidR="006C3E98" w:rsidRPr="00954547">
        <w:rPr>
          <w:lang w:val="en-US"/>
        </w:rPr>
        <w:t>of reasoning was substituted</w:t>
      </w:r>
      <w:r w:rsidRPr="00954547">
        <w:rPr>
          <w:lang w:val="en-US"/>
        </w:rPr>
        <w:t xml:space="preserve"> by stereotypes and preconceived ideas, rather than </w:t>
      </w:r>
      <w:r w:rsidR="006C3E98" w:rsidRPr="00954547">
        <w:rPr>
          <w:lang w:val="en-US"/>
        </w:rPr>
        <w:t>by</w:t>
      </w:r>
      <w:r w:rsidRPr="00954547">
        <w:rPr>
          <w:lang w:val="en-US"/>
        </w:rPr>
        <w:t xml:space="preserve"> evidence that reliably proved the presumed victim</w:t>
      </w:r>
      <w:r w:rsidR="006C3E98" w:rsidRPr="00954547">
        <w:rPr>
          <w:lang w:val="en-US"/>
        </w:rPr>
        <w:t>’s guilt</w:t>
      </w:r>
      <w:r w:rsidRPr="00954547">
        <w:rPr>
          <w:lang w:val="en-US"/>
        </w:rPr>
        <w:t>. Thus, the court indicated that:</w:t>
      </w:r>
    </w:p>
    <w:p w14:paraId="1E716267" w14:textId="67564E92" w:rsidR="00635003" w:rsidRPr="00954547" w:rsidRDefault="00BB469F" w:rsidP="00BB469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right="616"/>
        <w:jc w:val="both"/>
        <w:rPr>
          <w:rFonts w:ascii="Verdana" w:hAnsi="Verdana"/>
          <w:sz w:val="18"/>
          <w:szCs w:val="18"/>
        </w:rPr>
      </w:pPr>
      <w:r w:rsidRPr="00954547">
        <w:rPr>
          <w:rFonts w:ascii="Verdana" w:hAnsi="Verdana"/>
          <w:sz w:val="18"/>
          <w:szCs w:val="18"/>
        </w:rPr>
        <w:t>When reviewing the different versions that the defendant gave to the different persons who interviewed her, such as, “that she was unaware of everything and perhaps the baby had come with the pain or with the diarrhea, and that she had fainted, or in the worst case that, in this situation of unconsciousness, it was someone else who had thrown the baby into the septic tank”; these statements are unbelievable and even improbable under the rules of acceptable human understanding, because the maternal instinct is to protect the child, and, generally, any complication in the delivery results in seeking immediate medical help or, at the very least, the help of close family members, not depriving a newborn of its life. However, in this case the defendant, in her efforts to dispose of the product of her pregnancy following the birth – because it was the result of infidelity – and given the paternal irresponsibility noted by her biological father, with full awareness, seeing the baby alive, deliberately sought the appropriate means and place to make it disappear, thus taking from her child […] th</w:t>
      </w:r>
      <w:r w:rsidR="006C3E98" w:rsidRPr="00954547">
        <w:rPr>
          <w:rFonts w:ascii="Verdana" w:hAnsi="Verdana"/>
          <w:sz w:val="18"/>
          <w:szCs w:val="18"/>
        </w:rPr>
        <w:t>e</w:t>
      </w:r>
      <w:r w:rsidRPr="00954547">
        <w:rPr>
          <w:rFonts w:ascii="Verdana" w:hAnsi="Verdana"/>
          <w:sz w:val="18"/>
          <w:szCs w:val="18"/>
        </w:rPr>
        <w:t xml:space="preserve"> opportunity to live […] and, in this case, it is all the more reprehensible that this was an act of a mother towards her own child.</w:t>
      </w:r>
      <w:r w:rsidR="009E3AAD" w:rsidRPr="00954547">
        <w:rPr>
          <w:rFonts w:ascii="Verdana" w:hAnsi="Verdana"/>
          <w:sz w:val="18"/>
          <w:szCs w:val="18"/>
          <w:vertAlign w:val="superscript"/>
        </w:rPr>
        <w:footnoteReference w:id="266"/>
      </w:r>
    </w:p>
    <w:p w14:paraId="6ACB7ED9" w14:textId="2A7B39A1" w:rsidR="00B40179" w:rsidRPr="00954547" w:rsidRDefault="00E76B1A" w:rsidP="00352023">
      <w:pPr>
        <w:pStyle w:val="Numberedparagraphs"/>
        <w:tabs>
          <w:tab w:val="left" w:pos="567"/>
        </w:tabs>
        <w:rPr>
          <w:lang w:val="en-US"/>
        </w:rPr>
      </w:pPr>
      <w:r w:rsidRPr="00954547">
        <w:rPr>
          <w:lang w:val="en-US"/>
        </w:rPr>
        <w:t>The Court</w:t>
      </w:r>
      <w:r w:rsidR="00BD3ABC" w:rsidRPr="00954547">
        <w:rPr>
          <w:lang w:val="en-US"/>
        </w:rPr>
        <w:t xml:space="preserve"> </w:t>
      </w:r>
      <w:r w:rsidR="00BB469F" w:rsidRPr="00954547">
        <w:rPr>
          <w:lang w:val="en-US"/>
        </w:rPr>
        <w:t>notes that, in its judgment,</w:t>
      </w:r>
      <w:r w:rsidR="00BD3ABC" w:rsidRPr="00954547">
        <w:rPr>
          <w:lang w:val="en-US"/>
        </w:rPr>
        <w:t xml:space="preserve"> </w:t>
      </w:r>
      <w:r w:rsidRPr="00954547">
        <w:rPr>
          <w:lang w:val="en-US"/>
        </w:rPr>
        <w:t xml:space="preserve">the </w:t>
      </w:r>
      <w:r w:rsidR="003212CD" w:rsidRPr="00954547">
        <w:rPr>
          <w:lang w:val="en-US"/>
        </w:rPr>
        <w:t>Trial Court</w:t>
      </w:r>
      <w:r w:rsidR="00B8393C" w:rsidRPr="00954547">
        <w:rPr>
          <w:lang w:val="en-US"/>
        </w:rPr>
        <w:t xml:space="preserve"> of</w:t>
      </w:r>
      <w:r w:rsidR="001F214F" w:rsidRPr="00954547">
        <w:rPr>
          <w:lang w:val="en-US"/>
        </w:rPr>
        <w:t xml:space="preserve"> San Francisco Gotera</w:t>
      </w:r>
      <w:r w:rsidR="001F214F" w:rsidRPr="00954547" w:rsidDel="001F214F">
        <w:rPr>
          <w:lang w:val="en-US"/>
        </w:rPr>
        <w:t xml:space="preserve"> </w:t>
      </w:r>
      <w:r w:rsidR="00BB469F" w:rsidRPr="00954547">
        <w:rPr>
          <w:lang w:val="en-US"/>
        </w:rPr>
        <w:t>ruled out the possibility that the death had been accidental when assuming that the maternal instinct that Manuela should have had</w:t>
      </w:r>
      <w:r w:rsidR="00352023" w:rsidRPr="00954547">
        <w:rPr>
          <w:lang w:val="en-US"/>
        </w:rPr>
        <w:t xml:space="preserve"> meant that she would </w:t>
      </w:r>
      <w:r w:rsidR="0012797B" w:rsidRPr="00954547">
        <w:rPr>
          <w:lang w:val="en-US"/>
        </w:rPr>
        <w:t xml:space="preserve">have </w:t>
      </w:r>
      <w:r w:rsidR="00352023" w:rsidRPr="00954547">
        <w:rPr>
          <w:lang w:val="en-US"/>
        </w:rPr>
        <w:t>protect</w:t>
      </w:r>
      <w:r w:rsidR="0012797B" w:rsidRPr="00954547">
        <w:rPr>
          <w:lang w:val="en-US"/>
        </w:rPr>
        <w:t>ed</w:t>
      </w:r>
      <w:r w:rsidR="00352023" w:rsidRPr="00954547">
        <w:rPr>
          <w:lang w:val="en-US"/>
        </w:rPr>
        <w:t xml:space="preserve"> her child and s</w:t>
      </w:r>
      <w:r w:rsidR="0012797B" w:rsidRPr="00954547">
        <w:rPr>
          <w:lang w:val="en-US"/>
        </w:rPr>
        <w:t>ought</w:t>
      </w:r>
      <w:r w:rsidR="00352023" w:rsidRPr="00954547">
        <w:rPr>
          <w:lang w:val="en-US"/>
        </w:rPr>
        <w:t xml:space="preserve"> help immediately. That court made this assertion without having any evidence that carefully analyzed Manuela’s health</w:t>
      </w:r>
      <w:r w:rsidR="00886DAD" w:rsidRPr="00954547">
        <w:rPr>
          <w:lang w:val="en-US"/>
        </w:rPr>
        <w:t xml:space="preserve"> (</w:t>
      </w:r>
      <w:r w:rsidR="00886DAD" w:rsidRPr="00954547">
        <w:rPr>
          <w:i/>
          <w:lang w:val="en-US"/>
        </w:rPr>
        <w:t xml:space="preserve">supra </w:t>
      </w:r>
      <w:r w:rsidR="00B10E5A" w:rsidRPr="00954547">
        <w:rPr>
          <w:lang w:val="en-US"/>
        </w:rPr>
        <w:t>paras.</w:t>
      </w:r>
      <w:r w:rsidR="00742538" w:rsidRPr="00954547">
        <w:rPr>
          <w:lang w:val="en-US"/>
        </w:rPr>
        <w:t xml:space="preserve"> </w:t>
      </w:r>
      <w:r w:rsidR="00742538" w:rsidRPr="00954547">
        <w:rPr>
          <w:lang w:val="en-US"/>
        </w:rPr>
        <w:fldChar w:fldCharType="begin"/>
      </w:r>
      <w:r w:rsidR="00742538" w:rsidRPr="00954547">
        <w:rPr>
          <w:lang w:val="en-US"/>
        </w:rPr>
        <w:instrText xml:space="preserve"> REF _Ref87980739 \r \h </w:instrText>
      </w:r>
      <w:r w:rsidR="00793F65" w:rsidRPr="00954547">
        <w:rPr>
          <w:lang w:val="en-US"/>
        </w:rPr>
        <w:instrText xml:space="preserve"> \* MERGEFORMAT </w:instrText>
      </w:r>
      <w:r w:rsidR="00742538" w:rsidRPr="00954547">
        <w:rPr>
          <w:lang w:val="en-US"/>
        </w:rPr>
      </w:r>
      <w:r w:rsidR="00742538" w:rsidRPr="00954547">
        <w:rPr>
          <w:lang w:val="en-US"/>
        </w:rPr>
        <w:fldChar w:fldCharType="separate"/>
      </w:r>
      <w:r w:rsidR="000E4488" w:rsidRPr="00954547">
        <w:rPr>
          <w:lang w:val="en-US"/>
        </w:rPr>
        <w:t>137</w:t>
      </w:r>
      <w:r w:rsidR="00742538" w:rsidRPr="00954547">
        <w:rPr>
          <w:lang w:val="en-US"/>
        </w:rPr>
        <w:fldChar w:fldCharType="end"/>
      </w:r>
      <w:r w:rsidR="00742538" w:rsidRPr="00954547">
        <w:rPr>
          <w:lang w:val="en-US"/>
        </w:rPr>
        <w:t xml:space="preserve"> </w:t>
      </w:r>
      <w:r w:rsidR="00352023" w:rsidRPr="00954547">
        <w:rPr>
          <w:lang w:val="en-US"/>
        </w:rPr>
        <w:t>to</w:t>
      </w:r>
      <w:r w:rsidR="00742538" w:rsidRPr="00954547">
        <w:rPr>
          <w:lang w:val="en-US"/>
        </w:rPr>
        <w:t xml:space="preserve"> </w:t>
      </w:r>
      <w:r w:rsidR="00742538" w:rsidRPr="00954547">
        <w:rPr>
          <w:lang w:val="en-US"/>
        </w:rPr>
        <w:fldChar w:fldCharType="begin"/>
      </w:r>
      <w:r w:rsidR="00742538" w:rsidRPr="00954547">
        <w:rPr>
          <w:lang w:val="en-US"/>
        </w:rPr>
        <w:instrText xml:space="preserve"> REF _Ref87980741 \r \h </w:instrText>
      </w:r>
      <w:r w:rsidR="00793F65" w:rsidRPr="00954547">
        <w:rPr>
          <w:lang w:val="en-US"/>
        </w:rPr>
        <w:instrText xml:space="preserve"> \* MERGEFORMAT </w:instrText>
      </w:r>
      <w:r w:rsidR="00742538" w:rsidRPr="00954547">
        <w:rPr>
          <w:lang w:val="en-US"/>
        </w:rPr>
      </w:r>
      <w:r w:rsidR="00742538" w:rsidRPr="00954547">
        <w:rPr>
          <w:lang w:val="en-US"/>
        </w:rPr>
        <w:fldChar w:fldCharType="separate"/>
      </w:r>
      <w:r w:rsidR="000E4488" w:rsidRPr="00954547">
        <w:rPr>
          <w:lang w:val="en-US"/>
        </w:rPr>
        <w:t>139</w:t>
      </w:r>
      <w:r w:rsidR="00742538" w:rsidRPr="00954547">
        <w:rPr>
          <w:lang w:val="en-US"/>
        </w:rPr>
        <w:fldChar w:fldCharType="end"/>
      </w:r>
      <w:r w:rsidR="00886DAD" w:rsidRPr="00954547">
        <w:rPr>
          <w:lang w:val="en-US"/>
        </w:rPr>
        <w:t>),</w:t>
      </w:r>
      <w:r w:rsidR="0078694F" w:rsidRPr="00954547">
        <w:rPr>
          <w:lang w:val="en-US"/>
        </w:rPr>
        <w:t xml:space="preserve"> </w:t>
      </w:r>
      <w:r w:rsidR="00352023" w:rsidRPr="00954547">
        <w:rPr>
          <w:lang w:val="en-US"/>
        </w:rPr>
        <w:t xml:space="preserve">in order to be able to determine reliably that what happened was not, for example, the result of the </w:t>
      </w:r>
      <w:r w:rsidR="00B72FE4" w:rsidRPr="00954547">
        <w:rPr>
          <w:lang w:val="en-US"/>
        </w:rPr>
        <w:t>obstetric emergency</w:t>
      </w:r>
      <w:r w:rsidR="00E82B12" w:rsidRPr="00954547">
        <w:rPr>
          <w:lang w:val="en-US"/>
        </w:rPr>
        <w:t xml:space="preserve"> </w:t>
      </w:r>
      <w:r w:rsidR="00352023" w:rsidRPr="00954547">
        <w:rPr>
          <w:lang w:val="en-US"/>
        </w:rPr>
        <w:t>suffered by</w:t>
      </w:r>
      <w:r w:rsidR="00E82B12" w:rsidRPr="00954547">
        <w:rPr>
          <w:lang w:val="en-US"/>
        </w:rPr>
        <w:t xml:space="preserve"> Manuela</w:t>
      </w:r>
      <w:r w:rsidR="00886DAD" w:rsidRPr="00954547">
        <w:rPr>
          <w:lang w:val="en-US"/>
        </w:rPr>
        <w:t xml:space="preserve">. </w:t>
      </w:r>
      <w:r w:rsidR="00352023" w:rsidRPr="00954547">
        <w:rPr>
          <w:lang w:val="en-US"/>
        </w:rPr>
        <w:t xml:space="preserve">In addition, on the basis of the stereotype that women must respond to the maternal instinct and sacrifice themselves for their children at all times, the court assumed that, </w:t>
      </w:r>
      <w:r w:rsidR="00212F8D" w:rsidRPr="00954547">
        <w:rPr>
          <w:lang w:val="en-US"/>
        </w:rPr>
        <w:t xml:space="preserve">regardless of her state of health, by failing to help to protect her child, Manuela’s actions revealed that she wished to take the life of her newborn intentionally. Thus, the court alleged that </w:t>
      </w:r>
      <w:r w:rsidR="00B40179" w:rsidRPr="00954547">
        <w:rPr>
          <w:lang w:val="en-US"/>
        </w:rPr>
        <w:t xml:space="preserve">Manuela </w:t>
      </w:r>
      <w:r w:rsidR="00212F8D" w:rsidRPr="00954547">
        <w:rPr>
          <w:lang w:val="en-US"/>
        </w:rPr>
        <w:t>should have place</w:t>
      </w:r>
      <w:r w:rsidR="0012797B" w:rsidRPr="00954547">
        <w:rPr>
          <w:lang w:val="en-US"/>
        </w:rPr>
        <w:t>d</w:t>
      </w:r>
      <w:r w:rsidR="00212F8D" w:rsidRPr="00954547">
        <w:rPr>
          <w:lang w:val="en-US"/>
        </w:rPr>
        <w:t xml:space="preserve"> the possible life of her son before her own life, even if she was unconscious</w:t>
      </w:r>
      <w:r w:rsidR="00B40179" w:rsidRPr="00954547">
        <w:rPr>
          <w:lang w:val="en-US"/>
        </w:rPr>
        <w:t>,</w:t>
      </w:r>
      <w:r w:rsidR="0078694F" w:rsidRPr="00954547">
        <w:rPr>
          <w:lang w:val="en-US"/>
        </w:rPr>
        <w:t xml:space="preserve"> and </w:t>
      </w:r>
      <w:r w:rsidR="00B40179" w:rsidRPr="00954547">
        <w:rPr>
          <w:lang w:val="en-US"/>
        </w:rPr>
        <w:t>presum</w:t>
      </w:r>
      <w:r w:rsidR="00212F8D" w:rsidRPr="00954547">
        <w:rPr>
          <w:lang w:val="en-US"/>
        </w:rPr>
        <w:t>ed her bad faith because she did not do so.</w:t>
      </w:r>
      <w:r w:rsidR="00B40179" w:rsidRPr="00954547">
        <w:rPr>
          <w:rStyle w:val="FootnoteReference"/>
          <w:lang w:val="en-US"/>
        </w:rPr>
        <w:footnoteReference w:id="267"/>
      </w:r>
    </w:p>
    <w:p w14:paraId="2D3AE634" w14:textId="18D94BC0" w:rsidR="003410DE" w:rsidRPr="00954547" w:rsidRDefault="00B22945" w:rsidP="00386B24">
      <w:pPr>
        <w:pStyle w:val="Numberedparagraphs"/>
        <w:tabs>
          <w:tab w:val="left" w:pos="567"/>
        </w:tabs>
        <w:rPr>
          <w:lang w:val="en-US"/>
        </w:rPr>
      </w:pPr>
      <w:r w:rsidRPr="00954547">
        <w:rPr>
          <w:lang w:val="en-US"/>
        </w:rPr>
        <w:t>Ad</w:t>
      </w:r>
      <w:r w:rsidR="003410DE" w:rsidRPr="00954547">
        <w:rPr>
          <w:lang w:val="en-US"/>
        </w:rPr>
        <w:t xml:space="preserve">ditionally, </w:t>
      </w:r>
      <w:r w:rsidR="00E76B1A" w:rsidRPr="00954547">
        <w:rPr>
          <w:lang w:val="en-US"/>
        </w:rPr>
        <w:t xml:space="preserve">the </w:t>
      </w:r>
      <w:r w:rsidR="003212CD" w:rsidRPr="00954547">
        <w:rPr>
          <w:lang w:val="en-US"/>
        </w:rPr>
        <w:t>Trial Court</w:t>
      </w:r>
      <w:r w:rsidR="00B8393C" w:rsidRPr="00954547">
        <w:rPr>
          <w:lang w:val="en-US"/>
        </w:rPr>
        <w:t xml:space="preserve"> of</w:t>
      </w:r>
      <w:r w:rsidR="0025407D" w:rsidRPr="00954547">
        <w:rPr>
          <w:lang w:val="en-US"/>
        </w:rPr>
        <w:t xml:space="preserve"> San Francisco Gotera</w:t>
      </w:r>
      <w:r w:rsidR="0025407D" w:rsidRPr="00954547" w:rsidDel="0025407D">
        <w:rPr>
          <w:lang w:val="en-US"/>
        </w:rPr>
        <w:t xml:space="preserve"> </w:t>
      </w:r>
      <w:r w:rsidR="00EC733F" w:rsidRPr="00954547">
        <w:rPr>
          <w:lang w:val="en-US"/>
        </w:rPr>
        <w:t>as</w:t>
      </w:r>
      <w:r w:rsidR="003410DE" w:rsidRPr="00954547">
        <w:rPr>
          <w:lang w:val="en-US"/>
        </w:rPr>
        <w:t xml:space="preserve">sumed that </w:t>
      </w:r>
      <w:r w:rsidR="00EC733F" w:rsidRPr="00954547">
        <w:rPr>
          <w:lang w:val="en-US"/>
        </w:rPr>
        <w:t xml:space="preserve">Manuela </w:t>
      </w:r>
      <w:r w:rsidR="003410DE" w:rsidRPr="00954547">
        <w:rPr>
          <w:lang w:val="en-US"/>
        </w:rPr>
        <w:t>should feel ashamed of her pregnancy and, therefore, supposedly hid it from her family, and presumed that this was the reason why she had decided to take the life of the newborn. This presumption was not based on evidence, but rather on the stereotype that a woman who has sexual relations outside her marriage is dishonorable and immoral.</w:t>
      </w:r>
    </w:p>
    <w:p w14:paraId="77CA07AE" w14:textId="78CB9F2E" w:rsidR="00FD7788" w:rsidRPr="00954547" w:rsidRDefault="003410DE" w:rsidP="00FB69A7">
      <w:pPr>
        <w:pStyle w:val="Numberedparagraphs"/>
        <w:tabs>
          <w:tab w:val="left" w:pos="567"/>
        </w:tabs>
        <w:rPr>
          <w:lang w:val="en-US"/>
        </w:rPr>
      </w:pPr>
      <w:r w:rsidRPr="00954547">
        <w:rPr>
          <w:lang w:val="en-US"/>
        </w:rPr>
        <w:t>Based on the foregoing</w:t>
      </w:r>
      <w:r w:rsidR="00FD7788" w:rsidRPr="00954547">
        <w:rPr>
          <w:lang w:val="en-US"/>
        </w:rPr>
        <w:t xml:space="preserve"> </w:t>
      </w:r>
      <w:r w:rsidR="00B8393C" w:rsidRPr="00954547">
        <w:rPr>
          <w:lang w:val="en-US"/>
        </w:rPr>
        <w:t>considerations</w:t>
      </w:r>
      <w:r w:rsidRPr="00954547">
        <w:rPr>
          <w:lang w:val="en-US"/>
        </w:rPr>
        <w:t>, this Court notes that the reasoning provided by the Trial Court demonstrate</w:t>
      </w:r>
      <w:r w:rsidR="0012797B" w:rsidRPr="00954547">
        <w:rPr>
          <w:lang w:val="en-US"/>
        </w:rPr>
        <w:t>s</w:t>
      </w:r>
      <w:r w:rsidRPr="00954547">
        <w:rPr>
          <w:lang w:val="en-US"/>
        </w:rPr>
        <w:t xml:space="preserve"> that gender stereotypes were used to supplement the court’s lack of sufficient evidence. Thus, the judgment convicting Manuela suffers from all the prejudices inherent in a patriarchal system and </w:t>
      </w:r>
      <w:r w:rsidR="008A2E48" w:rsidRPr="00954547">
        <w:rPr>
          <w:lang w:val="en-US"/>
        </w:rPr>
        <w:t xml:space="preserve">downplays the factual circumstances and motivations. It reprimands Manuela as if she had violated duties considered inherent in her gender and indirectly criticizes her sexual conduct. It minimizes and disregards </w:t>
      </w:r>
      <w:r w:rsidR="003704D8" w:rsidRPr="00954547">
        <w:rPr>
          <w:lang w:val="en-US"/>
        </w:rPr>
        <w:t>that a</w:t>
      </w:r>
      <w:r w:rsidR="008A2E48" w:rsidRPr="00954547">
        <w:rPr>
          <w:lang w:val="en-US"/>
        </w:rPr>
        <w:t xml:space="preserve"> possible </w:t>
      </w:r>
      <w:r w:rsidR="0012797B" w:rsidRPr="00954547">
        <w:rPr>
          <w:lang w:val="en-US"/>
        </w:rPr>
        <w:t xml:space="preserve">reason </w:t>
      </w:r>
      <w:r w:rsidR="003704D8" w:rsidRPr="00954547">
        <w:rPr>
          <w:lang w:val="en-US"/>
        </w:rPr>
        <w:t>for</w:t>
      </w:r>
      <w:r w:rsidR="008A2E48" w:rsidRPr="00954547">
        <w:rPr>
          <w:lang w:val="en-US"/>
        </w:rPr>
        <w:t xml:space="preserve"> the desire to conceal her supposed error </w:t>
      </w:r>
      <w:r w:rsidR="0012797B" w:rsidRPr="00954547">
        <w:rPr>
          <w:lang w:val="en-US"/>
        </w:rPr>
        <w:t xml:space="preserve">was </w:t>
      </w:r>
      <w:r w:rsidR="008A2E48" w:rsidRPr="00954547">
        <w:rPr>
          <w:lang w:val="en-US"/>
        </w:rPr>
        <w:t xml:space="preserve">to evade the </w:t>
      </w:r>
      <w:r w:rsidR="00FB69A7" w:rsidRPr="00954547">
        <w:rPr>
          <w:lang w:val="en-US"/>
        </w:rPr>
        <w:t>disapproval</w:t>
      </w:r>
      <w:r w:rsidR="008A2E48" w:rsidRPr="00954547">
        <w:rPr>
          <w:lang w:val="en-US"/>
        </w:rPr>
        <w:t xml:space="preserve"> of an environment created by</w:t>
      </w:r>
      <w:r w:rsidR="00FB69A7" w:rsidRPr="00954547">
        <w:rPr>
          <w:lang w:val="en-US"/>
        </w:rPr>
        <w:t xml:space="preserve"> traditional</w:t>
      </w:r>
      <w:r w:rsidR="008A2E48" w:rsidRPr="00954547">
        <w:rPr>
          <w:lang w:val="en-US"/>
        </w:rPr>
        <w:t xml:space="preserve"> androcentric values. </w:t>
      </w:r>
      <w:r w:rsidR="00FB69A7" w:rsidRPr="00954547">
        <w:rPr>
          <w:lang w:val="en-US"/>
        </w:rPr>
        <w:t xml:space="preserve">Consequently, it constituted a violation </w:t>
      </w:r>
      <w:r w:rsidR="00F6091D" w:rsidRPr="00954547">
        <w:rPr>
          <w:lang w:val="en-US"/>
        </w:rPr>
        <w:t xml:space="preserve">of the </w:t>
      </w:r>
      <w:r w:rsidR="00BC7072" w:rsidRPr="00954547">
        <w:rPr>
          <w:lang w:val="en-US"/>
        </w:rPr>
        <w:t>right to</w:t>
      </w:r>
      <w:r w:rsidR="00FD7788" w:rsidRPr="00954547">
        <w:rPr>
          <w:lang w:val="en-US"/>
        </w:rPr>
        <w:t xml:space="preserve"> </w:t>
      </w:r>
      <w:r w:rsidR="00144817" w:rsidRPr="00954547">
        <w:rPr>
          <w:lang w:val="en-US"/>
        </w:rPr>
        <w:t>presumption of innocence</w:t>
      </w:r>
      <w:r w:rsidR="00FD7788" w:rsidRPr="00954547">
        <w:rPr>
          <w:lang w:val="en-US"/>
        </w:rPr>
        <w:t xml:space="preserve">, </w:t>
      </w:r>
      <w:r w:rsidR="00FB69A7" w:rsidRPr="00954547">
        <w:rPr>
          <w:lang w:val="en-US"/>
        </w:rPr>
        <w:t>the right to be tried by an impartial court, and the obligation to state the reasons for judicial decisions.</w:t>
      </w:r>
    </w:p>
    <w:p w14:paraId="31AC80B7" w14:textId="3416FBA6" w:rsidR="00B22945" w:rsidRPr="00954547" w:rsidRDefault="00FB69A7" w:rsidP="00B552A8">
      <w:pPr>
        <w:pStyle w:val="Numberedparagraphs"/>
        <w:tabs>
          <w:tab w:val="left" w:pos="567"/>
        </w:tabs>
        <w:rPr>
          <w:lang w:val="en-US"/>
        </w:rPr>
      </w:pPr>
      <w:bookmarkStart w:id="72" w:name="_Ref87982592"/>
      <w:r w:rsidRPr="00954547">
        <w:rPr>
          <w:lang w:val="en-US"/>
        </w:rPr>
        <w:t xml:space="preserve">In addition, the Commission and the representatives have argued that this decision was also discriminatory. </w:t>
      </w:r>
      <w:r w:rsidR="00A17F8C" w:rsidRPr="00954547">
        <w:rPr>
          <w:lang w:val="en-US"/>
        </w:rPr>
        <w:t xml:space="preserve">Article 1(1) </w:t>
      </w:r>
      <w:r w:rsidR="005E0FD1" w:rsidRPr="00954547">
        <w:rPr>
          <w:lang w:val="en-US"/>
        </w:rPr>
        <w:t>of the Convention</w:t>
      </w:r>
      <w:r w:rsidR="00B22945" w:rsidRPr="00954547">
        <w:rPr>
          <w:lang w:val="en-US"/>
        </w:rPr>
        <w:t xml:space="preserve"> </w:t>
      </w:r>
      <w:r w:rsidRPr="00954547">
        <w:rPr>
          <w:lang w:val="en-US"/>
        </w:rPr>
        <w:t>establishes that the States Parties “</w:t>
      </w:r>
      <w:r w:rsidRPr="00954547">
        <w:rPr>
          <w:spacing w:val="-3"/>
          <w:lang w:val="en-US"/>
        </w:rPr>
        <w:t>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00B22945" w:rsidRPr="00954547">
        <w:rPr>
          <w:lang w:val="en-US"/>
        </w:rPr>
        <w:t>”</w:t>
      </w:r>
      <w:r w:rsidRPr="00954547">
        <w:rPr>
          <w:lang w:val="en-US"/>
        </w:rPr>
        <w:t xml:space="preserve"> </w:t>
      </w:r>
      <w:r w:rsidR="00B22945" w:rsidRPr="00954547">
        <w:rPr>
          <w:lang w:val="en-US"/>
        </w:rPr>
        <w:t xml:space="preserve"> </w:t>
      </w:r>
      <w:r w:rsidRPr="00954547">
        <w:rPr>
          <w:lang w:val="en-US"/>
        </w:rPr>
        <w:t>While</w:t>
      </w:r>
      <w:r w:rsidR="00B22945" w:rsidRPr="00954547">
        <w:rPr>
          <w:lang w:val="en-US"/>
        </w:rPr>
        <w:t xml:space="preserve"> </w:t>
      </w:r>
      <w:r w:rsidR="00A17F8C" w:rsidRPr="00954547">
        <w:rPr>
          <w:lang w:val="en-US"/>
        </w:rPr>
        <w:t>Article</w:t>
      </w:r>
      <w:r w:rsidR="00B22945" w:rsidRPr="00954547">
        <w:rPr>
          <w:lang w:val="en-US"/>
        </w:rPr>
        <w:t xml:space="preserve"> 24 </w:t>
      </w:r>
      <w:r w:rsidRPr="00954547">
        <w:rPr>
          <w:lang w:val="en-US"/>
        </w:rPr>
        <w:t>stipulates that</w:t>
      </w:r>
      <w:r w:rsidR="00B22945" w:rsidRPr="00954547">
        <w:rPr>
          <w:lang w:val="en-US"/>
        </w:rPr>
        <w:t xml:space="preserve"> “[</w:t>
      </w:r>
      <w:r w:rsidR="00B552A8" w:rsidRPr="00954547">
        <w:rPr>
          <w:lang w:val="en-US"/>
        </w:rPr>
        <w:t>a</w:t>
      </w:r>
      <w:r w:rsidR="00B22945" w:rsidRPr="00954547">
        <w:rPr>
          <w:lang w:val="en-US"/>
        </w:rPr>
        <w:t>]</w:t>
      </w:r>
      <w:r w:rsidRPr="00954547">
        <w:rPr>
          <w:lang w:val="en-US"/>
        </w:rPr>
        <w:t>ll persons are equal before the law. Consequently, they are entitled, without discrimination, to equal protection of the law.</w:t>
      </w:r>
      <w:r w:rsidR="00B552A8" w:rsidRPr="00954547">
        <w:rPr>
          <w:lang w:val="en-US"/>
        </w:rPr>
        <w:t xml:space="preserve">” </w:t>
      </w:r>
      <w:r w:rsidR="00E76B1A" w:rsidRPr="00954547">
        <w:rPr>
          <w:szCs w:val="16"/>
          <w:lang w:val="en-US"/>
        </w:rPr>
        <w:t>The Court</w:t>
      </w:r>
      <w:r w:rsidR="008D1AB7" w:rsidRPr="00954547">
        <w:rPr>
          <w:szCs w:val="16"/>
          <w:lang w:val="en-US"/>
        </w:rPr>
        <w:t xml:space="preserve"> ha</w:t>
      </w:r>
      <w:r w:rsidR="00B552A8" w:rsidRPr="00954547">
        <w:rPr>
          <w:szCs w:val="16"/>
          <w:lang w:val="en-US"/>
        </w:rPr>
        <w:t xml:space="preserve">s indicated that this article has a formal aspect that establishes </w:t>
      </w:r>
      <w:r w:rsidR="0078694F" w:rsidRPr="00954547">
        <w:rPr>
          <w:rFonts w:eastAsia="Verdana" w:cs="Verdana"/>
          <w:color w:val="auto"/>
          <w:szCs w:val="22"/>
          <w:lang w:val="en-US"/>
        </w:rPr>
        <w:t>equality before the law</w:t>
      </w:r>
      <w:r w:rsidR="008D1AB7" w:rsidRPr="00954547">
        <w:rPr>
          <w:rFonts w:eastAsia="Verdana" w:cs="Verdana"/>
          <w:color w:val="auto"/>
          <w:szCs w:val="22"/>
          <w:lang w:val="en-US"/>
        </w:rPr>
        <w:t>,</w:t>
      </w:r>
      <w:r w:rsidR="0078694F" w:rsidRPr="00954547">
        <w:rPr>
          <w:rFonts w:eastAsia="Verdana" w:cs="Verdana"/>
          <w:color w:val="auto"/>
          <w:szCs w:val="22"/>
          <w:lang w:val="en-US"/>
        </w:rPr>
        <w:t xml:space="preserve"> and </w:t>
      </w:r>
      <w:r w:rsidR="00B552A8" w:rsidRPr="00954547">
        <w:rPr>
          <w:rFonts w:eastAsia="Verdana" w:cs="Verdana"/>
          <w:color w:val="auto"/>
          <w:szCs w:val="22"/>
          <w:lang w:val="en-US"/>
        </w:rPr>
        <w:t>a substantive aspect that orders the adoption of positive measures in favor of groups that have historically been marginalized or discriminated against owing to the fact</w:t>
      </w:r>
      <w:r w:rsidR="003704D8" w:rsidRPr="00954547">
        <w:rPr>
          <w:rFonts w:eastAsia="Verdana" w:cs="Verdana"/>
          <w:color w:val="auto"/>
          <w:szCs w:val="22"/>
          <w:lang w:val="en-US"/>
        </w:rPr>
        <w:t>or</w:t>
      </w:r>
      <w:r w:rsidR="00B552A8" w:rsidRPr="00954547">
        <w:rPr>
          <w:rFonts w:eastAsia="Verdana" w:cs="Verdana"/>
          <w:color w:val="auto"/>
          <w:szCs w:val="22"/>
          <w:lang w:val="en-US"/>
        </w:rPr>
        <w:t>s referred to in</w:t>
      </w:r>
      <w:r w:rsidR="00B552A8" w:rsidRPr="00954547">
        <w:rPr>
          <w:lang w:val="en-US"/>
        </w:rPr>
        <w:t xml:space="preserve"> </w:t>
      </w:r>
      <w:r w:rsidR="00A17F8C" w:rsidRPr="00954547">
        <w:rPr>
          <w:rFonts w:eastAsia="Verdana" w:cs="Verdana"/>
          <w:color w:val="auto"/>
          <w:szCs w:val="22"/>
          <w:lang w:val="en-US"/>
        </w:rPr>
        <w:t>Article 1(1)</w:t>
      </w:r>
      <w:r w:rsidR="005E0FD1" w:rsidRPr="00954547">
        <w:rPr>
          <w:rFonts w:eastAsia="Verdana" w:cs="Verdana"/>
          <w:color w:val="auto"/>
          <w:szCs w:val="22"/>
          <w:lang w:val="en-US"/>
        </w:rPr>
        <w:t xml:space="preserve"> of the American Convention</w:t>
      </w:r>
      <w:r w:rsidR="00FC4D38" w:rsidRPr="00954547">
        <w:rPr>
          <w:rFonts w:eastAsia="Verdana" w:cs="Verdana"/>
          <w:color w:val="auto"/>
          <w:szCs w:val="22"/>
          <w:lang w:val="en-US"/>
        </w:rPr>
        <w:t>.</w:t>
      </w:r>
      <w:r w:rsidR="008D1AB7" w:rsidRPr="00954547">
        <w:rPr>
          <w:rStyle w:val="FootnoteReference"/>
          <w:rFonts w:eastAsia="Verdana" w:cs="Verdana"/>
          <w:color w:val="auto"/>
          <w:szCs w:val="22"/>
          <w:lang w:val="en-US"/>
        </w:rPr>
        <w:footnoteReference w:id="268"/>
      </w:r>
      <w:bookmarkEnd w:id="72"/>
    </w:p>
    <w:p w14:paraId="4F71FCD1" w14:textId="2B9E4702" w:rsidR="007962E7" w:rsidRPr="00954547" w:rsidRDefault="007505A3" w:rsidP="00FC4D38">
      <w:pPr>
        <w:pStyle w:val="Numberedparagraphs"/>
        <w:tabs>
          <w:tab w:val="left" w:pos="567"/>
        </w:tabs>
        <w:rPr>
          <w:lang w:val="en-US"/>
        </w:rPr>
      </w:pPr>
      <w:r w:rsidRPr="00954547">
        <w:rPr>
          <w:rFonts w:eastAsia="Verdana" w:cs="Verdana"/>
          <w:color w:val="auto"/>
          <w:szCs w:val="22"/>
          <w:lang w:val="en-US"/>
        </w:rPr>
        <w:t>Re</w:t>
      </w:r>
      <w:r w:rsidR="00B552A8" w:rsidRPr="00954547">
        <w:rPr>
          <w:rFonts w:eastAsia="Verdana" w:cs="Verdana"/>
          <w:color w:val="auto"/>
          <w:szCs w:val="22"/>
          <w:lang w:val="en-US"/>
        </w:rPr>
        <w:t xml:space="preserve">garding the first aspect, this Court has indicated that </w:t>
      </w:r>
      <w:r w:rsidR="00A17F8C" w:rsidRPr="00954547">
        <w:rPr>
          <w:lang w:val="en-US"/>
        </w:rPr>
        <w:t>Article</w:t>
      </w:r>
      <w:r w:rsidR="007962E7" w:rsidRPr="00954547">
        <w:rPr>
          <w:lang w:val="en-US"/>
        </w:rPr>
        <w:t xml:space="preserve"> 24</w:t>
      </w:r>
      <w:r w:rsidR="005E0FD1" w:rsidRPr="00954547">
        <w:rPr>
          <w:lang w:val="en-US"/>
        </w:rPr>
        <w:t xml:space="preserve"> of the American Convention</w:t>
      </w:r>
      <w:r w:rsidR="007962E7" w:rsidRPr="00954547">
        <w:rPr>
          <w:lang w:val="en-US"/>
        </w:rPr>
        <w:t xml:space="preserve"> proh</w:t>
      </w:r>
      <w:r w:rsidR="00B552A8" w:rsidRPr="00954547">
        <w:rPr>
          <w:lang w:val="en-US"/>
        </w:rPr>
        <w:t xml:space="preserve">ibits discrimination </w:t>
      </w:r>
      <w:r w:rsidR="00B552A8" w:rsidRPr="00954547">
        <w:rPr>
          <w:i/>
          <w:iCs/>
          <w:lang w:val="en-US"/>
        </w:rPr>
        <w:t xml:space="preserve">de facto </w:t>
      </w:r>
      <w:r w:rsidR="00B552A8" w:rsidRPr="00954547">
        <w:rPr>
          <w:lang w:val="en-US"/>
        </w:rPr>
        <w:t>or</w:t>
      </w:r>
      <w:r w:rsidR="00B552A8" w:rsidRPr="00954547">
        <w:rPr>
          <w:i/>
          <w:iCs/>
          <w:lang w:val="en-US"/>
        </w:rPr>
        <w:t xml:space="preserve"> de jure</w:t>
      </w:r>
      <w:r w:rsidR="00B552A8" w:rsidRPr="00954547">
        <w:rPr>
          <w:lang w:val="en-US"/>
        </w:rPr>
        <w:t>, not only in relation to the rights established in this instrument, but</w:t>
      </w:r>
      <w:r w:rsidR="00DE5846" w:rsidRPr="00954547">
        <w:rPr>
          <w:lang w:val="en-US"/>
        </w:rPr>
        <w:t xml:space="preserve"> also</w:t>
      </w:r>
      <w:r w:rsidR="00B552A8" w:rsidRPr="00954547">
        <w:rPr>
          <w:lang w:val="en-US"/>
        </w:rPr>
        <w:t xml:space="preserve"> in relation to all the laws enacted by the State and their application.</w:t>
      </w:r>
      <w:r w:rsidR="007962E7" w:rsidRPr="00954547">
        <w:rPr>
          <w:rStyle w:val="FootnoteReference"/>
          <w:lang w:val="en-US"/>
        </w:rPr>
        <w:footnoteReference w:id="269"/>
      </w:r>
      <w:r w:rsidR="00B552A8" w:rsidRPr="00954547">
        <w:rPr>
          <w:lang w:val="en-US"/>
        </w:rPr>
        <w:t xml:space="preserve"> In other words, </w:t>
      </w:r>
      <w:r w:rsidR="00DE5846" w:rsidRPr="00954547">
        <w:rPr>
          <w:lang w:val="en-US"/>
        </w:rPr>
        <w:t>this article</w:t>
      </w:r>
      <w:r w:rsidR="00B552A8" w:rsidRPr="00954547">
        <w:rPr>
          <w:lang w:val="en-US"/>
        </w:rPr>
        <w:t xml:space="preserve"> does not merely reiterate the provisions of </w:t>
      </w:r>
      <w:r w:rsidR="00A17F8C" w:rsidRPr="00954547">
        <w:rPr>
          <w:lang w:val="en-US"/>
        </w:rPr>
        <w:t>Article 1(1)</w:t>
      </w:r>
      <w:r w:rsidR="00B552A8" w:rsidRPr="00954547">
        <w:rPr>
          <w:lang w:val="en-US"/>
        </w:rPr>
        <w:t xml:space="preserve"> of the Convention regarding the obligation of States to respect and to ensure, without any discrimination</w:t>
      </w:r>
      <w:r w:rsidR="00FC4D38" w:rsidRPr="00954547">
        <w:rPr>
          <w:lang w:val="en-US"/>
        </w:rPr>
        <w:t>,</w:t>
      </w:r>
      <w:r w:rsidR="00B552A8" w:rsidRPr="00954547">
        <w:rPr>
          <w:lang w:val="en-US"/>
        </w:rPr>
        <w:t xml:space="preserve"> the rights recognized in that treaty, but </w:t>
      </w:r>
      <w:r w:rsidR="00FC4D38" w:rsidRPr="00954547">
        <w:rPr>
          <w:lang w:val="en-US"/>
        </w:rPr>
        <w:t xml:space="preserve">also </w:t>
      </w:r>
      <w:r w:rsidR="00B552A8" w:rsidRPr="00954547">
        <w:rPr>
          <w:lang w:val="en-US"/>
        </w:rPr>
        <w:t xml:space="preserve">establishes a right that </w:t>
      </w:r>
      <w:r w:rsidR="00FC4D38" w:rsidRPr="00954547">
        <w:rPr>
          <w:lang w:val="en-US"/>
        </w:rPr>
        <w:t xml:space="preserve">entails obligations for the State to respect and </w:t>
      </w:r>
      <w:r w:rsidR="00DE5846" w:rsidRPr="00954547">
        <w:rPr>
          <w:lang w:val="en-US"/>
        </w:rPr>
        <w:t xml:space="preserve">to </w:t>
      </w:r>
      <w:r w:rsidR="00FC4D38" w:rsidRPr="00954547">
        <w:rPr>
          <w:lang w:val="en-US"/>
        </w:rPr>
        <w:t xml:space="preserve">ensure the principle of equality and non-discrimination to safeguard other rights and in all </w:t>
      </w:r>
      <w:r w:rsidR="00DE5846" w:rsidRPr="00954547">
        <w:rPr>
          <w:lang w:val="en-US"/>
        </w:rPr>
        <w:t>its</w:t>
      </w:r>
      <w:r w:rsidR="00FC4D38" w:rsidRPr="00954547">
        <w:rPr>
          <w:lang w:val="en-US"/>
        </w:rPr>
        <w:t xml:space="preserve"> domestic laws,</w:t>
      </w:r>
      <w:r w:rsidR="007962E7" w:rsidRPr="00954547">
        <w:rPr>
          <w:rStyle w:val="FootnoteReference"/>
          <w:rFonts w:eastAsia="Times New Roman"/>
          <w:lang w:val="en-US"/>
        </w:rPr>
        <w:footnoteReference w:id="270"/>
      </w:r>
      <w:r w:rsidR="00FC4D38" w:rsidRPr="00954547">
        <w:rPr>
          <w:lang w:val="en-US"/>
        </w:rPr>
        <w:t xml:space="preserve"> because it protects the right to “equal protection of the law</w:t>
      </w:r>
      <w:r w:rsidR="007962E7" w:rsidRPr="00954547">
        <w:rPr>
          <w:lang w:val="en-US"/>
        </w:rPr>
        <w:t>”</w:t>
      </w:r>
      <w:bookmarkStart w:id="73" w:name="_Ref318127313"/>
      <w:r w:rsidR="00DE5846" w:rsidRPr="00954547">
        <w:rPr>
          <w:lang w:val="en-US"/>
        </w:rPr>
        <w:t>;</w:t>
      </w:r>
      <w:r w:rsidR="007962E7" w:rsidRPr="00954547">
        <w:rPr>
          <w:rStyle w:val="FootnoteReference"/>
          <w:rFonts w:eastAsia="Times New Roman"/>
          <w:lang w:val="en-US"/>
        </w:rPr>
        <w:footnoteReference w:id="271"/>
      </w:r>
      <w:bookmarkEnd w:id="73"/>
      <w:r w:rsidR="00FC4D38" w:rsidRPr="00954547">
        <w:rPr>
          <w:lang w:val="en-US"/>
        </w:rPr>
        <w:t xml:space="preserve"> </w:t>
      </w:r>
      <w:r w:rsidR="00DE5846" w:rsidRPr="00954547">
        <w:rPr>
          <w:lang w:val="en-US"/>
        </w:rPr>
        <w:t>therefore,</w:t>
      </w:r>
      <w:r w:rsidR="00FC4D38" w:rsidRPr="00954547">
        <w:rPr>
          <w:lang w:val="en-US"/>
        </w:rPr>
        <w:t xml:space="preserve"> it also prohibits discrimination derived from an</w:t>
      </w:r>
      <w:r w:rsidR="00DE5846" w:rsidRPr="00954547">
        <w:rPr>
          <w:lang w:val="en-US"/>
        </w:rPr>
        <w:t>y</w:t>
      </w:r>
      <w:r w:rsidR="00FC4D38" w:rsidRPr="00954547">
        <w:rPr>
          <w:lang w:val="en-US"/>
        </w:rPr>
        <w:t xml:space="preserve"> inequality </w:t>
      </w:r>
      <w:r w:rsidR="00DE5846" w:rsidRPr="00954547">
        <w:rPr>
          <w:lang w:val="en-US"/>
        </w:rPr>
        <w:t>resulting</w:t>
      </w:r>
      <w:r w:rsidR="00FC4D38" w:rsidRPr="00954547">
        <w:rPr>
          <w:lang w:val="en-US"/>
        </w:rPr>
        <w:t xml:space="preserve"> from domestic law</w:t>
      </w:r>
      <w:r w:rsidR="00DE5846" w:rsidRPr="00954547">
        <w:rPr>
          <w:lang w:val="en-US"/>
        </w:rPr>
        <w:t>s</w:t>
      </w:r>
      <w:r w:rsidR="00FC4D38" w:rsidRPr="00954547">
        <w:rPr>
          <w:lang w:val="en-US"/>
        </w:rPr>
        <w:t xml:space="preserve"> and </w:t>
      </w:r>
      <w:r w:rsidR="00DE5846" w:rsidRPr="00954547">
        <w:rPr>
          <w:lang w:val="en-US"/>
        </w:rPr>
        <w:t>their</w:t>
      </w:r>
      <w:r w:rsidR="00FC4D38" w:rsidRPr="00954547">
        <w:rPr>
          <w:lang w:val="en-US"/>
        </w:rPr>
        <w:t xml:space="preserve"> application.</w:t>
      </w:r>
      <w:bookmarkStart w:id="74" w:name="_Ref318128267"/>
      <w:r w:rsidR="007962E7" w:rsidRPr="00954547">
        <w:rPr>
          <w:rStyle w:val="FootnoteReference"/>
          <w:rFonts w:eastAsia="Times New Roman"/>
          <w:lang w:val="en-US"/>
        </w:rPr>
        <w:footnoteReference w:id="272"/>
      </w:r>
      <w:bookmarkEnd w:id="74"/>
    </w:p>
    <w:p w14:paraId="6CB9B88F" w14:textId="1CA1EFCD" w:rsidR="00D103EF" w:rsidRPr="00954547" w:rsidRDefault="00E76B1A" w:rsidP="00B82823">
      <w:pPr>
        <w:pStyle w:val="Numberedparagraphs"/>
        <w:tabs>
          <w:tab w:val="left" w:pos="567"/>
        </w:tabs>
        <w:rPr>
          <w:lang w:val="en-US"/>
        </w:rPr>
      </w:pPr>
      <w:r w:rsidRPr="00954547">
        <w:rPr>
          <w:lang w:val="en-US"/>
        </w:rPr>
        <w:t>The Court</w:t>
      </w:r>
      <w:r w:rsidR="007962E7" w:rsidRPr="00954547">
        <w:rPr>
          <w:lang w:val="en-US"/>
        </w:rPr>
        <w:t xml:space="preserve"> ha</w:t>
      </w:r>
      <w:r w:rsidR="00B82823" w:rsidRPr="00954547">
        <w:rPr>
          <w:lang w:val="en-US"/>
        </w:rPr>
        <w:t>s determined that criminal law may be applied in a discriminatory manner if</w:t>
      </w:r>
      <w:r w:rsidR="001E19FF" w:rsidRPr="00954547">
        <w:rPr>
          <w:lang w:val="en-US"/>
        </w:rPr>
        <w:t xml:space="preserve">, when sentencing an individual, </w:t>
      </w:r>
      <w:r w:rsidR="00B82823" w:rsidRPr="00954547">
        <w:rPr>
          <w:lang w:val="en-US"/>
        </w:rPr>
        <w:t xml:space="preserve">the judge or court </w:t>
      </w:r>
      <w:r w:rsidR="001E19FF" w:rsidRPr="00954547">
        <w:rPr>
          <w:lang w:val="en-US"/>
        </w:rPr>
        <w:t>bases its</w:t>
      </w:r>
      <w:r w:rsidR="00B82823" w:rsidRPr="00954547">
        <w:rPr>
          <w:lang w:val="en-US"/>
        </w:rPr>
        <w:t xml:space="preserve"> reasoning on negative stereotypes to determine some elements of the criminal responsibility.</w:t>
      </w:r>
      <w:r w:rsidR="002C38B6" w:rsidRPr="00954547">
        <w:rPr>
          <w:rStyle w:val="FootnoteReference"/>
          <w:lang w:val="en-US"/>
        </w:rPr>
        <w:footnoteReference w:id="273"/>
      </w:r>
      <w:r w:rsidR="009B0D3E" w:rsidRPr="00954547">
        <w:rPr>
          <w:lang w:val="en-US"/>
        </w:rPr>
        <w:t xml:space="preserve"> </w:t>
      </w:r>
    </w:p>
    <w:p w14:paraId="492811F3" w14:textId="1E8B6F6B" w:rsidR="00D103EF" w:rsidRPr="00954547" w:rsidRDefault="00B82823" w:rsidP="007222DF">
      <w:pPr>
        <w:pStyle w:val="Numberedparagraphs"/>
        <w:tabs>
          <w:tab w:val="left" w:pos="567"/>
        </w:tabs>
        <w:rPr>
          <w:lang w:val="en-US"/>
        </w:rPr>
      </w:pPr>
      <w:r w:rsidRPr="00954547">
        <w:rPr>
          <w:lang w:val="en-US"/>
        </w:rPr>
        <w:t>In the instant case, th</w:t>
      </w:r>
      <w:r w:rsidR="001E19FF" w:rsidRPr="00954547">
        <w:rPr>
          <w:lang w:val="en-US"/>
        </w:rPr>
        <w:t>e</w:t>
      </w:r>
      <w:r w:rsidRPr="00954547">
        <w:rPr>
          <w:lang w:val="en-US"/>
        </w:rPr>
        <w:t xml:space="preserve"> Court has already determined that the criminal court convicted Manuela using gender stereotypes </w:t>
      </w:r>
      <w:r w:rsidR="007222DF" w:rsidRPr="00954547">
        <w:rPr>
          <w:lang w:val="en-US"/>
        </w:rPr>
        <w:t xml:space="preserve">as grounds for </w:t>
      </w:r>
      <w:r w:rsidRPr="00954547">
        <w:rPr>
          <w:lang w:val="en-US"/>
        </w:rPr>
        <w:t>its decision.</w:t>
      </w:r>
      <w:r w:rsidR="007222DF" w:rsidRPr="00954547">
        <w:rPr>
          <w:lang w:val="en-US"/>
        </w:rPr>
        <w:t xml:space="preserve"> The application of th</w:t>
      </w:r>
      <w:r w:rsidR="001E19FF" w:rsidRPr="00954547">
        <w:rPr>
          <w:lang w:val="en-US"/>
        </w:rPr>
        <w:t>o</w:t>
      </w:r>
      <w:r w:rsidR="007222DF" w:rsidRPr="00954547">
        <w:rPr>
          <w:lang w:val="en-US"/>
        </w:rPr>
        <w:t>se stereotypes was only possible because Manuela was a woman; and the impact was exacerbated because she was poor and illiterate and lived in a rural area. Therefore, the Court considers that the distinction made in the application of the criminal law was arbitrary and, consequently, discriminatory.</w:t>
      </w:r>
      <w:r w:rsidR="00284929" w:rsidRPr="00954547">
        <w:rPr>
          <w:rStyle w:val="FootnoteReference"/>
          <w:lang w:val="en-US"/>
        </w:rPr>
        <w:footnoteReference w:id="274"/>
      </w:r>
    </w:p>
    <w:bookmarkEnd w:id="69"/>
    <w:p w14:paraId="3A90B657" w14:textId="663E28D2" w:rsidR="00783783" w:rsidRPr="00954547" w:rsidRDefault="007222DF" w:rsidP="008B2D44">
      <w:pPr>
        <w:pStyle w:val="Numberedparagraphs"/>
        <w:tabs>
          <w:tab w:val="left" w:pos="567"/>
        </w:tabs>
        <w:rPr>
          <w:lang w:val="en-US"/>
        </w:rPr>
      </w:pPr>
      <w:r w:rsidRPr="00954547">
        <w:rPr>
          <w:lang w:val="en-US"/>
        </w:rPr>
        <w:t xml:space="preserve">Based on the above, the Court considers that the State is internationally responsible for the violation </w:t>
      </w:r>
      <w:r w:rsidR="00041C12" w:rsidRPr="00954547">
        <w:rPr>
          <w:lang w:val="en-US"/>
        </w:rPr>
        <w:t>of Article</w:t>
      </w:r>
      <w:r w:rsidR="009E3AAD" w:rsidRPr="00954547">
        <w:rPr>
          <w:lang w:val="en-US"/>
        </w:rPr>
        <w:t xml:space="preserve"> </w:t>
      </w:r>
      <w:r w:rsidR="00A17F8C" w:rsidRPr="00954547">
        <w:rPr>
          <w:lang w:val="en-US"/>
        </w:rPr>
        <w:t>8(1)</w:t>
      </w:r>
      <w:r w:rsidR="009E3AAD" w:rsidRPr="00954547">
        <w:rPr>
          <w:lang w:val="en-US"/>
        </w:rPr>
        <w:t xml:space="preserve"> </w:t>
      </w:r>
      <w:r w:rsidR="005E0FD1" w:rsidRPr="00954547">
        <w:rPr>
          <w:lang w:val="en-US"/>
        </w:rPr>
        <w:t>of the Convention</w:t>
      </w:r>
      <w:r w:rsidRPr="00954547">
        <w:rPr>
          <w:lang w:val="en-US"/>
        </w:rPr>
        <w:t xml:space="preserve"> which establishes the duty to provide a statement of reasons for decision</w:t>
      </w:r>
      <w:r w:rsidR="001E19FF" w:rsidRPr="00954547">
        <w:rPr>
          <w:lang w:val="en-US"/>
        </w:rPr>
        <w:t>s</w:t>
      </w:r>
      <w:r w:rsidRPr="00954547">
        <w:rPr>
          <w:lang w:val="en-US"/>
        </w:rPr>
        <w:t xml:space="preserve"> and the right to be tried by an impartial court,</w:t>
      </w:r>
      <w:r w:rsidR="009E3AAD" w:rsidRPr="00954547">
        <w:rPr>
          <w:lang w:val="en-US"/>
        </w:rPr>
        <w:t xml:space="preserve"> </w:t>
      </w:r>
      <w:r w:rsidR="00A17F8C" w:rsidRPr="00954547">
        <w:rPr>
          <w:lang w:val="en-US"/>
        </w:rPr>
        <w:t>Article</w:t>
      </w:r>
      <w:r w:rsidR="009E3AAD" w:rsidRPr="00954547">
        <w:rPr>
          <w:lang w:val="en-US"/>
        </w:rPr>
        <w:t xml:space="preserve"> </w:t>
      </w:r>
      <w:r w:rsidR="00CE421C" w:rsidRPr="00954547">
        <w:rPr>
          <w:lang w:val="en-US"/>
        </w:rPr>
        <w:t>8(2)</w:t>
      </w:r>
      <w:r w:rsidR="005E0FD1" w:rsidRPr="00954547">
        <w:rPr>
          <w:lang w:val="en-US"/>
        </w:rPr>
        <w:t xml:space="preserve"> of the American Convention</w:t>
      </w:r>
      <w:r w:rsidR="009E3AAD" w:rsidRPr="00954547">
        <w:rPr>
          <w:lang w:val="en-US"/>
        </w:rPr>
        <w:t xml:space="preserve"> </w:t>
      </w:r>
      <w:r w:rsidRPr="00954547">
        <w:rPr>
          <w:lang w:val="en-US"/>
        </w:rPr>
        <w:t xml:space="preserve">which recognizes the </w:t>
      </w:r>
      <w:r w:rsidR="00144817" w:rsidRPr="00954547">
        <w:rPr>
          <w:lang w:val="en-US"/>
        </w:rPr>
        <w:t>presumption of innocence</w:t>
      </w:r>
      <w:r w:rsidR="009E3AAD" w:rsidRPr="00954547">
        <w:rPr>
          <w:lang w:val="en-US"/>
        </w:rPr>
        <w:t>,</w:t>
      </w:r>
      <w:r w:rsidR="0078694F" w:rsidRPr="00954547">
        <w:rPr>
          <w:lang w:val="en-US"/>
        </w:rPr>
        <w:t xml:space="preserve"> and </w:t>
      </w:r>
      <w:r w:rsidR="00A17F8C" w:rsidRPr="00954547">
        <w:rPr>
          <w:lang w:val="en-US"/>
        </w:rPr>
        <w:t>Article</w:t>
      </w:r>
      <w:r w:rsidR="00284929" w:rsidRPr="00954547">
        <w:rPr>
          <w:lang w:val="en-US"/>
        </w:rPr>
        <w:t xml:space="preserve"> 24 </w:t>
      </w:r>
      <w:r w:rsidRPr="00954547">
        <w:rPr>
          <w:lang w:val="en-US"/>
        </w:rPr>
        <w:t xml:space="preserve">which establishes </w:t>
      </w:r>
      <w:r w:rsidR="0078694F" w:rsidRPr="00954547">
        <w:rPr>
          <w:lang w:val="en-US"/>
        </w:rPr>
        <w:t>equality before the law</w:t>
      </w:r>
      <w:r w:rsidR="00284929" w:rsidRPr="00954547">
        <w:rPr>
          <w:lang w:val="en-US"/>
        </w:rPr>
        <w:t>,</w:t>
      </w:r>
      <w:r w:rsidR="009E3AAD" w:rsidRPr="00954547">
        <w:rPr>
          <w:lang w:val="en-US"/>
        </w:rPr>
        <w:t xml:space="preserve"> </w:t>
      </w:r>
      <w:r w:rsidR="00144817" w:rsidRPr="00954547">
        <w:rPr>
          <w:lang w:val="en-US"/>
        </w:rPr>
        <w:t>in relation to the obligation to respect rights without discrimination</w:t>
      </w:r>
      <w:r w:rsidRPr="00954547">
        <w:rPr>
          <w:lang w:val="en-US"/>
        </w:rPr>
        <w:t xml:space="preserve"> established in </w:t>
      </w:r>
      <w:r w:rsidR="00A17F8C" w:rsidRPr="00954547">
        <w:rPr>
          <w:lang w:val="en-US"/>
        </w:rPr>
        <w:t xml:space="preserve">Article 1(1) </w:t>
      </w:r>
      <w:r w:rsidRPr="00954547">
        <w:rPr>
          <w:lang w:val="en-US"/>
        </w:rPr>
        <w:t>of this instrument</w:t>
      </w:r>
      <w:r w:rsidR="009E3AAD" w:rsidRPr="00954547">
        <w:rPr>
          <w:lang w:val="en-US"/>
        </w:rPr>
        <w:t xml:space="preserve">, </w:t>
      </w:r>
      <w:r w:rsidR="0078694F" w:rsidRPr="00954547">
        <w:rPr>
          <w:lang w:val="en-US"/>
        </w:rPr>
        <w:t>to the detriment of</w:t>
      </w:r>
      <w:r w:rsidR="009E3AAD" w:rsidRPr="00954547">
        <w:rPr>
          <w:lang w:val="en-US"/>
        </w:rPr>
        <w:t xml:space="preserve"> Manuela</w:t>
      </w:r>
      <w:r w:rsidR="00FD7788" w:rsidRPr="00954547">
        <w:rPr>
          <w:lang w:val="en-US"/>
        </w:rPr>
        <w:t>.</w:t>
      </w:r>
    </w:p>
    <w:p w14:paraId="21881219" w14:textId="2BBEE74B" w:rsidR="007D7B39" w:rsidRPr="00954547" w:rsidRDefault="00F74738" w:rsidP="00386B24">
      <w:pPr>
        <w:pStyle w:val="Heading3"/>
        <w:tabs>
          <w:tab w:val="left" w:pos="567"/>
        </w:tabs>
      </w:pPr>
      <w:bookmarkStart w:id="75" w:name="_Toc106353915"/>
      <w:r w:rsidRPr="00954547">
        <w:t>B.</w:t>
      </w:r>
      <w:r w:rsidR="00F8553A" w:rsidRPr="00954547">
        <w:t>3</w:t>
      </w:r>
      <w:r w:rsidRPr="00954547">
        <w:t xml:space="preserve"> </w:t>
      </w:r>
      <w:r w:rsidR="00C37C6C" w:rsidRPr="00954547">
        <w:t>The sentence imposed on</w:t>
      </w:r>
      <w:r w:rsidR="007D7B39" w:rsidRPr="00954547">
        <w:t xml:space="preserve"> Manuela</w:t>
      </w:r>
      <w:bookmarkEnd w:id="75"/>
    </w:p>
    <w:p w14:paraId="07324BC5" w14:textId="263D8101" w:rsidR="00D119D3" w:rsidRPr="00954547" w:rsidRDefault="007222DF" w:rsidP="0030745C">
      <w:pPr>
        <w:pStyle w:val="Numberedparagraphs"/>
        <w:tabs>
          <w:tab w:val="clear" w:pos="720"/>
          <w:tab w:val="num" w:pos="567"/>
        </w:tabs>
        <w:rPr>
          <w:lang w:val="en-US"/>
        </w:rPr>
      </w:pPr>
      <w:bookmarkStart w:id="76" w:name="_Ref88042438"/>
      <w:r w:rsidRPr="00954547">
        <w:rPr>
          <w:lang w:val="en-US"/>
        </w:rPr>
        <w:t>In this case</w:t>
      </w:r>
      <w:r w:rsidR="00AB5DF0" w:rsidRPr="00954547">
        <w:rPr>
          <w:lang w:val="en-US"/>
        </w:rPr>
        <w:t xml:space="preserve">, </w:t>
      </w:r>
      <w:r w:rsidR="0030745C" w:rsidRPr="00954547">
        <w:rPr>
          <w:lang w:val="en-US"/>
        </w:rPr>
        <w:t xml:space="preserve">there is no doubt that </w:t>
      </w:r>
      <w:r w:rsidR="00AB5DF0" w:rsidRPr="00954547">
        <w:rPr>
          <w:lang w:val="en-US"/>
        </w:rPr>
        <w:t xml:space="preserve">Manuela </w:t>
      </w:r>
      <w:r w:rsidR="0030745C" w:rsidRPr="00954547">
        <w:rPr>
          <w:lang w:val="en-US"/>
        </w:rPr>
        <w:t>suffered an</w:t>
      </w:r>
      <w:r w:rsidR="00AB5DF0" w:rsidRPr="00954547">
        <w:rPr>
          <w:lang w:val="en-US"/>
        </w:rPr>
        <w:t xml:space="preserve"> </w:t>
      </w:r>
      <w:r w:rsidR="00B72FE4" w:rsidRPr="00954547">
        <w:rPr>
          <w:lang w:val="en-US"/>
        </w:rPr>
        <w:t>obstetric emergency</w:t>
      </w:r>
      <w:r w:rsidR="00AB5DF0" w:rsidRPr="00954547">
        <w:rPr>
          <w:lang w:val="en-US"/>
        </w:rPr>
        <w:t xml:space="preserve"> </w:t>
      </w:r>
      <w:r w:rsidR="0030745C" w:rsidRPr="00954547">
        <w:rPr>
          <w:lang w:val="en-US"/>
        </w:rPr>
        <w:t>as a result of preeclampsia</w:t>
      </w:r>
      <w:r w:rsidR="00AB5DF0" w:rsidRPr="00954547">
        <w:rPr>
          <w:lang w:val="en-US"/>
        </w:rPr>
        <w:t xml:space="preserve"> (</w:t>
      </w:r>
      <w:r w:rsidR="00AB5DF0" w:rsidRPr="00954547">
        <w:rPr>
          <w:i/>
          <w:lang w:val="en-US"/>
        </w:rPr>
        <w:t xml:space="preserve">supra </w:t>
      </w:r>
      <w:r w:rsidR="00B10E5A" w:rsidRPr="00954547">
        <w:rPr>
          <w:lang w:val="en-US"/>
        </w:rPr>
        <w:t>para.</w:t>
      </w:r>
      <w:r w:rsidR="00AB5DF0" w:rsidRPr="00954547">
        <w:rPr>
          <w:lang w:val="en-US"/>
        </w:rPr>
        <w:t xml:space="preserve"> </w:t>
      </w:r>
      <w:r w:rsidR="00AB7525" w:rsidRPr="00954547">
        <w:rPr>
          <w:lang w:val="en-US"/>
        </w:rPr>
        <w:fldChar w:fldCharType="begin"/>
      </w:r>
      <w:r w:rsidR="00AB7525" w:rsidRPr="00954547">
        <w:rPr>
          <w:lang w:val="en-US"/>
        </w:rPr>
        <w:instrText xml:space="preserve"> REF _Ref88834398 \r \h </w:instrText>
      </w:r>
      <w:r w:rsidR="00793F65" w:rsidRPr="00954547">
        <w:rPr>
          <w:lang w:val="en-US"/>
        </w:rPr>
        <w:instrText xml:space="preserve"> \* MERGEFORMAT </w:instrText>
      </w:r>
      <w:r w:rsidR="00AB7525" w:rsidRPr="00954547">
        <w:rPr>
          <w:lang w:val="en-US"/>
        </w:rPr>
      </w:r>
      <w:r w:rsidR="00AB7525" w:rsidRPr="00954547">
        <w:rPr>
          <w:lang w:val="en-US"/>
        </w:rPr>
        <w:fldChar w:fldCharType="separate"/>
      </w:r>
      <w:r w:rsidR="000E4488" w:rsidRPr="00954547">
        <w:rPr>
          <w:b/>
          <w:bCs/>
          <w:lang w:val="en-US"/>
        </w:rPr>
        <w:t>Error! Reference source not found.</w:t>
      </w:r>
      <w:r w:rsidR="00AB7525" w:rsidRPr="00954547">
        <w:rPr>
          <w:lang w:val="en-US"/>
        </w:rPr>
        <w:fldChar w:fldCharType="end"/>
      </w:r>
      <w:r w:rsidR="00AB5DF0" w:rsidRPr="00954547">
        <w:rPr>
          <w:lang w:val="en-US"/>
        </w:rPr>
        <w:t xml:space="preserve">). </w:t>
      </w:r>
      <w:r w:rsidR="00E76B1A" w:rsidRPr="00954547">
        <w:rPr>
          <w:lang w:val="en-US"/>
        </w:rPr>
        <w:t>The Court</w:t>
      </w:r>
      <w:r w:rsidR="00AB5DF0" w:rsidRPr="00954547">
        <w:rPr>
          <w:lang w:val="en-US"/>
        </w:rPr>
        <w:t xml:space="preserve"> </w:t>
      </w:r>
      <w:r w:rsidR="0030745C" w:rsidRPr="00954547">
        <w:rPr>
          <w:lang w:val="en-US"/>
        </w:rPr>
        <w:t xml:space="preserve">underlines that as </w:t>
      </w:r>
      <w:r w:rsidR="009E6B43" w:rsidRPr="00954547">
        <w:rPr>
          <w:lang w:val="en-US"/>
        </w:rPr>
        <w:t>obstetric emergencies</w:t>
      </w:r>
      <w:r w:rsidR="0030745C" w:rsidRPr="00954547">
        <w:rPr>
          <w:lang w:val="en-US"/>
        </w:rPr>
        <w:t xml:space="preserve"> </w:t>
      </w:r>
      <w:r w:rsidR="00364D19" w:rsidRPr="00954547">
        <w:rPr>
          <w:lang w:val="en-US"/>
        </w:rPr>
        <w:t>are</w:t>
      </w:r>
      <w:r w:rsidR="0030745C" w:rsidRPr="00954547">
        <w:rPr>
          <w:lang w:val="en-US"/>
        </w:rPr>
        <w:t xml:space="preserve"> medical conditions, they cannot automatically lead to a criminal conviction. However, the Court notes that Manuela was sentenced to 30 years’ imprisonment for the </w:t>
      </w:r>
      <w:r w:rsidR="00364D19" w:rsidRPr="00954547">
        <w:rPr>
          <w:lang w:val="en-US"/>
        </w:rPr>
        <w:t>crime</w:t>
      </w:r>
      <w:r w:rsidR="0030745C" w:rsidRPr="00954547">
        <w:rPr>
          <w:lang w:val="en-US"/>
        </w:rPr>
        <w:t xml:space="preserve"> of aggravated homicide. </w:t>
      </w:r>
      <w:r w:rsidR="00364D19" w:rsidRPr="00954547">
        <w:rPr>
          <w:lang w:val="en-US"/>
        </w:rPr>
        <w:t>Al</w:t>
      </w:r>
      <w:r w:rsidR="0030745C" w:rsidRPr="00954547">
        <w:rPr>
          <w:lang w:val="en-US"/>
        </w:rPr>
        <w:t xml:space="preserve">though it has not been alleged that </w:t>
      </w:r>
      <w:r w:rsidR="00C37C6C" w:rsidRPr="00954547">
        <w:rPr>
          <w:lang w:val="en-US"/>
        </w:rPr>
        <w:t>the sentence imposed on</w:t>
      </w:r>
      <w:r w:rsidR="00D119D3" w:rsidRPr="00954547">
        <w:rPr>
          <w:lang w:val="en-US"/>
        </w:rPr>
        <w:t xml:space="preserve"> </w:t>
      </w:r>
      <w:r w:rsidR="00607E12" w:rsidRPr="00954547">
        <w:rPr>
          <w:lang w:val="en-US"/>
        </w:rPr>
        <w:t>the presumed victim</w:t>
      </w:r>
      <w:r w:rsidR="00364D19" w:rsidRPr="00954547">
        <w:rPr>
          <w:lang w:val="en-US"/>
        </w:rPr>
        <w:t xml:space="preserve"> violated the Convention</w:t>
      </w:r>
      <w:r w:rsidR="00D119D3" w:rsidRPr="00954547">
        <w:rPr>
          <w:lang w:val="en-US"/>
        </w:rPr>
        <w:t xml:space="preserve">, </w:t>
      </w:r>
      <w:r w:rsidR="00E76B1A" w:rsidRPr="00954547">
        <w:rPr>
          <w:lang w:val="en-US"/>
        </w:rPr>
        <w:t>the Court</w:t>
      </w:r>
      <w:r w:rsidR="00D119D3" w:rsidRPr="00954547">
        <w:rPr>
          <w:lang w:val="en-US"/>
        </w:rPr>
        <w:t xml:space="preserve"> </w:t>
      </w:r>
      <w:r w:rsidR="0030745C" w:rsidRPr="00954547">
        <w:rPr>
          <w:lang w:val="en-US"/>
        </w:rPr>
        <w:t xml:space="preserve">has competence to examine the possible violation of </w:t>
      </w:r>
      <w:r w:rsidR="00A17F8C" w:rsidRPr="00954547">
        <w:rPr>
          <w:lang w:val="en-US"/>
        </w:rPr>
        <w:t>Article</w:t>
      </w:r>
      <w:r w:rsidR="00D119D3" w:rsidRPr="00954547">
        <w:rPr>
          <w:lang w:val="en-US"/>
        </w:rPr>
        <w:t xml:space="preserve"> </w:t>
      </w:r>
      <w:r w:rsidR="005903D2" w:rsidRPr="00954547">
        <w:rPr>
          <w:lang w:val="en-US"/>
        </w:rPr>
        <w:t>5(2)</w:t>
      </w:r>
      <w:r w:rsidR="0078694F" w:rsidRPr="00954547">
        <w:rPr>
          <w:lang w:val="en-US"/>
        </w:rPr>
        <w:t xml:space="preserve"> and </w:t>
      </w:r>
      <w:r w:rsidR="00A57A52" w:rsidRPr="00954547">
        <w:rPr>
          <w:lang w:val="en-US"/>
        </w:rPr>
        <w:t>5</w:t>
      </w:r>
      <w:r w:rsidR="005903D2" w:rsidRPr="00954547">
        <w:rPr>
          <w:lang w:val="en-US"/>
        </w:rPr>
        <w:t>(6)</w:t>
      </w:r>
      <w:r w:rsidR="00D119D3" w:rsidRPr="00954547">
        <w:rPr>
          <w:lang w:val="en-US"/>
        </w:rPr>
        <w:t xml:space="preserve"> </w:t>
      </w:r>
      <w:r w:rsidR="005E0FD1" w:rsidRPr="00954547">
        <w:rPr>
          <w:lang w:val="en-US"/>
        </w:rPr>
        <w:t>of the Convention</w:t>
      </w:r>
      <w:r w:rsidR="00D119D3" w:rsidRPr="00954547">
        <w:rPr>
          <w:lang w:val="en-US"/>
        </w:rPr>
        <w:t xml:space="preserve"> </w:t>
      </w:r>
      <w:r w:rsidR="0030745C" w:rsidRPr="00954547">
        <w:rPr>
          <w:lang w:val="en-US"/>
        </w:rPr>
        <w:t xml:space="preserve">based on the </w:t>
      </w:r>
      <w:r w:rsidR="00D119D3" w:rsidRPr="00954547">
        <w:rPr>
          <w:i/>
          <w:lang w:val="en-US"/>
        </w:rPr>
        <w:t>iura novit curia</w:t>
      </w:r>
      <w:r w:rsidR="0030745C" w:rsidRPr="00954547">
        <w:rPr>
          <w:i/>
          <w:lang w:val="en-US"/>
        </w:rPr>
        <w:t xml:space="preserve"> </w:t>
      </w:r>
      <w:r w:rsidR="0030745C" w:rsidRPr="00954547">
        <w:rPr>
          <w:lang w:val="en-US"/>
        </w:rPr>
        <w:t>principle because the parties have had the opportunity to express their respective positions in relation to the facts that substantiate this.</w:t>
      </w:r>
      <w:r w:rsidR="00D119D3" w:rsidRPr="00954547">
        <w:rPr>
          <w:rStyle w:val="FootnoteReference"/>
          <w:lang w:val="en-US"/>
        </w:rPr>
        <w:footnoteReference w:id="275"/>
      </w:r>
      <w:bookmarkEnd w:id="76"/>
    </w:p>
    <w:p w14:paraId="4C15AA29" w14:textId="0B32D22C" w:rsidR="007342A4" w:rsidRPr="00954547" w:rsidRDefault="0030745C" w:rsidP="00AC73E0">
      <w:pPr>
        <w:pStyle w:val="Numberedparagraphs"/>
        <w:tabs>
          <w:tab w:val="clear" w:pos="720"/>
          <w:tab w:val="num" w:pos="567"/>
        </w:tabs>
        <w:rPr>
          <w:lang w:val="en-US"/>
        </w:rPr>
      </w:pPr>
      <w:r w:rsidRPr="00954547">
        <w:rPr>
          <w:lang w:val="en-US"/>
        </w:rPr>
        <w:t xml:space="preserve">In previous cases, this Court has indicated that an evolutive interpretation of the prohibition of </w:t>
      </w:r>
      <w:r w:rsidR="00687AB1" w:rsidRPr="00954547">
        <w:rPr>
          <w:lang w:val="en-US"/>
        </w:rPr>
        <w:t xml:space="preserve">cruel, inhuman or degrading treatment or punishment established in </w:t>
      </w:r>
      <w:r w:rsidR="00A17F8C" w:rsidRPr="00954547">
        <w:rPr>
          <w:lang w:val="en-US"/>
        </w:rPr>
        <w:t>Article</w:t>
      </w:r>
      <w:r w:rsidR="00D119D3" w:rsidRPr="00954547">
        <w:rPr>
          <w:lang w:val="en-US"/>
        </w:rPr>
        <w:t xml:space="preserve"> </w:t>
      </w:r>
      <w:r w:rsidR="005903D2" w:rsidRPr="00954547">
        <w:rPr>
          <w:lang w:val="en-US"/>
        </w:rPr>
        <w:t>5(2)</w:t>
      </w:r>
      <w:r w:rsidR="00D119D3" w:rsidRPr="00954547">
        <w:rPr>
          <w:lang w:val="en-US"/>
        </w:rPr>
        <w:t xml:space="preserve"> </w:t>
      </w:r>
      <w:r w:rsidR="005E0FD1" w:rsidRPr="00954547">
        <w:rPr>
          <w:lang w:val="en-US"/>
        </w:rPr>
        <w:t>of the Convention</w:t>
      </w:r>
      <w:r w:rsidR="00687AB1" w:rsidRPr="00954547">
        <w:rPr>
          <w:lang w:val="en-US"/>
        </w:rPr>
        <w:t xml:space="preserve"> gives rise to a requirement </w:t>
      </w:r>
      <w:r w:rsidR="00364D19" w:rsidRPr="00954547">
        <w:rPr>
          <w:lang w:val="en-US"/>
        </w:rPr>
        <w:t xml:space="preserve">that the sentence by </w:t>
      </w:r>
      <w:r w:rsidR="00687AB1" w:rsidRPr="00954547">
        <w:rPr>
          <w:lang w:val="en-US"/>
        </w:rPr>
        <w:t>proportiona</w:t>
      </w:r>
      <w:r w:rsidR="00364D19" w:rsidRPr="00954547">
        <w:rPr>
          <w:lang w:val="en-US"/>
        </w:rPr>
        <w:t>te</w:t>
      </w:r>
      <w:r w:rsidR="00687AB1" w:rsidRPr="00954547">
        <w:rPr>
          <w:lang w:val="en-US"/>
        </w:rPr>
        <w:t xml:space="preserve">. Thus, the Court has indicated that “[t]he initial concern in this </w:t>
      </w:r>
      <w:r w:rsidR="0026568C" w:rsidRPr="00954547">
        <w:rPr>
          <w:lang w:val="en-US"/>
        </w:rPr>
        <w:t>regard,</w:t>
      </w:r>
      <w:r w:rsidR="00687AB1" w:rsidRPr="00954547">
        <w:rPr>
          <w:lang w:val="en-US"/>
        </w:rPr>
        <w:t xml:space="preserve"> focused on the prohibition of torture as a form of persecution and punishment, as well as </w:t>
      </w:r>
      <w:r w:rsidR="0026568C" w:rsidRPr="00954547">
        <w:rPr>
          <w:lang w:val="en-US"/>
        </w:rPr>
        <w:t>other forms</w:t>
      </w:r>
      <w:r w:rsidR="00687AB1" w:rsidRPr="00954547">
        <w:rPr>
          <w:lang w:val="en-US"/>
        </w:rPr>
        <w:t xml:space="preserve"> of cruel, inhuman or degrading treatment</w:t>
      </w:r>
      <w:r w:rsidR="00C5754F" w:rsidRPr="00954547">
        <w:rPr>
          <w:lang w:val="en-US"/>
        </w:rPr>
        <w:t>,</w:t>
      </w:r>
      <w:r w:rsidR="00687AB1" w:rsidRPr="00954547">
        <w:rPr>
          <w:lang w:val="en-US"/>
        </w:rPr>
        <w:t xml:space="preserve"> has gradually extend</w:t>
      </w:r>
      <w:r w:rsidR="0026568C" w:rsidRPr="00954547">
        <w:rPr>
          <w:lang w:val="en-US"/>
        </w:rPr>
        <w:t>ed</w:t>
      </w:r>
      <w:r w:rsidR="00687AB1" w:rsidRPr="00954547">
        <w:rPr>
          <w:lang w:val="en-US"/>
        </w:rPr>
        <w:t xml:space="preserve"> to other areas including th</w:t>
      </w:r>
      <w:r w:rsidR="0026568C" w:rsidRPr="00954547">
        <w:rPr>
          <w:lang w:val="en-US"/>
        </w:rPr>
        <w:t>at</w:t>
      </w:r>
      <w:r w:rsidR="00687AB1" w:rsidRPr="00954547">
        <w:rPr>
          <w:lang w:val="en-US"/>
        </w:rPr>
        <w:t xml:space="preserve"> of the </w:t>
      </w:r>
      <w:r w:rsidR="0026568C" w:rsidRPr="00954547">
        <w:rPr>
          <w:lang w:val="en-US"/>
        </w:rPr>
        <w:t>punishments</w:t>
      </w:r>
      <w:r w:rsidR="00687AB1" w:rsidRPr="00954547">
        <w:rPr>
          <w:lang w:val="en-US"/>
        </w:rPr>
        <w:t xml:space="preserve"> established by the State for the perpetration of offense</w:t>
      </w:r>
      <w:r w:rsidR="00C5754F" w:rsidRPr="00954547">
        <w:rPr>
          <w:lang w:val="en-US"/>
        </w:rPr>
        <w:t>s</w:t>
      </w:r>
      <w:r w:rsidR="00687AB1" w:rsidRPr="00954547">
        <w:rPr>
          <w:lang w:val="en-US"/>
        </w:rPr>
        <w:t>.</w:t>
      </w:r>
      <w:r w:rsidR="00D119D3" w:rsidRPr="00954547">
        <w:rPr>
          <w:lang w:val="en-US"/>
        </w:rPr>
        <w:t>”</w:t>
      </w:r>
      <w:r w:rsidR="00501207" w:rsidRPr="00954547">
        <w:rPr>
          <w:rStyle w:val="FootnoteReference"/>
          <w:lang w:val="en-US"/>
        </w:rPr>
        <w:footnoteReference w:id="276"/>
      </w:r>
      <w:r w:rsidR="00D119D3" w:rsidRPr="00954547">
        <w:rPr>
          <w:lang w:val="en-US"/>
        </w:rPr>
        <w:t xml:space="preserve"> </w:t>
      </w:r>
      <w:r w:rsidR="00687AB1" w:rsidRPr="00954547">
        <w:rPr>
          <w:lang w:val="en-US"/>
        </w:rPr>
        <w:t xml:space="preserve">Therefore, </w:t>
      </w:r>
      <w:r w:rsidR="00AC73E0" w:rsidRPr="00954547">
        <w:rPr>
          <w:lang w:val="en-US"/>
        </w:rPr>
        <w:t>p</w:t>
      </w:r>
      <w:r w:rsidR="00C5754F" w:rsidRPr="00954547">
        <w:rPr>
          <w:lang w:val="en-US"/>
        </w:rPr>
        <w:t>uni</w:t>
      </w:r>
      <w:r w:rsidR="00AC73E0" w:rsidRPr="00954547">
        <w:rPr>
          <w:lang w:val="en-US"/>
        </w:rPr>
        <w:t>s</w:t>
      </w:r>
      <w:r w:rsidR="00C5754F" w:rsidRPr="00954547">
        <w:rPr>
          <w:lang w:val="en-US"/>
        </w:rPr>
        <w:t>hments</w:t>
      </w:r>
      <w:r w:rsidR="00AC73E0" w:rsidRPr="00954547">
        <w:rPr>
          <w:lang w:val="en-US"/>
        </w:rPr>
        <w:t xml:space="preserve"> that can be considered radically disproportionate are contrary to this provision of the Convention. In addition</w:t>
      </w:r>
      <w:r w:rsidR="007342A4" w:rsidRPr="00954547">
        <w:rPr>
          <w:lang w:val="en-US"/>
        </w:rPr>
        <w:t xml:space="preserve">, </w:t>
      </w:r>
      <w:r w:rsidR="00A17F8C" w:rsidRPr="00954547">
        <w:rPr>
          <w:lang w:val="en-US"/>
        </w:rPr>
        <w:t>Article</w:t>
      </w:r>
      <w:r w:rsidR="000408A7" w:rsidRPr="00954547">
        <w:rPr>
          <w:lang w:val="en-US"/>
        </w:rPr>
        <w:t xml:space="preserve"> </w:t>
      </w:r>
      <w:r w:rsidR="005903D2" w:rsidRPr="00954547">
        <w:rPr>
          <w:lang w:val="en-US"/>
        </w:rPr>
        <w:t>5(6)</w:t>
      </w:r>
      <w:r w:rsidR="000408A7" w:rsidRPr="00954547">
        <w:rPr>
          <w:lang w:val="en-US"/>
        </w:rPr>
        <w:t xml:space="preserve"> </w:t>
      </w:r>
      <w:r w:rsidR="00AC73E0" w:rsidRPr="00954547">
        <w:rPr>
          <w:lang w:val="en-US"/>
        </w:rPr>
        <w:t>of the American Convention establishes that</w:t>
      </w:r>
      <w:r w:rsidR="000408A7" w:rsidRPr="00954547">
        <w:rPr>
          <w:lang w:val="en-US"/>
        </w:rPr>
        <w:t xml:space="preserve"> “[</w:t>
      </w:r>
      <w:r w:rsidR="00AC73E0" w:rsidRPr="00954547">
        <w:rPr>
          <w:lang w:val="en-US"/>
        </w:rPr>
        <w:t>p</w:t>
      </w:r>
      <w:r w:rsidR="000408A7" w:rsidRPr="00954547">
        <w:rPr>
          <w:lang w:val="en-US"/>
        </w:rPr>
        <w:t>]</w:t>
      </w:r>
      <w:r w:rsidR="00AC73E0" w:rsidRPr="00954547">
        <w:rPr>
          <w:spacing w:val="-3"/>
          <w:lang w:val="en-US"/>
        </w:rPr>
        <w:t>unishments consisting of deprivation of liberty shall have as an essential aim the reform and social readaptation of the prisoners.” Therefore, the</w:t>
      </w:r>
      <w:r w:rsidR="00C5754F" w:rsidRPr="00954547">
        <w:rPr>
          <w:spacing w:val="-3"/>
          <w:lang w:val="en-US"/>
        </w:rPr>
        <w:t xml:space="preserve"> purpose of the</w:t>
      </w:r>
      <w:r w:rsidR="00AC73E0" w:rsidRPr="00954547">
        <w:rPr>
          <w:spacing w:val="-3"/>
          <w:lang w:val="en-US"/>
        </w:rPr>
        <w:t xml:space="preserve"> measure ordered as a result of the perpetration of an offense should </w:t>
      </w:r>
      <w:r w:rsidR="00C5754F" w:rsidRPr="00954547">
        <w:rPr>
          <w:spacing w:val="-3"/>
          <w:lang w:val="en-US"/>
        </w:rPr>
        <w:t>be</w:t>
      </w:r>
      <w:r w:rsidR="00AC73E0" w:rsidRPr="00954547">
        <w:rPr>
          <w:spacing w:val="-3"/>
          <w:lang w:val="en-US"/>
        </w:rPr>
        <w:t xml:space="preserve"> the social rehabilitation of the person convicted. Consequently, the proportionality of the sentence is closely related to its purpose, </w:t>
      </w:r>
      <w:r w:rsidR="00C5754F" w:rsidRPr="00954547">
        <w:rPr>
          <w:spacing w:val="-3"/>
          <w:lang w:val="en-US"/>
        </w:rPr>
        <w:t>and</w:t>
      </w:r>
      <w:r w:rsidR="00AC73E0" w:rsidRPr="00954547">
        <w:rPr>
          <w:spacing w:val="-3"/>
          <w:lang w:val="en-US"/>
        </w:rPr>
        <w:t xml:space="preserve"> sentences that are clearly disproportionate are contrary to the social rehabilitation of prisoners and therefore violate</w:t>
      </w:r>
      <w:r w:rsidR="00AC73E0" w:rsidRPr="00954547">
        <w:rPr>
          <w:lang w:val="en-US"/>
        </w:rPr>
        <w:t xml:space="preserve"> </w:t>
      </w:r>
      <w:r w:rsidR="00041C12" w:rsidRPr="00954547">
        <w:rPr>
          <w:lang w:val="en-US"/>
        </w:rPr>
        <w:t>Article</w:t>
      </w:r>
      <w:r w:rsidR="00300070" w:rsidRPr="00954547">
        <w:rPr>
          <w:lang w:val="en-US"/>
        </w:rPr>
        <w:t xml:space="preserve"> 5</w:t>
      </w:r>
      <w:r w:rsidR="007F19A8" w:rsidRPr="00954547">
        <w:rPr>
          <w:lang w:val="en-US"/>
        </w:rPr>
        <w:t xml:space="preserve"> </w:t>
      </w:r>
      <w:r w:rsidR="005E0FD1" w:rsidRPr="00954547">
        <w:rPr>
          <w:lang w:val="en-US"/>
        </w:rPr>
        <w:t>of the Convention</w:t>
      </w:r>
      <w:r w:rsidR="00AC73E0" w:rsidRPr="00954547">
        <w:rPr>
          <w:lang w:val="en-US"/>
        </w:rPr>
        <w:t>.</w:t>
      </w:r>
      <w:r w:rsidR="000408A7" w:rsidRPr="00954547">
        <w:rPr>
          <w:rStyle w:val="FootnoteReference"/>
          <w:lang w:val="en-US"/>
        </w:rPr>
        <w:footnoteReference w:id="277"/>
      </w:r>
      <w:r w:rsidR="008D62A3" w:rsidRPr="00954547">
        <w:rPr>
          <w:lang w:val="en-US"/>
        </w:rPr>
        <w:t xml:space="preserve"> </w:t>
      </w:r>
    </w:p>
    <w:p w14:paraId="5D312F90" w14:textId="3FA566B4" w:rsidR="000408A7" w:rsidRPr="00954547" w:rsidRDefault="008D5FD7" w:rsidP="00934591">
      <w:pPr>
        <w:pStyle w:val="Numberedparagraphs"/>
        <w:tabs>
          <w:tab w:val="clear" w:pos="720"/>
          <w:tab w:val="num" w:pos="567"/>
        </w:tabs>
        <w:rPr>
          <w:lang w:val="en-US"/>
        </w:rPr>
      </w:pPr>
      <w:r w:rsidRPr="00954547">
        <w:rPr>
          <w:lang w:val="en-US"/>
        </w:rPr>
        <w:t xml:space="preserve">At the present time, there is consensus in legal doctrine and case law that the punishment should be proportionate to the level of individualized </w:t>
      </w:r>
      <w:r w:rsidR="0027438B" w:rsidRPr="00954547">
        <w:rPr>
          <w:lang w:val="en-US"/>
        </w:rPr>
        <w:t>blame</w:t>
      </w:r>
      <w:r w:rsidRPr="00954547">
        <w:rPr>
          <w:lang w:val="en-US"/>
        </w:rPr>
        <w:t xml:space="preserve"> (or guilt) that can be determined against the offender based on the level of participation in the specific circumstances of the act. This rule is not only compatible with the Convention, but is also adapted to it, and should therefore be applied because it </w:t>
      </w:r>
      <w:r w:rsidR="0027438B" w:rsidRPr="00954547">
        <w:rPr>
          <w:lang w:val="en-US"/>
        </w:rPr>
        <w:t>is based on</w:t>
      </w:r>
      <w:r w:rsidRPr="00954547">
        <w:rPr>
          <w:lang w:val="en-US"/>
        </w:rPr>
        <w:t xml:space="preserve"> the concept of the dignity of the human person, conceived as a being capable of self-determination and </w:t>
      </w:r>
      <w:r w:rsidR="00934591" w:rsidRPr="00954547">
        <w:rPr>
          <w:lang w:val="en-US"/>
        </w:rPr>
        <w:t>endowed with moral awareness.</w:t>
      </w:r>
      <w:r w:rsidR="007342A4" w:rsidRPr="00954547">
        <w:rPr>
          <w:rStyle w:val="FootnoteReference"/>
          <w:lang w:val="en-US"/>
        </w:rPr>
        <w:footnoteReference w:id="278"/>
      </w:r>
    </w:p>
    <w:p w14:paraId="233B16B1" w14:textId="29E80767" w:rsidR="00934591" w:rsidRPr="00954547" w:rsidRDefault="00934591" w:rsidP="008026EA">
      <w:pPr>
        <w:pStyle w:val="Numberedparagraphs"/>
        <w:tabs>
          <w:tab w:val="clear" w:pos="720"/>
          <w:tab w:val="num" w:pos="567"/>
        </w:tabs>
        <w:rPr>
          <w:lang w:val="en-US"/>
        </w:rPr>
      </w:pPr>
      <w:r w:rsidRPr="00954547">
        <w:rPr>
          <w:lang w:val="en-US"/>
        </w:rPr>
        <w:t xml:space="preserve">In the instant case, </w:t>
      </w:r>
      <w:r w:rsidR="006D78A4" w:rsidRPr="00954547">
        <w:rPr>
          <w:lang w:val="en-US"/>
        </w:rPr>
        <w:t xml:space="preserve">Manuela received </w:t>
      </w:r>
      <w:r w:rsidRPr="00954547">
        <w:rPr>
          <w:lang w:val="en-US"/>
        </w:rPr>
        <w:t xml:space="preserve">a 30-year </w:t>
      </w:r>
      <w:r w:rsidR="00AA0E9D" w:rsidRPr="00954547">
        <w:rPr>
          <w:lang w:val="en-US"/>
        </w:rPr>
        <w:t>prison</w:t>
      </w:r>
      <w:r w:rsidRPr="00954547">
        <w:rPr>
          <w:lang w:val="en-US"/>
        </w:rPr>
        <w:t xml:space="preserve"> sentence</w:t>
      </w:r>
      <w:r w:rsidR="006D78A4" w:rsidRPr="00954547">
        <w:rPr>
          <w:lang w:val="en-US"/>
        </w:rPr>
        <w:t>, which was the</w:t>
      </w:r>
      <w:r w:rsidRPr="00954547">
        <w:rPr>
          <w:lang w:val="en-US"/>
        </w:rPr>
        <w:t xml:space="preserve"> minimum punishment established for the </w:t>
      </w:r>
      <w:r w:rsidR="0027438B" w:rsidRPr="00954547">
        <w:rPr>
          <w:lang w:val="en-US"/>
        </w:rPr>
        <w:t>crime</w:t>
      </w:r>
      <w:r w:rsidRPr="00954547">
        <w:rPr>
          <w:lang w:val="en-US"/>
        </w:rPr>
        <w:t xml:space="preserve"> of aggravated homicide. Moreover, following the amendment of the Criminal Code in 1998, the laws of El Salvador do not expressly establish any mitigation applicable to cases of homicide committed by a mother against her baby during its birth or immediately after and, in </w:t>
      </w:r>
      <w:r w:rsidR="006D78A4" w:rsidRPr="00954547">
        <w:rPr>
          <w:lang w:val="en-US"/>
        </w:rPr>
        <w:t>such</w:t>
      </w:r>
      <w:r w:rsidRPr="00954547">
        <w:rPr>
          <w:lang w:val="en-US"/>
        </w:rPr>
        <w:t xml:space="preserve"> cases, the </w:t>
      </w:r>
      <w:r w:rsidR="006D78A4" w:rsidRPr="00954547">
        <w:rPr>
          <w:lang w:val="en-US"/>
        </w:rPr>
        <w:t>crime</w:t>
      </w:r>
      <w:r w:rsidRPr="00954547">
        <w:rPr>
          <w:lang w:val="en-US"/>
        </w:rPr>
        <w:t xml:space="preserve"> of aggravated homicide is applied </w:t>
      </w:r>
      <w:r w:rsidR="006D78A4" w:rsidRPr="00954547">
        <w:rPr>
          <w:lang w:val="en-US"/>
        </w:rPr>
        <w:t>for which</w:t>
      </w:r>
      <w:r w:rsidRPr="00954547">
        <w:rPr>
          <w:lang w:val="en-US"/>
        </w:rPr>
        <w:t xml:space="preserve"> a sentence of 30 to 50 years’ imprisonment</w:t>
      </w:r>
      <w:r w:rsidR="006D78A4" w:rsidRPr="00954547">
        <w:rPr>
          <w:lang w:val="en-US"/>
        </w:rPr>
        <w:t xml:space="preserve"> is established.</w:t>
      </w:r>
    </w:p>
    <w:p w14:paraId="7FFFF59F" w14:textId="370C713F" w:rsidR="000F0B66" w:rsidRPr="00954547" w:rsidRDefault="00A57A52" w:rsidP="00A57A52">
      <w:pPr>
        <w:pStyle w:val="Numberedparagraphs"/>
        <w:tabs>
          <w:tab w:val="clear" w:pos="720"/>
          <w:tab w:val="num" w:pos="567"/>
        </w:tabs>
        <w:rPr>
          <w:lang w:val="en-US"/>
        </w:rPr>
      </w:pPr>
      <w:r w:rsidRPr="00954547">
        <w:rPr>
          <w:lang w:val="en-US"/>
        </w:rPr>
        <w:t>Although it is not for this Court to substitute for the domestic authorities in the individualization of</w:t>
      </w:r>
      <w:r w:rsidR="00D360FF" w:rsidRPr="00954547">
        <w:rPr>
          <w:lang w:val="en-US"/>
        </w:rPr>
        <w:t xml:space="preserve"> </w:t>
      </w:r>
      <w:r w:rsidRPr="00954547">
        <w:rPr>
          <w:lang w:val="en-US"/>
        </w:rPr>
        <w:t xml:space="preserve">punishments </w:t>
      </w:r>
      <w:r w:rsidR="00D360FF" w:rsidRPr="00954547">
        <w:rPr>
          <w:lang w:val="en-US"/>
        </w:rPr>
        <w:t>for</w:t>
      </w:r>
      <w:r w:rsidRPr="00954547">
        <w:rPr>
          <w:lang w:val="en-US"/>
        </w:rPr>
        <w:t xml:space="preserve"> offenses established in domestic law,</w:t>
      </w:r>
      <w:r w:rsidR="000F0B66" w:rsidRPr="00954547">
        <w:rPr>
          <w:rStyle w:val="FootnoteReference"/>
          <w:lang w:val="en-US"/>
        </w:rPr>
        <w:footnoteReference w:id="279"/>
      </w:r>
      <w:r w:rsidRPr="00954547">
        <w:rPr>
          <w:lang w:val="en-US"/>
        </w:rPr>
        <w:t xml:space="preserve"> in exceptional cases, such as this one, the Court must rule on the proportionality of the punishment because, as already indicated, a punishment that is evidently disproportionate is contrary to </w:t>
      </w:r>
      <w:r w:rsidR="00A17F8C" w:rsidRPr="00954547">
        <w:rPr>
          <w:color w:val="auto"/>
          <w:lang w:val="en-US"/>
        </w:rPr>
        <w:t>Article</w:t>
      </w:r>
      <w:r w:rsidR="000F0B66" w:rsidRPr="00954547">
        <w:rPr>
          <w:color w:val="auto"/>
          <w:lang w:val="en-US"/>
        </w:rPr>
        <w:t xml:space="preserve"> </w:t>
      </w:r>
      <w:r w:rsidR="005903D2" w:rsidRPr="00954547">
        <w:rPr>
          <w:color w:val="auto"/>
          <w:lang w:val="en-US"/>
        </w:rPr>
        <w:t>5(2)</w:t>
      </w:r>
      <w:r w:rsidR="0078694F" w:rsidRPr="00954547">
        <w:rPr>
          <w:color w:val="auto"/>
          <w:lang w:val="en-US"/>
        </w:rPr>
        <w:t xml:space="preserve"> and </w:t>
      </w:r>
      <w:r w:rsidR="005903D2" w:rsidRPr="00954547">
        <w:rPr>
          <w:color w:val="auto"/>
          <w:lang w:val="en-US"/>
        </w:rPr>
        <w:t>5(6)</w:t>
      </w:r>
      <w:r w:rsidR="000F0B66" w:rsidRPr="00954547">
        <w:rPr>
          <w:color w:val="auto"/>
          <w:lang w:val="en-US"/>
        </w:rPr>
        <w:t xml:space="preserve"> </w:t>
      </w:r>
      <w:r w:rsidR="005E0FD1" w:rsidRPr="00954547">
        <w:rPr>
          <w:color w:val="auto"/>
          <w:lang w:val="en-US"/>
        </w:rPr>
        <w:t>of the Convention</w:t>
      </w:r>
      <w:r w:rsidRPr="00954547">
        <w:rPr>
          <w:color w:val="auto"/>
          <w:lang w:val="en-US"/>
        </w:rPr>
        <w:t>.</w:t>
      </w:r>
      <w:r w:rsidR="000F0B66" w:rsidRPr="00954547">
        <w:rPr>
          <w:rStyle w:val="FootnoteReference"/>
          <w:color w:val="auto"/>
          <w:lang w:val="en-US"/>
        </w:rPr>
        <w:footnoteReference w:id="280"/>
      </w:r>
    </w:p>
    <w:p w14:paraId="47FDD3B8" w14:textId="3E526DC6" w:rsidR="0014177E" w:rsidRPr="00954547" w:rsidRDefault="00A57A52" w:rsidP="0014177E">
      <w:pPr>
        <w:pStyle w:val="Numberedparagraphs"/>
        <w:tabs>
          <w:tab w:val="clear" w:pos="720"/>
          <w:tab w:val="num" w:pos="567"/>
        </w:tabs>
        <w:rPr>
          <w:lang w:val="en-US"/>
        </w:rPr>
      </w:pPr>
      <w:r w:rsidRPr="00954547">
        <w:rPr>
          <w:color w:val="auto"/>
          <w:lang w:val="en-US"/>
        </w:rPr>
        <w:t xml:space="preserve">In this regard, it should be pointed out, first, that the application of the punishment established for the criminal offense of </w:t>
      </w:r>
      <w:r w:rsidR="00582E49" w:rsidRPr="00954547">
        <w:rPr>
          <w:color w:val="auto"/>
          <w:lang w:val="en-US"/>
        </w:rPr>
        <w:t>aggravated</w:t>
      </w:r>
      <w:r w:rsidR="00B66AA2" w:rsidRPr="00954547">
        <w:rPr>
          <w:color w:val="auto"/>
          <w:lang w:val="en-US"/>
        </w:rPr>
        <w:t xml:space="preserve"> homicide</w:t>
      </w:r>
      <w:r w:rsidRPr="00954547">
        <w:rPr>
          <w:color w:val="auto"/>
          <w:lang w:val="en-US"/>
        </w:rPr>
        <w:t xml:space="preserve"> was clearly disproportionate in this case because it does not take into account the particular situation of women during the perinatal and postpartum</w:t>
      </w:r>
      <w:r w:rsidR="007D77B1" w:rsidRPr="00954547">
        <w:rPr>
          <w:color w:val="auto"/>
          <w:lang w:val="en-US"/>
        </w:rPr>
        <w:t xml:space="preserve"> stages;</w:t>
      </w:r>
      <w:r w:rsidR="002E3ADA" w:rsidRPr="00954547">
        <w:rPr>
          <w:rStyle w:val="FootnoteReference"/>
          <w:color w:val="auto"/>
          <w:lang w:val="en-US"/>
        </w:rPr>
        <w:footnoteReference w:id="281"/>
      </w:r>
      <w:r w:rsidR="007D77B1" w:rsidRPr="00954547">
        <w:rPr>
          <w:color w:val="auto"/>
          <w:lang w:val="en-US"/>
        </w:rPr>
        <w:t xml:space="preserve"> notwithstanding the fact that, owing to a deficient investigation, it should not be ruled out that</w:t>
      </w:r>
      <w:r w:rsidR="00D360FF" w:rsidRPr="00954547">
        <w:rPr>
          <w:color w:val="auto"/>
          <w:lang w:val="en-US"/>
        </w:rPr>
        <w:t>, in this case, there was an</w:t>
      </w:r>
      <w:r w:rsidR="007D77B1" w:rsidRPr="00954547">
        <w:rPr>
          <w:color w:val="auto"/>
          <w:lang w:val="en-US"/>
        </w:rPr>
        <w:t xml:space="preserve"> absence of any criminal responsibility.</w:t>
      </w:r>
    </w:p>
    <w:p w14:paraId="6B2FEE2A" w14:textId="3F8AF229" w:rsidR="0014177E" w:rsidRPr="00954547" w:rsidRDefault="000C786C" w:rsidP="00C21D56">
      <w:pPr>
        <w:pStyle w:val="Numberedparagraphs"/>
        <w:tabs>
          <w:tab w:val="clear" w:pos="720"/>
          <w:tab w:val="num" w:pos="567"/>
        </w:tabs>
        <w:rPr>
          <w:lang w:val="en-US"/>
        </w:rPr>
      </w:pPr>
      <w:r w:rsidRPr="00954547">
        <w:rPr>
          <w:lang w:val="en-US"/>
        </w:rPr>
        <w:t xml:space="preserve">To this should be added that criminological experience in relation to infanticide reveals, first, that it usually occurs in </w:t>
      </w:r>
      <w:r w:rsidR="00D40981" w:rsidRPr="00954547">
        <w:rPr>
          <w:lang w:val="en-US"/>
        </w:rPr>
        <w:t xml:space="preserve">solitary, </w:t>
      </w:r>
      <w:r w:rsidRPr="00954547">
        <w:rPr>
          <w:lang w:val="en-US"/>
        </w:rPr>
        <w:t xml:space="preserve">unassisted </w:t>
      </w:r>
      <w:r w:rsidR="007A53CF" w:rsidRPr="00954547">
        <w:rPr>
          <w:lang w:val="en-US"/>
        </w:rPr>
        <w:t>deliveries</w:t>
      </w:r>
      <w:r w:rsidR="00D40981" w:rsidRPr="00954547">
        <w:rPr>
          <w:lang w:val="en-US"/>
        </w:rPr>
        <w:t xml:space="preserve"> and often in </w:t>
      </w:r>
      <w:r w:rsidR="002D6FBC" w:rsidRPr="00954547">
        <w:rPr>
          <w:lang w:val="en-US"/>
        </w:rPr>
        <w:t>toilets</w:t>
      </w:r>
      <w:r w:rsidR="00F031D5" w:rsidRPr="00954547">
        <w:rPr>
          <w:lang w:val="en-US"/>
        </w:rPr>
        <w:t>,</w:t>
      </w:r>
      <w:r w:rsidR="002E3ADA" w:rsidRPr="00954547">
        <w:rPr>
          <w:vertAlign w:val="superscript"/>
          <w:lang w:val="en-US"/>
        </w:rPr>
        <w:footnoteReference w:id="282"/>
      </w:r>
      <w:r w:rsidR="00F031D5" w:rsidRPr="00954547">
        <w:rPr>
          <w:lang w:val="en-US"/>
        </w:rPr>
        <w:t xml:space="preserve"> which means </w:t>
      </w:r>
      <w:r w:rsidR="002D6FBC" w:rsidRPr="00954547">
        <w:rPr>
          <w:lang w:val="en-US"/>
        </w:rPr>
        <w:t>when</w:t>
      </w:r>
      <w:r w:rsidR="00F031D5" w:rsidRPr="00954547">
        <w:rPr>
          <w:lang w:val="en-US"/>
        </w:rPr>
        <w:t xml:space="preserve"> </w:t>
      </w:r>
      <w:r w:rsidR="007A53CF" w:rsidRPr="00954547">
        <w:rPr>
          <w:lang w:val="en-US"/>
        </w:rPr>
        <w:t>a</w:t>
      </w:r>
      <w:r w:rsidR="00F031D5" w:rsidRPr="00954547">
        <w:rPr>
          <w:lang w:val="en-US"/>
        </w:rPr>
        <w:t xml:space="preserve"> wom</w:t>
      </w:r>
      <w:r w:rsidR="007A53CF" w:rsidRPr="00954547">
        <w:rPr>
          <w:lang w:val="en-US"/>
        </w:rPr>
        <w:t>a</w:t>
      </w:r>
      <w:r w:rsidR="00F031D5" w:rsidRPr="00954547">
        <w:rPr>
          <w:lang w:val="en-US"/>
        </w:rPr>
        <w:t xml:space="preserve">n’s mental fragility </w:t>
      </w:r>
      <w:r w:rsidR="00C21D56" w:rsidRPr="00954547">
        <w:rPr>
          <w:lang w:val="en-US"/>
        </w:rPr>
        <w:t>is most acute</w:t>
      </w:r>
      <w:r w:rsidR="007A53CF" w:rsidRPr="00954547">
        <w:rPr>
          <w:lang w:val="en-US"/>
        </w:rPr>
        <w:t>.</w:t>
      </w:r>
      <w:r w:rsidR="00C21D56" w:rsidRPr="00954547">
        <w:rPr>
          <w:lang w:val="en-US"/>
        </w:rPr>
        <w:t xml:space="preserve"> </w:t>
      </w:r>
      <w:r w:rsidR="007A53CF" w:rsidRPr="00954547">
        <w:rPr>
          <w:lang w:val="en-US"/>
        </w:rPr>
        <w:t>I</w:t>
      </w:r>
      <w:r w:rsidR="00C21D56" w:rsidRPr="00954547">
        <w:rPr>
          <w:lang w:val="en-US"/>
        </w:rPr>
        <w:t>n this regard, specialized legal doctrine has rightly pointed out that “the feeling of despair is accentuated in the young mother who gives birth secretly, without help.</w:t>
      </w:r>
      <w:r w:rsidR="002E3ADA" w:rsidRPr="00954547">
        <w:rPr>
          <w:lang w:val="en-US"/>
        </w:rPr>
        <w:t>”</w:t>
      </w:r>
      <w:r w:rsidR="002E3ADA" w:rsidRPr="00954547">
        <w:rPr>
          <w:vertAlign w:val="superscript"/>
          <w:lang w:val="en-US"/>
        </w:rPr>
        <w:footnoteReference w:id="283"/>
      </w:r>
    </w:p>
    <w:p w14:paraId="5FB95441" w14:textId="50BA59E1" w:rsidR="003B7820" w:rsidRPr="00954547" w:rsidRDefault="00C21D56" w:rsidP="003B7820">
      <w:pPr>
        <w:pStyle w:val="Numberedparagraphs"/>
        <w:tabs>
          <w:tab w:val="clear" w:pos="720"/>
          <w:tab w:val="num" w:pos="567"/>
        </w:tabs>
        <w:rPr>
          <w:lang w:val="en-US"/>
        </w:rPr>
      </w:pPr>
      <w:r w:rsidRPr="00954547">
        <w:rPr>
          <w:lang w:val="en-US"/>
        </w:rPr>
        <w:t xml:space="preserve">In addition to the abysmal disproportion </w:t>
      </w:r>
      <w:r w:rsidR="007A53CF" w:rsidRPr="00954547">
        <w:rPr>
          <w:lang w:val="en-US"/>
        </w:rPr>
        <w:t>in relation to</w:t>
      </w:r>
      <w:r w:rsidRPr="00954547">
        <w:rPr>
          <w:lang w:val="en-US"/>
        </w:rPr>
        <w:t xml:space="preserve"> the guilt resulting merely from the s</w:t>
      </w:r>
      <w:r w:rsidR="007A53CF" w:rsidRPr="00954547">
        <w:rPr>
          <w:lang w:val="en-US"/>
        </w:rPr>
        <w:t>tate</w:t>
      </w:r>
      <w:r w:rsidRPr="00954547">
        <w:rPr>
          <w:lang w:val="en-US"/>
        </w:rPr>
        <w:t xml:space="preserve"> that a woman finds herself in during the perinatal period, </w:t>
      </w:r>
      <w:r w:rsidR="00A51EC4" w:rsidRPr="00954547">
        <w:rPr>
          <w:lang w:val="en-US"/>
        </w:rPr>
        <w:t xml:space="preserve">it should not be forgotten that, in most cases – and also in that of Manuela – their guilt should </w:t>
      </w:r>
      <w:r w:rsidR="006D0132" w:rsidRPr="00954547">
        <w:rPr>
          <w:lang w:val="en-US"/>
        </w:rPr>
        <w:t xml:space="preserve">also </w:t>
      </w:r>
      <w:r w:rsidR="00A51EC4" w:rsidRPr="00954547">
        <w:rPr>
          <w:lang w:val="en-US"/>
        </w:rPr>
        <w:t xml:space="preserve">be </w:t>
      </w:r>
      <w:r w:rsidR="006D0132" w:rsidRPr="00954547">
        <w:rPr>
          <w:lang w:val="en-US"/>
        </w:rPr>
        <w:t>lessened</w:t>
      </w:r>
      <w:r w:rsidR="00A51EC4" w:rsidRPr="00954547">
        <w:rPr>
          <w:lang w:val="en-US"/>
        </w:rPr>
        <w:t xml:space="preserve"> because they are young women who find it difficult to communicate or who </w:t>
      </w:r>
      <w:r w:rsidR="006D0132" w:rsidRPr="00954547">
        <w:rPr>
          <w:lang w:val="en-US"/>
        </w:rPr>
        <w:t>are experiencing</w:t>
      </w:r>
      <w:r w:rsidR="00A51EC4" w:rsidRPr="00954547">
        <w:rPr>
          <w:lang w:val="en-US"/>
        </w:rPr>
        <w:t xml:space="preserve"> cultural isolation (in cities, this is frequent among urban domestic </w:t>
      </w:r>
      <w:r w:rsidR="006D0132" w:rsidRPr="00954547">
        <w:rPr>
          <w:lang w:val="en-US"/>
        </w:rPr>
        <w:t xml:space="preserve">employees who are </w:t>
      </w:r>
      <w:r w:rsidR="00A51EC4" w:rsidRPr="00954547">
        <w:rPr>
          <w:lang w:val="en-US"/>
        </w:rPr>
        <w:t xml:space="preserve">originally from poor campesino families). </w:t>
      </w:r>
      <w:r w:rsidR="003B7820" w:rsidRPr="00954547">
        <w:rPr>
          <w:lang w:val="en-US"/>
        </w:rPr>
        <w:t xml:space="preserve">Furthermore, many are illiterate or with little schooling. They come from family circles </w:t>
      </w:r>
      <w:r w:rsidR="006D0132" w:rsidRPr="00954547">
        <w:rPr>
          <w:lang w:val="en-US"/>
        </w:rPr>
        <w:t>located</w:t>
      </w:r>
      <w:r w:rsidR="003B7820" w:rsidRPr="00954547">
        <w:rPr>
          <w:lang w:val="en-US"/>
        </w:rPr>
        <w:t xml:space="preserve"> in social enclaves with a backward culture </w:t>
      </w:r>
      <w:r w:rsidR="006D0132" w:rsidRPr="00954547">
        <w:rPr>
          <w:lang w:val="en-US"/>
        </w:rPr>
        <w:t>that</w:t>
      </w:r>
      <w:r w:rsidR="003B7820" w:rsidRPr="00954547">
        <w:rPr>
          <w:lang w:val="en-US"/>
        </w:rPr>
        <w:t xml:space="preserve"> is </w:t>
      </w:r>
      <w:r w:rsidR="006D0132" w:rsidRPr="00954547">
        <w:rPr>
          <w:lang w:val="en-US"/>
        </w:rPr>
        <w:t xml:space="preserve">considerably </w:t>
      </w:r>
      <w:r w:rsidR="00233517" w:rsidRPr="00954547">
        <w:rPr>
          <w:lang w:val="en-US"/>
        </w:rPr>
        <w:t>more</w:t>
      </w:r>
      <w:r w:rsidR="006D0132" w:rsidRPr="00954547">
        <w:rPr>
          <w:lang w:val="en-US"/>
        </w:rPr>
        <w:t xml:space="preserve"> </w:t>
      </w:r>
      <w:r w:rsidR="00233517" w:rsidRPr="00954547">
        <w:rPr>
          <w:lang w:val="en-US"/>
        </w:rPr>
        <w:t>patriarchal tha</w:t>
      </w:r>
      <w:r w:rsidR="006D0132" w:rsidRPr="00954547">
        <w:rPr>
          <w:lang w:val="en-US"/>
        </w:rPr>
        <w:t>n</w:t>
      </w:r>
      <w:r w:rsidR="00233517" w:rsidRPr="00954547">
        <w:rPr>
          <w:lang w:val="en-US"/>
        </w:rPr>
        <w:t xml:space="preserve"> the rest of society. Owing to all these negative </w:t>
      </w:r>
      <w:r w:rsidR="00E841AE" w:rsidRPr="00954547">
        <w:rPr>
          <w:lang w:val="en-US"/>
        </w:rPr>
        <w:t>factors</w:t>
      </w:r>
      <w:r w:rsidR="00233517" w:rsidRPr="00954547">
        <w:rPr>
          <w:lang w:val="en-US"/>
        </w:rPr>
        <w:t xml:space="preserve">, these are women who are not in a situation to join or achieve the protection of the movements that habitually struggle to achieve women’s rights and equality; they are truly highly vulnerable women without a voice, driven to commit this offense due to backward enclaves with a strongly patriarchal culture.  </w:t>
      </w:r>
    </w:p>
    <w:p w14:paraId="7E411D92" w14:textId="16C7D251" w:rsidR="00233517" w:rsidRPr="00954547" w:rsidRDefault="00233517" w:rsidP="007F19A8">
      <w:pPr>
        <w:pStyle w:val="Numberedparagraphs"/>
        <w:tabs>
          <w:tab w:val="clear" w:pos="720"/>
          <w:tab w:val="num" w:pos="567"/>
        </w:tabs>
        <w:rPr>
          <w:lang w:val="en-US"/>
        </w:rPr>
      </w:pPr>
      <w:r w:rsidRPr="00954547">
        <w:rPr>
          <w:lang w:val="en-US"/>
        </w:rPr>
        <w:t>Although</w:t>
      </w:r>
      <w:r w:rsidR="00E841AE" w:rsidRPr="00954547">
        <w:rPr>
          <w:lang w:val="en-US"/>
        </w:rPr>
        <w:t>,</w:t>
      </w:r>
      <w:r w:rsidRPr="00954547">
        <w:rPr>
          <w:lang w:val="en-US"/>
        </w:rPr>
        <w:t xml:space="preserve"> in Manuela</w:t>
      </w:r>
      <w:r w:rsidR="00E841AE" w:rsidRPr="00954547">
        <w:rPr>
          <w:lang w:val="en-US"/>
        </w:rPr>
        <w:t>’s case, the criminal court took these factors into account</w:t>
      </w:r>
      <w:r w:rsidRPr="00954547">
        <w:rPr>
          <w:lang w:val="en-US"/>
        </w:rPr>
        <w:t xml:space="preserve"> when deciding her sentence, it is paradoxical that, </w:t>
      </w:r>
      <w:r w:rsidR="00C1660E" w:rsidRPr="00954547">
        <w:rPr>
          <w:lang w:val="en-US"/>
        </w:rPr>
        <w:t>after highlighting those misogynistic values, the judgment concluded that there were attenuating factors and, on that basis, decided to impose no less than thirty years’ imprisonment</w:t>
      </w:r>
      <w:r w:rsidR="00E841AE" w:rsidRPr="00954547">
        <w:rPr>
          <w:lang w:val="en-US"/>
        </w:rPr>
        <w:t>. Moreover,</w:t>
      </w:r>
      <w:r w:rsidR="00C1660E" w:rsidRPr="00954547">
        <w:rPr>
          <w:lang w:val="en-US"/>
        </w:rPr>
        <w:t xml:space="preserve"> it is evident that, in this case, </w:t>
      </w:r>
      <w:r w:rsidR="00E841AE" w:rsidRPr="00954547">
        <w:rPr>
          <w:lang w:val="en-US"/>
        </w:rPr>
        <w:t>this</w:t>
      </w:r>
      <w:r w:rsidR="00C1660E" w:rsidRPr="00954547">
        <w:rPr>
          <w:lang w:val="en-US"/>
        </w:rPr>
        <w:t xml:space="preserve"> punishment was clearly cruel.</w:t>
      </w:r>
    </w:p>
    <w:p w14:paraId="142A5328" w14:textId="08D53738" w:rsidR="00A43F9D" w:rsidRPr="00954547" w:rsidRDefault="00C1660E" w:rsidP="008D3BF1">
      <w:pPr>
        <w:pStyle w:val="Numberedparagraphs"/>
        <w:tabs>
          <w:tab w:val="clear" w:pos="720"/>
          <w:tab w:val="num" w:pos="567"/>
        </w:tabs>
        <w:rPr>
          <w:lang w:val="en-US"/>
        </w:rPr>
      </w:pPr>
      <w:r w:rsidRPr="00954547">
        <w:rPr>
          <w:lang w:val="en-US"/>
        </w:rPr>
        <w:t xml:space="preserve">Based on the above, and pursuant to </w:t>
      </w:r>
      <w:r w:rsidR="00A17F8C" w:rsidRPr="00954547">
        <w:rPr>
          <w:lang w:val="en-US"/>
        </w:rPr>
        <w:t>Article</w:t>
      </w:r>
      <w:r w:rsidR="002E3ADA" w:rsidRPr="00954547">
        <w:rPr>
          <w:lang w:val="en-US"/>
        </w:rPr>
        <w:t xml:space="preserve"> </w:t>
      </w:r>
      <w:r w:rsidR="005903D2" w:rsidRPr="00954547">
        <w:rPr>
          <w:lang w:val="en-US"/>
        </w:rPr>
        <w:t>5(2)</w:t>
      </w:r>
      <w:r w:rsidR="0078694F" w:rsidRPr="00954547">
        <w:rPr>
          <w:lang w:val="en-US"/>
        </w:rPr>
        <w:t xml:space="preserve"> and </w:t>
      </w:r>
      <w:r w:rsidR="005903D2" w:rsidRPr="00954547">
        <w:rPr>
          <w:lang w:val="en-US"/>
        </w:rPr>
        <w:t>5(6)</w:t>
      </w:r>
      <w:r w:rsidR="005E0FD1" w:rsidRPr="00954547">
        <w:rPr>
          <w:lang w:val="en-US"/>
        </w:rPr>
        <w:t xml:space="preserve"> of the American Convention</w:t>
      </w:r>
      <w:r w:rsidR="000408A7" w:rsidRPr="00954547">
        <w:rPr>
          <w:lang w:val="en-US"/>
        </w:rPr>
        <w:t xml:space="preserve">, </w:t>
      </w:r>
      <w:r w:rsidR="00E76B1A" w:rsidRPr="00954547">
        <w:rPr>
          <w:lang w:val="en-US"/>
        </w:rPr>
        <w:t>the Court</w:t>
      </w:r>
      <w:r w:rsidR="000408A7" w:rsidRPr="00954547">
        <w:rPr>
          <w:lang w:val="en-US"/>
        </w:rPr>
        <w:t xml:space="preserve"> consider</w:t>
      </w:r>
      <w:r w:rsidRPr="00954547">
        <w:rPr>
          <w:lang w:val="en-US"/>
        </w:rPr>
        <w:t xml:space="preserve">s that the sentence </w:t>
      </w:r>
      <w:r w:rsidR="00A9267A" w:rsidRPr="00954547">
        <w:rPr>
          <w:lang w:val="en-US"/>
        </w:rPr>
        <w:t xml:space="preserve">of </w:t>
      </w:r>
      <w:r w:rsidRPr="00954547">
        <w:rPr>
          <w:lang w:val="en-US"/>
        </w:rPr>
        <w:t xml:space="preserve">30 years’ imprisonment for a homicide committed by a mother during the perinatal period </w:t>
      </w:r>
      <w:r w:rsidR="00A9267A" w:rsidRPr="00954547">
        <w:rPr>
          <w:lang w:val="en-US"/>
        </w:rPr>
        <w:t>was</w:t>
      </w:r>
      <w:r w:rsidRPr="00954547">
        <w:rPr>
          <w:lang w:val="en-US"/>
        </w:rPr>
        <w:t xml:space="preserve"> disproportionate to </w:t>
      </w:r>
      <w:r w:rsidR="008D3BF1" w:rsidRPr="00954547">
        <w:rPr>
          <w:lang w:val="en-US"/>
        </w:rPr>
        <w:t>her</w:t>
      </w:r>
      <w:r w:rsidRPr="00954547">
        <w:rPr>
          <w:lang w:val="en-US"/>
        </w:rPr>
        <w:t xml:space="preserve"> level of individua</w:t>
      </w:r>
      <w:r w:rsidR="008D3BF1" w:rsidRPr="00954547">
        <w:rPr>
          <w:lang w:val="en-US"/>
        </w:rPr>
        <w:t xml:space="preserve">lized </w:t>
      </w:r>
      <w:r w:rsidR="00A9267A" w:rsidRPr="00954547">
        <w:rPr>
          <w:lang w:val="en-US"/>
        </w:rPr>
        <w:t>blame</w:t>
      </w:r>
      <w:r w:rsidR="008D3BF1" w:rsidRPr="00954547">
        <w:rPr>
          <w:lang w:val="en-US"/>
        </w:rPr>
        <w:t xml:space="preserve"> (or guilt). Therefore, the current punishment established for infanticide is cruel and, consequently, contrary to the Convention.</w:t>
      </w:r>
    </w:p>
    <w:p w14:paraId="39BA728C" w14:textId="45387302" w:rsidR="008D3BF1" w:rsidRPr="00954547" w:rsidRDefault="008D3BF1" w:rsidP="00AF2396">
      <w:pPr>
        <w:pStyle w:val="Numberedparagraphs"/>
        <w:tabs>
          <w:tab w:val="clear" w:pos="720"/>
          <w:tab w:val="num" w:pos="567"/>
        </w:tabs>
        <w:rPr>
          <w:lang w:val="en-US"/>
        </w:rPr>
      </w:pPr>
      <w:r w:rsidRPr="00954547">
        <w:rPr>
          <w:lang w:val="en-US"/>
        </w:rPr>
        <w:t>The Court notes that</w:t>
      </w:r>
      <w:r w:rsidR="007D7721" w:rsidRPr="00954547">
        <w:rPr>
          <w:lang w:val="en-US"/>
        </w:rPr>
        <w:t xml:space="preserve"> the 1973 Criminal Code</w:t>
      </w:r>
      <w:r w:rsidR="009E6B43" w:rsidRPr="00954547">
        <w:rPr>
          <w:lang w:val="en-US"/>
        </w:rPr>
        <w:t xml:space="preserve"> of El </w:t>
      </w:r>
      <w:r w:rsidR="00DE7D90" w:rsidRPr="00954547">
        <w:rPr>
          <w:lang w:val="en-US"/>
        </w:rPr>
        <w:t xml:space="preserve">Salvador </w:t>
      </w:r>
      <w:r w:rsidRPr="00954547">
        <w:rPr>
          <w:lang w:val="en-US"/>
        </w:rPr>
        <w:t>established an attenuated scale of punishment for the offense of infanticide.</w:t>
      </w:r>
      <w:r w:rsidR="005120F6" w:rsidRPr="00954547">
        <w:rPr>
          <w:rStyle w:val="FootnoteReference"/>
          <w:lang w:val="en-US"/>
        </w:rPr>
        <w:footnoteReference w:id="284"/>
      </w:r>
      <w:r w:rsidR="00AF2396" w:rsidRPr="00954547">
        <w:rPr>
          <w:lang w:val="en-US"/>
        </w:rPr>
        <w:t xml:space="preserve"> </w:t>
      </w:r>
      <w:r w:rsidR="00A9267A" w:rsidRPr="00954547">
        <w:rPr>
          <w:lang w:val="en-US"/>
        </w:rPr>
        <w:t>Under</w:t>
      </w:r>
      <w:r w:rsidRPr="00954547">
        <w:rPr>
          <w:lang w:val="en-US"/>
        </w:rPr>
        <w:t xml:space="preserve"> the previous Salvadoran law, the conduct was penalized with a maximum of up to four years, but now the maximum can be fifty years; previously the minimum was one year, and now </w:t>
      </w:r>
      <w:r w:rsidR="00A9267A" w:rsidRPr="00954547">
        <w:rPr>
          <w:lang w:val="en-US"/>
        </w:rPr>
        <w:t>this</w:t>
      </w:r>
      <w:r w:rsidRPr="00954547">
        <w:rPr>
          <w:lang w:val="en-US"/>
        </w:rPr>
        <w:t xml:space="preserve"> has been increased to thirty years. This new </w:t>
      </w:r>
      <w:r w:rsidR="00B7600D" w:rsidRPr="00954547">
        <w:rPr>
          <w:lang w:val="en-US"/>
        </w:rPr>
        <w:t xml:space="preserve">criminal </w:t>
      </w:r>
      <w:r w:rsidR="005077C6" w:rsidRPr="00954547">
        <w:rPr>
          <w:lang w:val="en-US"/>
        </w:rPr>
        <w:t>dosimetry</w:t>
      </w:r>
      <w:r w:rsidR="00B7600D" w:rsidRPr="00954547">
        <w:rPr>
          <w:lang w:val="en-US"/>
        </w:rPr>
        <w:t xml:space="preserve"> is evidently disproportionate. The Court consider</w:t>
      </w:r>
      <w:r w:rsidR="005077C6" w:rsidRPr="00954547">
        <w:rPr>
          <w:lang w:val="en-US"/>
        </w:rPr>
        <w:t>s</w:t>
      </w:r>
      <w:r w:rsidR="00B7600D" w:rsidRPr="00954547">
        <w:rPr>
          <w:lang w:val="en-US"/>
        </w:rPr>
        <w:t xml:space="preserve"> that a proportionate punishment for this type of offense would have to be the same or less than the one established in the previous Salvadoran law, by the specific legal channel determined by the State.</w:t>
      </w:r>
    </w:p>
    <w:p w14:paraId="5AFC9160" w14:textId="14BBD73C" w:rsidR="000408A7" w:rsidRPr="00954547" w:rsidRDefault="00B7600D" w:rsidP="00A43F9D">
      <w:pPr>
        <w:pStyle w:val="Numberedparagraphs"/>
        <w:tabs>
          <w:tab w:val="clear" w:pos="720"/>
          <w:tab w:val="num" w:pos="567"/>
        </w:tabs>
        <w:rPr>
          <w:lang w:val="en-US"/>
        </w:rPr>
      </w:pPr>
      <w:bookmarkStart w:id="77" w:name="_Ref88042441"/>
      <w:r w:rsidRPr="00954547">
        <w:rPr>
          <w:lang w:val="en-US"/>
        </w:rPr>
        <w:t>Consequently</w:t>
      </w:r>
      <w:r w:rsidR="000408A7" w:rsidRPr="00954547">
        <w:rPr>
          <w:lang w:val="en-US"/>
        </w:rPr>
        <w:t xml:space="preserve">, </w:t>
      </w:r>
      <w:r w:rsidR="00E76B1A" w:rsidRPr="00954547">
        <w:rPr>
          <w:lang w:val="en-US"/>
        </w:rPr>
        <w:t>the Court</w:t>
      </w:r>
      <w:r w:rsidR="000408A7" w:rsidRPr="00954547">
        <w:rPr>
          <w:lang w:val="en-US"/>
        </w:rPr>
        <w:t xml:space="preserve"> </w:t>
      </w:r>
      <w:r w:rsidRPr="00954547">
        <w:rPr>
          <w:lang w:val="en-US"/>
        </w:rPr>
        <w:t>finds that</w:t>
      </w:r>
      <w:r w:rsidR="000408A7" w:rsidRPr="00954547">
        <w:rPr>
          <w:lang w:val="en-US"/>
        </w:rPr>
        <w:t xml:space="preserve"> </w:t>
      </w:r>
      <w:r w:rsidR="00B8393C" w:rsidRPr="00954547">
        <w:rPr>
          <w:lang w:val="en-US"/>
        </w:rPr>
        <w:t>the State</w:t>
      </w:r>
      <w:r w:rsidR="000408A7" w:rsidRPr="00954547">
        <w:rPr>
          <w:lang w:val="en-US"/>
        </w:rPr>
        <w:t xml:space="preserve"> </w:t>
      </w:r>
      <w:r w:rsidRPr="00954547">
        <w:rPr>
          <w:lang w:val="en-US"/>
        </w:rPr>
        <w:t>violated the rights of</w:t>
      </w:r>
      <w:r w:rsidR="0078694F" w:rsidRPr="00954547">
        <w:rPr>
          <w:lang w:val="en-US"/>
        </w:rPr>
        <w:t xml:space="preserve"> </w:t>
      </w:r>
      <w:r w:rsidR="00A43F9D" w:rsidRPr="00954547">
        <w:rPr>
          <w:lang w:val="en-US"/>
        </w:rPr>
        <w:t>Manuela</w:t>
      </w:r>
      <w:r w:rsidRPr="00954547">
        <w:rPr>
          <w:lang w:val="en-US"/>
        </w:rPr>
        <w:t xml:space="preserve"> recognized in </w:t>
      </w:r>
      <w:r w:rsidR="00A17F8C" w:rsidRPr="00954547">
        <w:rPr>
          <w:lang w:val="en-US"/>
        </w:rPr>
        <w:t>Article</w:t>
      </w:r>
      <w:r w:rsidR="000408A7" w:rsidRPr="00954547">
        <w:rPr>
          <w:lang w:val="en-US"/>
        </w:rPr>
        <w:t xml:space="preserve"> </w:t>
      </w:r>
      <w:r w:rsidR="005903D2" w:rsidRPr="00954547">
        <w:rPr>
          <w:lang w:val="en-US"/>
        </w:rPr>
        <w:t>5(2)</w:t>
      </w:r>
      <w:r w:rsidR="0078694F" w:rsidRPr="00954547">
        <w:rPr>
          <w:lang w:val="en-US"/>
        </w:rPr>
        <w:t xml:space="preserve"> and </w:t>
      </w:r>
      <w:r w:rsidR="005903D2" w:rsidRPr="00954547">
        <w:rPr>
          <w:lang w:val="en-US"/>
        </w:rPr>
        <w:t>5(6)</w:t>
      </w:r>
      <w:r w:rsidR="005E0FD1" w:rsidRPr="00954547">
        <w:rPr>
          <w:lang w:val="en-US"/>
        </w:rPr>
        <w:t xml:space="preserve"> of the American Convention</w:t>
      </w:r>
      <w:r w:rsidR="000408A7" w:rsidRPr="00954547">
        <w:rPr>
          <w:lang w:val="en-US"/>
        </w:rPr>
        <w:t xml:space="preserve">, </w:t>
      </w:r>
      <w:r w:rsidRPr="00954547">
        <w:rPr>
          <w:lang w:val="en-US"/>
        </w:rPr>
        <w:t>in relation to</w:t>
      </w:r>
      <w:r w:rsidR="000408A7" w:rsidRPr="00954547">
        <w:rPr>
          <w:lang w:val="en-US"/>
        </w:rPr>
        <w:t xml:space="preserve"> </w:t>
      </w:r>
      <w:r w:rsidR="00A17F8C" w:rsidRPr="00954547">
        <w:rPr>
          <w:lang w:val="en-US"/>
        </w:rPr>
        <w:t xml:space="preserve">Articles 1(1) </w:t>
      </w:r>
      <w:r w:rsidR="0078694F" w:rsidRPr="00954547">
        <w:rPr>
          <w:lang w:val="en-US"/>
        </w:rPr>
        <w:t xml:space="preserve">and </w:t>
      </w:r>
      <w:r w:rsidR="00A43F9D" w:rsidRPr="00954547">
        <w:rPr>
          <w:lang w:val="en-US"/>
        </w:rPr>
        <w:t xml:space="preserve">2 </w:t>
      </w:r>
      <w:r w:rsidRPr="00954547">
        <w:rPr>
          <w:lang w:val="en-US"/>
        </w:rPr>
        <w:t xml:space="preserve">of this instrument. </w:t>
      </w:r>
      <w:bookmarkEnd w:id="77"/>
    </w:p>
    <w:p w14:paraId="51D48EE3" w14:textId="360F978A" w:rsidR="00F74738" w:rsidRPr="00954547" w:rsidRDefault="007D7B39" w:rsidP="00386B24">
      <w:pPr>
        <w:pStyle w:val="Heading3"/>
        <w:tabs>
          <w:tab w:val="left" w:pos="567"/>
        </w:tabs>
      </w:pPr>
      <w:bookmarkStart w:id="78" w:name="_Toc106353916"/>
      <w:r w:rsidRPr="00954547">
        <w:t xml:space="preserve">B.4 </w:t>
      </w:r>
      <w:r w:rsidR="009C47E7" w:rsidRPr="00954547">
        <w:t>Conclusion</w:t>
      </w:r>
      <w:bookmarkEnd w:id="78"/>
    </w:p>
    <w:p w14:paraId="71849C48" w14:textId="1F3AF80D" w:rsidR="00F74738" w:rsidRPr="00954547" w:rsidRDefault="008A5BC5" w:rsidP="00081A11">
      <w:pPr>
        <w:pStyle w:val="Numberedparagraphs"/>
        <w:tabs>
          <w:tab w:val="left" w:pos="567"/>
        </w:tabs>
        <w:rPr>
          <w:color w:val="auto"/>
          <w:lang w:val="en-US"/>
        </w:rPr>
      </w:pPr>
      <w:bookmarkStart w:id="79" w:name="_Ref86675650"/>
      <w:r w:rsidRPr="00954547">
        <w:rPr>
          <w:color w:val="auto"/>
          <w:lang w:val="en-US"/>
        </w:rPr>
        <w:t xml:space="preserve">Based on all the above </w:t>
      </w:r>
      <w:r w:rsidR="00B8393C" w:rsidRPr="00954547">
        <w:rPr>
          <w:color w:val="auto"/>
          <w:lang w:val="en-US"/>
        </w:rPr>
        <w:t>considerations</w:t>
      </w:r>
      <w:r w:rsidRPr="00954547">
        <w:rPr>
          <w:color w:val="auto"/>
          <w:lang w:val="en-US"/>
        </w:rPr>
        <w:t xml:space="preserve">, </w:t>
      </w:r>
      <w:r w:rsidR="00E76B1A" w:rsidRPr="00954547">
        <w:rPr>
          <w:color w:val="auto"/>
          <w:lang w:val="en-US"/>
        </w:rPr>
        <w:t>the Court</w:t>
      </w:r>
      <w:r w:rsidR="00744693" w:rsidRPr="00954547">
        <w:rPr>
          <w:color w:val="auto"/>
          <w:lang w:val="en-US"/>
        </w:rPr>
        <w:t xml:space="preserve"> conclu</w:t>
      </w:r>
      <w:r w:rsidRPr="00954547">
        <w:rPr>
          <w:color w:val="auto"/>
          <w:lang w:val="en-US"/>
        </w:rPr>
        <w:t xml:space="preserve">des that the investigation and </w:t>
      </w:r>
      <w:r w:rsidR="003D7E22" w:rsidRPr="00954547">
        <w:rPr>
          <w:color w:val="auto"/>
          <w:lang w:val="en-US"/>
        </w:rPr>
        <w:t>trial</w:t>
      </w:r>
      <w:r w:rsidRPr="00954547">
        <w:rPr>
          <w:color w:val="auto"/>
          <w:lang w:val="en-US"/>
        </w:rPr>
        <w:t xml:space="preserve"> to which the presumed victim was subjected did not comply with </w:t>
      </w:r>
      <w:r w:rsidR="00BC7072" w:rsidRPr="00954547">
        <w:rPr>
          <w:color w:val="auto"/>
          <w:lang w:val="en-US"/>
        </w:rPr>
        <w:t xml:space="preserve">the </w:t>
      </w:r>
      <w:r w:rsidR="00D4015D" w:rsidRPr="00954547">
        <w:rPr>
          <w:color w:val="auto"/>
          <w:lang w:val="en-US"/>
        </w:rPr>
        <w:t>right to defense</w:t>
      </w:r>
      <w:r w:rsidR="00744693" w:rsidRPr="00954547">
        <w:rPr>
          <w:color w:val="auto"/>
          <w:lang w:val="en-US"/>
        </w:rPr>
        <w:t>,</w:t>
      </w:r>
      <w:r w:rsidR="00081A11" w:rsidRPr="00954547">
        <w:rPr>
          <w:color w:val="auto"/>
          <w:lang w:val="en-US"/>
        </w:rPr>
        <w:t xml:space="preserve"> the right to be tried by an impartial court, the presumption </w:t>
      </w:r>
      <w:r w:rsidR="00144817" w:rsidRPr="00954547">
        <w:rPr>
          <w:color w:val="auto"/>
          <w:lang w:val="en-US"/>
        </w:rPr>
        <w:t>of innocence</w:t>
      </w:r>
      <w:r w:rsidR="00744693" w:rsidRPr="00954547">
        <w:rPr>
          <w:color w:val="auto"/>
          <w:lang w:val="en-US"/>
        </w:rPr>
        <w:t xml:space="preserve">, </w:t>
      </w:r>
      <w:r w:rsidR="00081A11" w:rsidRPr="00954547">
        <w:rPr>
          <w:color w:val="auto"/>
          <w:lang w:val="en-US"/>
        </w:rPr>
        <w:t xml:space="preserve">the duty to provide the reasons for a decision, the obligation not to apply laws in a discriminatory manner, the right not to be subjected to </w:t>
      </w:r>
      <w:r w:rsidR="005903D2" w:rsidRPr="00954547">
        <w:rPr>
          <w:color w:val="auto"/>
          <w:lang w:val="en-US"/>
        </w:rPr>
        <w:t>cruel, inhuman or degrading punishment</w:t>
      </w:r>
      <w:r w:rsidR="0078694F" w:rsidRPr="00954547">
        <w:rPr>
          <w:color w:val="auto"/>
          <w:lang w:val="en-US"/>
        </w:rPr>
        <w:t xml:space="preserve"> and</w:t>
      </w:r>
      <w:r w:rsidR="00081A11" w:rsidRPr="00954547">
        <w:rPr>
          <w:color w:val="auto"/>
          <w:lang w:val="en-US"/>
        </w:rPr>
        <w:t xml:space="preserve"> the obligation to ensure that the </w:t>
      </w:r>
      <w:r w:rsidR="003D7E22" w:rsidRPr="00954547">
        <w:rPr>
          <w:color w:val="auto"/>
          <w:lang w:val="en-US"/>
        </w:rPr>
        <w:t>purpose</w:t>
      </w:r>
      <w:r w:rsidR="00081A11" w:rsidRPr="00954547">
        <w:rPr>
          <w:color w:val="auto"/>
          <w:lang w:val="en-US"/>
        </w:rPr>
        <w:t xml:space="preserve"> of </w:t>
      </w:r>
      <w:r w:rsidR="00081A11" w:rsidRPr="00954547">
        <w:rPr>
          <w:spacing w:val="-3"/>
          <w:lang w:val="en-US"/>
        </w:rPr>
        <w:t xml:space="preserve">punishments consisting </w:t>
      </w:r>
      <w:r w:rsidR="003D7E22" w:rsidRPr="00954547">
        <w:rPr>
          <w:spacing w:val="-3"/>
          <w:lang w:val="en-US"/>
        </w:rPr>
        <w:t>in</w:t>
      </w:r>
      <w:r w:rsidR="00081A11" w:rsidRPr="00954547">
        <w:rPr>
          <w:spacing w:val="-3"/>
          <w:lang w:val="en-US"/>
        </w:rPr>
        <w:t xml:space="preserve"> deprivation of liberty is the reform and social readaptation of prisoners</w:t>
      </w:r>
      <w:r w:rsidR="00744693" w:rsidRPr="00954547">
        <w:rPr>
          <w:color w:val="auto"/>
          <w:lang w:val="en-US"/>
        </w:rPr>
        <w:t xml:space="preserve">. </w:t>
      </w:r>
      <w:r w:rsidR="00081A11" w:rsidRPr="00954547">
        <w:rPr>
          <w:color w:val="auto"/>
          <w:lang w:val="en-US"/>
        </w:rPr>
        <w:t>Consequently,</w:t>
      </w:r>
      <w:r w:rsidR="00744693" w:rsidRPr="00954547">
        <w:rPr>
          <w:color w:val="auto"/>
          <w:lang w:val="en-US"/>
        </w:rPr>
        <w:t xml:space="preserve"> </w:t>
      </w:r>
      <w:r w:rsidR="00B8393C" w:rsidRPr="00954547">
        <w:rPr>
          <w:color w:val="auto"/>
          <w:lang w:val="en-US"/>
        </w:rPr>
        <w:t>the State</w:t>
      </w:r>
      <w:r w:rsidR="00744693" w:rsidRPr="00954547">
        <w:rPr>
          <w:color w:val="auto"/>
          <w:lang w:val="en-US"/>
        </w:rPr>
        <w:t xml:space="preserve"> viol</w:t>
      </w:r>
      <w:r w:rsidR="00081A11" w:rsidRPr="00954547">
        <w:rPr>
          <w:color w:val="auto"/>
          <w:lang w:val="en-US"/>
        </w:rPr>
        <w:t>ated</w:t>
      </w:r>
      <w:r w:rsidR="00744693" w:rsidRPr="00954547">
        <w:rPr>
          <w:color w:val="auto"/>
          <w:lang w:val="en-US"/>
        </w:rPr>
        <w:t xml:space="preserve"> </w:t>
      </w:r>
      <w:r w:rsidR="00A17F8C" w:rsidRPr="00954547">
        <w:rPr>
          <w:color w:val="auto"/>
          <w:lang w:val="en-US"/>
        </w:rPr>
        <w:t>Articles</w:t>
      </w:r>
      <w:r w:rsidR="00744693" w:rsidRPr="00954547">
        <w:rPr>
          <w:color w:val="auto"/>
          <w:lang w:val="en-US"/>
        </w:rPr>
        <w:t xml:space="preserve"> </w:t>
      </w:r>
      <w:r w:rsidR="00A17F8C" w:rsidRPr="00954547">
        <w:rPr>
          <w:color w:val="auto"/>
          <w:lang w:val="en-US"/>
        </w:rPr>
        <w:t>8(1)</w:t>
      </w:r>
      <w:r w:rsidR="00744693" w:rsidRPr="00954547">
        <w:rPr>
          <w:color w:val="auto"/>
          <w:lang w:val="en-US"/>
        </w:rPr>
        <w:t xml:space="preserve">, </w:t>
      </w:r>
      <w:r w:rsidR="00CE421C" w:rsidRPr="00954547">
        <w:rPr>
          <w:color w:val="auto"/>
          <w:lang w:val="en-US"/>
        </w:rPr>
        <w:t>8(2)</w:t>
      </w:r>
      <w:r w:rsidR="00BE207C" w:rsidRPr="00954547">
        <w:rPr>
          <w:color w:val="auto"/>
          <w:lang w:val="en-US"/>
        </w:rPr>
        <w:t xml:space="preserve">, </w:t>
      </w:r>
      <w:r w:rsidR="00CE421C" w:rsidRPr="00954547">
        <w:rPr>
          <w:color w:val="auto"/>
          <w:lang w:val="en-US"/>
        </w:rPr>
        <w:t>8(2)(d)</w:t>
      </w:r>
      <w:r w:rsidR="00BE207C" w:rsidRPr="00954547">
        <w:rPr>
          <w:color w:val="auto"/>
          <w:lang w:val="en-US"/>
        </w:rPr>
        <w:t xml:space="preserve">, </w:t>
      </w:r>
      <w:r w:rsidR="00CE421C" w:rsidRPr="00954547">
        <w:rPr>
          <w:color w:val="auto"/>
          <w:lang w:val="en-US"/>
        </w:rPr>
        <w:t>8(2)</w:t>
      </w:r>
      <w:r w:rsidR="003D7E22" w:rsidRPr="00954547">
        <w:rPr>
          <w:color w:val="auto"/>
          <w:lang w:val="en-US"/>
        </w:rPr>
        <w:t>(e)</w:t>
      </w:r>
      <w:r w:rsidR="00485E22" w:rsidRPr="00954547">
        <w:rPr>
          <w:color w:val="auto"/>
          <w:lang w:val="en-US"/>
        </w:rPr>
        <w:t>,</w:t>
      </w:r>
      <w:r w:rsidR="00744693" w:rsidRPr="00954547">
        <w:rPr>
          <w:color w:val="auto"/>
          <w:lang w:val="en-US"/>
        </w:rPr>
        <w:t xml:space="preserve"> 24</w:t>
      </w:r>
      <w:r w:rsidR="00607379" w:rsidRPr="00954547">
        <w:rPr>
          <w:color w:val="auto"/>
          <w:lang w:val="en-US"/>
        </w:rPr>
        <w:t xml:space="preserve">, </w:t>
      </w:r>
      <w:r w:rsidR="005903D2" w:rsidRPr="00954547">
        <w:rPr>
          <w:color w:val="auto"/>
          <w:lang w:val="en-US"/>
        </w:rPr>
        <w:t>5(2)</w:t>
      </w:r>
      <w:r w:rsidR="0078694F" w:rsidRPr="00954547">
        <w:rPr>
          <w:color w:val="auto"/>
          <w:lang w:val="en-US"/>
        </w:rPr>
        <w:t xml:space="preserve"> and </w:t>
      </w:r>
      <w:r w:rsidR="005903D2" w:rsidRPr="00954547">
        <w:rPr>
          <w:color w:val="auto"/>
          <w:lang w:val="en-US"/>
        </w:rPr>
        <w:t>5(6)</w:t>
      </w:r>
      <w:r w:rsidR="00485E22" w:rsidRPr="00954547">
        <w:rPr>
          <w:color w:val="auto"/>
          <w:lang w:val="en-US"/>
        </w:rPr>
        <w:t xml:space="preserve"> </w:t>
      </w:r>
      <w:r w:rsidR="005E0FD1" w:rsidRPr="00954547">
        <w:rPr>
          <w:color w:val="auto"/>
          <w:lang w:val="en-US"/>
        </w:rPr>
        <w:t>of the Convention</w:t>
      </w:r>
      <w:r w:rsidR="00744693" w:rsidRPr="00954547">
        <w:rPr>
          <w:color w:val="auto"/>
          <w:lang w:val="en-US"/>
        </w:rPr>
        <w:t xml:space="preserve">, </w:t>
      </w:r>
      <w:r w:rsidR="00081A11" w:rsidRPr="00954547">
        <w:rPr>
          <w:color w:val="auto"/>
          <w:lang w:val="en-US"/>
        </w:rPr>
        <w:t>in relation to</w:t>
      </w:r>
      <w:r w:rsidR="00C729AB" w:rsidRPr="00954547">
        <w:rPr>
          <w:color w:val="auto"/>
          <w:lang w:val="en-US"/>
        </w:rPr>
        <w:t xml:space="preserve"> </w:t>
      </w:r>
      <w:r w:rsidR="00A17F8C" w:rsidRPr="00954547">
        <w:rPr>
          <w:color w:val="auto"/>
          <w:lang w:val="en-US"/>
        </w:rPr>
        <w:t xml:space="preserve">Articles 1(1) </w:t>
      </w:r>
      <w:r w:rsidR="0078694F" w:rsidRPr="00954547">
        <w:rPr>
          <w:color w:val="auto"/>
          <w:lang w:val="en-US"/>
        </w:rPr>
        <w:t xml:space="preserve">and </w:t>
      </w:r>
      <w:r w:rsidR="00485E22" w:rsidRPr="00954547">
        <w:rPr>
          <w:color w:val="auto"/>
          <w:lang w:val="en-US"/>
        </w:rPr>
        <w:t xml:space="preserve">2 </w:t>
      </w:r>
      <w:r w:rsidR="00081A11" w:rsidRPr="00954547">
        <w:rPr>
          <w:color w:val="auto"/>
          <w:lang w:val="en-US"/>
        </w:rPr>
        <w:t>of this instrument</w:t>
      </w:r>
      <w:r w:rsidR="00744693" w:rsidRPr="00954547">
        <w:rPr>
          <w:color w:val="auto"/>
          <w:lang w:val="en-US"/>
        </w:rPr>
        <w:t xml:space="preserve">, </w:t>
      </w:r>
      <w:r w:rsidR="0078694F" w:rsidRPr="00954547">
        <w:rPr>
          <w:color w:val="auto"/>
          <w:lang w:val="en-US"/>
        </w:rPr>
        <w:t>to the detriment of</w:t>
      </w:r>
      <w:r w:rsidR="00744693" w:rsidRPr="00954547">
        <w:rPr>
          <w:color w:val="auto"/>
          <w:lang w:val="en-US"/>
        </w:rPr>
        <w:t xml:space="preserve"> Manuela.</w:t>
      </w:r>
      <w:bookmarkEnd w:id="79"/>
    </w:p>
    <w:p w14:paraId="5606590E" w14:textId="0725CB8A" w:rsidR="00F854C3" w:rsidRPr="00954547" w:rsidRDefault="00BC2440" w:rsidP="00386B24">
      <w:pPr>
        <w:pStyle w:val="Heading1"/>
        <w:tabs>
          <w:tab w:val="left" w:pos="567"/>
        </w:tabs>
      </w:pPr>
      <w:bookmarkStart w:id="80" w:name="_Toc106353917"/>
      <w:r w:rsidRPr="00954547">
        <w:t>V</w:t>
      </w:r>
      <w:r w:rsidR="00EB564A" w:rsidRPr="00954547">
        <w:t>I</w:t>
      </w:r>
      <w:r w:rsidR="00CF5A9D" w:rsidRPr="00954547">
        <w:t>II</w:t>
      </w:r>
      <w:r w:rsidR="00F854C3" w:rsidRPr="00954547">
        <w:t>-3</w:t>
      </w:r>
      <w:r w:rsidR="00F854C3" w:rsidRPr="00954547">
        <w:br/>
      </w:r>
      <w:r w:rsidR="009E3F9E" w:rsidRPr="00954547">
        <w:t>RIGHTS TO</w:t>
      </w:r>
      <w:r w:rsidR="00CC329F" w:rsidRPr="00954547">
        <w:t xml:space="preserve"> L</w:t>
      </w:r>
      <w:r w:rsidR="00081A11" w:rsidRPr="00954547">
        <w:t>IFE,</w:t>
      </w:r>
      <w:r w:rsidR="00CC329F" w:rsidRPr="00954547">
        <w:rPr>
          <w:rStyle w:val="FootnoteReference"/>
          <w:b w:val="0"/>
        </w:rPr>
        <w:footnoteReference w:id="285"/>
      </w:r>
      <w:r w:rsidR="00CC329F" w:rsidRPr="00954547">
        <w:t xml:space="preserve"> </w:t>
      </w:r>
      <w:r w:rsidR="00EE7DEB" w:rsidRPr="00954547">
        <w:t>PERSONAL INTEGRITY</w:t>
      </w:r>
      <w:r w:rsidR="00FE328B" w:rsidRPr="00954547">
        <w:t>,</w:t>
      </w:r>
      <w:r w:rsidR="002B6F07" w:rsidRPr="00954547">
        <w:t xml:space="preserve"> </w:t>
      </w:r>
      <w:r w:rsidR="0078694F" w:rsidRPr="00954547">
        <w:t>HEALTH</w:t>
      </w:r>
      <w:r w:rsidR="00081A11" w:rsidRPr="00954547">
        <w:t>,</w:t>
      </w:r>
      <w:r w:rsidR="00F854C3" w:rsidRPr="00954547">
        <w:rPr>
          <w:rStyle w:val="FootnoteReference"/>
          <w:b w:val="0"/>
        </w:rPr>
        <w:footnoteReference w:id="286"/>
      </w:r>
      <w:r w:rsidR="003E32B0" w:rsidRPr="00954547">
        <w:t xml:space="preserve"> </w:t>
      </w:r>
      <w:r w:rsidR="0078694F" w:rsidRPr="00954547">
        <w:t>PRIVACY</w:t>
      </w:r>
      <w:r w:rsidR="00F854C3" w:rsidRPr="00954547">
        <w:rPr>
          <w:rStyle w:val="FootnoteReference"/>
          <w:b w:val="0"/>
        </w:rPr>
        <w:footnoteReference w:id="287"/>
      </w:r>
      <w:r w:rsidR="00D40BF9" w:rsidRPr="00954547">
        <w:t xml:space="preserve"> </w:t>
      </w:r>
      <w:r w:rsidR="00081A11" w:rsidRPr="00954547">
        <w:t xml:space="preserve">AND </w:t>
      </w:r>
      <w:r w:rsidR="00BC7072" w:rsidRPr="00954547">
        <w:t>EQUALITY BEFORE THE LAW</w:t>
      </w:r>
      <w:r w:rsidR="00D40BF9" w:rsidRPr="00954547">
        <w:rPr>
          <w:rStyle w:val="FootnoteReference"/>
          <w:b w:val="0"/>
        </w:rPr>
        <w:footnoteReference w:id="288"/>
      </w:r>
      <w:r w:rsidR="005F7EB5" w:rsidRPr="00954547">
        <w:t xml:space="preserve"> </w:t>
      </w:r>
      <w:r w:rsidR="00144817" w:rsidRPr="00954547">
        <w:t>IN RELATION TO THE OBLIGATIONS</w:t>
      </w:r>
      <w:r w:rsidR="005F7EB5" w:rsidRPr="00954547">
        <w:t xml:space="preserve"> </w:t>
      </w:r>
      <w:r w:rsidR="00081A11" w:rsidRPr="00954547">
        <w:t xml:space="preserve">TO RESPECT THESE RIGHTS </w:t>
      </w:r>
      <w:r w:rsidR="00EE7DEB" w:rsidRPr="00954547">
        <w:t>WITHOUT DISCRIMINATION</w:t>
      </w:r>
      <w:r w:rsidR="005F7EB5" w:rsidRPr="00954547">
        <w:rPr>
          <w:rStyle w:val="FootnoteReference"/>
        </w:rPr>
        <w:footnoteReference w:id="289"/>
      </w:r>
      <w:r w:rsidR="0078694F" w:rsidRPr="00954547">
        <w:t xml:space="preserve"> </w:t>
      </w:r>
      <w:r w:rsidR="009E3F9E" w:rsidRPr="00954547">
        <w:t>AND TO ADOPT DOMESTIC LEGAL PROVISIONS</w:t>
      </w:r>
      <w:r w:rsidR="005F7EB5" w:rsidRPr="00954547">
        <w:rPr>
          <w:rStyle w:val="FootnoteReference"/>
        </w:rPr>
        <w:footnoteReference w:id="290"/>
      </w:r>
      <w:bookmarkEnd w:id="80"/>
    </w:p>
    <w:p w14:paraId="0982E0A9" w14:textId="57F489F5" w:rsidR="00F854C3" w:rsidRPr="00954547" w:rsidRDefault="00B8393C" w:rsidP="000365EC">
      <w:pPr>
        <w:pStyle w:val="Heading2"/>
        <w:numPr>
          <w:ilvl w:val="0"/>
          <w:numId w:val="11"/>
        </w:numPr>
        <w:tabs>
          <w:tab w:val="left" w:pos="567"/>
        </w:tabs>
        <w:autoSpaceDE w:val="0"/>
        <w:autoSpaceDN w:val="0"/>
        <w:adjustRightInd w:val="0"/>
        <w:ind w:left="567" w:firstLine="0"/>
        <w:jc w:val="both"/>
        <w:rPr>
          <w:lang w:val="en-US"/>
        </w:rPr>
      </w:pPr>
      <w:bookmarkStart w:id="81" w:name="_Toc106353918"/>
      <w:r w:rsidRPr="00954547">
        <w:rPr>
          <w:lang w:val="en-US"/>
        </w:rPr>
        <w:t>Arguments</w:t>
      </w:r>
      <w:r w:rsidR="003A0C7A" w:rsidRPr="00954547">
        <w:rPr>
          <w:lang w:val="en-US"/>
        </w:rPr>
        <w:t xml:space="preserve"> of the parties and the</w:t>
      </w:r>
      <w:r w:rsidR="00607E12" w:rsidRPr="00954547">
        <w:rPr>
          <w:lang w:val="en-US"/>
        </w:rPr>
        <w:t xml:space="preserve"> </w:t>
      </w:r>
      <w:r w:rsidR="00E76B1A" w:rsidRPr="00954547">
        <w:rPr>
          <w:lang w:val="en-US"/>
        </w:rPr>
        <w:t>Commission</w:t>
      </w:r>
      <w:bookmarkEnd w:id="81"/>
    </w:p>
    <w:p w14:paraId="4628D6D0" w14:textId="4ADD48C1" w:rsidR="00683EB1" w:rsidRPr="00954547" w:rsidRDefault="00E76B1A" w:rsidP="007C59CD">
      <w:pPr>
        <w:pStyle w:val="Numberedparagraphs"/>
        <w:tabs>
          <w:tab w:val="left" w:pos="567"/>
        </w:tabs>
        <w:rPr>
          <w:lang w:val="en-US"/>
        </w:rPr>
      </w:pPr>
      <w:r w:rsidRPr="00954547">
        <w:rPr>
          <w:lang w:val="en-US"/>
        </w:rPr>
        <w:t xml:space="preserve">The </w:t>
      </w:r>
      <w:r w:rsidRPr="00954547">
        <w:rPr>
          <w:b/>
          <w:bCs/>
          <w:i/>
          <w:iCs/>
          <w:lang w:val="en-US"/>
        </w:rPr>
        <w:t>Commission</w:t>
      </w:r>
      <w:r w:rsidR="00683EB1" w:rsidRPr="00954547">
        <w:rPr>
          <w:b/>
          <w:i/>
          <w:lang w:val="en-US"/>
        </w:rPr>
        <w:t xml:space="preserve"> </w:t>
      </w:r>
      <w:r w:rsidR="00683EB1" w:rsidRPr="00954547">
        <w:rPr>
          <w:lang w:val="en-US"/>
        </w:rPr>
        <w:t>present</w:t>
      </w:r>
      <w:r w:rsidR="00674DA3" w:rsidRPr="00954547">
        <w:rPr>
          <w:lang w:val="en-US"/>
        </w:rPr>
        <w:t xml:space="preserve">ed </w:t>
      </w:r>
      <w:r w:rsidR="00B8393C" w:rsidRPr="00954547">
        <w:rPr>
          <w:lang w:val="en-US"/>
        </w:rPr>
        <w:t>arguments</w:t>
      </w:r>
      <w:r w:rsidR="00683EB1" w:rsidRPr="00954547">
        <w:rPr>
          <w:lang w:val="en-US"/>
        </w:rPr>
        <w:t xml:space="preserve"> </w:t>
      </w:r>
      <w:r w:rsidR="00674DA3" w:rsidRPr="00954547">
        <w:rPr>
          <w:lang w:val="en-US"/>
        </w:rPr>
        <w:t>concerning</w:t>
      </w:r>
      <w:r w:rsidR="000C25B2" w:rsidRPr="00954547">
        <w:rPr>
          <w:lang w:val="en-US"/>
        </w:rPr>
        <w:t>:</w:t>
      </w:r>
      <w:r w:rsidR="00683EB1" w:rsidRPr="00954547">
        <w:rPr>
          <w:lang w:val="en-US"/>
        </w:rPr>
        <w:t xml:space="preserve"> </w:t>
      </w:r>
      <w:r w:rsidR="00674DA3" w:rsidRPr="00954547">
        <w:rPr>
          <w:lang w:val="en-US"/>
        </w:rPr>
        <w:t>(</w:t>
      </w:r>
      <w:r w:rsidR="00683EB1" w:rsidRPr="00954547">
        <w:rPr>
          <w:lang w:val="en-US"/>
        </w:rPr>
        <w:t xml:space="preserve">i) </w:t>
      </w:r>
      <w:r w:rsidR="00674DA3" w:rsidRPr="00954547">
        <w:rPr>
          <w:lang w:val="en-US"/>
        </w:rPr>
        <w:t xml:space="preserve">medical </w:t>
      </w:r>
      <w:r w:rsidR="00984B64" w:rsidRPr="00954547">
        <w:rPr>
          <w:lang w:val="en-US"/>
        </w:rPr>
        <w:t xml:space="preserve">professional </w:t>
      </w:r>
      <w:r w:rsidR="003D7E22" w:rsidRPr="00954547">
        <w:rPr>
          <w:lang w:val="en-US"/>
        </w:rPr>
        <w:t>secrecy</w:t>
      </w:r>
      <w:r w:rsidR="00674DA3" w:rsidRPr="00954547">
        <w:rPr>
          <w:lang w:val="en-US"/>
        </w:rPr>
        <w:t xml:space="preserve"> and its implications for the right to </w:t>
      </w:r>
      <w:r w:rsidR="0078694F" w:rsidRPr="00954547">
        <w:rPr>
          <w:lang w:val="en-US"/>
        </w:rPr>
        <w:t xml:space="preserve">privacy and </w:t>
      </w:r>
      <w:r w:rsidR="00674DA3" w:rsidRPr="00954547">
        <w:rPr>
          <w:lang w:val="en-US"/>
        </w:rPr>
        <w:t>to sexual and reproductive health</w:t>
      </w:r>
      <w:r w:rsidR="00683EB1" w:rsidRPr="00954547">
        <w:rPr>
          <w:lang w:val="en-US"/>
        </w:rPr>
        <w:t>,</w:t>
      </w:r>
      <w:r w:rsidR="0078694F" w:rsidRPr="00954547">
        <w:rPr>
          <w:lang w:val="en-US"/>
        </w:rPr>
        <w:t xml:space="preserve"> and </w:t>
      </w:r>
      <w:r w:rsidR="00674DA3" w:rsidRPr="00954547">
        <w:rPr>
          <w:lang w:val="en-US"/>
        </w:rPr>
        <w:t>(</w:t>
      </w:r>
      <w:r w:rsidR="00683EB1" w:rsidRPr="00954547">
        <w:rPr>
          <w:lang w:val="en-US"/>
        </w:rPr>
        <w:t xml:space="preserve">ii) </w:t>
      </w:r>
      <w:r w:rsidR="00863243" w:rsidRPr="00954547">
        <w:rPr>
          <w:lang w:val="en-US"/>
        </w:rPr>
        <w:t>the health care provided to Manuela and her death</w:t>
      </w:r>
      <w:r w:rsidR="003D7E22" w:rsidRPr="00954547">
        <w:rPr>
          <w:lang w:val="en-US"/>
        </w:rPr>
        <w:t xml:space="preserve"> while in custody</w:t>
      </w:r>
      <w:r w:rsidR="00683EB1" w:rsidRPr="00954547">
        <w:rPr>
          <w:lang w:val="en-US"/>
        </w:rPr>
        <w:t xml:space="preserve">. </w:t>
      </w:r>
      <w:r w:rsidR="00863243" w:rsidRPr="00954547">
        <w:rPr>
          <w:lang w:val="en-US"/>
        </w:rPr>
        <w:t>Regarding the f</w:t>
      </w:r>
      <w:r w:rsidR="00037AF5" w:rsidRPr="00954547">
        <w:rPr>
          <w:lang w:val="en-US"/>
        </w:rPr>
        <w:t>irst point</w:t>
      </w:r>
      <w:r w:rsidR="00863243" w:rsidRPr="00954547">
        <w:rPr>
          <w:lang w:val="en-US"/>
        </w:rPr>
        <w:t xml:space="preserve">, </w:t>
      </w:r>
      <w:r w:rsidRPr="00954547">
        <w:rPr>
          <w:lang w:val="en-US"/>
        </w:rPr>
        <w:t>the Commission</w:t>
      </w:r>
      <w:r w:rsidR="00683EB1" w:rsidRPr="00954547">
        <w:rPr>
          <w:lang w:val="en-US"/>
        </w:rPr>
        <w:t xml:space="preserve"> </w:t>
      </w:r>
      <w:r w:rsidR="00863243" w:rsidRPr="00954547">
        <w:rPr>
          <w:lang w:val="en-US"/>
        </w:rPr>
        <w:t>alleged that</w:t>
      </w:r>
      <w:r w:rsidR="00683EB1" w:rsidRPr="00954547">
        <w:rPr>
          <w:lang w:val="en-US"/>
        </w:rPr>
        <w:t xml:space="preserve"> “</w:t>
      </w:r>
      <w:r w:rsidR="00A22776" w:rsidRPr="00954547">
        <w:rPr>
          <w:lang w:val="en-US"/>
        </w:rPr>
        <w:t xml:space="preserve">the violation of professional </w:t>
      </w:r>
      <w:r w:rsidR="003D7E22" w:rsidRPr="00954547">
        <w:rPr>
          <w:lang w:val="en-US"/>
        </w:rPr>
        <w:t>secrecy</w:t>
      </w:r>
      <w:r w:rsidR="00A22776" w:rsidRPr="00954547">
        <w:rPr>
          <w:lang w:val="en-US"/>
        </w:rPr>
        <w:t xml:space="preserve"> constituted an arbitrary restriction o</w:t>
      </w:r>
      <w:r w:rsidR="003D7E22" w:rsidRPr="00954547">
        <w:rPr>
          <w:lang w:val="en-US"/>
        </w:rPr>
        <w:t>f</w:t>
      </w:r>
      <w:r w:rsidR="00A22776" w:rsidRPr="00954547">
        <w:rPr>
          <w:lang w:val="en-US"/>
        </w:rPr>
        <w:t xml:space="preserve"> Manuela's right to privacy” and “meant that Manuela did not receive treatment under equal and acceptable conditions.” </w:t>
      </w:r>
      <w:r w:rsidRPr="00954547">
        <w:rPr>
          <w:lang w:val="en-US"/>
        </w:rPr>
        <w:t>The Commission</w:t>
      </w:r>
      <w:r w:rsidR="00683EB1" w:rsidRPr="00954547">
        <w:rPr>
          <w:lang w:val="en-US"/>
        </w:rPr>
        <w:t xml:space="preserve"> </w:t>
      </w:r>
      <w:r w:rsidR="00A22776" w:rsidRPr="00954547">
        <w:rPr>
          <w:lang w:val="en-US"/>
        </w:rPr>
        <w:t>stressed that</w:t>
      </w:r>
      <w:r w:rsidR="00683EB1" w:rsidRPr="00954547">
        <w:rPr>
          <w:lang w:val="en-US"/>
        </w:rPr>
        <w:t xml:space="preserve">: </w:t>
      </w:r>
      <w:r w:rsidR="00A22776" w:rsidRPr="00954547">
        <w:rPr>
          <w:lang w:val="en-US"/>
        </w:rPr>
        <w:t>(</w:t>
      </w:r>
      <w:r w:rsidR="00683EB1" w:rsidRPr="00954547">
        <w:rPr>
          <w:lang w:val="en-US"/>
        </w:rPr>
        <w:t xml:space="preserve">i) </w:t>
      </w:r>
      <w:r w:rsidR="00A22776" w:rsidRPr="00954547">
        <w:rPr>
          <w:lang w:val="en-US"/>
        </w:rPr>
        <w:t xml:space="preserve">the doctor who treated Manuela </w:t>
      </w:r>
      <w:r w:rsidR="00037AF5" w:rsidRPr="00954547">
        <w:rPr>
          <w:lang w:val="en-US"/>
        </w:rPr>
        <w:t>filed a</w:t>
      </w:r>
      <w:r w:rsidR="00A22776" w:rsidRPr="00954547">
        <w:rPr>
          <w:lang w:val="en-US"/>
        </w:rPr>
        <w:t xml:space="preserve"> criminal complaint</w:t>
      </w:r>
      <w:r w:rsidR="00037AF5" w:rsidRPr="00954547">
        <w:rPr>
          <w:lang w:val="en-US"/>
        </w:rPr>
        <w:t xml:space="preserve"> against her and provided details of her medical record when testif</w:t>
      </w:r>
      <w:r w:rsidR="003D7E22" w:rsidRPr="00954547">
        <w:rPr>
          <w:lang w:val="en-US"/>
        </w:rPr>
        <w:t>ying</w:t>
      </w:r>
      <w:r w:rsidR="00037AF5" w:rsidRPr="00954547">
        <w:rPr>
          <w:lang w:val="en-US"/>
        </w:rPr>
        <w:t xml:space="preserve"> before the police, and (ii) the </w:t>
      </w:r>
      <w:r w:rsidR="00683EB1" w:rsidRPr="00954547">
        <w:rPr>
          <w:lang w:val="en-US"/>
        </w:rPr>
        <w:t xml:space="preserve">director </w:t>
      </w:r>
      <w:r w:rsidR="00037AF5" w:rsidRPr="00954547">
        <w:rPr>
          <w:lang w:val="en-US"/>
        </w:rPr>
        <w:t>of the</w:t>
      </w:r>
      <w:r w:rsidR="00683EB1" w:rsidRPr="00954547">
        <w:rPr>
          <w:lang w:val="en-US"/>
        </w:rPr>
        <w:t xml:space="preserve"> San Francisco Gotera</w:t>
      </w:r>
      <w:r w:rsidR="00037AF5" w:rsidRPr="00954547">
        <w:rPr>
          <w:lang w:val="en-US"/>
        </w:rPr>
        <w:t xml:space="preserve"> Hospital sent a report on</w:t>
      </w:r>
      <w:r w:rsidR="00683EB1" w:rsidRPr="00954547">
        <w:rPr>
          <w:lang w:val="en-US"/>
        </w:rPr>
        <w:t xml:space="preserve"> </w:t>
      </w:r>
      <w:r w:rsidR="00F500B0" w:rsidRPr="00954547">
        <w:rPr>
          <w:lang w:val="en-US"/>
        </w:rPr>
        <w:t>Manuela’s medical record</w:t>
      </w:r>
      <w:r w:rsidR="00683EB1" w:rsidRPr="00954547">
        <w:rPr>
          <w:lang w:val="en-US"/>
        </w:rPr>
        <w:t xml:space="preserve"> </w:t>
      </w:r>
      <w:r w:rsidR="00037AF5" w:rsidRPr="00954547">
        <w:rPr>
          <w:lang w:val="en-US"/>
        </w:rPr>
        <w:t xml:space="preserve">to the prosecutor’s office, in which he included information on </w:t>
      </w:r>
      <w:r w:rsidR="00607E12" w:rsidRPr="00954547">
        <w:rPr>
          <w:lang w:val="en-US"/>
        </w:rPr>
        <w:t>the presumed victim</w:t>
      </w:r>
      <w:r w:rsidR="00037AF5" w:rsidRPr="00954547">
        <w:rPr>
          <w:lang w:val="en-US"/>
        </w:rPr>
        <w:t xml:space="preserve">’s sexual and reproductive life. In this regard, </w:t>
      </w:r>
      <w:r w:rsidRPr="00954547">
        <w:rPr>
          <w:lang w:val="en-US"/>
        </w:rPr>
        <w:t>the Commission</w:t>
      </w:r>
      <w:r w:rsidR="00683EB1" w:rsidRPr="00954547">
        <w:rPr>
          <w:lang w:val="en-US"/>
        </w:rPr>
        <w:t xml:space="preserve"> </w:t>
      </w:r>
      <w:r w:rsidR="00037AF5" w:rsidRPr="00954547">
        <w:rPr>
          <w:lang w:val="en-US"/>
        </w:rPr>
        <w:t xml:space="preserve">indicated that the inadequate regulation of medical </w:t>
      </w:r>
      <w:r w:rsidR="003D7E22" w:rsidRPr="00954547">
        <w:rPr>
          <w:lang w:val="en-US"/>
        </w:rPr>
        <w:t>secrecy</w:t>
      </w:r>
      <w:r w:rsidR="00037AF5" w:rsidRPr="00954547">
        <w:rPr>
          <w:lang w:val="en-US"/>
        </w:rPr>
        <w:t xml:space="preserve"> in</w:t>
      </w:r>
      <w:r w:rsidR="00683EB1" w:rsidRPr="00954547">
        <w:rPr>
          <w:lang w:val="en-US"/>
        </w:rPr>
        <w:t xml:space="preserve"> </w:t>
      </w:r>
      <w:r w:rsidR="009E6B43" w:rsidRPr="00954547">
        <w:rPr>
          <w:lang w:val="en-US"/>
        </w:rPr>
        <w:t>obstetric emergencies</w:t>
      </w:r>
      <w:r w:rsidR="00037AF5" w:rsidRPr="00954547">
        <w:rPr>
          <w:lang w:val="en-US"/>
        </w:rPr>
        <w:t xml:space="preserve"> may result in doctors automatically reporting patients for fear of being sanctioned. On the second point, the Commission pointed out that </w:t>
      </w:r>
      <w:r w:rsidR="007C59CD" w:rsidRPr="00954547">
        <w:rPr>
          <w:lang w:val="en-US"/>
        </w:rPr>
        <w:t>“there is no record that the State made a comprehensive diagnosis of the presumed victim following her deprivation of liberty,” or that it had provide</w:t>
      </w:r>
      <w:r w:rsidR="003D7E22" w:rsidRPr="00954547">
        <w:rPr>
          <w:lang w:val="en-US"/>
        </w:rPr>
        <w:t>d</w:t>
      </w:r>
      <w:r w:rsidR="007C59CD" w:rsidRPr="00954547">
        <w:rPr>
          <w:lang w:val="en-US"/>
        </w:rPr>
        <w:t xml:space="preserve"> regular and systematic treatment to the presumed victim before her diagnosis of </w:t>
      </w:r>
      <w:r w:rsidR="00AD4468" w:rsidRPr="00954547">
        <w:rPr>
          <w:lang w:val="en-US"/>
        </w:rPr>
        <w:t>Hodgkin</w:t>
      </w:r>
      <w:r w:rsidR="007C59CD" w:rsidRPr="00954547">
        <w:rPr>
          <w:lang w:val="en-US"/>
        </w:rPr>
        <w:t>’s lymphoma in 2009. According to the Commission, these omissions gave rise to the State’s responsibility for the violation of Manuela’s</w:t>
      </w:r>
      <w:r w:rsidR="00BC7072" w:rsidRPr="00954547">
        <w:rPr>
          <w:lang w:val="en-US"/>
        </w:rPr>
        <w:t xml:space="preserve"> right to</w:t>
      </w:r>
      <w:r w:rsidR="007C59CD" w:rsidRPr="00954547">
        <w:rPr>
          <w:lang w:val="en-US"/>
        </w:rPr>
        <w:t xml:space="preserve"> life. In addition, it considered that “</w:t>
      </w:r>
      <w:r w:rsidR="00B8393C" w:rsidRPr="00954547">
        <w:rPr>
          <w:lang w:val="en-US"/>
        </w:rPr>
        <w:t>the State</w:t>
      </w:r>
      <w:r w:rsidR="00C13E92" w:rsidRPr="00954547">
        <w:rPr>
          <w:lang w:val="en-US"/>
        </w:rPr>
        <w:t xml:space="preserve"> viol</w:t>
      </w:r>
      <w:r w:rsidR="007C59CD" w:rsidRPr="00954547">
        <w:rPr>
          <w:lang w:val="en-US"/>
        </w:rPr>
        <w:t xml:space="preserve">ated </w:t>
      </w:r>
      <w:r w:rsidR="00C13E92" w:rsidRPr="00954547">
        <w:rPr>
          <w:lang w:val="en-US"/>
        </w:rPr>
        <w:t xml:space="preserve"> </w:t>
      </w:r>
      <w:r w:rsidR="00BC7072" w:rsidRPr="00954547">
        <w:rPr>
          <w:lang w:val="en-US"/>
        </w:rPr>
        <w:t xml:space="preserve">the </w:t>
      </w:r>
      <w:r w:rsidR="00105F3F" w:rsidRPr="00954547">
        <w:rPr>
          <w:lang w:val="en-US"/>
        </w:rPr>
        <w:t>right</w:t>
      </w:r>
      <w:r w:rsidR="00BC7072" w:rsidRPr="00954547">
        <w:rPr>
          <w:lang w:val="en-US"/>
        </w:rPr>
        <w:t xml:space="preserve"> to</w:t>
      </w:r>
      <w:r w:rsidR="00C13E92" w:rsidRPr="00954547">
        <w:rPr>
          <w:lang w:val="en-US"/>
        </w:rPr>
        <w:t xml:space="preserve"> </w:t>
      </w:r>
      <w:r w:rsidR="0078694F" w:rsidRPr="00954547">
        <w:rPr>
          <w:lang w:val="en-US"/>
        </w:rPr>
        <w:t xml:space="preserve">judicial guarantees and </w:t>
      </w:r>
      <w:r w:rsidR="007C59CD" w:rsidRPr="00954547">
        <w:rPr>
          <w:lang w:val="en-US"/>
        </w:rPr>
        <w:t>judicial protection</w:t>
      </w:r>
      <w:r w:rsidR="00C13E92" w:rsidRPr="00954547">
        <w:rPr>
          <w:lang w:val="en-US"/>
        </w:rPr>
        <w:t xml:space="preserve"> establ</w:t>
      </w:r>
      <w:r w:rsidR="007C59CD" w:rsidRPr="00954547">
        <w:rPr>
          <w:lang w:val="en-US"/>
        </w:rPr>
        <w:t xml:space="preserve">ished in </w:t>
      </w:r>
      <w:r w:rsidR="00A17F8C" w:rsidRPr="00954547">
        <w:rPr>
          <w:lang w:val="en-US"/>
        </w:rPr>
        <w:t>Articles</w:t>
      </w:r>
      <w:r w:rsidR="00C13E92" w:rsidRPr="00954547">
        <w:rPr>
          <w:lang w:val="en-US"/>
        </w:rPr>
        <w:t xml:space="preserve"> </w:t>
      </w:r>
      <w:r w:rsidR="00A17F8C" w:rsidRPr="00954547">
        <w:rPr>
          <w:lang w:val="en-US"/>
        </w:rPr>
        <w:t>8(1)</w:t>
      </w:r>
      <w:r w:rsidR="0078694F" w:rsidRPr="00954547">
        <w:rPr>
          <w:lang w:val="en-US"/>
        </w:rPr>
        <w:t xml:space="preserve"> and </w:t>
      </w:r>
      <w:r w:rsidR="00A17F8C" w:rsidRPr="00954547">
        <w:rPr>
          <w:lang w:val="en-US"/>
        </w:rPr>
        <w:t>25(1)</w:t>
      </w:r>
      <w:r w:rsidR="00C13E92" w:rsidRPr="00954547">
        <w:rPr>
          <w:lang w:val="en-US"/>
        </w:rPr>
        <w:t xml:space="preserve"> </w:t>
      </w:r>
      <w:r w:rsidR="005E0FD1" w:rsidRPr="00954547">
        <w:rPr>
          <w:lang w:val="en-US"/>
        </w:rPr>
        <w:t>of the Convention</w:t>
      </w:r>
      <w:r w:rsidR="00C13E92" w:rsidRPr="00954547">
        <w:rPr>
          <w:lang w:val="en-US"/>
        </w:rPr>
        <w:t xml:space="preserve">, </w:t>
      </w:r>
      <w:r w:rsidR="0078694F" w:rsidRPr="00954547">
        <w:rPr>
          <w:lang w:val="en-US"/>
        </w:rPr>
        <w:t>to the detriment of</w:t>
      </w:r>
      <w:r w:rsidR="00C13E92" w:rsidRPr="00954547">
        <w:rPr>
          <w:lang w:val="en-US"/>
        </w:rPr>
        <w:t xml:space="preserve"> Manuela</w:t>
      </w:r>
      <w:r w:rsidR="007C59CD" w:rsidRPr="00954547">
        <w:rPr>
          <w:lang w:val="en-US"/>
        </w:rPr>
        <w:t>’s family as a result of the total failure to investigate and clarify her death</w:t>
      </w:r>
      <w:r w:rsidR="00E033C0" w:rsidRPr="00954547">
        <w:rPr>
          <w:lang w:val="en-US"/>
        </w:rPr>
        <w:t xml:space="preserve"> while</w:t>
      </w:r>
      <w:r w:rsidR="007C59CD" w:rsidRPr="00954547">
        <w:rPr>
          <w:lang w:val="en-US"/>
        </w:rPr>
        <w:t xml:space="preserve"> in custody and the relationship of this to the omissions established</w:t>
      </w:r>
      <w:r w:rsidR="00E033C0" w:rsidRPr="00954547">
        <w:rPr>
          <w:lang w:val="en-US"/>
        </w:rPr>
        <w:t xml:space="preserve"> in this section.”</w:t>
      </w:r>
      <w:r w:rsidR="00C13E92" w:rsidRPr="00954547">
        <w:rPr>
          <w:lang w:val="en-US"/>
        </w:rPr>
        <w:t xml:space="preserve"> </w:t>
      </w:r>
    </w:p>
    <w:p w14:paraId="72E5110B" w14:textId="3BD36856" w:rsidR="00367DA8" w:rsidRPr="00954547" w:rsidRDefault="00E033C0" w:rsidP="00676EC1">
      <w:pPr>
        <w:pStyle w:val="Numberedparagraphs"/>
        <w:tabs>
          <w:tab w:val="left" w:pos="567"/>
        </w:tabs>
        <w:rPr>
          <w:lang w:val="en-US"/>
        </w:rPr>
      </w:pPr>
      <w:r w:rsidRPr="00954547">
        <w:rPr>
          <w:lang w:val="en-US"/>
        </w:rPr>
        <w:t>T</w:t>
      </w:r>
      <w:r w:rsidR="00B8393C" w:rsidRPr="00954547">
        <w:rPr>
          <w:lang w:val="en-US"/>
        </w:rPr>
        <w:t xml:space="preserve">he </w:t>
      </w:r>
      <w:r w:rsidR="006E0D5E" w:rsidRPr="00954547">
        <w:rPr>
          <w:b/>
          <w:bCs/>
          <w:i/>
          <w:iCs/>
          <w:lang w:val="en-US"/>
        </w:rPr>
        <w:t>representatives</w:t>
      </w:r>
      <w:r w:rsidR="00683EB1" w:rsidRPr="00954547">
        <w:rPr>
          <w:lang w:val="en-US"/>
        </w:rPr>
        <w:t xml:space="preserve"> </w:t>
      </w:r>
      <w:r w:rsidRPr="00954547">
        <w:rPr>
          <w:lang w:val="en-US"/>
        </w:rPr>
        <w:t xml:space="preserve">agreed </w:t>
      </w:r>
      <w:r w:rsidR="006816CD" w:rsidRPr="00954547">
        <w:rPr>
          <w:lang w:val="en-US"/>
        </w:rPr>
        <w:t xml:space="preserve">substantially </w:t>
      </w:r>
      <w:r w:rsidRPr="00954547">
        <w:rPr>
          <w:lang w:val="en-US"/>
        </w:rPr>
        <w:t>with the Commission’s arguments regarding the violation of professional secrecy</w:t>
      </w:r>
      <w:r w:rsidR="005919B9" w:rsidRPr="00954547">
        <w:rPr>
          <w:lang w:val="en-US"/>
        </w:rPr>
        <w:t xml:space="preserve">. </w:t>
      </w:r>
      <w:r w:rsidRPr="00954547">
        <w:rPr>
          <w:lang w:val="en-US"/>
        </w:rPr>
        <w:t>In addition, they a</w:t>
      </w:r>
      <w:r w:rsidR="006816CD" w:rsidRPr="00954547">
        <w:rPr>
          <w:lang w:val="en-US"/>
        </w:rPr>
        <w:t>lleg</w:t>
      </w:r>
      <w:r w:rsidRPr="00954547">
        <w:rPr>
          <w:lang w:val="en-US"/>
        </w:rPr>
        <w:t>ed that</w:t>
      </w:r>
      <w:r w:rsidR="00683EB1" w:rsidRPr="00954547">
        <w:rPr>
          <w:b/>
          <w:lang w:val="en-US"/>
        </w:rPr>
        <w:t xml:space="preserve"> </w:t>
      </w:r>
      <w:r w:rsidR="00B8393C" w:rsidRPr="00954547">
        <w:rPr>
          <w:lang w:val="en-US"/>
        </w:rPr>
        <w:t>the State</w:t>
      </w:r>
      <w:r w:rsidR="00683EB1" w:rsidRPr="00954547">
        <w:rPr>
          <w:lang w:val="en-US"/>
        </w:rPr>
        <w:t xml:space="preserve"> </w:t>
      </w:r>
      <w:r w:rsidRPr="00954547">
        <w:rPr>
          <w:lang w:val="en-US"/>
        </w:rPr>
        <w:t xml:space="preserve">had not provided Manuela with accessible, acceptable and quality health care services: (i) before the </w:t>
      </w:r>
      <w:r w:rsidR="00B72FE4" w:rsidRPr="00954547">
        <w:rPr>
          <w:lang w:val="en-US"/>
        </w:rPr>
        <w:t>obstetric emergency</w:t>
      </w:r>
      <w:r w:rsidRPr="00954547">
        <w:rPr>
          <w:lang w:val="en-US"/>
        </w:rPr>
        <w:t>;</w:t>
      </w:r>
      <w:r w:rsidR="00683EB1" w:rsidRPr="00954547">
        <w:rPr>
          <w:lang w:val="en-US"/>
        </w:rPr>
        <w:t xml:space="preserve"> </w:t>
      </w:r>
      <w:r w:rsidRPr="00954547">
        <w:rPr>
          <w:lang w:val="en-US"/>
        </w:rPr>
        <w:t>(</w:t>
      </w:r>
      <w:r w:rsidR="00683EB1" w:rsidRPr="00954547">
        <w:rPr>
          <w:lang w:val="en-US"/>
        </w:rPr>
        <w:t xml:space="preserve">ii) </w:t>
      </w:r>
      <w:r w:rsidRPr="00954547">
        <w:rPr>
          <w:lang w:val="en-US"/>
        </w:rPr>
        <w:t xml:space="preserve">when she </w:t>
      </w:r>
      <w:r w:rsidR="008168CA" w:rsidRPr="00954547">
        <w:rPr>
          <w:lang w:val="en-US"/>
        </w:rPr>
        <w:t>received emergency obstetric care in the San Francisco de Gotera National Hospital</w:t>
      </w:r>
      <w:r w:rsidR="00683EB1" w:rsidRPr="00954547">
        <w:rPr>
          <w:lang w:val="en-US"/>
        </w:rPr>
        <w:t>,</w:t>
      </w:r>
      <w:r w:rsidR="0078694F" w:rsidRPr="00954547">
        <w:rPr>
          <w:lang w:val="en-US"/>
        </w:rPr>
        <w:t xml:space="preserve"> and </w:t>
      </w:r>
      <w:r w:rsidR="008168CA" w:rsidRPr="00954547">
        <w:rPr>
          <w:lang w:val="en-US"/>
        </w:rPr>
        <w:t>(</w:t>
      </w:r>
      <w:r w:rsidR="00683EB1" w:rsidRPr="00954547">
        <w:rPr>
          <w:lang w:val="en-US"/>
        </w:rPr>
        <w:t xml:space="preserve">iii) </w:t>
      </w:r>
      <w:r w:rsidR="008168CA" w:rsidRPr="00954547">
        <w:rPr>
          <w:lang w:val="en-US"/>
        </w:rPr>
        <w:t xml:space="preserve">while she was deprived of her liberty in different detention centers. They argued that, prior to the </w:t>
      </w:r>
      <w:r w:rsidR="00B72FE4" w:rsidRPr="00954547">
        <w:rPr>
          <w:bdr w:val="none" w:sz="0" w:space="0" w:color="auto" w:frame="1"/>
          <w:lang w:val="en-US"/>
        </w:rPr>
        <w:t>obstetric emergency</w:t>
      </w:r>
      <w:r w:rsidR="008168CA" w:rsidRPr="00954547">
        <w:rPr>
          <w:bdr w:val="none" w:sz="0" w:space="0" w:color="auto" w:frame="1"/>
          <w:lang w:val="en-US"/>
        </w:rPr>
        <w:t>,</w:t>
      </w:r>
      <w:r w:rsidR="00E36F87" w:rsidRPr="00954547">
        <w:rPr>
          <w:bdr w:val="none" w:sz="0" w:space="0" w:color="auto" w:frame="1"/>
          <w:lang w:val="en-US"/>
        </w:rPr>
        <w:t xml:space="preserve"> </w:t>
      </w:r>
      <w:r w:rsidR="00B8393C" w:rsidRPr="00954547">
        <w:rPr>
          <w:bdr w:val="none" w:sz="0" w:space="0" w:color="auto" w:frame="1"/>
          <w:lang w:val="en-US"/>
        </w:rPr>
        <w:t>the State</w:t>
      </w:r>
      <w:r w:rsidR="00E36F87" w:rsidRPr="00954547">
        <w:rPr>
          <w:bdr w:val="none" w:sz="0" w:space="0" w:color="auto" w:frame="1"/>
          <w:lang w:val="en-US"/>
        </w:rPr>
        <w:t xml:space="preserve"> ha</w:t>
      </w:r>
      <w:r w:rsidR="008168CA" w:rsidRPr="00954547">
        <w:rPr>
          <w:bdr w:val="none" w:sz="0" w:space="0" w:color="auto" w:frame="1"/>
          <w:lang w:val="en-US"/>
        </w:rPr>
        <w:t xml:space="preserve">d </w:t>
      </w:r>
      <w:r w:rsidR="00D2151A" w:rsidRPr="00954547">
        <w:rPr>
          <w:bdr w:val="none" w:sz="0" w:space="0" w:color="auto" w:frame="1"/>
          <w:lang w:val="en-US"/>
        </w:rPr>
        <w:t xml:space="preserve">failed to take the following steps: </w:t>
      </w:r>
      <w:r w:rsidR="00E36F87" w:rsidRPr="00954547">
        <w:rPr>
          <w:bdr w:val="none" w:sz="0" w:space="0" w:color="auto" w:frame="1"/>
          <w:lang w:val="en-US"/>
        </w:rPr>
        <w:t>(1)</w:t>
      </w:r>
      <w:r w:rsidR="00D2151A" w:rsidRPr="00954547">
        <w:rPr>
          <w:bdr w:val="none" w:sz="0" w:space="0" w:color="auto" w:frame="1"/>
          <w:lang w:val="en-US"/>
        </w:rPr>
        <w:t xml:space="preserve"> identify and make an early diagnosis of the “evident symptoms of </w:t>
      </w:r>
      <w:r w:rsidR="00D2151A" w:rsidRPr="00954547">
        <w:rPr>
          <w:lang w:val="en-US"/>
        </w:rPr>
        <w:t xml:space="preserve">the </w:t>
      </w:r>
      <w:r w:rsidR="00AD4468" w:rsidRPr="00954547">
        <w:rPr>
          <w:bdr w:val="none" w:sz="0" w:space="0" w:color="auto" w:frame="1"/>
          <w:lang w:val="en-US"/>
        </w:rPr>
        <w:t>Hodgkin</w:t>
      </w:r>
      <w:r w:rsidR="00D2151A" w:rsidRPr="00954547">
        <w:rPr>
          <w:bdr w:val="none" w:sz="0" w:space="0" w:color="auto" w:frame="1"/>
          <w:lang w:val="en-US"/>
        </w:rPr>
        <w:t>’s lymphoma</w:t>
      </w:r>
      <w:r w:rsidR="00E36F87" w:rsidRPr="00954547">
        <w:rPr>
          <w:bdr w:val="none" w:sz="0" w:space="0" w:color="auto" w:frame="1"/>
          <w:lang w:val="en-US"/>
        </w:rPr>
        <w:t xml:space="preserve"> </w:t>
      </w:r>
      <w:r w:rsidR="00D2151A" w:rsidRPr="00954547">
        <w:rPr>
          <w:bdr w:val="none" w:sz="0" w:space="0" w:color="auto" w:frame="1"/>
          <w:lang w:val="en-US"/>
        </w:rPr>
        <w:t>from which the</w:t>
      </w:r>
      <w:r w:rsidR="00E36F87" w:rsidRPr="00954547">
        <w:rPr>
          <w:bdr w:val="none" w:sz="0" w:space="0" w:color="auto" w:frame="1"/>
          <w:lang w:val="en-US"/>
        </w:rPr>
        <w:t xml:space="preserve"> [presu</w:t>
      </w:r>
      <w:r w:rsidR="00D2151A" w:rsidRPr="00954547">
        <w:rPr>
          <w:bdr w:val="none" w:sz="0" w:space="0" w:color="auto" w:frame="1"/>
          <w:lang w:val="en-US"/>
        </w:rPr>
        <w:t>med</w:t>
      </w:r>
      <w:r w:rsidR="00E36F87" w:rsidRPr="00954547">
        <w:rPr>
          <w:bdr w:val="none" w:sz="0" w:space="0" w:color="auto" w:frame="1"/>
          <w:lang w:val="en-US"/>
        </w:rPr>
        <w:t xml:space="preserve">] </w:t>
      </w:r>
      <w:r w:rsidR="00D2151A" w:rsidRPr="00954547">
        <w:rPr>
          <w:bdr w:val="none" w:sz="0" w:space="0" w:color="auto" w:frame="1"/>
          <w:lang w:val="en-US"/>
        </w:rPr>
        <w:t>victim suffered,</w:t>
      </w:r>
      <w:r w:rsidR="00E36F87" w:rsidRPr="00954547">
        <w:rPr>
          <w:bdr w:val="none" w:sz="0" w:space="0" w:color="auto" w:frame="1"/>
          <w:lang w:val="en-US"/>
        </w:rPr>
        <w:t>”</w:t>
      </w:r>
      <w:r w:rsidR="0078694F" w:rsidRPr="00954547">
        <w:rPr>
          <w:bdr w:val="none" w:sz="0" w:space="0" w:color="auto" w:frame="1"/>
          <w:lang w:val="en-US"/>
        </w:rPr>
        <w:t xml:space="preserve"> and </w:t>
      </w:r>
      <w:r w:rsidR="00E36F87" w:rsidRPr="00954547">
        <w:rPr>
          <w:bdr w:val="none" w:sz="0" w:space="0" w:color="auto" w:frame="1"/>
          <w:lang w:val="en-US"/>
        </w:rPr>
        <w:t xml:space="preserve">(2) </w:t>
      </w:r>
      <w:r w:rsidR="00D2151A" w:rsidRPr="00954547">
        <w:rPr>
          <w:bdr w:val="none" w:sz="0" w:space="0" w:color="auto" w:frame="1"/>
          <w:lang w:val="en-US"/>
        </w:rPr>
        <w:t xml:space="preserve">provide complete and </w:t>
      </w:r>
      <w:r w:rsidR="00AA0E9D" w:rsidRPr="00954547">
        <w:rPr>
          <w:bdr w:val="none" w:sz="0" w:space="0" w:color="auto" w:frame="1"/>
          <w:lang w:val="en-US"/>
        </w:rPr>
        <w:t>detailed</w:t>
      </w:r>
      <w:r w:rsidR="00D2151A" w:rsidRPr="00954547">
        <w:rPr>
          <w:bdr w:val="none" w:sz="0" w:space="0" w:color="auto" w:frame="1"/>
          <w:lang w:val="en-US"/>
        </w:rPr>
        <w:t xml:space="preserve"> information to Manuela about her health situation, which constituted a violation </w:t>
      </w:r>
      <w:r w:rsidR="00041C12" w:rsidRPr="00954547">
        <w:rPr>
          <w:bdr w:val="none" w:sz="0" w:space="0" w:color="auto" w:frame="1"/>
          <w:lang w:val="en-US"/>
        </w:rPr>
        <w:t>of Article</w:t>
      </w:r>
      <w:r w:rsidR="0079087D" w:rsidRPr="00954547">
        <w:rPr>
          <w:bdr w:val="none" w:sz="0" w:space="0" w:color="auto" w:frame="1"/>
          <w:lang w:val="en-US"/>
        </w:rPr>
        <w:t xml:space="preserve"> </w:t>
      </w:r>
      <w:r w:rsidR="00E36F87" w:rsidRPr="00954547">
        <w:rPr>
          <w:bdr w:val="none" w:sz="0" w:space="0" w:color="auto" w:frame="1"/>
          <w:lang w:val="en-US"/>
        </w:rPr>
        <w:t xml:space="preserve">13 </w:t>
      </w:r>
      <w:r w:rsidR="005E0FD1" w:rsidRPr="00954547">
        <w:rPr>
          <w:bdr w:val="none" w:sz="0" w:space="0" w:color="auto" w:frame="1"/>
          <w:lang w:val="en-US"/>
        </w:rPr>
        <w:t>of the Convention</w:t>
      </w:r>
      <w:r w:rsidR="00E36F87" w:rsidRPr="00954547">
        <w:rPr>
          <w:bdr w:val="none" w:sz="0" w:space="0" w:color="auto" w:frame="1"/>
          <w:lang w:val="en-US"/>
        </w:rPr>
        <w:t>.</w:t>
      </w:r>
      <w:r w:rsidR="00E36F87" w:rsidRPr="00954547">
        <w:rPr>
          <w:b/>
          <w:bdr w:val="none" w:sz="0" w:space="0" w:color="auto" w:frame="1"/>
          <w:lang w:val="en-US"/>
        </w:rPr>
        <w:t xml:space="preserve"> </w:t>
      </w:r>
      <w:r w:rsidR="00D2151A" w:rsidRPr="00954547">
        <w:rPr>
          <w:lang w:val="en-US"/>
        </w:rPr>
        <w:t xml:space="preserve">They indicated that when </w:t>
      </w:r>
      <w:r w:rsidR="00607E12" w:rsidRPr="00954547">
        <w:rPr>
          <w:lang w:val="en-US"/>
        </w:rPr>
        <w:t>the presumed victim</w:t>
      </w:r>
      <w:r w:rsidR="00683EB1" w:rsidRPr="00954547">
        <w:rPr>
          <w:lang w:val="en-US"/>
        </w:rPr>
        <w:t xml:space="preserve"> </w:t>
      </w:r>
      <w:r w:rsidR="00D2151A" w:rsidRPr="00954547">
        <w:rPr>
          <w:lang w:val="en-US"/>
        </w:rPr>
        <w:t>received emergency obstetric health care in the</w:t>
      </w:r>
      <w:r w:rsidR="00683EB1" w:rsidRPr="00954547">
        <w:rPr>
          <w:lang w:val="en-US"/>
        </w:rPr>
        <w:t xml:space="preserve"> </w:t>
      </w:r>
      <w:r w:rsidR="001A0994" w:rsidRPr="00954547">
        <w:rPr>
          <w:lang w:val="en-US"/>
        </w:rPr>
        <w:t>San Francisco Gotera National Hospital</w:t>
      </w:r>
      <w:r w:rsidR="00683EB1" w:rsidRPr="00954547">
        <w:rPr>
          <w:lang w:val="en-US"/>
        </w:rPr>
        <w:t xml:space="preserve">, </w:t>
      </w:r>
      <w:r w:rsidR="00B8393C" w:rsidRPr="00954547">
        <w:rPr>
          <w:lang w:val="en-US"/>
        </w:rPr>
        <w:t>the State</w:t>
      </w:r>
      <w:r w:rsidR="00683EB1" w:rsidRPr="00954547">
        <w:rPr>
          <w:lang w:val="en-US"/>
        </w:rPr>
        <w:t xml:space="preserve"> </w:t>
      </w:r>
      <w:r w:rsidR="00D2151A" w:rsidRPr="00954547">
        <w:rPr>
          <w:lang w:val="en-US"/>
        </w:rPr>
        <w:t xml:space="preserve">failed to provide accessible, acceptable and quality emergency obstetric care to Manuela because: (i) the hospital </w:t>
      </w:r>
      <w:r w:rsidR="00126E72" w:rsidRPr="00954547">
        <w:rPr>
          <w:lang w:val="en-US"/>
        </w:rPr>
        <w:t xml:space="preserve">was outside </w:t>
      </w:r>
      <w:r w:rsidR="001402F7" w:rsidRPr="00954547">
        <w:rPr>
          <w:lang w:val="en-US"/>
        </w:rPr>
        <w:t xml:space="preserve">the geographical </w:t>
      </w:r>
      <w:r w:rsidR="00126E72" w:rsidRPr="00954547">
        <w:rPr>
          <w:lang w:val="en-US"/>
        </w:rPr>
        <w:t>scope</w:t>
      </w:r>
      <w:r w:rsidR="001402F7" w:rsidRPr="00954547">
        <w:rPr>
          <w:lang w:val="en-US"/>
        </w:rPr>
        <w:t xml:space="preserve"> </w:t>
      </w:r>
      <w:r w:rsidR="00126E72" w:rsidRPr="00954547">
        <w:rPr>
          <w:lang w:val="en-US"/>
        </w:rPr>
        <w:t>and</w:t>
      </w:r>
      <w:r w:rsidR="001402F7" w:rsidRPr="00954547">
        <w:rPr>
          <w:lang w:val="en-US"/>
        </w:rPr>
        <w:t xml:space="preserve"> financial possibilities of Manuela; (ii) the doctors gave priority to questioning her rather than to treating the serious condition she was in; (iii) the medical staff “did not have adequate training or capacity to identify the cause of the numerous complications that she had suffered and, consequently, reached the conclusion that she had committed an offense without any </w:t>
      </w:r>
      <w:r w:rsidR="00676EC1" w:rsidRPr="00954547">
        <w:rPr>
          <w:lang w:val="en-US"/>
        </w:rPr>
        <w:t xml:space="preserve">technical basis and without making a clinical </w:t>
      </w:r>
      <w:r w:rsidR="00CA14AC" w:rsidRPr="00954547">
        <w:rPr>
          <w:lang w:val="en-US"/>
        </w:rPr>
        <w:t>investigation of</w:t>
      </w:r>
      <w:r w:rsidR="00676EC1" w:rsidRPr="00954547">
        <w:rPr>
          <w:lang w:val="en-US"/>
        </w:rPr>
        <w:t xml:space="preserve"> what had happened immediately before the emergency, or </w:t>
      </w:r>
      <w:r w:rsidR="00CA14AC" w:rsidRPr="00954547">
        <w:rPr>
          <w:lang w:val="en-US"/>
        </w:rPr>
        <w:t xml:space="preserve">of </w:t>
      </w:r>
      <w:r w:rsidR="00676EC1" w:rsidRPr="00954547">
        <w:rPr>
          <w:lang w:val="en-US"/>
        </w:rPr>
        <w:t xml:space="preserve">her medical </w:t>
      </w:r>
      <w:r w:rsidR="00CA14AC" w:rsidRPr="00954547">
        <w:rPr>
          <w:lang w:val="en-US"/>
        </w:rPr>
        <w:t>history</w:t>
      </w:r>
      <w:r w:rsidR="00676EC1" w:rsidRPr="00954547">
        <w:rPr>
          <w:lang w:val="en-US"/>
        </w:rPr>
        <w:t>,” and (iv) “when they finally began to treat her, they did so erroneously, because they endangered her health and her life.” The</w:t>
      </w:r>
      <w:r w:rsidR="00CA14AC" w:rsidRPr="00954547">
        <w:rPr>
          <w:lang w:val="en-US"/>
        </w:rPr>
        <w:t xml:space="preserve"> representatives</w:t>
      </w:r>
      <w:r w:rsidR="00676EC1" w:rsidRPr="00954547">
        <w:rPr>
          <w:lang w:val="en-US"/>
        </w:rPr>
        <w:t xml:space="preserve"> also alleged that the State had failed to provide</w:t>
      </w:r>
      <w:r w:rsidR="00CA14AC" w:rsidRPr="00954547">
        <w:rPr>
          <w:lang w:val="en-US"/>
        </w:rPr>
        <w:t xml:space="preserve"> a prompt</w:t>
      </w:r>
      <w:r w:rsidR="00676EC1" w:rsidRPr="00954547">
        <w:rPr>
          <w:lang w:val="en-US"/>
        </w:rPr>
        <w:t xml:space="preserve"> </w:t>
      </w:r>
      <w:r w:rsidR="00CA14AC" w:rsidRPr="00954547">
        <w:rPr>
          <w:lang w:val="en-US"/>
        </w:rPr>
        <w:t xml:space="preserve">and </w:t>
      </w:r>
      <w:r w:rsidR="00676EC1" w:rsidRPr="00954547">
        <w:rPr>
          <w:lang w:val="en-US"/>
        </w:rPr>
        <w:t>a</w:t>
      </w:r>
      <w:r w:rsidR="00CA14AC" w:rsidRPr="00954547">
        <w:rPr>
          <w:lang w:val="en-US"/>
        </w:rPr>
        <w:t>ppropriate</w:t>
      </w:r>
      <w:r w:rsidR="00676EC1" w:rsidRPr="00954547">
        <w:rPr>
          <w:lang w:val="en-US"/>
        </w:rPr>
        <w:t xml:space="preserve"> diagnosis and treatment while Manuela was deprived of her liberty, which constituted a violation of Manuela’s right to life, “because the State, through its agents, was aware of the risk of her death and failed to take any effective measure to prevent this.” They also argued that the State had not investigated Manuela’s death in violation of </w:t>
      </w:r>
      <w:r w:rsidR="00CA14AC" w:rsidRPr="00954547">
        <w:rPr>
          <w:lang w:val="en-US"/>
        </w:rPr>
        <w:t>her family’s</w:t>
      </w:r>
      <w:r w:rsidR="00BC7072" w:rsidRPr="00954547">
        <w:rPr>
          <w:lang w:val="en-US"/>
        </w:rPr>
        <w:t xml:space="preserve"> </w:t>
      </w:r>
      <w:r w:rsidR="00105F3F" w:rsidRPr="00954547">
        <w:rPr>
          <w:lang w:val="en-US"/>
        </w:rPr>
        <w:t>right</w:t>
      </w:r>
      <w:r w:rsidR="00F460E3" w:rsidRPr="00954547">
        <w:rPr>
          <w:lang w:val="en-US"/>
        </w:rPr>
        <w:t>s</w:t>
      </w:r>
      <w:r w:rsidR="00BC7072" w:rsidRPr="00954547">
        <w:rPr>
          <w:lang w:val="en-US"/>
        </w:rPr>
        <w:t xml:space="preserve"> to</w:t>
      </w:r>
      <w:r w:rsidR="00C13E92" w:rsidRPr="00954547">
        <w:rPr>
          <w:lang w:val="en-US"/>
        </w:rPr>
        <w:t xml:space="preserve"> </w:t>
      </w:r>
      <w:r w:rsidR="0078694F" w:rsidRPr="00954547">
        <w:rPr>
          <w:lang w:val="en-US"/>
        </w:rPr>
        <w:t xml:space="preserve">judicial guarantees and </w:t>
      </w:r>
      <w:r w:rsidR="007C59CD" w:rsidRPr="00954547">
        <w:rPr>
          <w:lang w:val="en-US"/>
        </w:rPr>
        <w:t>judicial protection</w:t>
      </w:r>
      <w:r w:rsidR="00F460E3" w:rsidRPr="00954547">
        <w:rPr>
          <w:lang w:val="en-US"/>
        </w:rPr>
        <w:t>.</w:t>
      </w:r>
    </w:p>
    <w:p w14:paraId="6B8F5970" w14:textId="2775DA63" w:rsidR="00683EB1" w:rsidRPr="00954547" w:rsidRDefault="00F460E3" w:rsidP="004361C8">
      <w:pPr>
        <w:pStyle w:val="Numberedparagraphs"/>
        <w:tabs>
          <w:tab w:val="left" w:pos="567"/>
        </w:tabs>
        <w:rPr>
          <w:lang w:val="en-US"/>
        </w:rPr>
      </w:pPr>
      <w:r w:rsidRPr="00954547">
        <w:rPr>
          <w:lang w:val="en-US"/>
        </w:rPr>
        <w:t xml:space="preserve">Furthermore, they indicated that </w:t>
      </w:r>
      <w:r w:rsidR="00F9655C" w:rsidRPr="00954547">
        <w:rPr>
          <w:lang w:val="en-US"/>
        </w:rPr>
        <w:t xml:space="preserve">Manuela </w:t>
      </w:r>
      <w:r w:rsidRPr="00954547">
        <w:rPr>
          <w:lang w:val="en-US"/>
        </w:rPr>
        <w:t xml:space="preserve">had been subjected to gender-based violence and discrimination because: (i) </w:t>
      </w:r>
      <w:r w:rsidR="00F9655C" w:rsidRPr="00954547">
        <w:rPr>
          <w:lang w:val="en-US"/>
        </w:rPr>
        <w:t>Manuela</w:t>
      </w:r>
      <w:r w:rsidRPr="00954547">
        <w:rPr>
          <w:lang w:val="en-US"/>
        </w:rPr>
        <w:t xml:space="preserve"> was reported by the doctor who received her in the</w:t>
      </w:r>
      <w:r w:rsidR="00F9655C" w:rsidRPr="00954547">
        <w:rPr>
          <w:lang w:val="en-US"/>
        </w:rPr>
        <w:t xml:space="preserve"> </w:t>
      </w:r>
      <w:r w:rsidR="001A0994" w:rsidRPr="00954547">
        <w:rPr>
          <w:lang w:val="en-US"/>
        </w:rPr>
        <w:t>San Francisco Gotera National Hospital</w:t>
      </w:r>
      <w:r w:rsidR="007C3851" w:rsidRPr="00954547">
        <w:rPr>
          <w:lang w:val="en-US"/>
        </w:rPr>
        <w:t>,</w:t>
      </w:r>
      <w:r w:rsidR="00CA14AC" w:rsidRPr="00954547">
        <w:rPr>
          <w:lang w:val="en-US"/>
        </w:rPr>
        <w:t xml:space="preserve"> </w:t>
      </w:r>
      <w:r w:rsidR="007C3851" w:rsidRPr="00954547">
        <w:rPr>
          <w:lang w:val="en-US"/>
        </w:rPr>
        <w:t>who violated</w:t>
      </w:r>
      <w:r w:rsidRPr="00954547">
        <w:rPr>
          <w:lang w:val="en-US"/>
        </w:rPr>
        <w:t xml:space="preserve"> her duty to observe professional </w:t>
      </w:r>
      <w:r w:rsidR="00CA14AC" w:rsidRPr="00954547">
        <w:rPr>
          <w:lang w:val="en-US"/>
        </w:rPr>
        <w:t>secrecy</w:t>
      </w:r>
      <w:r w:rsidRPr="00954547">
        <w:rPr>
          <w:lang w:val="en-US"/>
        </w:rPr>
        <w:t xml:space="preserve"> and concluded that Manuela had committed </w:t>
      </w:r>
      <w:r w:rsidR="007C3851" w:rsidRPr="00954547">
        <w:rPr>
          <w:lang w:val="en-US"/>
        </w:rPr>
        <w:t>a crime</w:t>
      </w:r>
      <w:r w:rsidRPr="00954547">
        <w:rPr>
          <w:lang w:val="en-US"/>
        </w:rPr>
        <w:t xml:space="preserve"> “because she was pregnant as the result of an ‘infidelity,’ which had led her to abort because she was ashamed,” and (ii) while Manuela was deprived of liberty, she was not provided with the health care she required</w:t>
      </w:r>
      <w:r w:rsidR="007C3851" w:rsidRPr="00954547">
        <w:rPr>
          <w:lang w:val="en-US"/>
        </w:rPr>
        <w:t>; moreover,</w:t>
      </w:r>
      <w:r w:rsidRPr="00954547">
        <w:rPr>
          <w:lang w:val="en-US"/>
        </w:rPr>
        <w:t xml:space="preserve"> the “guards of the San Miguel Prison claimed that her situation was not serious and </w:t>
      </w:r>
      <w:r w:rsidR="007C3851" w:rsidRPr="00954547">
        <w:rPr>
          <w:lang w:val="en-US"/>
        </w:rPr>
        <w:t>constituted</w:t>
      </w:r>
      <w:r w:rsidRPr="00954547">
        <w:rPr>
          <w:lang w:val="en-US"/>
        </w:rPr>
        <w:t xml:space="preserve"> a punishment for her criminal and promiscuous conduct.”</w:t>
      </w:r>
      <w:r w:rsidR="004361C8" w:rsidRPr="00954547">
        <w:rPr>
          <w:lang w:val="en-US"/>
        </w:rPr>
        <w:t xml:space="preserve"> According to the representatives, this discrimination was intersectional. Additionally, they argued that the State had subjected Manuela to torture when she was handcuffed during her </w:t>
      </w:r>
      <w:r w:rsidR="00B72FE4" w:rsidRPr="00954547">
        <w:rPr>
          <w:lang w:val="en-US"/>
        </w:rPr>
        <w:t>obstetric emergency</w:t>
      </w:r>
      <w:r w:rsidR="00683EB1" w:rsidRPr="00954547">
        <w:rPr>
          <w:lang w:val="en-US"/>
        </w:rPr>
        <w:t xml:space="preserve"> </w:t>
      </w:r>
      <w:r w:rsidR="004361C8" w:rsidRPr="00954547">
        <w:rPr>
          <w:lang w:val="en-US"/>
        </w:rPr>
        <w:t>in the San Francisco de Gotera Hospital</w:t>
      </w:r>
      <w:r w:rsidR="0078694F" w:rsidRPr="00954547">
        <w:rPr>
          <w:lang w:val="en-US"/>
        </w:rPr>
        <w:t xml:space="preserve"> and </w:t>
      </w:r>
      <w:r w:rsidR="004361C8" w:rsidRPr="00954547">
        <w:rPr>
          <w:lang w:val="en-US"/>
        </w:rPr>
        <w:t>while she was in the terminal stage of her illness in the Rosales National Hospital.</w:t>
      </w:r>
    </w:p>
    <w:p w14:paraId="3A814800" w14:textId="2EE613E8" w:rsidR="00165B17" w:rsidRPr="00954547" w:rsidRDefault="00B8393C" w:rsidP="00580ABE">
      <w:pPr>
        <w:pStyle w:val="Numberedparagraphs"/>
        <w:tabs>
          <w:tab w:val="left" w:pos="567"/>
        </w:tabs>
        <w:rPr>
          <w:b/>
          <w:lang w:val="en-US"/>
        </w:rPr>
      </w:pPr>
      <w:r w:rsidRPr="00954547">
        <w:rPr>
          <w:lang w:val="en-US"/>
        </w:rPr>
        <w:t xml:space="preserve">The </w:t>
      </w:r>
      <w:r w:rsidRPr="00954547">
        <w:rPr>
          <w:b/>
          <w:bCs/>
          <w:i/>
          <w:iCs/>
          <w:lang w:val="en-US"/>
        </w:rPr>
        <w:t>State</w:t>
      </w:r>
      <w:r w:rsidR="00683EB1" w:rsidRPr="00954547">
        <w:rPr>
          <w:b/>
          <w:i/>
          <w:lang w:val="en-US"/>
        </w:rPr>
        <w:t xml:space="preserve"> </w:t>
      </w:r>
      <w:r w:rsidR="004361C8" w:rsidRPr="00954547">
        <w:rPr>
          <w:lang w:val="en-US"/>
        </w:rPr>
        <w:t>argued that</w:t>
      </w:r>
      <w:r w:rsidR="00683EB1" w:rsidRPr="00954547">
        <w:rPr>
          <w:b/>
          <w:i/>
          <w:lang w:val="en-US"/>
        </w:rPr>
        <w:t xml:space="preserve"> </w:t>
      </w:r>
      <w:r w:rsidR="00683EB1" w:rsidRPr="00954547">
        <w:rPr>
          <w:lang w:val="en-US"/>
        </w:rPr>
        <w:t>“</w:t>
      </w:r>
      <w:r w:rsidR="004361C8" w:rsidRPr="00954547">
        <w:rPr>
          <w:lang w:val="en-US"/>
        </w:rPr>
        <w:t xml:space="preserve">women </w:t>
      </w:r>
      <w:r w:rsidR="00165B17" w:rsidRPr="00954547">
        <w:rPr>
          <w:lang w:val="en-US"/>
        </w:rPr>
        <w:t xml:space="preserve">with obstetric problems </w:t>
      </w:r>
      <w:r w:rsidR="007C3851" w:rsidRPr="00954547">
        <w:rPr>
          <w:lang w:val="en-US"/>
        </w:rPr>
        <w:t>are treated</w:t>
      </w:r>
      <w:r w:rsidR="00165B17" w:rsidRPr="00954547">
        <w:rPr>
          <w:lang w:val="en-US"/>
        </w:rPr>
        <w:t xml:space="preserve"> based, above all, on the rules prescribed by technical guidelines […] which do not establish the need for the </w:t>
      </w:r>
      <w:r w:rsidR="00CC2596" w:rsidRPr="00954547">
        <w:rPr>
          <w:lang w:val="en-US"/>
        </w:rPr>
        <w:t>medical staff</w:t>
      </w:r>
      <w:r w:rsidR="00165B17" w:rsidRPr="00954547">
        <w:rPr>
          <w:lang w:val="en-US"/>
        </w:rPr>
        <w:t xml:space="preserve"> to report women with obstetric complications because obstetric complications do not constitute an offense.” It also argued that “if a woman is admitted to a hospital with signs of having </w:t>
      </w:r>
      <w:r w:rsidR="00FA3E7F" w:rsidRPr="00954547">
        <w:rPr>
          <w:lang w:val="en-US"/>
        </w:rPr>
        <w:t xml:space="preserve">given birth outside the hospital and is unable to explain the whereabouts of the baby, it is perfectly </w:t>
      </w:r>
      <w:r w:rsidR="007C3851" w:rsidRPr="00954547">
        <w:rPr>
          <w:lang w:val="en-US"/>
        </w:rPr>
        <w:t>reasonable for</w:t>
      </w:r>
      <w:r w:rsidR="00FA3E7F" w:rsidRPr="00954547">
        <w:rPr>
          <w:lang w:val="en-US"/>
        </w:rPr>
        <w:t xml:space="preserve"> the doctor </w:t>
      </w:r>
      <w:r w:rsidR="007C3851" w:rsidRPr="00954547">
        <w:rPr>
          <w:lang w:val="en-US"/>
        </w:rPr>
        <w:t xml:space="preserve">to </w:t>
      </w:r>
      <w:r w:rsidR="00FA3E7F" w:rsidRPr="00954547">
        <w:rPr>
          <w:lang w:val="en-US"/>
        </w:rPr>
        <w:t>inquire about its whereabouts and, if he/she does not obtain a response,</w:t>
      </w:r>
      <w:r w:rsidR="007C3851" w:rsidRPr="00954547">
        <w:rPr>
          <w:lang w:val="en-US"/>
        </w:rPr>
        <w:t xml:space="preserve"> to</w:t>
      </w:r>
      <w:r w:rsidR="00FA3E7F" w:rsidRPr="00954547">
        <w:rPr>
          <w:lang w:val="en-US"/>
        </w:rPr>
        <w:t xml:space="preserve"> inform the authorities </w:t>
      </w:r>
      <w:r w:rsidR="00011AD8" w:rsidRPr="00954547">
        <w:rPr>
          <w:lang w:val="en-US"/>
        </w:rPr>
        <w:t xml:space="preserve">in order </w:t>
      </w:r>
      <w:r w:rsidR="00FA3E7F" w:rsidRPr="00954547">
        <w:rPr>
          <w:lang w:val="en-US"/>
        </w:rPr>
        <w:t>to avoid any serious consequences for the child’s health and life.”</w:t>
      </w:r>
    </w:p>
    <w:p w14:paraId="3229889C" w14:textId="440F3547" w:rsidR="00E43F6D" w:rsidRPr="00954547" w:rsidRDefault="00FA3E7F" w:rsidP="00580ABE">
      <w:pPr>
        <w:pStyle w:val="Numberedparagraphs"/>
        <w:tabs>
          <w:tab w:val="left" w:pos="567"/>
        </w:tabs>
        <w:rPr>
          <w:b/>
          <w:lang w:val="en-US"/>
        </w:rPr>
      </w:pPr>
      <w:r w:rsidRPr="00954547">
        <w:rPr>
          <w:lang w:val="en-US"/>
        </w:rPr>
        <w:t>In addition, the State argued that</w:t>
      </w:r>
      <w:r w:rsidR="00683EB1" w:rsidRPr="00954547">
        <w:rPr>
          <w:lang w:val="en-US"/>
        </w:rPr>
        <w:t xml:space="preserve"> “Manuela rec</w:t>
      </w:r>
      <w:r w:rsidRPr="00954547">
        <w:rPr>
          <w:lang w:val="en-US"/>
        </w:rPr>
        <w:t xml:space="preserve">eived </w:t>
      </w:r>
      <w:r w:rsidR="00011AD8" w:rsidRPr="00954547">
        <w:rPr>
          <w:lang w:val="en-US"/>
        </w:rPr>
        <w:t xml:space="preserve">various types of </w:t>
      </w:r>
      <w:r w:rsidRPr="00954547">
        <w:rPr>
          <w:lang w:val="en-US"/>
        </w:rPr>
        <w:t xml:space="preserve">medical care from the public health system.” On admittance to the </w:t>
      </w:r>
      <w:r w:rsidR="007771B6" w:rsidRPr="00954547">
        <w:rPr>
          <w:lang w:val="en-US"/>
        </w:rPr>
        <w:t>San Francisco Gotera National Hospital</w:t>
      </w:r>
      <w:r w:rsidR="00683EB1" w:rsidRPr="00954547">
        <w:rPr>
          <w:lang w:val="en-US"/>
        </w:rPr>
        <w:t xml:space="preserve"> “</w:t>
      </w:r>
      <w:r w:rsidRPr="00954547">
        <w:rPr>
          <w:lang w:val="en-US"/>
        </w:rPr>
        <w:t xml:space="preserve">the patient was stabilized in keeping with the existing hospital protocol for the treatment of deliveries of this nature and, subsequently, she remained in the hospital for seven </w:t>
      </w:r>
      <w:r w:rsidR="00011AD8" w:rsidRPr="00954547">
        <w:rPr>
          <w:lang w:val="en-US"/>
        </w:rPr>
        <w:t xml:space="preserve">more </w:t>
      </w:r>
      <w:r w:rsidRPr="00954547">
        <w:rPr>
          <w:lang w:val="en-US"/>
        </w:rPr>
        <w:t>days until she was discharged based on her recovery and medical</w:t>
      </w:r>
      <w:r w:rsidR="002619C3" w:rsidRPr="00954547">
        <w:rPr>
          <w:lang w:val="en-US"/>
        </w:rPr>
        <w:t xml:space="preserve"> evolution.</w:t>
      </w:r>
      <w:r w:rsidR="00683EB1" w:rsidRPr="00954547">
        <w:rPr>
          <w:lang w:val="en-US"/>
        </w:rPr>
        <w:t xml:space="preserve">” </w:t>
      </w:r>
      <w:r w:rsidR="002619C3" w:rsidRPr="00954547">
        <w:rPr>
          <w:lang w:val="en-US"/>
        </w:rPr>
        <w:t xml:space="preserve">It indicated that </w:t>
      </w:r>
      <w:r w:rsidR="00683EB1" w:rsidRPr="00954547">
        <w:rPr>
          <w:lang w:val="en-US"/>
        </w:rPr>
        <w:t xml:space="preserve">Manuela </w:t>
      </w:r>
      <w:r w:rsidR="002619C3" w:rsidRPr="00954547">
        <w:rPr>
          <w:lang w:val="en-US"/>
        </w:rPr>
        <w:t xml:space="preserve">had also been treated in the </w:t>
      </w:r>
      <w:r w:rsidR="004361C8" w:rsidRPr="00954547">
        <w:rPr>
          <w:lang w:val="en-US"/>
        </w:rPr>
        <w:t>Rosales National Hospital</w:t>
      </w:r>
      <w:r w:rsidR="00683EB1" w:rsidRPr="00954547">
        <w:rPr>
          <w:lang w:val="en-US"/>
        </w:rPr>
        <w:t xml:space="preserve"> </w:t>
      </w:r>
      <w:r w:rsidR="002619C3" w:rsidRPr="00954547">
        <w:rPr>
          <w:lang w:val="en-US"/>
        </w:rPr>
        <w:t xml:space="preserve">where she was diagnosed with </w:t>
      </w:r>
      <w:r w:rsidR="00683EB1" w:rsidRPr="00954547">
        <w:rPr>
          <w:lang w:val="en-US"/>
        </w:rPr>
        <w:t>Hodgkin</w:t>
      </w:r>
      <w:r w:rsidR="002619C3" w:rsidRPr="00954547">
        <w:rPr>
          <w:lang w:val="en-US"/>
        </w:rPr>
        <w:t>’s syndrome i</w:t>
      </w:r>
      <w:r w:rsidR="00683EB1" w:rsidRPr="00954547">
        <w:rPr>
          <w:lang w:val="en-US"/>
        </w:rPr>
        <w:t>n 2009</w:t>
      </w:r>
      <w:r w:rsidR="0078694F" w:rsidRPr="00954547">
        <w:rPr>
          <w:lang w:val="en-US"/>
        </w:rPr>
        <w:t xml:space="preserve"> and </w:t>
      </w:r>
      <w:r w:rsidR="00683EB1" w:rsidRPr="00954547">
        <w:rPr>
          <w:lang w:val="en-US"/>
        </w:rPr>
        <w:t>rec</w:t>
      </w:r>
      <w:r w:rsidR="002619C3" w:rsidRPr="00954547">
        <w:rPr>
          <w:lang w:val="en-US"/>
        </w:rPr>
        <w:t xml:space="preserve">eived nine cycles of chemotherapy between February 14, </w:t>
      </w:r>
      <w:r w:rsidR="00683EB1" w:rsidRPr="00954547">
        <w:rPr>
          <w:lang w:val="en-US"/>
        </w:rPr>
        <w:t>2009</w:t>
      </w:r>
      <w:r w:rsidR="002619C3" w:rsidRPr="00954547">
        <w:rPr>
          <w:lang w:val="en-US"/>
        </w:rPr>
        <w:t>, and April 29,</w:t>
      </w:r>
      <w:r w:rsidR="00683EB1" w:rsidRPr="00954547">
        <w:rPr>
          <w:lang w:val="en-US"/>
        </w:rPr>
        <w:t xml:space="preserve"> 2010.</w:t>
      </w:r>
      <w:r w:rsidR="007E4ECC" w:rsidRPr="00954547">
        <w:rPr>
          <w:b/>
          <w:lang w:val="en-US"/>
        </w:rPr>
        <w:t xml:space="preserve"> </w:t>
      </w:r>
      <w:r w:rsidR="002619C3" w:rsidRPr="00954547">
        <w:rPr>
          <w:lang w:val="en-US"/>
        </w:rPr>
        <w:t>Also</w:t>
      </w:r>
      <w:r w:rsidR="00683EB1" w:rsidRPr="00954547">
        <w:rPr>
          <w:lang w:val="en-US"/>
        </w:rPr>
        <w:t>, “</w:t>
      </w:r>
      <w:r w:rsidR="002619C3" w:rsidRPr="00954547">
        <w:rPr>
          <w:lang w:val="en-US"/>
        </w:rPr>
        <w:t>on</w:t>
      </w:r>
      <w:r w:rsidR="00683EB1" w:rsidRPr="00954547">
        <w:rPr>
          <w:lang w:val="en-US"/>
        </w:rPr>
        <w:t xml:space="preserve"> </w:t>
      </w:r>
      <w:r w:rsidR="006771AD" w:rsidRPr="00954547">
        <w:rPr>
          <w:lang w:val="en-US"/>
        </w:rPr>
        <w:t>September 9,</w:t>
      </w:r>
      <w:r w:rsidR="00683EB1" w:rsidRPr="00954547">
        <w:rPr>
          <w:lang w:val="en-US"/>
        </w:rPr>
        <w:t xml:space="preserve"> 2009, </w:t>
      </w:r>
      <w:r w:rsidR="002619C3" w:rsidRPr="00954547">
        <w:rPr>
          <w:lang w:val="en-US"/>
        </w:rPr>
        <w:t xml:space="preserve">the Eastern Regional Criminological Council decided that it was appropriate </w:t>
      </w:r>
      <w:r w:rsidR="00E43F6D" w:rsidRPr="00954547">
        <w:rPr>
          <w:lang w:val="en-US"/>
        </w:rPr>
        <w:t>to transfer</w:t>
      </w:r>
      <w:r w:rsidR="00683EB1" w:rsidRPr="00954547">
        <w:rPr>
          <w:lang w:val="en-US"/>
        </w:rPr>
        <w:t xml:space="preserve"> Manuela </w:t>
      </w:r>
      <w:r w:rsidR="00E43F6D" w:rsidRPr="00954547">
        <w:rPr>
          <w:lang w:val="en-US"/>
        </w:rPr>
        <w:t>from the San Miguel</w:t>
      </w:r>
      <w:r w:rsidR="00683EB1" w:rsidRPr="00954547">
        <w:rPr>
          <w:lang w:val="en-US"/>
        </w:rPr>
        <w:t xml:space="preserve"> </w:t>
      </w:r>
      <w:r w:rsidR="002A4EC5" w:rsidRPr="00954547">
        <w:rPr>
          <w:lang w:val="en-US"/>
        </w:rPr>
        <w:t xml:space="preserve">Prison </w:t>
      </w:r>
      <w:r w:rsidR="00E43F6D" w:rsidRPr="00954547">
        <w:rPr>
          <w:lang w:val="en-US"/>
        </w:rPr>
        <w:t>to</w:t>
      </w:r>
      <w:r w:rsidR="00683EB1" w:rsidRPr="00954547">
        <w:rPr>
          <w:lang w:val="en-US"/>
        </w:rPr>
        <w:t xml:space="preserve"> </w:t>
      </w:r>
      <w:r w:rsidR="00E43F6D" w:rsidRPr="00954547">
        <w:rPr>
          <w:lang w:val="en-US"/>
        </w:rPr>
        <w:t>the</w:t>
      </w:r>
      <w:r w:rsidR="00683EB1" w:rsidRPr="00954547">
        <w:rPr>
          <w:lang w:val="en-US"/>
        </w:rPr>
        <w:t xml:space="preserve"> </w:t>
      </w:r>
      <w:r w:rsidR="00E43F6D" w:rsidRPr="00954547">
        <w:rPr>
          <w:lang w:val="en-US"/>
        </w:rPr>
        <w:t xml:space="preserve">Ilopango </w:t>
      </w:r>
      <w:r w:rsidR="0095271A" w:rsidRPr="00954547">
        <w:rPr>
          <w:lang w:val="en-US"/>
        </w:rPr>
        <w:t>Women’s Rehabilitation Center</w:t>
      </w:r>
      <w:r w:rsidR="00E43F6D" w:rsidRPr="00954547">
        <w:rPr>
          <w:lang w:val="en-US"/>
        </w:rPr>
        <w:t xml:space="preserve"> to facilitate the medical care </w:t>
      </w:r>
      <w:r w:rsidR="00011AD8" w:rsidRPr="00954547">
        <w:rPr>
          <w:lang w:val="en-US"/>
        </w:rPr>
        <w:t>that</w:t>
      </w:r>
      <w:r w:rsidR="00E43F6D" w:rsidRPr="00954547">
        <w:rPr>
          <w:lang w:val="en-US"/>
        </w:rPr>
        <w:t xml:space="preserve"> her health</w:t>
      </w:r>
      <w:r w:rsidR="00011AD8" w:rsidRPr="00954547">
        <w:rPr>
          <w:lang w:val="en-US"/>
        </w:rPr>
        <w:t xml:space="preserve"> required</w:t>
      </w:r>
      <w:r w:rsidR="00E43F6D" w:rsidRPr="00954547">
        <w:rPr>
          <w:lang w:val="en-US"/>
        </w:rPr>
        <w:t xml:space="preserve">.” Furthermore, it argued that the circumstances of Manuela’s death had been “verified by the attending physician, and Manuela’s family had not filed a complaint requiring a review of the medical treatment in her case or </w:t>
      </w:r>
      <w:r w:rsidR="003D7F41" w:rsidRPr="00954547">
        <w:rPr>
          <w:lang w:val="en-US"/>
        </w:rPr>
        <w:t xml:space="preserve">a </w:t>
      </w:r>
      <w:r w:rsidR="00E43F6D" w:rsidRPr="00954547">
        <w:rPr>
          <w:lang w:val="en-US"/>
        </w:rPr>
        <w:t>determination of criminal responsibility for the circumstances of her death.”</w:t>
      </w:r>
    </w:p>
    <w:p w14:paraId="0D3DC4D2" w14:textId="70050239" w:rsidR="00683EB1" w:rsidRPr="00954547" w:rsidRDefault="00025FCF" w:rsidP="003634C1">
      <w:pPr>
        <w:pStyle w:val="Numberedparagraphs"/>
        <w:tabs>
          <w:tab w:val="left" w:pos="567"/>
        </w:tabs>
        <w:rPr>
          <w:lang w:val="en-US"/>
        </w:rPr>
      </w:pPr>
      <w:r w:rsidRPr="00954547">
        <w:rPr>
          <w:lang w:val="en-US"/>
        </w:rPr>
        <w:t>With r</w:t>
      </w:r>
      <w:r w:rsidR="00E43F6D" w:rsidRPr="00954547">
        <w:rPr>
          <w:lang w:val="en-US"/>
        </w:rPr>
        <w:t>egard</w:t>
      </w:r>
      <w:r w:rsidRPr="00954547">
        <w:rPr>
          <w:lang w:val="en-US"/>
        </w:rPr>
        <w:t xml:space="preserve"> to</w:t>
      </w:r>
      <w:r w:rsidR="00E43F6D" w:rsidRPr="00954547">
        <w:rPr>
          <w:lang w:val="en-US"/>
        </w:rPr>
        <w:t xml:space="preserve"> the</w:t>
      </w:r>
      <w:r w:rsidR="00683EB1" w:rsidRPr="00954547">
        <w:rPr>
          <w:lang w:val="en-US"/>
        </w:rPr>
        <w:t xml:space="preserve"> </w:t>
      </w:r>
      <w:r w:rsidR="00B8393C" w:rsidRPr="00954547">
        <w:rPr>
          <w:lang w:val="en-US"/>
        </w:rPr>
        <w:t>a</w:t>
      </w:r>
      <w:r w:rsidR="00E43F6D" w:rsidRPr="00954547">
        <w:rPr>
          <w:lang w:val="en-US"/>
        </w:rPr>
        <w:t>llegation</w:t>
      </w:r>
      <w:r w:rsidR="00B8393C" w:rsidRPr="00954547">
        <w:rPr>
          <w:lang w:val="en-US"/>
        </w:rPr>
        <w:t>s</w:t>
      </w:r>
      <w:r w:rsidR="00683EB1" w:rsidRPr="00954547">
        <w:rPr>
          <w:lang w:val="en-US"/>
        </w:rPr>
        <w:t xml:space="preserve"> </w:t>
      </w:r>
      <w:r w:rsidR="00E43F6D" w:rsidRPr="00954547">
        <w:rPr>
          <w:lang w:val="en-US"/>
        </w:rPr>
        <w:t>concerning</w:t>
      </w:r>
      <w:r w:rsidR="00683EB1" w:rsidRPr="00954547">
        <w:rPr>
          <w:lang w:val="en-US"/>
        </w:rPr>
        <w:t xml:space="preserve"> tortur</w:t>
      </w:r>
      <w:r w:rsidR="00E43F6D" w:rsidRPr="00954547">
        <w:rPr>
          <w:lang w:val="en-US"/>
        </w:rPr>
        <w:t>e</w:t>
      </w:r>
      <w:r w:rsidR="00683EB1" w:rsidRPr="00954547">
        <w:rPr>
          <w:lang w:val="en-US"/>
        </w:rPr>
        <w:t xml:space="preserve">, </w:t>
      </w:r>
      <w:r w:rsidR="00B8393C" w:rsidRPr="00954547">
        <w:rPr>
          <w:lang w:val="en-US"/>
        </w:rPr>
        <w:t>the State</w:t>
      </w:r>
      <w:r w:rsidR="00683EB1" w:rsidRPr="00954547">
        <w:rPr>
          <w:lang w:val="en-US"/>
        </w:rPr>
        <w:t xml:space="preserve"> </w:t>
      </w:r>
      <w:r w:rsidR="00191ED5" w:rsidRPr="00954547">
        <w:rPr>
          <w:lang w:val="en-US"/>
        </w:rPr>
        <w:t>argu</w:t>
      </w:r>
      <w:r w:rsidR="00E43F6D" w:rsidRPr="00954547">
        <w:rPr>
          <w:lang w:val="en-US"/>
        </w:rPr>
        <w:t xml:space="preserve">ed that “the alleged </w:t>
      </w:r>
      <w:r w:rsidR="003D7F41" w:rsidRPr="00954547">
        <w:rPr>
          <w:lang w:val="en-US"/>
        </w:rPr>
        <w:t xml:space="preserve">use of </w:t>
      </w:r>
      <w:r w:rsidR="00E43F6D" w:rsidRPr="00954547">
        <w:rPr>
          <w:lang w:val="en-US"/>
        </w:rPr>
        <w:t xml:space="preserve">handcuffs, shackles and restraints </w:t>
      </w:r>
      <w:r w:rsidR="003D7F41" w:rsidRPr="00954547">
        <w:rPr>
          <w:lang w:val="en-US"/>
        </w:rPr>
        <w:t>while she was in</w:t>
      </w:r>
      <w:r w:rsidRPr="00954547">
        <w:rPr>
          <w:lang w:val="en-US"/>
        </w:rPr>
        <w:t xml:space="preserve"> the hospital bed is derived from a single statement made before notary public by Manuela’s father, who also affirmed that when he arrived to see his daughter the guards took off the handcuffs, which render</w:t>
      </w:r>
      <w:r w:rsidR="003D7F41" w:rsidRPr="00954547">
        <w:rPr>
          <w:lang w:val="en-US"/>
        </w:rPr>
        <w:t>s</w:t>
      </w:r>
      <w:r w:rsidRPr="00954547">
        <w:rPr>
          <w:lang w:val="en-US"/>
        </w:rPr>
        <w:t xml:space="preserve"> his statement contradictory</w:t>
      </w:r>
      <w:r w:rsidR="003D7F41" w:rsidRPr="00954547">
        <w:rPr>
          <w:lang w:val="en-US"/>
        </w:rPr>
        <w:t>; moreover,</w:t>
      </w:r>
      <w:r w:rsidRPr="00954547">
        <w:rPr>
          <w:lang w:val="en-US"/>
        </w:rPr>
        <w:t xml:space="preserve"> no other evidence exists to substantiate his statement incriminating the State.” Regarding the use of handcuffs when Manuela received chemotherapy while she was deprived of liberty, El Salvador indicated that the representatives</w:t>
      </w:r>
      <w:r w:rsidR="003D7F41" w:rsidRPr="00954547">
        <w:rPr>
          <w:lang w:val="en-US"/>
        </w:rPr>
        <w:t>’ arguments</w:t>
      </w:r>
      <w:r w:rsidRPr="00954547">
        <w:rPr>
          <w:lang w:val="en-US"/>
        </w:rPr>
        <w:t xml:space="preserve"> </w:t>
      </w:r>
      <w:r w:rsidR="003D7F41" w:rsidRPr="00954547">
        <w:rPr>
          <w:lang w:val="en-US"/>
        </w:rPr>
        <w:t>we</w:t>
      </w:r>
      <w:r w:rsidRPr="00954547">
        <w:rPr>
          <w:lang w:val="en-US"/>
        </w:rPr>
        <w:t xml:space="preserve">re speculative and based on testimony </w:t>
      </w:r>
      <w:r w:rsidR="003634C1" w:rsidRPr="00954547">
        <w:rPr>
          <w:lang w:val="en-US"/>
        </w:rPr>
        <w:t>that c</w:t>
      </w:r>
      <w:r w:rsidR="003D7F41" w:rsidRPr="00954547">
        <w:rPr>
          <w:lang w:val="en-US"/>
        </w:rPr>
        <w:t>ould not</w:t>
      </w:r>
      <w:r w:rsidR="003634C1" w:rsidRPr="00954547">
        <w:rPr>
          <w:lang w:val="en-US"/>
        </w:rPr>
        <w:t xml:space="preserve"> be </w:t>
      </w:r>
      <w:r w:rsidR="003D7F41" w:rsidRPr="00954547">
        <w:rPr>
          <w:lang w:val="en-US"/>
        </w:rPr>
        <w:t>considered</w:t>
      </w:r>
      <w:r w:rsidR="003634C1" w:rsidRPr="00954547">
        <w:rPr>
          <w:lang w:val="en-US"/>
        </w:rPr>
        <w:t xml:space="preserve"> “reliable to determine any State responsibility.</w:t>
      </w:r>
      <w:r w:rsidR="00683EB1" w:rsidRPr="00954547">
        <w:rPr>
          <w:lang w:val="en-US"/>
        </w:rPr>
        <w:t xml:space="preserve">”  </w:t>
      </w:r>
    </w:p>
    <w:p w14:paraId="15B4690F" w14:textId="1738F326" w:rsidR="00683EB1" w:rsidRPr="00954547" w:rsidRDefault="00B8393C" w:rsidP="000365EC">
      <w:pPr>
        <w:pStyle w:val="Heading2"/>
        <w:numPr>
          <w:ilvl w:val="0"/>
          <w:numId w:val="9"/>
        </w:numPr>
        <w:tabs>
          <w:tab w:val="clear" w:pos="1134"/>
          <w:tab w:val="left" w:pos="567"/>
        </w:tabs>
        <w:autoSpaceDE w:val="0"/>
        <w:autoSpaceDN w:val="0"/>
        <w:adjustRightInd w:val="0"/>
        <w:ind w:left="1134" w:hanging="567"/>
        <w:jc w:val="both"/>
        <w:rPr>
          <w:lang w:val="en-US"/>
        </w:rPr>
      </w:pPr>
      <w:bookmarkStart w:id="82" w:name="_Toc106353919"/>
      <w:r w:rsidRPr="00954547">
        <w:rPr>
          <w:lang w:val="en-US"/>
        </w:rPr>
        <w:t>Considerations</w:t>
      </w:r>
      <w:r w:rsidR="00607E12" w:rsidRPr="00954547">
        <w:rPr>
          <w:lang w:val="en-US"/>
        </w:rPr>
        <w:t xml:space="preserve"> of the </w:t>
      </w:r>
      <w:r w:rsidR="00E76B1A" w:rsidRPr="00954547">
        <w:rPr>
          <w:lang w:val="en-US"/>
        </w:rPr>
        <w:t>Court</w:t>
      </w:r>
      <w:bookmarkEnd w:id="82"/>
    </w:p>
    <w:p w14:paraId="4C4DF743" w14:textId="42C48A9B" w:rsidR="008E71C6" w:rsidRPr="00954547" w:rsidRDefault="00E76B1A" w:rsidP="00386B24">
      <w:pPr>
        <w:pStyle w:val="Numberedparagraphs"/>
        <w:tabs>
          <w:tab w:val="left" w:pos="567"/>
        </w:tabs>
        <w:rPr>
          <w:lang w:val="en-US"/>
        </w:rPr>
      </w:pPr>
      <w:bookmarkStart w:id="83" w:name="_Ref86675714"/>
      <w:r w:rsidRPr="00954547">
        <w:rPr>
          <w:lang w:val="en-US"/>
        </w:rPr>
        <w:t>The Court</w:t>
      </w:r>
      <w:r w:rsidR="008E71C6" w:rsidRPr="00954547">
        <w:rPr>
          <w:lang w:val="en-US"/>
        </w:rPr>
        <w:t xml:space="preserve"> ha</w:t>
      </w:r>
      <w:r w:rsidR="003634C1" w:rsidRPr="00954547">
        <w:rPr>
          <w:lang w:val="en-US"/>
        </w:rPr>
        <w:t xml:space="preserve">s asserted repeatedly that </w:t>
      </w:r>
      <w:r w:rsidR="00BC7072" w:rsidRPr="00954547">
        <w:rPr>
          <w:lang w:val="en-US"/>
        </w:rPr>
        <w:t xml:space="preserve">the </w:t>
      </w:r>
      <w:r w:rsidR="003634C1" w:rsidRPr="00954547">
        <w:rPr>
          <w:lang w:val="en-US"/>
        </w:rPr>
        <w:t>right to life</w:t>
      </w:r>
      <w:r w:rsidR="008E71C6" w:rsidRPr="00954547">
        <w:rPr>
          <w:lang w:val="en-US"/>
        </w:rPr>
        <w:t xml:space="preserve"> </w:t>
      </w:r>
      <w:r w:rsidR="003634C1" w:rsidRPr="00954547">
        <w:rPr>
          <w:lang w:val="en-US"/>
        </w:rPr>
        <w:t>i</w:t>
      </w:r>
      <w:r w:rsidR="008E71C6" w:rsidRPr="00954547">
        <w:rPr>
          <w:lang w:val="en-US"/>
        </w:rPr>
        <w:t xml:space="preserve">s fundamental </w:t>
      </w:r>
      <w:r w:rsidR="003634C1" w:rsidRPr="00954547">
        <w:rPr>
          <w:lang w:val="en-US"/>
        </w:rPr>
        <w:t>i</w:t>
      </w:r>
      <w:r w:rsidR="008E71C6" w:rsidRPr="00954547">
        <w:rPr>
          <w:lang w:val="en-US"/>
        </w:rPr>
        <w:t xml:space="preserve">n </w:t>
      </w:r>
      <w:r w:rsidR="005E0FD1" w:rsidRPr="00954547">
        <w:rPr>
          <w:lang w:val="en-US"/>
        </w:rPr>
        <w:t>the American Convention</w:t>
      </w:r>
      <w:r w:rsidR="008E71C6" w:rsidRPr="00954547">
        <w:rPr>
          <w:lang w:val="en-US"/>
        </w:rPr>
        <w:t xml:space="preserve"> </w:t>
      </w:r>
      <w:r w:rsidR="003634C1" w:rsidRPr="00954547">
        <w:rPr>
          <w:lang w:val="en-US"/>
        </w:rPr>
        <w:t xml:space="preserve">because the realization of </w:t>
      </w:r>
      <w:r w:rsidR="00844213" w:rsidRPr="00954547">
        <w:rPr>
          <w:lang w:val="en-US"/>
        </w:rPr>
        <w:t xml:space="preserve">all </w:t>
      </w:r>
      <w:r w:rsidR="003634C1" w:rsidRPr="00954547">
        <w:rPr>
          <w:lang w:val="en-US"/>
        </w:rPr>
        <w:t>the other rights depends on its safeguard.</w:t>
      </w:r>
      <w:r w:rsidR="008E71C6" w:rsidRPr="00954547">
        <w:rPr>
          <w:rStyle w:val="FootnoteAnchor"/>
          <w:lang w:val="en-US"/>
        </w:rPr>
        <w:footnoteReference w:id="291"/>
      </w:r>
      <w:r w:rsidR="003634C1" w:rsidRPr="00954547">
        <w:rPr>
          <w:lang w:val="en-US"/>
        </w:rPr>
        <w:t xml:space="preserve"> Consequently, States have the obligation to ensure the creation of the conditions required for its full exercise and enjoyment.</w:t>
      </w:r>
      <w:r w:rsidR="008E71C6" w:rsidRPr="00954547">
        <w:rPr>
          <w:rStyle w:val="FootnoteAnchor"/>
          <w:lang w:val="en-US"/>
        </w:rPr>
        <w:footnoteReference w:id="292"/>
      </w:r>
      <w:bookmarkEnd w:id="83"/>
      <w:r w:rsidR="008E71C6" w:rsidRPr="00954547">
        <w:rPr>
          <w:lang w:val="en-US" w:eastAsia="es-CR"/>
        </w:rPr>
        <w:t xml:space="preserve"> </w:t>
      </w:r>
    </w:p>
    <w:p w14:paraId="4D095385" w14:textId="1AA52C3C" w:rsidR="008E71C6" w:rsidRPr="00954547" w:rsidRDefault="003634C1" w:rsidP="00386B24">
      <w:pPr>
        <w:pStyle w:val="Numberedparagraphs"/>
        <w:tabs>
          <w:tab w:val="left" w:pos="567"/>
        </w:tabs>
        <w:rPr>
          <w:lang w:val="en-US"/>
        </w:rPr>
      </w:pPr>
      <w:r w:rsidRPr="00954547">
        <w:rPr>
          <w:lang w:val="en-US"/>
        </w:rPr>
        <w:t>In addition</w:t>
      </w:r>
      <w:r w:rsidR="008E71C6" w:rsidRPr="00954547">
        <w:rPr>
          <w:lang w:val="en-US"/>
        </w:rPr>
        <w:t xml:space="preserve">, </w:t>
      </w:r>
      <w:r w:rsidR="00BC7072" w:rsidRPr="00954547">
        <w:rPr>
          <w:lang w:val="en-US"/>
        </w:rPr>
        <w:t>the right to</w:t>
      </w:r>
      <w:r w:rsidR="008E71C6" w:rsidRPr="00954547">
        <w:rPr>
          <w:lang w:val="en-US"/>
        </w:rPr>
        <w:t xml:space="preserve"> </w:t>
      </w:r>
      <w:r w:rsidR="00144817" w:rsidRPr="00954547">
        <w:rPr>
          <w:lang w:val="en-US"/>
        </w:rPr>
        <w:t>personal integrity</w:t>
      </w:r>
      <w:r w:rsidR="008E71C6" w:rsidRPr="00954547">
        <w:rPr>
          <w:lang w:val="en-US"/>
        </w:rPr>
        <w:t xml:space="preserve"> </w:t>
      </w:r>
      <w:r w:rsidRPr="00954547">
        <w:rPr>
          <w:lang w:val="en-US"/>
        </w:rPr>
        <w:t xml:space="preserve">is of such importance that </w:t>
      </w:r>
      <w:r w:rsidR="005E0FD1" w:rsidRPr="00954547">
        <w:rPr>
          <w:lang w:val="en-US"/>
        </w:rPr>
        <w:t>the American Convention</w:t>
      </w:r>
      <w:r w:rsidR="008E71C6" w:rsidRPr="00954547">
        <w:rPr>
          <w:lang w:val="en-US"/>
        </w:rPr>
        <w:t xml:space="preserve"> </w:t>
      </w:r>
      <w:r w:rsidRPr="00954547">
        <w:rPr>
          <w:lang w:val="en-US"/>
        </w:rPr>
        <w:t xml:space="preserve">protects it specifically by establishing, </w:t>
      </w:r>
      <w:r w:rsidR="008E71C6" w:rsidRPr="00954547">
        <w:rPr>
          <w:i/>
          <w:lang w:val="en-US"/>
        </w:rPr>
        <w:t>inter alia</w:t>
      </w:r>
      <w:r w:rsidR="008E71C6" w:rsidRPr="00954547">
        <w:rPr>
          <w:lang w:val="en-US"/>
        </w:rPr>
        <w:t xml:space="preserve">, </w:t>
      </w:r>
      <w:r w:rsidRPr="00954547">
        <w:rPr>
          <w:lang w:val="en-US"/>
        </w:rPr>
        <w:t>the prohibition of torture</w:t>
      </w:r>
      <w:r w:rsidR="00844213" w:rsidRPr="00954547">
        <w:rPr>
          <w:lang w:val="en-US"/>
        </w:rPr>
        <w:t xml:space="preserve"> or </w:t>
      </w:r>
      <w:r w:rsidR="00AA0E9D" w:rsidRPr="00954547">
        <w:rPr>
          <w:lang w:val="en-US"/>
        </w:rPr>
        <w:t>c</w:t>
      </w:r>
      <w:r w:rsidRPr="00954547">
        <w:rPr>
          <w:lang w:val="en-US"/>
        </w:rPr>
        <w:t>ruel, inhuman or degrading treatment, and the impossibility of suspending this right under any circumstance.</w:t>
      </w:r>
      <w:r w:rsidR="008E71C6" w:rsidRPr="00954547">
        <w:rPr>
          <w:rStyle w:val="FootnoteAnchor"/>
          <w:lang w:val="en-US"/>
        </w:rPr>
        <w:footnoteReference w:id="293"/>
      </w:r>
      <w:r w:rsidR="008E71C6" w:rsidRPr="00954547">
        <w:rPr>
          <w:lang w:val="en-US"/>
        </w:rPr>
        <w:t xml:space="preserve"> </w:t>
      </w:r>
      <w:r w:rsidR="00B562B1" w:rsidRPr="00954547">
        <w:rPr>
          <w:lang w:val="en-US"/>
        </w:rPr>
        <w:t>Moreover,</w:t>
      </w:r>
      <w:r w:rsidR="00F45609" w:rsidRPr="00954547">
        <w:rPr>
          <w:lang w:val="en-US"/>
        </w:rPr>
        <w:t xml:space="preserve"> </w:t>
      </w:r>
      <w:r w:rsidR="00A17F8C" w:rsidRPr="00954547">
        <w:rPr>
          <w:lang w:val="en-US"/>
        </w:rPr>
        <w:t>Article</w:t>
      </w:r>
      <w:r w:rsidR="00F45609" w:rsidRPr="00954547">
        <w:rPr>
          <w:lang w:val="en-US"/>
        </w:rPr>
        <w:t xml:space="preserve"> 5 </w:t>
      </w:r>
      <w:r w:rsidR="00B562B1" w:rsidRPr="00954547">
        <w:rPr>
          <w:lang w:val="en-US"/>
        </w:rPr>
        <w:t xml:space="preserve">also provides specific protection to anyone deprived of liberty by establishing, </w:t>
      </w:r>
      <w:r w:rsidR="00B562B1" w:rsidRPr="00954547">
        <w:rPr>
          <w:i/>
          <w:iCs/>
          <w:lang w:val="en-US"/>
        </w:rPr>
        <w:t>inter alia,</w:t>
      </w:r>
      <w:r w:rsidR="00B562B1" w:rsidRPr="00954547">
        <w:rPr>
          <w:lang w:val="en-US"/>
        </w:rPr>
        <w:t xml:space="preserve"> that </w:t>
      </w:r>
      <w:r w:rsidR="00F45609" w:rsidRPr="00954547">
        <w:rPr>
          <w:lang w:val="en-US"/>
        </w:rPr>
        <w:t>“[</w:t>
      </w:r>
      <w:r w:rsidR="00B562B1" w:rsidRPr="00954547">
        <w:rPr>
          <w:lang w:val="en-US"/>
        </w:rPr>
        <w:t>a</w:t>
      </w:r>
      <w:r w:rsidR="00F45609" w:rsidRPr="00954547">
        <w:rPr>
          <w:lang w:val="en-US"/>
        </w:rPr>
        <w:t>]</w:t>
      </w:r>
      <w:r w:rsidR="00B562B1" w:rsidRPr="00954547">
        <w:rPr>
          <w:spacing w:val="-3"/>
          <w:lang w:val="en-US"/>
        </w:rPr>
        <w:t>ll persons deprived of their liberty shall be treated with respect for the inherent dignity of the human person</w:t>
      </w:r>
      <w:r w:rsidR="00B562B1" w:rsidRPr="00954547">
        <w:rPr>
          <w:lang w:val="en-US"/>
        </w:rPr>
        <w:t>.</w:t>
      </w:r>
      <w:r w:rsidR="00F45609" w:rsidRPr="00954547">
        <w:rPr>
          <w:lang w:val="en-US"/>
        </w:rPr>
        <w:t>”</w:t>
      </w:r>
    </w:p>
    <w:p w14:paraId="65071392" w14:textId="6351CFF2" w:rsidR="00683EB1" w:rsidRPr="00954547" w:rsidRDefault="003E1CDB" w:rsidP="00386B24">
      <w:pPr>
        <w:pStyle w:val="Numberedparagraphs"/>
        <w:tabs>
          <w:tab w:val="left" w:pos="567"/>
        </w:tabs>
        <w:rPr>
          <w:lang w:val="en-US"/>
        </w:rPr>
      </w:pPr>
      <w:r w:rsidRPr="00954547">
        <w:rPr>
          <w:lang w:val="en-US"/>
        </w:rPr>
        <w:t>In addition,</w:t>
      </w:r>
      <w:r w:rsidR="008E71C6" w:rsidRPr="00954547">
        <w:rPr>
          <w:lang w:val="en-US"/>
        </w:rPr>
        <w:t xml:space="preserve"> </w:t>
      </w:r>
      <w:r w:rsidR="00E76B1A" w:rsidRPr="00954547">
        <w:rPr>
          <w:lang w:val="en-US"/>
        </w:rPr>
        <w:t>the Court</w:t>
      </w:r>
      <w:r w:rsidR="00683EB1" w:rsidRPr="00954547">
        <w:rPr>
          <w:lang w:val="en-US"/>
        </w:rPr>
        <w:t xml:space="preserve"> </w:t>
      </w:r>
      <w:r w:rsidRPr="00954547">
        <w:rPr>
          <w:lang w:val="en-US"/>
        </w:rPr>
        <w:t>recalls that, taking into account that</w:t>
      </w:r>
      <w:r w:rsidR="00B562B1" w:rsidRPr="00954547">
        <w:rPr>
          <w:lang w:val="en-US"/>
        </w:rPr>
        <w:t xml:space="preserve"> the inclusion</w:t>
      </w:r>
      <w:r w:rsidR="00844213" w:rsidRPr="00954547">
        <w:rPr>
          <w:lang w:val="en-US"/>
        </w:rPr>
        <w:t xml:space="preserve"> of the right to health</w:t>
      </w:r>
      <w:r w:rsidR="00B562B1" w:rsidRPr="00954547">
        <w:rPr>
          <w:lang w:val="en-US"/>
        </w:rPr>
        <w:t xml:space="preserve"> in the Charter of the Organization of American States (hereinafter “the OAS Charter”) is derived</w:t>
      </w:r>
      <w:r w:rsidRPr="00954547">
        <w:rPr>
          <w:lang w:val="en-US"/>
        </w:rPr>
        <w:t xml:space="preserve"> </w:t>
      </w:r>
      <w:r w:rsidR="00B562B1" w:rsidRPr="00954547">
        <w:rPr>
          <w:lang w:val="en-US"/>
        </w:rPr>
        <w:t>from</w:t>
      </w:r>
      <w:r w:rsidR="00844213" w:rsidRPr="00954547">
        <w:rPr>
          <w:lang w:val="en-US"/>
        </w:rPr>
        <w:t xml:space="preserve"> its</w:t>
      </w:r>
      <w:r w:rsidR="00B562B1" w:rsidRPr="00954547">
        <w:rPr>
          <w:lang w:val="en-US"/>
        </w:rPr>
        <w:t xml:space="preserve"> </w:t>
      </w:r>
      <w:r w:rsidR="00A17F8C" w:rsidRPr="00954547">
        <w:rPr>
          <w:lang w:val="en-US"/>
        </w:rPr>
        <w:t>Articles</w:t>
      </w:r>
      <w:r w:rsidR="00683EB1" w:rsidRPr="00954547">
        <w:rPr>
          <w:lang w:val="en-US"/>
        </w:rPr>
        <w:t xml:space="preserve"> 34</w:t>
      </w:r>
      <w:r w:rsidRPr="00954547">
        <w:rPr>
          <w:lang w:val="en-US"/>
        </w:rPr>
        <w:t>(</w:t>
      </w:r>
      <w:r w:rsidR="00683EB1" w:rsidRPr="00954547">
        <w:rPr>
          <w:lang w:val="en-US"/>
        </w:rPr>
        <w:t>i</w:t>
      </w:r>
      <w:r w:rsidRPr="00954547">
        <w:rPr>
          <w:lang w:val="en-US"/>
        </w:rPr>
        <w:t>)</w:t>
      </w:r>
      <w:r w:rsidR="00683EB1" w:rsidRPr="00954547">
        <w:rPr>
          <w:lang w:val="en-US"/>
        </w:rPr>
        <w:t>, 34</w:t>
      </w:r>
      <w:r w:rsidRPr="00954547">
        <w:rPr>
          <w:lang w:val="en-US"/>
        </w:rPr>
        <w:t>(</w:t>
      </w:r>
      <w:r w:rsidR="00683EB1" w:rsidRPr="00954547">
        <w:rPr>
          <w:lang w:val="en-US"/>
        </w:rPr>
        <w:t>l</w:t>
      </w:r>
      <w:r w:rsidRPr="00954547">
        <w:rPr>
          <w:lang w:val="en-US"/>
        </w:rPr>
        <w:t>)</w:t>
      </w:r>
      <w:r w:rsidR="00683EB1" w:rsidRPr="00954547">
        <w:rPr>
          <w:rStyle w:val="FootnoteReference"/>
          <w:lang w:val="en-US"/>
        </w:rPr>
        <w:footnoteReference w:id="294"/>
      </w:r>
      <w:r w:rsidR="0078694F" w:rsidRPr="00954547">
        <w:rPr>
          <w:position w:val="7"/>
          <w:sz w:val="13"/>
          <w:lang w:val="en-US"/>
        </w:rPr>
        <w:t xml:space="preserve"> </w:t>
      </w:r>
      <w:r w:rsidRPr="00954547">
        <w:rPr>
          <w:lang w:val="en-US"/>
        </w:rPr>
        <w:t>and 4</w:t>
      </w:r>
      <w:r w:rsidR="00683EB1" w:rsidRPr="00954547">
        <w:rPr>
          <w:lang w:val="en-US"/>
        </w:rPr>
        <w:t>5</w:t>
      </w:r>
      <w:r w:rsidR="0067513A" w:rsidRPr="00954547">
        <w:rPr>
          <w:lang w:val="en-US"/>
        </w:rPr>
        <w:t>(</w:t>
      </w:r>
      <w:r w:rsidR="00683EB1" w:rsidRPr="00954547">
        <w:rPr>
          <w:lang w:val="en-US"/>
        </w:rPr>
        <w:t>h</w:t>
      </w:r>
      <w:r w:rsidR="0067513A" w:rsidRPr="00954547">
        <w:rPr>
          <w:lang w:val="en-US"/>
        </w:rPr>
        <w:t>)</w:t>
      </w:r>
      <w:r w:rsidR="00844213" w:rsidRPr="00954547">
        <w:rPr>
          <w:lang w:val="en-US"/>
        </w:rPr>
        <w:t>,</w:t>
      </w:r>
      <w:r w:rsidR="00683EB1" w:rsidRPr="00954547">
        <w:rPr>
          <w:rStyle w:val="FootnoteReference"/>
          <w:lang w:val="en-US"/>
        </w:rPr>
        <w:footnoteReference w:id="295"/>
      </w:r>
      <w:r w:rsidR="00B562B1" w:rsidRPr="00954547">
        <w:rPr>
          <w:lang w:val="en-US"/>
        </w:rPr>
        <w:t xml:space="preserve"> in different precedents, th</w:t>
      </w:r>
      <w:r w:rsidR="000943BF" w:rsidRPr="00954547">
        <w:rPr>
          <w:lang w:val="en-US"/>
        </w:rPr>
        <w:t>e</w:t>
      </w:r>
      <w:r w:rsidR="00B562B1" w:rsidRPr="00954547">
        <w:rPr>
          <w:lang w:val="en-US"/>
        </w:rPr>
        <w:t xml:space="preserve"> Court has recognized the right to</w:t>
      </w:r>
      <w:r w:rsidR="00683EB1" w:rsidRPr="00954547">
        <w:rPr>
          <w:lang w:val="en-US"/>
        </w:rPr>
        <w:t xml:space="preserve"> </w:t>
      </w:r>
      <w:r w:rsidR="00B562B1" w:rsidRPr="00954547">
        <w:rPr>
          <w:lang w:val="en-US"/>
        </w:rPr>
        <w:t>right to health</w:t>
      </w:r>
      <w:r w:rsidR="00683EB1" w:rsidRPr="00954547">
        <w:rPr>
          <w:lang w:val="en-US"/>
        </w:rPr>
        <w:t xml:space="preserve"> </w:t>
      </w:r>
      <w:r w:rsidR="00B562B1" w:rsidRPr="00954547">
        <w:rPr>
          <w:lang w:val="en-US"/>
        </w:rPr>
        <w:t>as a right protected by</w:t>
      </w:r>
      <w:r w:rsidR="00041C12" w:rsidRPr="00954547">
        <w:rPr>
          <w:lang w:val="en-US"/>
        </w:rPr>
        <w:t xml:space="preserve"> Article</w:t>
      </w:r>
      <w:r w:rsidR="00683EB1" w:rsidRPr="00954547">
        <w:rPr>
          <w:lang w:val="en-US"/>
        </w:rPr>
        <w:t xml:space="preserve"> 26 </w:t>
      </w:r>
      <w:r w:rsidR="005E0FD1" w:rsidRPr="00954547">
        <w:rPr>
          <w:lang w:val="en-US"/>
        </w:rPr>
        <w:t>of the Convention</w:t>
      </w:r>
      <w:r w:rsidR="008D4870" w:rsidRPr="00954547">
        <w:rPr>
          <w:lang w:val="en-US"/>
        </w:rPr>
        <w:t>.</w:t>
      </w:r>
      <w:r w:rsidR="00683EB1" w:rsidRPr="00954547">
        <w:rPr>
          <w:rStyle w:val="FootnoteReference"/>
          <w:lang w:val="en-US"/>
        </w:rPr>
        <w:footnoteReference w:id="296"/>
      </w:r>
      <w:r w:rsidR="008D4870" w:rsidRPr="00954547">
        <w:rPr>
          <w:lang w:val="en-US"/>
        </w:rPr>
        <w:t xml:space="preserve"> </w:t>
      </w:r>
      <w:r w:rsidR="000943BF" w:rsidRPr="00954547">
        <w:rPr>
          <w:lang w:val="en-US"/>
        </w:rPr>
        <w:t>Furthermore,</w:t>
      </w:r>
      <w:r w:rsidR="008D4870" w:rsidRPr="00954547">
        <w:rPr>
          <w:lang w:val="en-US"/>
        </w:rPr>
        <w:t xml:space="preserve"> broad regional consensus </w:t>
      </w:r>
      <w:r w:rsidR="000943BF" w:rsidRPr="00954547">
        <w:rPr>
          <w:lang w:val="en-US"/>
        </w:rPr>
        <w:t xml:space="preserve">exists </w:t>
      </w:r>
      <w:r w:rsidR="008D4870" w:rsidRPr="00954547">
        <w:rPr>
          <w:lang w:val="en-US"/>
        </w:rPr>
        <w:t>as regards the affirmation of this right because it is</w:t>
      </w:r>
      <w:r w:rsidR="00683EB1" w:rsidRPr="00954547">
        <w:rPr>
          <w:lang w:val="en-US"/>
        </w:rPr>
        <w:t xml:space="preserve"> </w:t>
      </w:r>
      <w:r w:rsidR="0067513A" w:rsidRPr="00954547">
        <w:rPr>
          <w:lang w:val="en-US"/>
        </w:rPr>
        <w:t xml:space="preserve">explicitly recognized in </w:t>
      </w:r>
      <w:r w:rsidR="000943BF" w:rsidRPr="00954547">
        <w:rPr>
          <w:lang w:val="en-US"/>
        </w:rPr>
        <w:t xml:space="preserve">the </w:t>
      </w:r>
      <w:r w:rsidR="0067513A" w:rsidRPr="00954547">
        <w:rPr>
          <w:lang w:val="en-US"/>
        </w:rPr>
        <w:t>different Constitutions and domestic laws of the States of the region.</w:t>
      </w:r>
      <w:r w:rsidR="00C10ED7" w:rsidRPr="00954547">
        <w:rPr>
          <w:rStyle w:val="FootnoteReference"/>
          <w:lang w:val="en-US"/>
        </w:rPr>
        <w:footnoteReference w:id="297"/>
      </w:r>
      <w:r w:rsidR="0067513A" w:rsidRPr="00954547">
        <w:rPr>
          <w:lang w:val="en-US"/>
        </w:rPr>
        <w:t xml:space="preserve"> </w:t>
      </w:r>
      <w:r w:rsidR="000943BF" w:rsidRPr="00954547">
        <w:rPr>
          <w:lang w:val="en-US"/>
        </w:rPr>
        <w:t>Also</w:t>
      </w:r>
      <w:r w:rsidR="0067513A" w:rsidRPr="00954547">
        <w:rPr>
          <w:lang w:val="en-US"/>
        </w:rPr>
        <w:t xml:space="preserve">, the Court underscores that the right to health is recognized in the Constitution of </w:t>
      </w:r>
      <w:r w:rsidR="00015F7C" w:rsidRPr="00954547">
        <w:rPr>
          <w:lang w:val="en-US"/>
        </w:rPr>
        <w:t>El Salvador</w:t>
      </w:r>
      <w:r w:rsidR="0067513A" w:rsidRPr="00954547">
        <w:rPr>
          <w:lang w:val="en-US"/>
        </w:rPr>
        <w:t>.</w:t>
      </w:r>
      <w:r w:rsidR="00683EB1" w:rsidRPr="00954547">
        <w:rPr>
          <w:rStyle w:val="FootnoteReference"/>
          <w:lang w:val="en-US"/>
        </w:rPr>
        <w:footnoteReference w:id="298"/>
      </w:r>
    </w:p>
    <w:p w14:paraId="1167486F" w14:textId="51E1E720" w:rsidR="00FC618B" w:rsidRPr="00954547" w:rsidRDefault="00E76B1A" w:rsidP="00386B24">
      <w:pPr>
        <w:pStyle w:val="Numberedparagraphs"/>
        <w:tabs>
          <w:tab w:val="left" w:pos="567"/>
        </w:tabs>
        <w:rPr>
          <w:lang w:val="en-US"/>
        </w:rPr>
      </w:pPr>
      <w:r w:rsidRPr="00954547">
        <w:rPr>
          <w:lang w:val="en-US"/>
        </w:rPr>
        <w:t>The Court</w:t>
      </w:r>
      <w:r w:rsidR="00FC618B" w:rsidRPr="00954547">
        <w:rPr>
          <w:lang w:val="en-US"/>
        </w:rPr>
        <w:t xml:space="preserve"> </w:t>
      </w:r>
      <w:r w:rsidR="004308E9" w:rsidRPr="00954547">
        <w:rPr>
          <w:lang w:val="en-US"/>
        </w:rPr>
        <w:t xml:space="preserve">has also indicated that </w:t>
      </w:r>
      <w:r w:rsidR="00FC618B" w:rsidRPr="00954547">
        <w:rPr>
          <w:lang w:val="en-US"/>
        </w:rPr>
        <w:t xml:space="preserve">que </w:t>
      </w:r>
      <w:r w:rsidR="00BC7072" w:rsidRPr="00954547">
        <w:rPr>
          <w:lang w:val="en-US"/>
        </w:rPr>
        <w:t xml:space="preserve">the </w:t>
      </w:r>
      <w:r w:rsidR="00020CEE" w:rsidRPr="00954547">
        <w:rPr>
          <w:lang w:val="en-US"/>
        </w:rPr>
        <w:t>rights to life</w:t>
      </w:r>
      <w:r w:rsidR="0078694F" w:rsidRPr="00954547">
        <w:rPr>
          <w:lang w:val="en-US"/>
        </w:rPr>
        <w:t xml:space="preserve"> and </w:t>
      </w:r>
      <w:r w:rsidR="00020CEE" w:rsidRPr="00954547">
        <w:rPr>
          <w:lang w:val="en-US"/>
        </w:rPr>
        <w:t>to integrity are directly and immediately linked to care for human health,</w:t>
      </w:r>
      <w:r w:rsidR="00FC618B" w:rsidRPr="00954547">
        <w:rPr>
          <w:rStyle w:val="FootnoteReference"/>
          <w:lang w:val="en-US"/>
        </w:rPr>
        <w:footnoteReference w:id="299"/>
      </w:r>
      <w:r w:rsidR="0078694F" w:rsidRPr="00954547">
        <w:rPr>
          <w:lang w:val="en-US"/>
        </w:rPr>
        <w:t xml:space="preserve"> and </w:t>
      </w:r>
      <w:r w:rsidR="00020CEE" w:rsidRPr="00954547">
        <w:rPr>
          <w:lang w:val="en-US"/>
        </w:rPr>
        <w:t>that the lack of adequate medical care may result in the violation of</w:t>
      </w:r>
      <w:r w:rsidR="00BD76E0" w:rsidRPr="00954547">
        <w:rPr>
          <w:lang w:val="en-US"/>
        </w:rPr>
        <w:t xml:space="preserve"> </w:t>
      </w:r>
      <w:r w:rsidR="00A17F8C" w:rsidRPr="00954547">
        <w:rPr>
          <w:lang w:val="en-US"/>
        </w:rPr>
        <w:t>Articles</w:t>
      </w:r>
      <w:r w:rsidR="00FC618B" w:rsidRPr="00954547">
        <w:rPr>
          <w:lang w:val="en-US"/>
        </w:rPr>
        <w:t xml:space="preserve"> </w:t>
      </w:r>
      <w:r w:rsidR="007C78A8" w:rsidRPr="00954547">
        <w:rPr>
          <w:lang w:val="en-US"/>
        </w:rPr>
        <w:t>5(1)</w:t>
      </w:r>
      <w:r w:rsidR="00FC618B" w:rsidRPr="00954547">
        <w:rPr>
          <w:rStyle w:val="FootnoteReference"/>
          <w:rFonts w:cs="Verdana"/>
          <w:lang w:val="en-US"/>
        </w:rPr>
        <w:footnoteReference w:id="300"/>
      </w:r>
      <w:r w:rsidR="0078694F" w:rsidRPr="00954547">
        <w:rPr>
          <w:lang w:val="en-US"/>
        </w:rPr>
        <w:t xml:space="preserve"> and </w:t>
      </w:r>
      <w:r w:rsidR="00FC618B" w:rsidRPr="00954547">
        <w:rPr>
          <w:lang w:val="en-US"/>
        </w:rPr>
        <w:t>4</w:t>
      </w:r>
      <w:r w:rsidR="00BD76E0" w:rsidRPr="00954547">
        <w:rPr>
          <w:lang w:val="en-US"/>
        </w:rPr>
        <w:t xml:space="preserve"> </w:t>
      </w:r>
      <w:r w:rsidR="005E0FD1" w:rsidRPr="00954547">
        <w:rPr>
          <w:lang w:val="en-US"/>
        </w:rPr>
        <w:t>of the Convention</w:t>
      </w:r>
      <w:r w:rsidR="00020CEE" w:rsidRPr="00954547">
        <w:rPr>
          <w:lang w:val="en-US"/>
        </w:rPr>
        <w:t>.</w:t>
      </w:r>
      <w:r w:rsidR="00FC618B" w:rsidRPr="00954547">
        <w:rPr>
          <w:rStyle w:val="FootnoteReference"/>
          <w:lang w:val="en-US"/>
        </w:rPr>
        <w:footnoteReference w:id="301"/>
      </w:r>
    </w:p>
    <w:p w14:paraId="5B86AB78" w14:textId="32605AE6" w:rsidR="00683EB1" w:rsidRPr="00954547" w:rsidRDefault="00C50185" w:rsidP="00C50185">
      <w:pPr>
        <w:pStyle w:val="Numberedparagraphs"/>
        <w:tabs>
          <w:tab w:val="left" w:pos="567"/>
        </w:tabs>
        <w:rPr>
          <w:lang w:val="en-US"/>
        </w:rPr>
      </w:pPr>
      <w:r w:rsidRPr="00954547">
        <w:rPr>
          <w:rFonts w:eastAsia="Calibri"/>
          <w:lang w:val="en-US"/>
        </w:rPr>
        <w:t>H</w:t>
      </w:r>
      <w:r w:rsidRPr="00954547">
        <w:rPr>
          <w:lang w:val="en-US"/>
        </w:rPr>
        <w:t>ealth is a fundamental human right, essential for the satisfactory exercise of the other human rights and everyone has the right to enjoy the highest attainable standard of health that allows them to live with dignity, understanding health not only as the absence of disease or infirmity, but also as a state of complete physical, mental and social well-being derived from a lifestyle that allows the individual to achieve total balance.</w:t>
      </w:r>
      <w:r w:rsidR="00683EB1" w:rsidRPr="00954547">
        <w:rPr>
          <w:rStyle w:val="FootnoteReference"/>
          <w:lang w:val="en-US"/>
        </w:rPr>
        <w:footnoteReference w:id="302"/>
      </w:r>
      <w:r w:rsidRPr="00954547">
        <w:rPr>
          <w:lang w:val="en-US"/>
        </w:rPr>
        <w:t xml:space="preserve"> Thus, the right to health refers to the right of everyone to enjoy the highest level of physical, mental and social well-being.</w:t>
      </w:r>
      <w:r w:rsidR="00683EB1" w:rsidRPr="00954547">
        <w:rPr>
          <w:rStyle w:val="FootnoteReference"/>
          <w:lang w:val="en-US"/>
        </w:rPr>
        <w:footnoteReference w:id="303"/>
      </w:r>
    </w:p>
    <w:p w14:paraId="586CF5DB" w14:textId="7CD9BDB5" w:rsidR="00683EB1" w:rsidRPr="00954547" w:rsidRDefault="00C50185" w:rsidP="001B6251">
      <w:pPr>
        <w:pStyle w:val="Numberedparagraphs"/>
        <w:tabs>
          <w:tab w:val="left" w:pos="567"/>
        </w:tabs>
        <w:rPr>
          <w:lang w:val="en-US"/>
        </w:rPr>
      </w:pPr>
      <w:r w:rsidRPr="00954547">
        <w:rPr>
          <w:lang w:val="en-US"/>
        </w:rPr>
        <w:t>The general obligation to protect health translates into the state obligation to ensure access to essential health services, ensuring effective and quality medical services, and to promote the improvement of the population’s health</w:t>
      </w:r>
      <w:r w:rsidR="001B6251" w:rsidRPr="00954547">
        <w:rPr>
          <w:lang w:val="en-US"/>
        </w:rPr>
        <w:t>.</w:t>
      </w:r>
      <w:r w:rsidR="00683EB1" w:rsidRPr="00954547">
        <w:rPr>
          <w:rStyle w:val="FootnoteReference"/>
          <w:lang w:val="en-US"/>
        </w:rPr>
        <w:footnoteReference w:id="304"/>
      </w:r>
      <w:r w:rsidR="001B6251" w:rsidRPr="00954547">
        <w:rPr>
          <w:lang w:val="en-US"/>
        </w:rPr>
        <w:t xml:space="preserve"> This right encompasses timely and appropriate health care in keeping with the principles of availability, accessibility, acceptability and quality, the application of which will depend on the prevailing circumstances in each State. Compliance with the State obligation to respect and to ensure this right must pay special attention to vulnerable and marginalized groups, and must be realized progressively in line with available resources and the applicable domestic laws.</w:t>
      </w:r>
      <w:r w:rsidR="00683EB1" w:rsidRPr="00954547">
        <w:rPr>
          <w:rStyle w:val="FootnoteReference"/>
          <w:lang w:val="en-US"/>
        </w:rPr>
        <w:footnoteReference w:id="305"/>
      </w:r>
    </w:p>
    <w:p w14:paraId="6720B589" w14:textId="721AFCA4" w:rsidR="00683EB1" w:rsidRPr="00954547" w:rsidRDefault="00A65D93" w:rsidP="00A65D93">
      <w:pPr>
        <w:pStyle w:val="Numberedparagraphs"/>
        <w:tabs>
          <w:tab w:val="left" w:pos="567"/>
        </w:tabs>
        <w:rPr>
          <w:lang w:val="en-US"/>
        </w:rPr>
      </w:pPr>
      <w:r w:rsidRPr="00954547">
        <w:rPr>
          <w:snapToGrid w:val="0"/>
          <w:lang w:val="en-US"/>
        </w:rPr>
        <w:t>As it has reiterated in its recent case law, the Court considers that the nature and scope of the obligations derived from the protection of</w:t>
      </w:r>
      <w:r w:rsidRPr="00954547">
        <w:rPr>
          <w:lang w:val="en-US"/>
        </w:rPr>
        <w:t xml:space="preserve"> the right to health include aspects that may be required immediately and those that are of a progressive nature.</w:t>
      </w:r>
      <w:r w:rsidR="00683EB1" w:rsidRPr="00954547">
        <w:rPr>
          <w:rStyle w:val="FootnoteReference"/>
          <w:lang w:val="en-US"/>
        </w:rPr>
        <w:footnoteReference w:id="306"/>
      </w:r>
      <w:r w:rsidRPr="00954547">
        <w:rPr>
          <w:lang w:val="en-US"/>
        </w:rPr>
        <w:t xml:space="preserve"> In this regard, the Court recalls that, regarding the former (obligations that may be required immediately), States must adopt effective measures to ensure access without discrimination to the services recognized by the right to health, ensure equality of rights between men and women and, in general, advance towards the full effectiveness of the economic, social, cultural and environmental rights (ESCER)</w:t>
      </w:r>
      <w:r w:rsidR="00683EB1" w:rsidRPr="00954547">
        <w:rPr>
          <w:lang w:val="en-US"/>
        </w:rPr>
        <w:t xml:space="preserve">. </w:t>
      </w:r>
      <w:r w:rsidRPr="00954547">
        <w:rPr>
          <w:lang w:val="en-US"/>
        </w:rPr>
        <w:t>Regarding the latter (obligations of a progressive nature), progressive realization means that States Parties have the concrete and constant obligation to advance as expeditiously and efficiently as possible towards the full effectiveness of the said right, to the extent of their available resources, by legislation or other appropriate means. In addition, there is an obligation of non-retrogressivity in relation to the rights realized. In light of the above, the treaty-based obligations to respect and to ensure rights, as well as to adopt domestic legal provisions (Articles 1(1) and 2), are essential to achieve their effectiveness.</w:t>
      </w:r>
      <w:r w:rsidR="00683EB1" w:rsidRPr="00954547">
        <w:rPr>
          <w:rStyle w:val="FootnoteReference"/>
          <w:lang w:val="en-US"/>
        </w:rPr>
        <w:footnoteReference w:id="307"/>
      </w:r>
    </w:p>
    <w:p w14:paraId="6CE146F2" w14:textId="379ABDAC" w:rsidR="00683EB1" w:rsidRPr="00954547" w:rsidRDefault="00A65D93" w:rsidP="001601B7">
      <w:pPr>
        <w:pStyle w:val="Numberedparagraphs"/>
        <w:tabs>
          <w:tab w:val="left" w:pos="567"/>
        </w:tabs>
        <w:rPr>
          <w:color w:val="auto"/>
          <w:lang w:val="en-US"/>
        </w:rPr>
      </w:pPr>
      <w:r w:rsidRPr="00954547">
        <w:rPr>
          <w:lang w:val="en-US"/>
        </w:rPr>
        <w:t xml:space="preserve">In the instant case the Court must examine the State’s conduct regarding compliance with its obligation to ensure respect for </w:t>
      </w:r>
      <w:r w:rsidR="00055482" w:rsidRPr="00954547">
        <w:rPr>
          <w:color w:val="auto"/>
          <w:lang w:val="en-US"/>
        </w:rPr>
        <w:t>Manuela’s</w:t>
      </w:r>
      <w:r w:rsidR="00F6091D" w:rsidRPr="00954547">
        <w:rPr>
          <w:color w:val="auto"/>
          <w:lang w:val="en-US"/>
        </w:rPr>
        <w:t xml:space="preserve"> </w:t>
      </w:r>
      <w:r w:rsidR="00020CEE" w:rsidRPr="00954547">
        <w:rPr>
          <w:color w:val="auto"/>
          <w:lang w:val="en-US"/>
        </w:rPr>
        <w:t>right</w:t>
      </w:r>
      <w:r w:rsidRPr="00954547">
        <w:rPr>
          <w:color w:val="auto"/>
          <w:lang w:val="en-US"/>
        </w:rPr>
        <w:t>s</w:t>
      </w:r>
      <w:r w:rsidR="00020CEE" w:rsidRPr="00954547">
        <w:rPr>
          <w:color w:val="auto"/>
          <w:lang w:val="en-US"/>
        </w:rPr>
        <w:t xml:space="preserve"> to life</w:t>
      </w:r>
      <w:r w:rsidR="003A254C" w:rsidRPr="00954547">
        <w:rPr>
          <w:color w:val="auto"/>
          <w:lang w:val="en-US"/>
        </w:rPr>
        <w:t xml:space="preserve">, </w:t>
      </w:r>
      <w:r w:rsidR="00144817" w:rsidRPr="00954547">
        <w:rPr>
          <w:color w:val="auto"/>
          <w:lang w:val="en-US"/>
        </w:rPr>
        <w:t>personal integrity</w:t>
      </w:r>
      <w:r w:rsidR="0078694F" w:rsidRPr="00954547">
        <w:rPr>
          <w:color w:val="auto"/>
          <w:lang w:val="en-US"/>
        </w:rPr>
        <w:t xml:space="preserve"> and </w:t>
      </w:r>
      <w:r w:rsidR="00BC7072" w:rsidRPr="00954547">
        <w:rPr>
          <w:color w:val="auto"/>
          <w:lang w:val="en-US"/>
        </w:rPr>
        <w:t>health</w:t>
      </w:r>
      <w:r w:rsidR="00683EB1" w:rsidRPr="00954547">
        <w:rPr>
          <w:color w:val="auto"/>
          <w:lang w:val="en-US"/>
        </w:rPr>
        <w:t>.</w:t>
      </w:r>
      <w:r w:rsidR="00DC6337" w:rsidRPr="00954547">
        <w:rPr>
          <w:color w:val="auto"/>
          <w:lang w:val="en-US"/>
        </w:rPr>
        <w:t xml:space="preserve"> </w:t>
      </w:r>
      <w:r w:rsidRPr="00954547">
        <w:rPr>
          <w:color w:val="auto"/>
          <w:lang w:val="en-US"/>
        </w:rPr>
        <w:t>All the obligations</w:t>
      </w:r>
      <w:r w:rsidR="0053105A" w:rsidRPr="00954547">
        <w:rPr>
          <w:color w:val="auto"/>
          <w:lang w:val="en-US"/>
        </w:rPr>
        <w:t xml:space="preserve"> that will be examined correspond to obligations that may be required immediately.</w:t>
      </w:r>
    </w:p>
    <w:p w14:paraId="196BADA0" w14:textId="2EC2FAF9" w:rsidR="00683EB1" w:rsidRPr="00954547" w:rsidRDefault="0053105A" w:rsidP="00386B24">
      <w:pPr>
        <w:pStyle w:val="Numberedparagraphs"/>
        <w:tabs>
          <w:tab w:val="left" w:pos="567"/>
        </w:tabs>
        <w:rPr>
          <w:color w:val="auto"/>
          <w:lang w:val="en-US"/>
        </w:rPr>
      </w:pPr>
      <w:r w:rsidRPr="00954547">
        <w:rPr>
          <w:lang w:val="en-US"/>
        </w:rPr>
        <w:t>The Court notes that, at the time of the facts, regulations existed with regard to the right to health that guaranteed this right to everyone without distinction</w:t>
      </w:r>
      <w:r w:rsidRPr="00954547">
        <w:rPr>
          <w:rStyle w:val="FootnoteReference"/>
          <w:color w:val="auto"/>
          <w:lang w:val="en-US"/>
        </w:rPr>
        <w:t>.</w:t>
      </w:r>
      <w:r w:rsidR="00FC618B" w:rsidRPr="00954547">
        <w:rPr>
          <w:rStyle w:val="FootnoteReference"/>
          <w:color w:val="auto"/>
          <w:lang w:val="en-US"/>
        </w:rPr>
        <w:footnoteReference w:id="308"/>
      </w:r>
    </w:p>
    <w:p w14:paraId="3C907877" w14:textId="62C501BA" w:rsidR="003A254C" w:rsidRPr="00954547" w:rsidRDefault="0053105A" w:rsidP="00386B24">
      <w:pPr>
        <w:pStyle w:val="Numberedparagraphs"/>
        <w:tabs>
          <w:tab w:val="left" w:pos="567"/>
        </w:tabs>
        <w:rPr>
          <w:lang w:val="en-US"/>
        </w:rPr>
      </w:pPr>
      <w:r w:rsidRPr="00954547">
        <w:rPr>
          <w:lang w:val="en-US"/>
        </w:rPr>
        <w:t>Based on the facts of the case and the arguments of the parties and the Commission, the Court will examine: (</w:t>
      </w:r>
      <w:r w:rsidR="00683EB1" w:rsidRPr="00954547">
        <w:rPr>
          <w:lang w:val="en-US"/>
        </w:rPr>
        <w:t xml:space="preserve">1) </w:t>
      </w:r>
      <w:r w:rsidRPr="00954547">
        <w:rPr>
          <w:lang w:val="en-US"/>
        </w:rPr>
        <w:t xml:space="preserve">the </w:t>
      </w:r>
      <w:r w:rsidR="00F4455A" w:rsidRPr="00954547">
        <w:rPr>
          <w:lang w:val="en-US"/>
        </w:rPr>
        <w:t xml:space="preserve">medical attention received by Manuela </w:t>
      </w:r>
      <w:r w:rsidRPr="00954547">
        <w:rPr>
          <w:lang w:val="en-US"/>
        </w:rPr>
        <w:t xml:space="preserve"> before the</w:t>
      </w:r>
      <w:r w:rsidR="00683EB1" w:rsidRPr="00954547">
        <w:rPr>
          <w:lang w:val="en-US"/>
        </w:rPr>
        <w:t xml:space="preserve"> </w:t>
      </w:r>
      <w:r w:rsidR="00B72FE4" w:rsidRPr="00954547">
        <w:rPr>
          <w:lang w:val="en-US"/>
        </w:rPr>
        <w:t>obstetric emergency</w:t>
      </w:r>
      <w:r w:rsidR="00683EB1" w:rsidRPr="00954547">
        <w:rPr>
          <w:lang w:val="en-US"/>
        </w:rPr>
        <w:t xml:space="preserve">; </w:t>
      </w:r>
      <w:r w:rsidRPr="00954547">
        <w:rPr>
          <w:lang w:val="en-US"/>
        </w:rPr>
        <w:t>(</w:t>
      </w:r>
      <w:r w:rsidR="00683EB1" w:rsidRPr="00954547">
        <w:rPr>
          <w:lang w:val="en-US"/>
        </w:rPr>
        <w:t xml:space="preserve">2) </w:t>
      </w:r>
      <w:r w:rsidRPr="00954547">
        <w:rPr>
          <w:lang w:val="en-US"/>
        </w:rPr>
        <w:t xml:space="preserve">the </w:t>
      </w:r>
      <w:r w:rsidR="00F4455A" w:rsidRPr="00954547">
        <w:rPr>
          <w:lang w:val="en-US"/>
        </w:rPr>
        <w:t xml:space="preserve">medical attention received by Manuela </w:t>
      </w:r>
      <w:r w:rsidRPr="00954547">
        <w:rPr>
          <w:lang w:val="en-US"/>
        </w:rPr>
        <w:t xml:space="preserve"> during the</w:t>
      </w:r>
      <w:r w:rsidR="00683EB1" w:rsidRPr="00954547">
        <w:rPr>
          <w:lang w:val="en-US"/>
        </w:rPr>
        <w:t xml:space="preserve"> </w:t>
      </w:r>
      <w:r w:rsidR="00B72FE4" w:rsidRPr="00954547">
        <w:rPr>
          <w:lang w:val="en-US"/>
        </w:rPr>
        <w:t>obstetric emergency</w:t>
      </w:r>
      <w:r w:rsidR="00683EB1" w:rsidRPr="00954547">
        <w:rPr>
          <w:lang w:val="en-US"/>
        </w:rPr>
        <w:t xml:space="preserve">; </w:t>
      </w:r>
      <w:r w:rsidRPr="00954547">
        <w:rPr>
          <w:lang w:val="en-US"/>
        </w:rPr>
        <w:t>(</w:t>
      </w:r>
      <w:r w:rsidR="00683EB1" w:rsidRPr="00954547">
        <w:rPr>
          <w:lang w:val="en-US"/>
        </w:rPr>
        <w:t xml:space="preserve">3) </w:t>
      </w:r>
      <w:r w:rsidRPr="00954547">
        <w:rPr>
          <w:lang w:val="en-US"/>
        </w:rPr>
        <w:t xml:space="preserve">the violation of </w:t>
      </w:r>
      <w:r w:rsidR="00D817F3" w:rsidRPr="00954547">
        <w:rPr>
          <w:lang w:val="en-US"/>
        </w:rPr>
        <w:t xml:space="preserve">medical </w:t>
      </w:r>
      <w:r w:rsidR="00D843D1" w:rsidRPr="00954547">
        <w:rPr>
          <w:lang w:val="en-US"/>
        </w:rPr>
        <w:t>secrecy</w:t>
      </w:r>
      <w:r w:rsidRPr="00954547">
        <w:rPr>
          <w:lang w:val="en-US"/>
        </w:rPr>
        <w:t xml:space="preserve"> and the protection of personal data</w:t>
      </w:r>
      <w:r w:rsidR="00FC1826" w:rsidRPr="00954547">
        <w:rPr>
          <w:lang w:val="en-US"/>
        </w:rPr>
        <w:t>;</w:t>
      </w:r>
      <w:r w:rsidR="00683EB1" w:rsidRPr="00954547">
        <w:rPr>
          <w:lang w:val="en-US"/>
        </w:rPr>
        <w:t xml:space="preserve"> </w:t>
      </w:r>
      <w:r w:rsidR="00D817F3" w:rsidRPr="00954547">
        <w:rPr>
          <w:lang w:val="en-US"/>
        </w:rPr>
        <w:t>(</w:t>
      </w:r>
      <w:r w:rsidR="00683EB1" w:rsidRPr="00954547">
        <w:rPr>
          <w:lang w:val="en-US"/>
        </w:rPr>
        <w:t xml:space="preserve">4) </w:t>
      </w:r>
      <w:r w:rsidR="00D817F3" w:rsidRPr="00954547">
        <w:rPr>
          <w:lang w:val="en-US"/>
        </w:rPr>
        <w:t xml:space="preserve">the </w:t>
      </w:r>
      <w:r w:rsidR="00F4455A" w:rsidRPr="00954547">
        <w:rPr>
          <w:lang w:val="en-US"/>
        </w:rPr>
        <w:t xml:space="preserve">medical attention received by Manuela </w:t>
      </w:r>
      <w:r w:rsidR="00D817F3" w:rsidRPr="00954547">
        <w:rPr>
          <w:lang w:val="en-US"/>
        </w:rPr>
        <w:t xml:space="preserve"> during her detention</w:t>
      </w:r>
      <w:r w:rsidR="00FC1826" w:rsidRPr="00954547">
        <w:rPr>
          <w:lang w:val="en-US"/>
        </w:rPr>
        <w:t xml:space="preserve">; </w:t>
      </w:r>
      <w:r w:rsidR="00D817F3" w:rsidRPr="00954547">
        <w:rPr>
          <w:lang w:val="en-US"/>
        </w:rPr>
        <w:t>(</w:t>
      </w:r>
      <w:r w:rsidR="00FC1826" w:rsidRPr="00954547">
        <w:rPr>
          <w:lang w:val="en-US"/>
        </w:rPr>
        <w:t xml:space="preserve">5) </w:t>
      </w:r>
      <w:r w:rsidR="00D817F3" w:rsidRPr="00954547">
        <w:rPr>
          <w:lang w:val="en-US"/>
        </w:rPr>
        <w:t>the violation of the right to life and the alleged lack of investigation</w:t>
      </w:r>
      <w:r w:rsidR="00FC1826" w:rsidRPr="00954547">
        <w:rPr>
          <w:lang w:val="en-US"/>
        </w:rPr>
        <w:t>,</w:t>
      </w:r>
      <w:r w:rsidR="0078694F" w:rsidRPr="00954547">
        <w:rPr>
          <w:lang w:val="en-US"/>
        </w:rPr>
        <w:t xml:space="preserve"> and </w:t>
      </w:r>
      <w:r w:rsidR="00D817F3" w:rsidRPr="00954547">
        <w:rPr>
          <w:lang w:val="en-US"/>
        </w:rPr>
        <w:t>(</w:t>
      </w:r>
      <w:r w:rsidR="00FA3A07" w:rsidRPr="00954547">
        <w:rPr>
          <w:lang w:val="en-US"/>
        </w:rPr>
        <w:t>6</w:t>
      </w:r>
      <w:r w:rsidR="003A254C" w:rsidRPr="00954547">
        <w:rPr>
          <w:lang w:val="en-US"/>
        </w:rPr>
        <w:t xml:space="preserve">) </w:t>
      </w:r>
      <w:r w:rsidR="006E4BFA" w:rsidRPr="00954547">
        <w:rPr>
          <w:lang w:val="en-US"/>
        </w:rPr>
        <w:t>The impact of the discrimination that occurred</w:t>
      </w:r>
      <w:r w:rsidR="00D817F3" w:rsidRPr="00954547">
        <w:rPr>
          <w:lang w:val="en-US"/>
        </w:rPr>
        <w:t xml:space="preserve"> in this case</w:t>
      </w:r>
      <w:r w:rsidR="00672347" w:rsidRPr="00954547">
        <w:rPr>
          <w:lang w:val="en-US"/>
        </w:rPr>
        <w:t>.</w:t>
      </w:r>
    </w:p>
    <w:p w14:paraId="6FC79ADB" w14:textId="4A5F2302" w:rsidR="00683EB1" w:rsidRPr="00954547" w:rsidRDefault="00683EB1" w:rsidP="00386B24">
      <w:pPr>
        <w:pStyle w:val="Heading3"/>
        <w:tabs>
          <w:tab w:val="left" w:pos="567"/>
        </w:tabs>
        <w:jc w:val="both"/>
        <w:rPr>
          <w:b w:val="0"/>
        </w:rPr>
      </w:pPr>
      <w:bookmarkStart w:id="84" w:name="_Toc106353920"/>
      <w:r w:rsidRPr="00954547">
        <w:t>B.1</w:t>
      </w:r>
      <w:r w:rsidRPr="00954547">
        <w:rPr>
          <w:b w:val="0"/>
        </w:rPr>
        <w:t xml:space="preserve"> </w:t>
      </w:r>
      <w:r w:rsidRPr="00954547">
        <w:rPr>
          <w:b w:val="0"/>
        </w:rPr>
        <w:tab/>
      </w:r>
      <w:r w:rsidR="0053105A" w:rsidRPr="00954547">
        <w:rPr>
          <w:rStyle w:val="Heading3Char"/>
          <w:b/>
        </w:rPr>
        <w:t xml:space="preserve">The </w:t>
      </w:r>
      <w:r w:rsidR="00F4455A" w:rsidRPr="00954547">
        <w:rPr>
          <w:rStyle w:val="Heading3Char"/>
          <w:b/>
        </w:rPr>
        <w:t>medical attention received by Manuela</w:t>
      </w:r>
      <w:r w:rsidR="0053105A" w:rsidRPr="00954547">
        <w:rPr>
          <w:rStyle w:val="Heading3Char"/>
          <w:b/>
        </w:rPr>
        <w:t xml:space="preserve"> before the</w:t>
      </w:r>
      <w:r w:rsidRPr="00954547">
        <w:rPr>
          <w:rStyle w:val="Heading3Char"/>
          <w:b/>
        </w:rPr>
        <w:t xml:space="preserve"> </w:t>
      </w:r>
      <w:r w:rsidR="00B72FE4" w:rsidRPr="00954547">
        <w:rPr>
          <w:rStyle w:val="Heading3Char"/>
          <w:b/>
        </w:rPr>
        <w:t>obstetric emergency</w:t>
      </w:r>
      <w:bookmarkEnd w:id="84"/>
    </w:p>
    <w:p w14:paraId="2A6E548A" w14:textId="44637C97" w:rsidR="001C4516" w:rsidRPr="00954547" w:rsidRDefault="00B8393C" w:rsidP="00386B24">
      <w:pPr>
        <w:pStyle w:val="Numberedparagraphs"/>
        <w:tabs>
          <w:tab w:val="left" w:pos="567"/>
        </w:tabs>
        <w:rPr>
          <w:color w:val="auto"/>
          <w:lang w:val="en-US"/>
        </w:rPr>
      </w:pPr>
      <w:r w:rsidRPr="00954547">
        <w:rPr>
          <w:color w:val="auto"/>
          <w:lang w:val="en-US"/>
        </w:rPr>
        <w:t xml:space="preserve">The </w:t>
      </w:r>
      <w:r w:rsidR="006E0D5E" w:rsidRPr="00954547">
        <w:rPr>
          <w:b/>
          <w:bCs/>
          <w:i/>
          <w:iCs/>
          <w:color w:val="auto"/>
          <w:lang w:val="en-US"/>
        </w:rPr>
        <w:t>representatives</w:t>
      </w:r>
      <w:r w:rsidR="005D54A6" w:rsidRPr="00954547">
        <w:rPr>
          <w:b/>
          <w:bCs/>
          <w:i/>
          <w:iCs/>
          <w:color w:val="auto"/>
          <w:lang w:val="en-US"/>
        </w:rPr>
        <w:t xml:space="preserve"> </w:t>
      </w:r>
      <w:r w:rsidR="005D54A6" w:rsidRPr="00954547">
        <w:rPr>
          <w:color w:val="auto"/>
          <w:lang w:val="en-US"/>
        </w:rPr>
        <w:t>a</w:t>
      </w:r>
      <w:r w:rsidR="0086271E" w:rsidRPr="00954547">
        <w:rPr>
          <w:color w:val="auto"/>
          <w:lang w:val="en-US"/>
        </w:rPr>
        <w:t xml:space="preserve">rgued </w:t>
      </w:r>
      <w:r w:rsidR="00DB23C6" w:rsidRPr="00954547">
        <w:rPr>
          <w:color w:val="auto"/>
          <w:lang w:val="en-US"/>
        </w:rPr>
        <w:t xml:space="preserve">that there had been various shortcomings in </w:t>
      </w:r>
      <w:r w:rsidR="0053105A" w:rsidRPr="00954547">
        <w:rPr>
          <w:color w:val="auto"/>
          <w:lang w:val="en-US"/>
        </w:rPr>
        <w:t xml:space="preserve">the </w:t>
      </w:r>
      <w:r w:rsidR="00F4455A" w:rsidRPr="00954547">
        <w:rPr>
          <w:color w:val="auto"/>
          <w:lang w:val="en-US"/>
        </w:rPr>
        <w:t xml:space="preserve">medical attention received by Manuela </w:t>
      </w:r>
      <w:r w:rsidR="0053105A" w:rsidRPr="00954547">
        <w:rPr>
          <w:color w:val="auto"/>
          <w:lang w:val="en-US"/>
        </w:rPr>
        <w:t xml:space="preserve"> before the</w:t>
      </w:r>
      <w:r w:rsidR="00226FAB" w:rsidRPr="00954547">
        <w:rPr>
          <w:color w:val="auto"/>
          <w:lang w:val="en-US"/>
        </w:rPr>
        <w:t xml:space="preserve"> </w:t>
      </w:r>
      <w:r w:rsidR="00B72FE4" w:rsidRPr="00954547">
        <w:rPr>
          <w:color w:val="auto"/>
          <w:lang w:val="en-US"/>
        </w:rPr>
        <w:t>obstetric emergency</w:t>
      </w:r>
      <w:r w:rsidR="00226FAB" w:rsidRPr="00954547">
        <w:rPr>
          <w:color w:val="auto"/>
          <w:lang w:val="en-US"/>
        </w:rPr>
        <w:t>, inclu</w:t>
      </w:r>
      <w:r w:rsidR="00DB23C6" w:rsidRPr="00954547">
        <w:rPr>
          <w:color w:val="auto"/>
          <w:lang w:val="en-US"/>
        </w:rPr>
        <w:t xml:space="preserve">ding that </w:t>
      </w:r>
      <w:r w:rsidRPr="00954547">
        <w:rPr>
          <w:color w:val="auto"/>
          <w:lang w:val="en-US"/>
        </w:rPr>
        <w:t>the State</w:t>
      </w:r>
      <w:r w:rsidR="005D54A6" w:rsidRPr="00954547">
        <w:rPr>
          <w:color w:val="auto"/>
          <w:lang w:val="en-US"/>
        </w:rPr>
        <w:t xml:space="preserve"> </w:t>
      </w:r>
      <w:r w:rsidR="00DB23C6" w:rsidRPr="00954547">
        <w:rPr>
          <w:color w:val="auto"/>
          <w:lang w:val="en-US"/>
        </w:rPr>
        <w:t xml:space="preserve">failed to make an early diagnosis of the “evident symptoms of the </w:t>
      </w:r>
      <w:r w:rsidR="00D2151A" w:rsidRPr="00954547">
        <w:rPr>
          <w:color w:val="auto"/>
          <w:lang w:val="en-US"/>
        </w:rPr>
        <w:t>Hod</w:t>
      </w:r>
      <w:r w:rsidR="00DB23C6" w:rsidRPr="00954547">
        <w:rPr>
          <w:color w:val="auto"/>
          <w:lang w:val="en-US"/>
        </w:rPr>
        <w:t>g</w:t>
      </w:r>
      <w:r w:rsidR="00D2151A" w:rsidRPr="00954547">
        <w:rPr>
          <w:color w:val="auto"/>
          <w:lang w:val="en-US"/>
        </w:rPr>
        <w:t>kin’s lymphoma</w:t>
      </w:r>
      <w:r w:rsidR="005D54A6" w:rsidRPr="00954547">
        <w:rPr>
          <w:color w:val="auto"/>
          <w:lang w:val="en-US"/>
        </w:rPr>
        <w:t xml:space="preserve"> </w:t>
      </w:r>
      <w:r w:rsidR="0068490B" w:rsidRPr="00954547">
        <w:rPr>
          <w:color w:val="auto"/>
          <w:lang w:val="en-US"/>
        </w:rPr>
        <w:t>from which</w:t>
      </w:r>
      <w:r w:rsidR="00DB23C6" w:rsidRPr="00954547">
        <w:rPr>
          <w:color w:val="auto"/>
          <w:lang w:val="en-US"/>
        </w:rPr>
        <w:t xml:space="preserve"> the [presumed] victim</w:t>
      </w:r>
      <w:r w:rsidR="0068490B" w:rsidRPr="00954547">
        <w:rPr>
          <w:color w:val="auto"/>
          <w:lang w:val="en-US"/>
        </w:rPr>
        <w:t xml:space="preserve"> suffered</w:t>
      </w:r>
      <w:r w:rsidR="00DB23C6" w:rsidRPr="00954547">
        <w:rPr>
          <w:color w:val="auto"/>
          <w:lang w:val="en-US"/>
        </w:rPr>
        <w:t>.”</w:t>
      </w:r>
    </w:p>
    <w:p w14:paraId="578CC3E9" w14:textId="1947FD42" w:rsidR="00683EB1" w:rsidRPr="00954547" w:rsidRDefault="00DB23C6" w:rsidP="00DB23C6">
      <w:pPr>
        <w:pStyle w:val="Numberedparagraphs"/>
        <w:tabs>
          <w:tab w:val="left" w:pos="567"/>
        </w:tabs>
        <w:rPr>
          <w:color w:val="auto"/>
          <w:lang w:val="en-US"/>
        </w:rPr>
      </w:pPr>
      <w:r w:rsidRPr="00954547">
        <w:rPr>
          <w:color w:val="auto"/>
          <w:lang w:val="en-US"/>
        </w:rPr>
        <w:t xml:space="preserve">In this regard, </w:t>
      </w:r>
      <w:r w:rsidR="00E76B1A" w:rsidRPr="00954547">
        <w:rPr>
          <w:color w:val="auto"/>
          <w:lang w:val="en-US"/>
        </w:rPr>
        <w:t>the Court</w:t>
      </w:r>
      <w:r w:rsidR="005D54A6" w:rsidRPr="00954547">
        <w:rPr>
          <w:color w:val="auto"/>
          <w:lang w:val="en-US"/>
        </w:rPr>
        <w:t xml:space="preserve"> rec</w:t>
      </w:r>
      <w:r w:rsidRPr="00954547">
        <w:rPr>
          <w:color w:val="auto"/>
          <w:lang w:val="en-US"/>
        </w:rPr>
        <w:t>alls that</w:t>
      </w:r>
      <w:r w:rsidR="005D54A6" w:rsidRPr="00954547">
        <w:rPr>
          <w:color w:val="auto"/>
          <w:lang w:val="en-US"/>
        </w:rPr>
        <w:t xml:space="preserve"> </w:t>
      </w:r>
      <w:r w:rsidRPr="00954547">
        <w:rPr>
          <w:color w:val="auto"/>
          <w:lang w:val="en-US"/>
        </w:rPr>
        <w:t>the</w:t>
      </w:r>
      <w:r w:rsidR="00683EB1" w:rsidRPr="00954547">
        <w:rPr>
          <w:color w:val="auto"/>
          <w:lang w:val="en-US"/>
        </w:rPr>
        <w:t xml:space="preserve"> </w:t>
      </w:r>
      <w:r w:rsidR="00B562B1" w:rsidRPr="00954547">
        <w:rPr>
          <w:color w:val="auto"/>
          <w:lang w:val="en-US"/>
        </w:rPr>
        <w:t>right to health</w:t>
      </w:r>
      <w:r w:rsidR="00683EB1" w:rsidRPr="00954547">
        <w:rPr>
          <w:color w:val="auto"/>
          <w:lang w:val="en-US"/>
        </w:rPr>
        <w:t xml:space="preserve"> requi</w:t>
      </w:r>
      <w:r w:rsidRPr="00954547">
        <w:rPr>
          <w:color w:val="auto"/>
          <w:lang w:val="en-US"/>
        </w:rPr>
        <w:t xml:space="preserve">res that the services provided must be acceptable; in other words, </w:t>
      </w:r>
      <w:r w:rsidRPr="00954547">
        <w:rPr>
          <w:lang w:val="en-US"/>
        </w:rPr>
        <w:t>designed to “improve the health status of those concerned,” and “must also be scientifically and medically appropriate and of good quality</w:t>
      </w:r>
      <w:r w:rsidRPr="00954547">
        <w:rPr>
          <w:color w:val="auto"/>
          <w:lang w:val="en-US"/>
        </w:rPr>
        <w:t>.</w:t>
      </w:r>
      <w:r w:rsidR="00683EB1" w:rsidRPr="00954547">
        <w:rPr>
          <w:color w:val="auto"/>
          <w:lang w:val="en-US"/>
        </w:rPr>
        <w:t>”</w:t>
      </w:r>
      <w:r w:rsidR="00683EB1" w:rsidRPr="00954547">
        <w:rPr>
          <w:rStyle w:val="FootnoteReference"/>
          <w:color w:val="auto"/>
          <w:lang w:val="en-US"/>
        </w:rPr>
        <w:footnoteReference w:id="309"/>
      </w:r>
      <w:r w:rsidR="00683EB1" w:rsidRPr="00954547">
        <w:rPr>
          <w:color w:val="auto"/>
          <w:lang w:val="en-US"/>
        </w:rPr>
        <w:t xml:space="preserve"> </w:t>
      </w:r>
      <w:r w:rsidRPr="00954547">
        <w:rPr>
          <w:color w:val="auto"/>
          <w:lang w:val="en-US"/>
        </w:rPr>
        <w:t>However, this does not mean that the services must be infallible</w:t>
      </w:r>
      <w:r w:rsidR="006E60A1" w:rsidRPr="00954547">
        <w:rPr>
          <w:color w:val="auto"/>
          <w:lang w:val="en-US"/>
        </w:rPr>
        <w:t>.</w:t>
      </w:r>
      <w:r w:rsidR="00FC618B" w:rsidRPr="00954547">
        <w:rPr>
          <w:rStyle w:val="FootnoteReference"/>
          <w:color w:val="auto"/>
          <w:lang w:val="en-US"/>
        </w:rPr>
        <w:footnoteReference w:id="310"/>
      </w:r>
      <w:r w:rsidR="006E60A1" w:rsidRPr="00954547">
        <w:rPr>
          <w:color w:val="auto"/>
          <w:lang w:val="en-US"/>
        </w:rPr>
        <w:t xml:space="preserve"> On this basis, in the instant case, the Court does not have sufficient evidence to evaluate </w:t>
      </w:r>
      <w:r w:rsidR="0053105A" w:rsidRPr="00954547">
        <w:rPr>
          <w:color w:val="auto"/>
          <w:lang w:val="en-US"/>
        </w:rPr>
        <w:t xml:space="preserve">the </w:t>
      </w:r>
      <w:r w:rsidR="00F4455A" w:rsidRPr="00954547">
        <w:rPr>
          <w:color w:val="auto"/>
          <w:lang w:val="en-US"/>
        </w:rPr>
        <w:t xml:space="preserve">medical attention received by Manuela </w:t>
      </w:r>
      <w:r w:rsidR="0053105A" w:rsidRPr="00954547">
        <w:rPr>
          <w:color w:val="auto"/>
          <w:lang w:val="en-US"/>
        </w:rPr>
        <w:t xml:space="preserve"> before the</w:t>
      </w:r>
      <w:r w:rsidR="00E36F87" w:rsidRPr="00954547">
        <w:rPr>
          <w:color w:val="auto"/>
          <w:lang w:val="en-US"/>
        </w:rPr>
        <w:t xml:space="preserve"> </w:t>
      </w:r>
      <w:r w:rsidR="00B72FE4" w:rsidRPr="00954547">
        <w:rPr>
          <w:color w:val="auto"/>
          <w:lang w:val="en-US"/>
        </w:rPr>
        <w:t>obstetric emergency</w:t>
      </w:r>
      <w:r w:rsidR="00E36F87" w:rsidRPr="00954547">
        <w:rPr>
          <w:color w:val="auto"/>
          <w:lang w:val="en-US"/>
        </w:rPr>
        <w:t xml:space="preserve">, </w:t>
      </w:r>
      <w:r w:rsidR="006E60A1" w:rsidRPr="00954547">
        <w:rPr>
          <w:color w:val="auto"/>
          <w:lang w:val="en-US"/>
        </w:rPr>
        <w:t xml:space="preserve">or to examine the alleged violation of the right of </w:t>
      </w:r>
      <w:r w:rsidR="00E36F87" w:rsidRPr="00954547">
        <w:rPr>
          <w:color w:val="auto"/>
          <w:lang w:val="en-US"/>
        </w:rPr>
        <w:t>acces</w:t>
      </w:r>
      <w:r w:rsidR="006E60A1" w:rsidRPr="00954547">
        <w:rPr>
          <w:color w:val="auto"/>
          <w:lang w:val="en-US"/>
        </w:rPr>
        <w:t>s to information.</w:t>
      </w:r>
    </w:p>
    <w:p w14:paraId="4E44A154" w14:textId="3F8C8401" w:rsidR="00683EB1" w:rsidRPr="00954547" w:rsidRDefault="00683EB1" w:rsidP="00386B24">
      <w:pPr>
        <w:pStyle w:val="Heading3"/>
        <w:tabs>
          <w:tab w:val="left" w:pos="567"/>
        </w:tabs>
        <w:jc w:val="both"/>
      </w:pPr>
      <w:bookmarkStart w:id="85" w:name="_Toc106353921"/>
      <w:r w:rsidRPr="00954547">
        <w:t xml:space="preserve">B.2 </w:t>
      </w:r>
      <w:r w:rsidRPr="00954547">
        <w:tab/>
      </w:r>
      <w:r w:rsidR="0053105A" w:rsidRPr="00954547">
        <w:rPr>
          <w:rStyle w:val="Heading3Char"/>
          <w:b/>
        </w:rPr>
        <w:t xml:space="preserve">The </w:t>
      </w:r>
      <w:r w:rsidR="00F4455A" w:rsidRPr="00954547">
        <w:rPr>
          <w:rStyle w:val="Heading3Char"/>
          <w:b/>
        </w:rPr>
        <w:t>medical attention received by Manuela</w:t>
      </w:r>
      <w:r w:rsidR="0053105A" w:rsidRPr="00954547">
        <w:rPr>
          <w:rStyle w:val="Heading3Char"/>
          <w:b/>
        </w:rPr>
        <w:t xml:space="preserve"> during the</w:t>
      </w:r>
      <w:r w:rsidRPr="00954547">
        <w:rPr>
          <w:rStyle w:val="Heading3Char"/>
          <w:b/>
        </w:rPr>
        <w:t xml:space="preserve"> </w:t>
      </w:r>
      <w:r w:rsidR="00B72FE4" w:rsidRPr="00954547">
        <w:rPr>
          <w:rStyle w:val="Heading3Char"/>
          <w:b/>
        </w:rPr>
        <w:t>obstetric emergency</w:t>
      </w:r>
      <w:bookmarkEnd w:id="85"/>
    </w:p>
    <w:p w14:paraId="39EDEBA2" w14:textId="37AF87D2" w:rsidR="00683EB1" w:rsidRPr="00954547" w:rsidRDefault="006E60A1" w:rsidP="00386B24">
      <w:pPr>
        <w:pStyle w:val="Numberedparagraphs"/>
        <w:tabs>
          <w:tab w:val="left" w:pos="567"/>
        </w:tabs>
        <w:rPr>
          <w:lang w:val="en-US"/>
        </w:rPr>
      </w:pPr>
      <w:r w:rsidRPr="00954547">
        <w:rPr>
          <w:bCs/>
          <w:lang w:val="en-US"/>
        </w:rPr>
        <w:t xml:space="preserve">The right to </w:t>
      </w:r>
      <w:r w:rsidR="00674DA3" w:rsidRPr="00954547">
        <w:rPr>
          <w:bCs/>
          <w:lang w:val="en-US"/>
        </w:rPr>
        <w:t>sexual and reproductive health</w:t>
      </w:r>
      <w:r w:rsidR="00683EB1" w:rsidRPr="00954547">
        <w:rPr>
          <w:bCs/>
          <w:lang w:val="en-US"/>
        </w:rPr>
        <w:t xml:space="preserve"> </w:t>
      </w:r>
      <w:r w:rsidRPr="00954547">
        <w:rPr>
          <w:bCs/>
          <w:lang w:val="en-US"/>
        </w:rPr>
        <w:t>forms part of the</w:t>
      </w:r>
      <w:r w:rsidR="00683EB1" w:rsidRPr="00954547">
        <w:rPr>
          <w:bCs/>
          <w:lang w:val="en-US"/>
        </w:rPr>
        <w:t xml:space="preserve"> </w:t>
      </w:r>
      <w:r w:rsidR="00B562B1" w:rsidRPr="00954547">
        <w:rPr>
          <w:bCs/>
          <w:lang w:val="en-US"/>
        </w:rPr>
        <w:t>right to health</w:t>
      </w:r>
      <w:r w:rsidRPr="00954547">
        <w:rPr>
          <w:bCs/>
          <w:lang w:val="en-US"/>
        </w:rPr>
        <w:t>.</w:t>
      </w:r>
      <w:r w:rsidR="00683EB1" w:rsidRPr="00954547">
        <w:rPr>
          <w:rStyle w:val="FootnoteReference"/>
          <w:bCs/>
          <w:lang w:val="en-US"/>
        </w:rPr>
        <w:footnoteReference w:id="311"/>
      </w:r>
      <w:r w:rsidRPr="00954547">
        <w:rPr>
          <w:bCs/>
          <w:lang w:val="en-US"/>
        </w:rPr>
        <w:t xml:space="preserve"> The right to </w:t>
      </w:r>
      <w:r w:rsidR="00674DA3" w:rsidRPr="00954547">
        <w:rPr>
          <w:bCs/>
          <w:lang w:val="en-US"/>
        </w:rPr>
        <w:t>sexual and reproductive health</w:t>
      </w:r>
      <w:r w:rsidR="00683EB1" w:rsidRPr="00954547">
        <w:rPr>
          <w:bCs/>
          <w:lang w:val="en-US"/>
        </w:rPr>
        <w:t xml:space="preserve"> </w:t>
      </w:r>
      <w:r w:rsidR="00C54313" w:rsidRPr="00954547">
        <w:rPr>
          <w:bCs/>
          <w:lang w:val="en-US"/>
        </w:rPr>
        <w:t>is related</w:t>
      </w:r>
      <w:r w:rsidR="00921EA3" w:rsidRPr="00954547">
        <w:rPr>
          <w:bCs/>
          <w:lang w:val="en-US"/>
        </w:rPr>
        <w:t xml:space="preserve"> </w:t>
      </w:r>
      <w:r w:rsidR="00C54313" w:rsidRPr="00954547">
        <w:rPr>
          <w:bCs/>
          <w:lang w:val="en-US"/>
        </w:rPr>
        <w:t xml:space="preserve">to reproductive </w:t>
      </w:r>
      <w:r w:rsidR="00921EA3" w:rsidRPr="00954547">
        <w:rPr>
          <w:bCs/>
          <w:lang w:val="en-US"/>
        </w:rPr>
        <w:t xml:space="preserve">freedom and </w:t>
      </w:r>
      <w:r w:rsidR="00C54313" w:rsidRPr="00954547">
        <w:rPr>
          <w:bCs/>
          <w:lang w:val="en-US"/>
        </w:rPr>
        <w:t xml:space="preserve">autonomy </w:t>
      </w:r>
      <w:r w:rsidR="00DB6CCC" w:rsidRPr="00954547">
        <w:rPr>
          <w:bCs/>
          <w:lang w:val="en-US"/>
        </w:rPr>
        <w:t>with regard to the right</w:t>
      </w:r>
      <w:r w:rsidR="00921EA3" w:rsidRPr="00954547">
        <w:rPr>
          <w:bCs/>
          <w:lang w:val="en-US"/>
        </w:rPr>
        <w:t xml:space="preserve"> to take autonomous decisions</w:t>
      </w:r>
      <w:r w:rsidR="00DB6CCC" w:rsidRPr="00954547">
        <w:rPr>
          <w:bCs/>
          <w:lang w:val="en-US"/>
        </w:rPr>
        <w:t>,</w:t>
      </w:r>
      <w:r w:rsidR="00DB6CCC" w:rsidRPr="00954547">
        <w:rPr>
          <w:lang w:val="en-US"/>
        </w:rPr>
        <w:t xml:space="preserve"> free of all violence, coercion and discrimination</w:t>
      </w:r>
      <w:r w:rsidR="00DB6CCC" w:rsidRPr="00954547">
        <w:rPr>
          <w:bCs/>
          <w:lang w:val="en-US"/>
        </w:rPr>
        <w:t xml:space="preserve">, concerning one’s </w:t>
      </w:r>
      <w:r w:rsidR="00921EA3" w:rsidRPr="00954547">
        <w:rPr>
          <w:bCs/>
          <w:lang w:val="en-US"/>
        </w:rPr>
        <w:t xml:space="preserve">life project, body, and </w:t>
      </w:r>
      <w:r w:rsidR="00674DA3" w:rsidRPr="00954547">
        <w:rPr>
          <w:lang w:val="en-US"/>
        </w:rPr>
        <w:t>sexual and reproductive health</w:t>
      </w:r>
      <w:r w:rsidR="00921EA3" w:rsidRPr="00954547">
        <w:rPr>
          <w:lang w:val="en-US"/>
        </w:rPr>
        <w:t>.</w:t>
      </w:r>
      <w:r w:rsidR="00683EB1" w:rsidRPr="00954547">
        <w:rPr>
          <w:rStyle w:val="FootnoteReference"/>
          <w:rFonts w:eastAsia="MS ????"/>
          <w:lang w:val="en-US"/>
        </w:rPr>
        <w:footnoteReference w:id="312"/>
      </w:r>
      <w:r w:rsidR="00921EA3" w:rsidRPr="00954547">
        <w:rPr>
          <w:lang w:val="en-US"/>
        </w:rPr>
        <w:t xml:space="preserve"> It also refers to access to both reproductive health services, information and education, and the means to exercise the right to decide freely and responsibly on the number of children desired and the </w:t>
      </w:r>
      <w:r w:rsidR="003561F1" w:rsidRPr="00954547">
        <w:rPr>
          <w:lang w:val="en-US"/>
        </w:rPr>
        <w:t>spacing</w:t>
      </w:r>
      <w:r w:rsidR="00921EA3" w:rsidRPr="00954547">
        <w:rPr>
          <w:lang w:val="en-US"/>
        </w:rPr>
        <w:t xml:space="preserve"> between births.</w:t>
      </w:r>
      <w:r w:rsidR="00683EB1" w:rsidRPr="00954547">
        <w:rPr>
          <w:rStyle w:val="FootnoteReference"/>
          <w:rFonts w:eastAsia="MS ????"/>
          <w:lang w:val="en-US"/>
        </w:rPr>
        <w:footnoteReference w:id="313"/>
      </w:r>
    </w:p>
    <w:p w14:paraId="777570B4" w14:textId="62ACC7FD" w:rsidR="00683EB1" w:rsidRPr="00954547" w:rsidRDefault="00E76B1A" w:rsidP="003561F1">
      <w:pPr>
        <w:pStyle w:val="Numberedparagraphs"/>
        <w:tabs>
          <w:tab w:val="left" w:pos="567"/>
        </w:tabs>
        <w:rPr>
          <w:color w:val="auto"/>
          <w:lang w:val="en-US"/>
        </w:rPr>
      </w:pPr>
      <w:r w:rsidRPr="00954547">
        <w:rPr>
          <w:bCs/>
          <w:color w:val="auto"/>
          <w:lang w:val="en-US"/>
        </w:rPr>
        <w:t>The Court</w:t>
      </w:r>
      <w:r w:rsidR="00683EB1" w:rsidRPr="00954547">
        <w:rPr>
          <w:bCs/>
          <w:color w:val="auto"/>
          <w:lang w:val="en-US"/>
        </w:rPr>
        <w:t xml:space="preserve"> ha</w:t>
      </w:r>
      <w:r w:rsidR="00DB6CCC" w:rsidRPr="00954547">
        <w:rPr>
          <w:bCs/>
          <w:color w:val="auto"/>
          <w:lang w:val="en-US"/>
        </w:rPr>
        <w:t>s indicated that</w:t>
      </w:r>
      <w:r w:rsidR="00683EB1" w:rsidRPr="00954547">
        <w:rPr>
          <w:bCs/>
          <w:color w:val="auto"/>
          <w:lang w:val="en-US"/>
        </w:rPr>
        <w:t xml:space="preserve"> </w:t>
      </w:r>
      <w:r w:rsidR="00674DA3" w:rsidRPr="00954547">
        <w:rPr>
          <w:bCs/>
          <w:color w:val="auto"/>
          <w:lang w:val="en-US"/>
        </w:rPr>
        <w:t>sexual and reproductive health</w:t>
      </w:r>
      <w:r w:rsidR="00683EB1" w:rsidRPr="00954547">
        <w:rPr>
          <w:bCs/>
          <w:color w:val="auto"/>
          <w:lang w:val="en-US"/>
        </w:rPr>
        <w:t xml:space="preserve"> </w:t>
      </w:r>
      <w:r w:rsidR="00DB6CCC" w:rsidRPr="00954547">
        <w:rPr>
          <w:bCs/>
          <w:color w:val="auto"/>
          <w:lang w:val="en-US"/>
        </w:rPr>
        <w:t>have special implications for women owing to the</w:t>
      </w:r>
      <w:r w:rsidR="00AB46B1" w:rsidRPr="00954547">
        <w:rPr>
          <w:bCs/>
          <w:color w:val="auto"/>
          <w:lang w:val="en-US"/>
        </w:rPr>
        <w:t>ir</w:t>
      </w:r>
      <w:r w:rsidR="00DB6CCC" w:rsidRPr="00954547">
        <w:rPr>
          <w:bCs/>
          <w:color w:val="auto"/>
          <w:lang w:val="en-US"/>
        </w:rPr>
        <w:t xml:space="preserve"> biological capacity to conceive and give birth.</w:t>
      </w:r>
      <w:r w:rsidR="00683EB1" w:rsidRPr="00954547">
        <w:rPr>
          <w:rStyle w:val="FootnoteReference"/>
          <w:bCs/>
          <w:color w:val="auto"/>
          <w:lang w:val="en-US"/>
        </w:rPr>
        <w:footnoteReference w:id="314"/>
      </w:r>
      <w:r w:rsidR="00683EB1" w:rsidRPr="00954547">
        <w:rPr>
          <w:bCs/>
          <w:color w:val="auto"/>
          <w:lang w:val="en-US"/>
        </w:rPr>
        <w:t xml:space="preserve"> </w:t>
      </w:r>
      <w:r w:rsidR="003561F1" w:rsidRPr="00954547">
        <w:rPr>
          <w:bCs/>
          <w:color w:val="auto"/>
          <w:lang w:val="en-US"/>
        </w:rPr>
        <w:t>Therefore, the obligation to provide medical care without discrimination means that this must take into account that the health needs of women are different from those of men, and provide appropriate services for women.</w:t>
      </w:r>
      <w:r w:rsidR="00683EB1" w:rsidRPr="00954547">
        <w:rPr>
          <w:rStyle w:val="FootnoteReference"/>
          <w:lang w:val="en-US"/>
        </w:rPr>
        <w:footnoteReference w:id="315"/>
      </w:r>
    </w:p>
    <w:p w14:paraId="03293722" w14:textId="19CE6272" w:rsidR="00683EB1" w:rsidRPr="00954547" w:rsidRDefault="004D799D" w:rsidP="007323A9">
      <w:pPr>
        <w:pStyle w:val="Numberedparagraphs"/>
        <w:tabs>
          <w:tab w:val="left" w:pos="567"/>
        </w:tabs>
        <w:rPr>
          <w:lang w:val="en-US"/>
        </w:rPr>
      </w:pPr>
      <w:r w:rsidRPr="00954547">
        <w:rPr>
          <w:color w:val="auto"/>
          <w:lang w:val="en-US"/>
        </w:rPr>
        <w:t>Ad</w:t>
      </w:r>
      <w:r w:rsidR="003561F1" w:rsidRPr="00954547">
        <w:rPr>
          <w:color w:val="auto"/>
          <w:lang w:val="en-US"/>
        </w:rPr>
        <w:t>ditionally, the obligation to provide medical care without discrimination means</w:t>
      </w:r>
      <w:r w:rsidR="007323A9" w:rsidRPr="00954547">
        <w:rPr>
          <w:color w:val="auto"/>
          <w:lang w:val="en-US"/>
        </w:rPr>
        <w:t xml:space="preserve"> that under no circumstance</w:t>
      </w:r>
      <w:r w:rsidR="00AB46B1" w:rsidRPr="00954547">
        <w:rPr>
          <w:color w:val="auto"/>
          <w:lang w:val="en-US"/>
        </w:rPr>
        <w:t xml:space="preserve"> can</w:t>
      </w:r>
      <w:r w:rsidR="003561F1" w:rsidRPr="00954547">
        <w:rPr>
          <w:color w:val="auto"/>
          <w:lang w:val="en-US"/>
        </w:rPr>
        <w:t xml:space="preserve"> the presumed perpetration of an offense by a patient</w:t>
      </w:r>
      <w:r w:rsidR="007323A9" w:rsidRPr="00954547">
        <w:rPr>
          <w:color w:val="auto"/>
          <w:lang w:val="en-US"/>
        </w:rPr>
        <w:t xml:space="preserve"> condition the medical care that the said patient </w:t>
      </w:r>
      <w:r w:rsidR="00AB46B1" w:rsidRPr="00954547">
        <w:rPr>
          <w:color w:val="auto"/>
          <w:lang w:val="en-US"/>
        </w:rPr>
        <w:t>needs</w:t>
      </w:r>
      <w:r w:rsidR="007323A9" w:rsidRPr="00954547">
        <w:rPr>
          <w:color w:val="auto"/>
          <w:lang w:val="en-US"/>
        </w:rPr>
        <w:t>. Therefore, States must provide the necessary medical treatment, without discrimination, to women who require this.</w:t>
      </w:r>
      <w:r w:rsidR="002B6F07" w:rsidRPr="00954547">
        <w:rPr>
          <w:rStyle w:val="FootnoteReference"/>
          <w:lang w:val="en-US"/>
        </w:rPr>
        <w:footnoteReference w:id="316"/>
      </w:r>
    </w:p>
    <w:p w14:paraId="5F34CCD2" w14:textId="71BB4F37" w:rsidR="00683EB1" w:rsidRPr="00954547" w:rsidRDefault="007532FC" w:rsidP="00A94AD7">
      <w:pPr>
        <w:pStyle w:val="Numberedparagraphs"/>
        <w:tabs>
          <w:tab w:val="left" w:pos="567"/>
        </w:tabs>
        <w:rPr>
          <w:color w:val="auto"/>
          <w:lang w:val="en-US"/>
        </w:rPr>
      </w:pPr>
      <w:bookmarkStart w:id="86" w:name="_Ref87982000"/>
      <w:r w:rsidRPr="00954547">
        <w:rPr>
          <w:lang w:val="en-US"/>
        </w:rPr>
        <w:t xml:space="preserve">In the instant case, </w:t>
      </w:r>
      <w:r w:rsidR="00F500B0" w:rsidRPr="00954547">
        <w:rPr>
          <w:lang w:val="en-US"/>
        </w:rPr>
        <w:t>Manuela’s medical record</w:t>
      </w:r>
      <w:r w:rsidRPr="00954547">
        <w:rPr>
          <w:lang w:val="en-US"/>
        </w:rPr>
        <w:t xml:space="preserve"> </w:t>
      </w:r>
      <w:r w:rsidR="00AB46B1" w:rsidRPr="00954547">
        <w:rPr>
          <w:lang w:val="en-US"/>
        </w:rPr>
        <w:t>reveals</w:t>
      </w:r>
      <w:r w:rsidRPr="00954547">
        <w:rPr>
          <w:lang w:val="en-US"/>
        </w:rPr>
        <w:t xml:space="preserve"> various shortcomings that </w:t>
      </w:r>
      <w:r w:rsidR="00B12804" w:rsidRPr="00954547">
        <w:rPr>
          <w:lang w:val="en-US"/>
        </w:rPr>
        <w:t>show</w:t>
      </w:r>
      <w:r w:rsidR="0025212F" w:rsidRPr="00954547">
        <w:rPr>
          <w:lang w:val="en-US"/>
        </w:rPr>
        <w:t xml:space="preserve"> that the care provided was n</w:t>
      </w:r>
      <w:r w:rsidR="00B12804" w:rsidRPr="00954547">
        <w:rPr>
          <w:lang w:val="en-US"/>
        </w:rPr>
        <w:t>either</w:t>
      </w:r>
      <w:r w:rsidR="0025212F" w:rsidRPr="00954547">
        <w:rPr>
          <w:lang w:val="en-US"/>
        </w:rPr>
        <w:t xml:space="preserve"> acceptable </w:t>
      </w:r>
      <w:r w:rsidR="00B12804" w:rsidRPr="00954547">
        <w:rPr>
          <w:lang w:val="en-US"/>
        </w:rPr>
        <w:t>nor of</w:t>
      </w:r>
      <w:r w:rsidR="0025212F" w:rsidRPr="00954547">
        <w:rPr>
          <w:lang w:val="en-US"/>
        </w:rPr>
        <w:t xml:space="preserve"> good quality. First, according to the hospital records, Manuela was admitted at 3</w:t>
      </w:r>
      <w:r w:rsidR="00076692" w:rsidRPr="00954547">
        <w:rPr>
          <w:lang w:val="en-US"/>
        </w:rPr>
        <w:t>:</w:t>
      </w:r>
      <w:r w:rsidR="0025212F" w:rsidRPr="00954547">
        <w:rPr>
          <w:lang w:val="en-US"/>
        </w:rPr>
        <w:t>25 p.m. with placental retention, perineal tear, and signs of severe postpartum preeclampsia</w:t>
      </w:r>
      <w:r w:rsidR="00BB1860" w:rsidRPr="00954547">
        <w:rPr>
          <w:color w:val="auto"/>
          <w:lang w:val="en-US"/>
        </w:rPr>
        <w:t>.</w:t>
      </w:r>
      <w:r w:rsidR="00683EB1" w:rsidRPr="00954547">
        <w:rPr>
          <w:rStyle w:val="FootnoteReference"/>
          <w:lang w:val="en-US"/>
        </w:rPr>
        <w:footnoteReference w:id="317"/>
      </w:r>
      <w:r w:rsidR="00BB1860" w:rsidRPr="00954547">
        <w:rPr>
          <w:lang w:val="en-US"/>
        </w:rPr>
        <w:t xml:space="preserve"> In this regard, expert witness</w:t>
      </w:r>
      <w:r w:rsidR="00683EB1" w:rsidRPr="00954547">
        <w:rPr>
          <w:lang w:val="en-US"/>
        </w:rPr>
        <w:t xml:space="preserve"> Guillermo Ortiz</w:t>
      </w:r>
      <w:r w:rsidR="00BB1860" w:rsidRPr="00954547">
        <w:rPr>
          <w:lang w:val="en-US"/>
        </w:rPr>
        <w:t xml:space="preserve"> indicated</w:t>
      </w:r>
      <w:r w:rsidR="00D76C81" w:rsidRPr="00954547">
        <w:rPr>
          <w:lang w:val="en-US"/>
        </w:rPr>
        <w:t xml:space="preserve"> that “in the case of a postpartum woman [with severe preeclampsia], it is urgent to administer medication to avoid complications such as convulsions, […] extract the placenta immediately and suture the tears, to avoid continued loss of blood.</w:t>
      </w:r>
      <w:r w:rsidR="00683EB1" w:rsidRPr="00954547">
        <w:rPr>
          <w:rStyle w:val="FootnoteReference"/>
          <w:lang w:val="en-US"/>
        </w:rPr>
        <w:footnoteReference w:id="318"/>
      </w:r>
      <w:r w:rsidR="00D76C81" w:rsidRPr="00954547">
        <w:rPr>
          <w:lang w:val="en-US"/>
        </w:rPr>
        <w:t xml:space="preserve"> According to the file, at </w:t>
      </w:r>
      <w:r w:rsidR="00683EB1" w:rsidRPr="00954547">
        <w:rPr>
          <w:lang w:val="en-US"/>
        </w:rPr>
        <w:t xml:space="preserve"> </w:t>
      </w:r>
      <w:r w:rsidR="007623E2" w:rsidRPr="00954547">
        <w:rPr>
          <w:color w:val="auto"/>
          <w:lang w:val="en-US"/>
        </w:rPr>
        <w:t>5</w:t>
      </w:r>
      <w:r w:rsidR="00076692" w:rsidRPr="00954547">
        <w:rPr>
          <w:color w:val="auto"/>
          <w:lang w:val="en-US"/>
        </w:rPr>
        <w:t>:</w:t>
      </w:r>
      <w:r w:rsidR="008A66E6" w:rsidRPr="00954547">
        <w:rPr>
          <w:color w:val="auto"/>
          <w:lang w:val="en-US"/>
        </w:rPr>
        <w:t>30</w:t>
      </w:r>
      <w:r w:rsidR="007623E2" w:rsidRPr="00954547">
        <w:rPr>
          <w:color w:val="auto"/>
          <w:lang w:val="en-US"/>
        </w:rPr>
        <w:t xml:space="preserve"> p.m. </w:t>
      </w:r>
      <w:r w:rsidR="003D24A2" w:rsidRPr="00954547">
        <w:rPr>
          <w:color w:val="auto"/>
          <w:lang w:val="en-US"/>
        </w:rPr>
        <w:t>on February 27,</w:t>
      </w:r>
      <w:r w:rsidR="007623E2" w:rsidRPr="00954547">
        <w:rPr>
          <w:color w:val="auto"/>
          <w:lang w:val="en-US"/>
        </w:rPr>
        <w:t xml:space="preserve"> 2008, </w:t>
      </w:r>
      <w:r w:rsidR="00D76C81" w:rsidRPr="00954547">
        <w:rPr>
          <w:color w:val="auto"/>
          <w:lang w:val="en-US"/>
        </w:rPr>
        <w:t xml:space="preserve">after noting down Manuela’s personal information and conducting a physical examination, </w:t>
      </w:r>
      <w:r w:rsidR="00354B24" w:rsidRPr="00954547">
        <w:rPr>
          <w:color w:val="auto"/>
          <w:lang w:val="en-US"/>
        </w:rPr>
        <w:t>the treating physician</w:t>
      </w:r>
      <w:r w:rsidR="002E7F97" w:rsidRPr="00954547">
        <w:rPr>
          <w:color w:val="auto"/>
          <w:lang w:val="en-US"/>
        </w:rPr>
        <w:t xml:space="preserve"> </w:t>
      </w:r>
      <w:r w:rsidR="00D76C81" w:rsidRPr="00954547">
        <w:rPr>
          <w:color w:val="auto"/>
          <w:lang w:val="en-US"/>
        </w:rPr>
        <w:t>informed her that she was sending a note to the prosecution service.</w:t>
      </w:r>
      <w:r w:rsidR="007623E2" w:rsidRPr="00954547">
        <w:rPr>
          <w:rStyle w:val="FootnoteReference"/>
          <w:color w:val="auto"/>
          <w:lang w:val="en-US"/>
        </w:rPr>
        <w:footnoteReference w:id="319"/>
      </w:r>
      <w:r w:rsidR="00D76C81" w:rsidRPr="00954547">
        <w:rPr>
          <w:color w:val="auto"/>
          <w:lang w:val="en-US"/>
        </w:rPr>
        <w:t xml:space="preserve"> That note was received at </w:t>
      </w:r>
      <w:r w:rsidR="007623E2" w:rsidRPr="00954547">
        <w:rPr>
          <w:color w:val="auto"/>
          <w:lang w:val="en-US"/>
        </w:rPr>
        <w:t>5</w:t>
      </w:r>
      <w:r w:rsidR="00076692" w:rsidRPr="00954547">
        <w:rPr>
          <w:color w:val="auto"/>
          <w:lang w:val="en-US"/>
        </w:rPr>
        <w:t>:</w:t>
      </w:r>
      <w:r w:rsidR="007623E2" w:rsidRPr="00954547">
        <w:rPr>
          <w:color w:val="auto"/>
          <w:lang w:val="en-US"/>
        </w:rPr>
        <w:t xml:space="preserve">33 p.m. </w:t>
      </w:r>
      <w:r w:rsidR="00D76C81" w:rsidRPr="00954547">
        <w:rPr>
          <w:color w:val="auto"/>
          <w:lang w:val="en-US"/>
        </w:rPr>
        <w:t>the same day.</w:t>
      </w:r>
      <w:r w:rsidR="007623E2" w:rsidRPr="00954547">
        <w:rPr>
          <w:rStyle w:val="FootnoteReference"/>
          <w:color w:val="auto"/>
          <w:lang w:val="en-US"/>
        </w:rPr>
        <w:footnoteReference w:id="320"/>
      </w:r>
      <w:r w:rsidR="007623E2" w:rsidRPr="00954547">
        <w:rPr>
          <w:color w:val="auto"/>
          <w:lang w:val="en-US"/>
        </w:rPr>
        <w:t xml:space="preserve"> A</w:t>
      </w:r>
      <w:r w:rsidR="00D76C81" w:rsidRPr="00954547">
        <w:rPr>
          <w:color w:val="auto"/>
          <w:lang w:val="en-US"/>
        </w:rPr>
        <w:t>t</w:t>
      </w:r>
      <w:r w:rsidR="007623E2" w:rsidRPr="00954547">
        <w:rPr>
          <w:color w:val="auto"/>
          <w:lang w:val="en-US"/>
        </w:rPr>
        <w:t xml:space="preserve"> 7 p.m., </w:t>
      </w:r>
      <w:r w:rsidR="00D76C81" w:rsidRPr="00954547">
        <w:rPr>
          <w:color w:val="auto"/>
          <w:lang w:val="en-US"/>
        </w:rPr>
        <w:t>the “</w:t>
      </w:r>
      <w:r w:rsidR="00D76C81" w:rsidRPr="00954547">
        <w:rPr>
          <w:lang w:val="en-US"/>
        </w:rPr>
        <w:t>complete calcified placenta” was extracted from Manuela, a curettage was performed, and her “perineal tear” was sutured</w:t>
      </w:r>
      <w:r w:rsidR="00A94AD7" w:rsidRPr="00954547">
        <w:rPr>
          <w:color w:val="auto"/>
          <w:lang w:val="en-US"/>
        </w:rPr>
        <w:t>.</w:t>
      </w:r>
      <w:r w:rsidR="007623E2" w:rsidRPr="00954547">
        <w:rPr>
          <w:rStyle w:val="FootnoteReference"/>
          <w:color w:val="auto"/>
          <w:lang w:val="en-US"/>
        </w:rPr>
        <w:footnoteReference w:id="321"/>
      </w:r>
      <w:r w:rsidR="00A94AD7" w:rsidRPr="00954547">
        <w:rPr>
          <w:color w:val="auto"/>
          <w:lang w:val="en-US"/>
        </w:rPr>
        <w:t xml:space="preserve"> The Court notes that the State has not presented arguments to justify this delay. To the contrary, the Court emphasizes that during this time, the treating physician gave priority to filing a complaint before the prosecution service concerning a presumed abortion.</w:t>
      </w:r>
      <w:r w:rsidR="00683EB1" w:rsidRPr="00954547">
        <w:rPr>
          <w:rStyle w:val="FootnoteReference"/>
          <w:lang w:val="en-US"/>
        </w:rPr>
        <w:footnoteReference w:id="322"/>
      </w:r>
      <w:bookmarkEnd w:id="86"/>
    </w:p>
    <w:p w14:paraId="07A27A59" w14:textId="6C2B5BD3" w:rsidR="00683EB1" w:rsidRPr="00954547" w:rsidRDefault="00A94AD7" w:rsidP="001B4051">
      <w:pPr>
        <w:pStyle w:val="Numberedparagraphs"/>
        <w:tabs>
          <w:tab w:val="left" w:pos="567"/>
        </w:tabs>
        <w:rPr>
          <w:lang w:val="en-US"/>
        </w:rPr>
      </w:pPr>
      <w:bookmarkStart w:id="87" w:name="_Ref87982473"/>
      <w:r w:rsidRPr="00954547">
        <w:rPr>
          <w:lang w:val="en-US"/>
        </w:rPr>
        <w:t>Second, the Court recalls that, since 2007, Manuela had visible lumps in her neck.</w:t>
      </w:r>
      <w:r w:rsidR="00683EB1" w:rsidRPr="00954547">
        <w:rPr>
          <w:rStyle w:val="FootnoteReference"/>
          <w:lang w:val="en-US"/>
        </w:rPr>
        <w:footnoteReference w:id="323"/>
      </w:r>
      <w:r w:rsidRPr="00954547">
        <w:rPr>
          <w:lang w:val="en-US"/>
        </w:rPr>
        <w:t xml:space="preserve"> Nevertheless, the general examination performed on the</w:t>
      </w:r>
      <w:r w:rsidR="00683EB1" w:rsidRPr="00954547">
        <w:rPr>
          <w:lang w:val="en-US"/>
        </w:rPr>
        <w:t xml:space="preserve"> </w:t>
      </w:r>
      <w:r w:rsidR="00607E12" w:rsidRPr="00954547">
        <w:rPr>
          <w:lang w:val="en-US"/>
        </w:rPr>
        <w:t>presumed victim</w:t>
      </w:r>
      <w:r w:rsidR="00683EB1" w:rsidRPr="00954547">
        <w:rPr>
          <w:lang w:val="en-US"/>
        </w:rPr>
        <w:t xml:space="preserve"> </w:t>
      </w:r>
      <w:r w:rsidRPr="00954547">
        <w:rPr>
          <w:lang w:val="en-US"/>
        </w:rPr>
        <w:t>at</w:t>
      </w:r>
      <w:r w:rsidR="00683EB1" w:rsidRPr="00954547">
        <w:rPr>
          <w:lang w:val="en-US"/>
        </w:rPr>
        <w:t xml:space="preserve"> 6</w:t>
      </w:r>
      <w:r w:rsidR="00076692" w:rsidRPr="00954547">
        <w:rPr>
          <w:lang w:val="en-US"/>
        </w:rPr>
        <w:t>:</w:t>
      </w:r>
      <w:r w:rsidR="00683EB1" w:rsidRPr="00954547">
        <w:rPr>
          <w:lang w:val="en-US"/>
        </w:rPr>
        <w:t xml:space="preserve">40 p.m. </w:t>
      </w:r>
      <w:r w:rsidRPr="00954547">
        <w:rPr>
          <w:lang w:val="en-US"/>
        </w:rPr>
        <w:t>on February 27 indicates that she had a symmetrical neck.</w:t>
      </w:r>
      <w:r w:rsidR="00683EB1" w:rsidRPr="00954547">
        <w:rPr>
          <w:rStyle w:val="FootnoteReference"/>
          <w:lang w:val="en-US"/>
        </w:rPr>
        <w:footnoteReference w:id="324"/>
      </w:r>
      <w:r w:rsidRPr="00954547">
        <w:rPr>
          <w:lang w:val="en-US"/>
        </w:rPr>
        <w:t xml:space="preserve"> In fact, during the seven days </w:t>
      </w:r>
      <w:r w:rsidR="00B12804" w:rsidRPr="00954547">
        <w:rPr>
          <w:lang w:val="en-US"/>
        </w:rPr>
        <w:t>that</w:t>
      </w:r>
      <w:r w:rsidRPr="00954547">
        <w:rPr>
          <w:lang w:val="en-US"/>
        </w:rPr>
        <w:t xml:space="preserve"> Manuela remained hospitalized, the medical record reveals that the treating personnel </w:t>
      </w:r>
      <w:r w:rsidR="001B4051" w:rsidRPr="00954547">
        <w:rPr>
          <w:lang w:val="en-US"/>
        </w:rPr>
        <w:t xml:space="preserve">never </w:t>
      </w:r>
      <w:r w:rsidRPr="00954547">
        <w:rPr>
          <w:lang w:val="en-US"/>
        </w:rPr>
        <w:t>examined or recorded the lumps in Manuela’s neck.</w:t>
      </w:r>
      <w:r w:rsidR="001B4051" w:rsidRPr="00954547">
        <w:rPr>
          <w:lang w:val="en-US"/>
        </w:rPr>
        <w:t xml:space="preserve"> On this point, expert witness </w:t>
      </w:r>
      <w:r w:rsidR="00683EB1" w:rsidRPr="00954547">
        <w:rPr>
          <w:lang w:val="en-US"/>
        </w:rPr>
        <w:t>Guillermo Ortiz indic</w:t>
      </w:r>
      <w:r w:rsidR="001B4051" w:rsidRPr="00954547">
        <w:rPr>
          <w:lang w:val="en-US"/>
        </w:rPr>
        <w:t xml:space="preserve">ated that, once the emergency had been </w:t>
      </w:r>
      <w:r w:rsidR="00B12804" w:rsidRPr="00954547">
        <w:rPr>
          <w:lang w:val="en-US"/>
        </w:rPr>
        <w:t>attended to</w:t>
      </w:r>
      <w:r w:rsidR="001B4051" w:rsidRPr="00954547">
        <w:rPr>
          <w:lang w:val="en-US"/>
        </w:rPr>
        <w:t>, a complete physical examination should have been performed. In this regard, he indicated that by “conducting a more thorough, more meticulous examination, the tumor in her neck would have been diagnosed,</w:t>
      </w:r>
      <w:r w:rsidR="00683EB1" w:rsidRPr="00954547">
        <w:rPr>
          <w:lang w:val="en-US"/>
        </w:rPr>
        <w:t>”</w:t>
      </w:r>
      <w:r w:rsidR="0078694F" w:rsidRPr="00954547">
        <w:rPr>
          <w:lang w:val="en-US"/>
        </w:rPr>
        <w:t xml:space="preserve"> and </w:t>
      </w:r>
      <w:r w:rsidR="001B4051" w:rsidRPr="00954547">
        <w:rPr>
          <w:lang w:val="en-US"/>
        </w:rPr>
        <w:t>this could have changed the course of the treatment provided to Manuela.</w:t>
      </w:r>
      <w:r w:rsidR="00683EB1" w:rsidRPr="00954547">
        <w:rPr>
          <w:rStyle w:val="FootnoteReference"/>
          <w:lang w:val="en-US"/>
        </w:rPr>
        <w:footnoteReference w:id="325"/>
      </w:r>
      <w:bookmarkEnd w:id="87"/>
    </w:p>
    <w:p w14:paraId="23B2DB27" w14:textId="08D997E8" w:rsidR="007B22DE" w:rsidRPr="00954547" w:rsidRDefault="001B4051" w:rsidP="001A180B">
      <w:pPr>
        <w:pStyle w:val="Numberedparagraphs"/>
        <w:tabs>
          <w:tab w:val="left" w:pos="567"/>
        </w:tabs>
        <w:rPr>
          <w:lang w:val="en-US"/>
        </w:rPr>
      </w:pPr>
      <w:r w:rsidRPr="00954547">
        <w:rPr>
          <w:lang w:val="en-US"/>
        </w:rPr>
        <w:t>Third</w:t>
      </w:r>
      <w:r w:rsidR="007B22DE" w:rsidRPr="00954547">
        <w:rPr>
          <w:lang w:val="en-US"/>
        </w:rPr>
        <w:t xml:space="preserve">, </w:t>
      </w:r>
      <w:r w:rsidR="00E76B1A" w:rsidRPr="00954547">
        <w:rPr>
          <w:lang w:val="en-US"/>
        </w:rPr>
        <w:t>the Court</w:t>
      </w:r>
      <w:r w:rsidR="007B22DE" w:rsidRPr="00954547">
        <w:rPr>
          <w:lang w:val="en-US"/>
        </w:rPr>
        <w:t xml:space="preserve"> </w:t>
      </w:r>
      <w:r w:rsidRPr="00954547">
        <w:rPr>
          <w:lang w:val="en-US"/>
        </w:rPr>
        <w:t xml:space="preserve">notes that, according to Manuela’s father, his daughter was handcuffed in the </w:t>
      </w:r>
      <w:r w:rsidR="00C2584E" w:rsidRPr="00954547">
        <w:rPr>
          <w:lang w:val="en-US"/>
        </w:rPr>
        <w:t>San Francisco Gotera Hospital</w:t>
      </w:r>
      <w:r w:rsidRPr="00954547">
        <w:rPr>
          <w:lang w:val="en-US"/>
        </w:rPr>
        <w:t>.</w:t>
      </w:r>
      <w:r w:rsidR="007B22DE" w:rsidRPr="00954547">
        <w:rPr>
          <w:rStyle w:val="FootnoteReference"/>
          <w:lang w:val="en-US"/>
        </w:rPr>
        <w:footnoteReference w:id="326"/>
      </w:r>
      <w:r w:rsidRPr="00954547">
        <w:rPr>
          <w:lang w:val="en-US"/>
        </w:rPr>
        <w:t xml:space="preserve"> This assertion concurs with the practice of handcuffing women suspected of abortion, and the Court has considered this proved by the contextual facts of the case </w:t>
      </w:r>
      <w:r w:rsidR="00DC6337" w:rsidRPr="00954547">
        <w:rPr>
          <w:lang w:val="en-US"/>
        </w:rPr>
        <w:t>(</w:t>
      </w:r>
      <w:r w:rsidR="00DC6337" w:rsidRPr="00954547">
        <w:rPr>
          <w:i/>
          <w:lang w:val="en-US"/>
        </w:rPr>
        <w:t xml:space="preserve">supra </w:t>
      </w:r>
      <w:r w:rsidR="00B10E5A" w:rsidRPr="00954547">
        <w:rPr>
          <w:lang w:val="en-US"/>
        </w:rPr>
        <w:t>para.</w:t>
      </w:r>
      <w:r w:rsidR="00DC6337" w:rsidRPr="00954547">
        <w:rPr>
          <w:lang w:val="en-US"/>
        </w:rPr>
        <w:t xml:space="preserve"> </w:t>
      </w:r>
      <w:r w:rsidR="008A66E6" w:rsidRPr="00954547">
        <w:rPr>
          <w:lang w:val="en-US"/>
        </w:rPr>
        <w:fldChar w:fldCharType="begin"/>
      </w:r>
      <w:r w:rsidR="008A66E6" w:rsidRPr="00954547">
        <w:rPr>
          <w:lang w:val="en-US"/>
        </w:rPr>
        <w:instrText xml:space="preserve"> REF _Ref87981481 \r \h </w:instrText>
      </w:r>
      <w:r w:rsidR="00793F65" w:rsidRPr="00954547">
        <w:rPr>
          <w:lang w:val="en-US"/>
        </w:rPr>
        <w:instrText xml:space="preserve"> \* MERGEFORMAT </w:instrText>
      </w:r>
      <w:r w:rsidR="008A66E6" w:rsidRPr="00954547">
        <w:rPr>
          <w:lang w:val="en-US"/>
        </w:rPr>
      </w:r>
      <w:r w:rsidR="008A66E6" w:rsidRPr="00954547">
        <w:rPr>
          <w:lang w:val="en-US"/>
        </w:rPr>
        <w:fldChar w:fldCharType="separate"/>
      </w:r>
      <w:r w:rsidR="000E4488" w:rsidRPr="00954547">
        <w:rPr>
          <w:lang w:val="en-US"/>
        </w:rPr>
        <w:t>46</w:t>
      </w:r>
      <w:r w:rsidR="008A66E6" w:rsidRPr="00954547">
        <w:rPr>
          <w:lang w:val="en-US"/>
        </w:rPr>
        <w:fldChar w:fldCharType="end"/>
      </w:r>
      <w:r w:rsidR="00DC6337" w:rsidRPr="00954547">
        <w:rPr>
          <w:lang w:val="en-US"/>
        </w:rPr>
        <w:t>)</w:t>
      </w:r>
      <w:r w:rsidR="007B22DE" w:rsidRPr="00954547">
        <w:rPr>
          <w:lang w:val="en-US"/>
        </w:rPr>
        <w:t xml:space="preserve">. </w:t>
      </w:r>
      <w:r w:rsidR="001A180B" w:rsidRPr="00954547">
        <w:rPr>
          <w:lang w:val="en-US"/>
        </w:rPr>
        <w:t>In cases such as this one, where there is no direct proof of the actions of the state agents, the Court has stressed that it is legitimate to use circumstantial evidence, indications and presumptions as grounds for a judgment, provided that conclusions consistent with the facts can be inferred from them.</w:t>
      </w:r>
      <w:r w:rsidR="007B22DE" w:rsidRPr="00954547">
        <w:rPr>
          <w:vertAlign w:val="superscript"/>
          <w:lang w:val="en-US"/>
        </w:rPr>
        <w:footnoteReference w:id="327"/>
      </w:r>
      <w:r w:rsidR="007B22DE" w:rsidRPr="00954547">
        <w:rPr>
          <w:lang w:val="en-US"/>
        </w:rPr>
        <w:t xml:space="preserve"> </w:t>
      </w:r>
      <w:r w:rsidR="00E76B1A" w:rsidRPr="00954547">
        <w:rPr>
          <w:lang w:val="en-US"/>
        </w:rPr>
        <w:t>The Court</w:t>
      </w:r>
      <w:r w:rsidR="007B22DE" w:rsidRPr="00954547">
        <w:rPr>
          <w:lang w:val="en-US"/>
        </w:rPr>
        <w:t xml:space="preserve"> consider</w:t>
      </w:r>
      <w:r w:rsidR="001A180B" w:rsidRPr="00954547">
        <w:rPr>
          <w:lang w:val="en-US"/>
        </w:rPr>
        <w:t xml:space="preserve">s that the statement </w:t>
      </w:r>
      <w:r w:rsidR="00B002CD" w:rsidRPr="00954547">
        <w:rPr>
          <w:lang w:val="en-US"/>
        </w:rPr>
        <w:t>of Manuela</w:t>
      </w:r>
      <w:r w:rsidR="00FF2DDD" w:rsidRPr="00954547">
        <w:rPr>
          <w:lang w:val="en-US"/>
        </w:rPr>
        <w:t>’s father</w:t>
      </w:r>
      <w:r w:rsidR="007B22DE" w:rsidRPr="00954547">
        <w:rPr>
          <w:lang w:val="en-US"/>
        </w:rPr>
        <w:t xml:space="preserve">, </w:t>
      </w:r>
      <w:r w:rsidR="001A180B" w:rsidRPr="00954547">
        <w:rPr>
          <w:lang w:val="en-US"/>
        </w:rPr>
        <w:t xml:space="preserve">assessed in light of the context in which the facts of the case occurred, makes it possible to presume that </w:t>
      </w:r>
      <w:r w:rsidR="007B22DE" w:rsidRPr="00954547">
        <w:rPr>
          <w:lang w:val="en-US"/>
        </w:rPr>
        <w:t xml:space="preserve">Manuela </w:t>
      </w:r>
      <w:r w:rsidR="001A180B" w:rsidRPr="00954547">
        <w:rPr>
          <w:lang w:val="en-US"/>
        </w:rPr>
        <w:t xml:space="preserve">was handcuffed to the hospital bed, at least </w:t>
      </w:r>
      <w:r w:rsidR="0032123B" w:rsidRPr="00954547">
        <w:rPr>
          <w:lang w:val="en-US"/>
        </w:rPr>
        <w:t>on February 28,</w:t>
      </w:r>
      <w:r w:rsidR="007B22DE" w:rsidRPr="00954547">
        <w:rPr>
          <w:lang w:val="en-US"/>
        </w:rPr>
        <w:t xml:space="preserve"> 2008.</w:t>
      </w:r>
    </w:p>
    <w:p w14:paraId="368C1D30" w14:textId="468578E1" w:rsidR="003F04C6" w:rsidRPr="00954547" w:rsidRDefault="001A180B" w:rsidP="003F04C6">
      <w:pPr>
        <w:pStyle w:val="Numberedparagraphs"/>
        <w:tabs>
          <w:tab w:val="left" w:pos="567"/>
        </w:tabs>
        <w:rPr>
          <w:rFonts w:eastAsia="Times"/>
          <w:color w:val="auto"/>
          <w:lang w:val="en-US"/>
        </w:rPr>
      </w:pPr>
      <w:bookmarkStart w:id="88" w:name="_Ref88035631"/>
      <w:r w:rsidRPr="00954547">
        <w:rPr>
          <w:lang w:val="en-US"/>
        </w:rPr>
        <w:t xml:space="preserve">Handcuffs or other similar devices are frequently used as instruments of physical coercion for people who are detained and deprived of liberty. This Court has indicated that any use of force that is not strictly necessary due to the behavior of the person detained constitutes an attack on human dignity, in violation </w:t>
      </w:r>
      <w:r w:rsidR="00041C12" w:rsidRPr="00954547">
        <w:rPr>
          <w:lang w:val="en-US"/>
        </w:rPr>
        <w:t>of Article</w:t>
      </w:r>
      <w:r w:rsidR="007B22DE" w:rsidRPr="00954547">
        <w:rPr>
          <w:lang w:val="en-US"/>
        </w:rPr>
        <w:t xml:space="preserve"> 5</w:t>
      </w:r>
      <w:r w:rsidR="005E0FD1" w:rsidRPr="00954547">
        <w:rPr>
          <w:lang w:val="en-US"/>
        </w:rPr>
        <w:t xml:space="preserve"> of the American Convention</w:t>
      </w:r>
      <w:r w:rsidRPr="00954547">
        <w:rPr>
          <w:lang w:val="en-US"/>
        </w:rPr>
        <w:t>.</w:t>
      </w:r>
      <w:r w:rsidR="007B22DE" w:rsidRPr="00954547">
        <w:rPr>
          <w:rStyle w:val="FootnoteReference"/>
          <w:lang w:val="en-US"/>
        </w:rPr>
        <w:footnoteReference w:id="328"/>
      </w:r>
      <w:r w:rsidR="007B22DE" w:rsidRPr="00954547">
        <w:rPr>
          <w:rFonts w:eastAsia="Times"/>
          <w:color w:val="auto"/>
          <w:lang w:val="en-US"/>
        </w:rPr>
        <w:t xml:space="preserve"> </w:t>
      </w:r>
      <w:r w:rsidR="00645977" w:rsidRPr="00954547">
        <w:rPr>
          <w:lang w:val="en-US"/>
        </w:rPr>
        <w:t xml:space="preserve"> </w:t>
      </w:r>
      <w:r w:rsidR="00E76B1A" w:rsidRPr="00954547">
        <w:rPr>
          <w:lang w:val="en-US"/>
        </w:rPr>
        <w:t>The Court</w:t>
      </w:r>
      <w:r w:rsidR="00645977" w:rsidRPr="00954547">
        <w:rPr>
          <w:lang w:val="en-US"/>
        </w:rPr>
        <w:t xml:space="preserve"> rec</w:t>
      </w:r>
      <w:r w:rsidRPr="00954547">
        <w:rPr>
          <w:lang w:val="en-US"/>
        </w:rPr>
        <w:t xml:space="preserve">alls that numerous decisions of international bodies cite the United Nations </w:t>
      </w:r>
      <w:r w:rsidR="0010411E" w:rsidRPr="00954547">
        <w:rPr>
          <w:lang w:val="en-US"/>
        </w:rPr>
        <w:t xml:space="preserve">Standard Minimum Rules </w:t>
      </w:r>
      <w:r w:rsidR="003D6DE7" w:rsidRPr="00954547">
        <w:rPr>
          <w:lang w:val="en-US"/>
        </w:rPr>
        <w:t xml:space="preserve">for </w:t>
      </w:r>
      <w:r w:rsidRPr="00954547">
        <w:rPr>
          <w:lang w:val="en-US"/>
        </w:rPr>
        <w:t xml:space="preserve">the Treatment of Prisoners </w:t>
      </w:r>
      <w:r w:rsidR="00645977" w:rsidRPr="00954547">
        <w:rPr>
          <w:bCs/>
          <w:iCs/>
          <w:lang w:val="en-US"/>
        </w:rPr>
        <w:t>(</w:t>
      </w:r>
      <w:r w:rsidR="00A42A4C" w:rsidRPr="00954547">
        <w:rPr>
          <w:bCs/>
          <w:iCs/>
          <w:lang w:val="en-US"/>
        </w:rPr>
        <w:t>hereinafter</w:t>
      </w:r>
      <w:r w:rsidR="00645977" w:rsidRPr="00954547">
        <w:rPr>
          <w:bCs/>
          <w:iCs/>
          <w:lang w:val="en-US"/>
        </w:rPr>
        <w:t xml:space="preserve"> “</w:t>
      </w:r>
      <w:r w:rsidR="0010411E" w:rsidRPr="00954547">
        <w:rPr>
          <w:bCs/>
          <w:iCs/>
          <w:lang w:val="en-US"/>
        </w:rPr>
        <w:t>Rule</w:t>
      </w:r>
      <w:r w:rsidR="00946DCB" w:rsidRPr="00954547">
        <w:rPr>
          <w:bCs/>
          <w:iCs/>
          <w:lang w:val="en-US"/>
        </w:rPr>
        <w:t>s for the Treatment of Prisoners</w:t>
      </w:r>
      <w:r w:rsidR="00645977" w:rsidRPr="00954547">
        <w:rPr>
          <w:bCs/>
          <w:iCs/>
          <w:lang w:val="en-US"/>
        </w:rPr>
        <w:t>”</w:t>
      </w:r>
      <w:r w:rsidR="00F8291F" w:rsidRPr="00954547">
        <w:rPr>
          <w:bCs/>
          <w:iCs/>
          <w:lang w:val="en-US"/>
        </w:rPr>
        <w:t>)</w:t>
      </w:r>
      <w:r w:rsidR="00F8291F" w:rsidRPr="00954547">
        <w:rPr>
          <w:rStyle w:val="FootnoteReference"/>
          <w:bCs/>
          <w:iCs/>
          <w:lang w:val="en-US"/>
        </w:rPr>
        <w:footnoteReference w:id="329"/>
      </w:r>
      <w:r w:rsidR="00645977" w:rsidRPr="00954547">
        <w:rPr>
          <w:bCs/>
          <w:iCs/>
          <w:lang w:val="en-US"/>
        </w:rPr>
        <w:t xml:space="preserve"> </w:t>
      </w:r>
      <w:r w:rsidR="00946DCB" w:rsidRPr="00954547">
        <w:rPr>
          <w:bCs/>
          <w:iCs/>
          <w:lang w:val="en-US"/>
        </w:rPr>
        <w:t>in order to interpret the content of the right of those deprived of liberty to decent and humane treatment, as basic rules for their accommodation, hygiene, medical treatment and physical exercise, among other matters.</w:t>
      </w:r>
      <w:r w:rsidR="00645977" w:rsidRPr="00954547">
        <w:rPr>
          <w:rStyle w:val="FootnoteAnchor"/>
          <w:bCs/>
          <w:iCs/>
          <w:lang w:val="en-US"/>
        </w:rPr>
        <w:footnoteReference w:id="330"/>
      </w:r>
      <w:r w:rsidR="00946DCB" w:rsidRPr="00954547">
        <w:rPr>
          <w:bCs/>
          <w:iCs/>
          <w:lang w:val="en-US"/>
        </w:rPr>
        <w:t xml:space="preserve"> These </w:t>
      </w:r>
      <w:r w:rsidR="0010411E" w:rsidRPr="00954547">
        <w:rPr>
          <w:bCs/>
          <w:iCs/>
          <w:lang w:val="en-US"/>
        </w:rPr>
        <w:t>rules</w:t>
      </w:r>
      <w:r w:rsidR="00946DCB" w:rsidRPr="00954547">
        <w:rPr>
          <w:bCs/>
          <w:iCs/>
          <w:lang w:val="en-US"/>
        </w:rPr>
        <w:t xml:space="preserve"> stipulate that </w:t>
      </w:r>
      <w:r w:rsidR="003F04C6" w:rsidRPr="00954547">
        <w:rPr>
          <w:bCs/>
          <w:iCs/>
          <w:lang w:val="en-US"/>
        </w:rPr>
        <w:t>“</w:t>
      </w:r>
      <w:r w:rsidR="00946DCB" w:rsidRPr="00954547">
        <w:rPr>
          <w:bCs/>
          <w:iCs/>
          <w:lang w:val="en-US"/>
        </w:rPr>
        <w:t xml:space="preserve">instruments of </w:t>
      </w:r>
      <w:r w:rsidR="003F04C6" w:rsidRPr="00954547">
        <w:rPr>
          <w:bCs/>
          <w:iCs/>
          <w:lang w:val="en-US"/>
        </w:rPr>
        <w:t>restraint</w:t>
      </w:r>
      <w:r w:rsidR="00946DCB" w:rsidRPr="00954547">
        <w:rPr>
          <w:bCs/>
          <w:iCs/>
          <w:lang w:val="en-US"/>
        </w:rPr>
        <w:t xml:space="preserve"> </w:t>
      </w:r>
      <w:r w:rsidR="003F04C6" w:rsidRPr="00954547">
        <w:rPr>
          <w:bCs/>
          <w:iCs/>
          <w:lang w:val="en-US"/>
        </w:rPr>
        <w:t>shall never be</w:t>
      </w:r>
      <w:r w:rsidR="00946DCB" w:rsidRPr="00954547">
        <w:rPr>
          <w:bCs/>
          <w:iCs/>
          <w:lang w:val="en-US"/>
        </w:rPr>
        <w:t xml:space="preserve"> </w:t>
      </w:r>
      <w:r w:rsidR="003F04C6" w:rsidRPr="00954547">
        <w:rPr>
          <w:bCs/>
          <w:iCs/>
          <w:lang w:val="en-US"/>
        </w:rPr>
        <w:t xml:space="preserve">applied </w:t>
      </w:r>
      <w:r w:rsidR="00946DCB" w:rsidRPr="00954547">
        <w:rPr>
          <w:bCs/>
          <w:iCs/>
          <w:lang w:val="en-US"/>
        </w:rPr>
        <w:t>as a punishment</w:t>
      </w:r>
      <w:r w:rsidR="003F04C6" w:rsidRPr="00954547">
        <w:rPr>
          <w:bCs/>
          <w:iCs/>
          <w:lang w:val="en-US"/>
        </w:rPr>
        <w:t>”</w:t>
      </w:r>
      <w:r w:rsidR="00946DCB" w:rsidRPr="00954547">
        <w:rPr>
          <w:bCs/>
          <w:iCs/>
          <w:lang w:val="en-US"/>
        </w:rPr>
        <w:t xml:space="preserve"> and </w:t>
      </w:r>
      <w:r w:rsidR="003F04C6" w:rsidRPr="00954547">
        <w:rPr>
          <w:bCs/>
          <w:iCs/>
          <w:lang w:val="en-US"/>
        </w:rPr>
        <w:t>“shall not be used except in the following circumstances:</w:t>
      </w:r>
      <w:r w:rsidR="00946DCB" w:rsidRPr="00954547">
        <w:rPr>
          <w:bCs/>
          <w:iCs/>
          <w:lang w:val="en-US"/>
        </w:rPr>
        <w:t xml:space="preserve"> </w:t>
      </w:r>
      <w:bookmarkEnd w:id="88"/>
    </w:p>
    <w:p w14:paraId="5E1E8A58" w14:textId="219B8FCB" w:rsidR="007B22DE" w:rsidRPr="00954547" w:rsidRDefault="003F04C6" w:rsidP="00B2377F">
      <w:pPr>
        <w:pStyle w:val="Numberedparagraphs"/>
        <w:numPr>
          <w:ilvl w:val="0"/>
          <w:numId w:val="0"/>
        </w:numPr>
        <w:tabs>
          <w:tab w:val="left" w:pos="567"/>
        </w:tabs>
        <w:ind w:left="567" w:right="899"/>
        <w:rPr>
          <w:rFonts w:eastAsia="Times"/>
          <w:color w:val="auto"/>
          <w:sz w:val="18"/>
          <w:szCs w:val="18"/>
          <w:lang w:val="en-US"/>
        </w:rPr>
      </w:pPr>
      <w:r w:rsidRPr="00954547">
        <w:rPr>
          <w:sz w:val="18"/>
          <w:szCs w:val="18"/>
          <w:shd w:val="clear" w:color="auto" w:fill="FFFFFF"/>
          <w:lang w:val="en-US"/>
        </w:rPr>
        <w:t>(</w:t>
      </w:r>
      <w:r w:rsidR="00F8291F" w:rsidRPr="00954547">
        <w:rPr>
          <w:sz w:val="18"/>
          <w:szCs w:val="18"/>
          <w:shd w:val="clear" w:color="auto" w:fill="FFFFFF"/>
          <w:lang w:val="en-US"/>
        </w:rPr>
        <w:t xml:space="preserve">a) </w:t>
      </w:r>
      <w:r w:rsidRPr="00954547">
        <w:rPr>
          <w:sz w:val="18"/>
          <w:szCs w:val="18"/>
          <w:shd w:val="clear" w:color="auto" w:fill="FFFFFF"/>
          <w:lang w:val="en-US"/>
        </w:rPr>
        <w:t>As a precaution against escape during a transfer, provided that they shall be removed when the prisoner appears before a judicial or administrative authority;</w:t>
      </w:r>
      <w:r w:rsidR="00F8291F" w:rsidRPr="00954547">
        <w:rPr>
          <w:sz w:val="18"/>
          <w:szCs w:val="18"/>
          <w:shd w:val="clear" w:color="auto" w:fill="FFFFFF"/>
          <w:lang w:val="en-US"/>
        </w:rPr>
        <w:t xml:space="preserve"> </w:t>
      </w:r>
      <w:r w:rsidRPr="00954547">
        <w:rPr>
          <w:sz w:val="18"/>
          <w:szCs w:val="18"/>
          <w:shd w:val="clear" w:color="auto" w:fill="FFFFFF"/>
          <w:lang w:val="en-US"/>
        </w:rPr>
        <w:t>(</w:t>
      </w:r>
      <w:r w:rsidR="00F8291F" w:rsidRPr="00954547">
        <w:rPr>
          <w:sz w:val="18"/>
          <w:szCs w:val="18"/>
          <w:shd w:val="clear" w:color="auto" w:fill="FFFFFF"/>
          <w:lang w:val="en-US"/>
        </w:rPr>
        <w:t xml:space="preserve">b) </w:t>
      </w:r>
      <w:r w:rsidRPr="00954547">
        <w:rPr>
          <w:sz w:val="18"/>
          <w:szCs w:val="18"/>
          <w:shd w:val="clear" w:color="auto" w:fill="FFFFFF"/>
          <w:lang w:val="en-US"/>
        </w:rPr>
        <w:t>On medical grounds by direction of the medical officer;</w:t>
      </w:r>
      <w:r w:rsidR="00F8291F" w:rsidRPr="00954547">
        <w:rPr>
          <w:sz w:val="18"/>
          <w:szCs w:val="18"/>
          <w:shd w:val="clear" w:color="auto" w:fill="FFFFFF"/>
          <w:lang w:val="en-US"/>
        </w:rPr>
        <w:t xml:space="preserve"> </w:t>
      </w:r>
      <w:r w:rsidRPr="00954547">
        <w:rPr>
          <w:sz w:val="18"/>
          <w:szCs w:val="18"/>
          <w:shd w:val="clear" w:color="auto" w:fill="FFFFFF"/>
          <w:lang w:val="en-US"/>
        </w:rPr>
        <w:t>(</w:t>
      </w:r>
      <w:r w:rsidR="00F8291F" w:rsidRPr="00954547">
        <w:rPr>
          <w:sz w:val="18"/>
          <w:szCs w:val="18"/>
          <w:shd w:val="clear" w:color="auto" w:fill="FFFFFF"/>
          <w:lang w:val="en-US"/>
        </w:rPr>
        <w:t xml:space="preserve">c) </w:t>
      </w:r>
      <w:r w:rsidRPr="00954547">
        <w:rPr>
          <w:sz w:val="18"/>
          <w:szCs w:val="18"/>
          <w:shd w:val="clear" w:color="auto" w:fill="FFFFFF"/>
          <w:lang w:val="en-US"/>
        </w:rPr>
        <w:t>By order of the director, if other methods of control fail, in order to prevent a prisoner from injuring himself or others or from damaging property; in such instances the director shall at once consult the medical officer and report to the higher administrative authority.</w:t>
      </w:r>
      <w:r w:rsidR="007B22DE" w:rsidRPr="00954547">
        <w:rPr>
          <w:rStyle w:val="FootnoteReference"/>
          <w:sz w:val="18"/>
          <w:szCs w:val="18"/>
          <w:lang w:val="en-US"/>
        </w:rPr>
        <w:footnoteReference w:id="331"/>
      </w:r>
      <w:r w:rsidR="007B22DE" w:rsidRPr="00954547">
        <w:rPr>
          <w:sz w:val="18"/>
          <w:szCs w:val="18"/>
          <w:lang w:val="en-US"/>
        </w:rPr>
        <w:t xml:space="preserve"> </w:t>
      </w:r>
    </w:p>
    <w:p w14:paraId="3C64E0B6" w14:textId="77082A68" w:rsidR="00CE63BB" w:rsidRPr="00954547" w:rsidRDefault="00FE35B1" w:rsidP="006663DC">
      <w:pPr>
        <w:pStyle w:val="Numberedparagraphs"/>
        <w:tabs>
          <w:tab w:val="left" w:pos="567"/>
        </w:tabs>
        <w:rPr>
          <w:rFonts w:eastAsia="Times"/>
          <w:color w:val="auto"/>
          <w:lang w:val="en-US"/>
        </w:rPr>
      </w:pPr>
      <w:r w:rsidRPr="00954547">
        <w:rPr>
          <w:rFonts w:eastAsia="Times"/>
          <w:color w:val="auto"/>
          <w:lang w:val="en-US"/>
        </w:rPr>
        <w:t xml:space="preserve">Moreover, the </w:t>
      </w:r>
      <w:r w:rsidRPr="00954547">
        <w:rPr>
          <w:lang w:val="en-US"/>
        </w:rPr>
        <w:t xml:space="preserve">United Nations Rules for the Treatment of Women Prisoners and Non-custodial Measures for Women Offenders (the Bangkok Rules) establish that </w:t>
      </w:r>
      <w:r w:rsidR="007B22DE" w:rsidRPr="00954547">
        <w:rPr>
          <w:lang w:val="en-US"/>
        </w:rPr>
        <w:t>“[</w:t>
      </w:r>
      <w:r w:rsidRPr="00954547">
        <w:rPr>
          <w:lang w:val="en-US"/>
        </w:rPr>
        <w:t>i]nstruments of restraint shall never be used on women during labour, during birth and immediately after birth.</w:t>
      </w:r>
      <w:r w:rsidR="007B22DE" w:rsidRPr="00954547">
        <w:rPr>
          <w:lang w:val="en-US"/>
        </w:rPr>
        <w:t>”</w:t>
      </w:r>
      <w:r w:rsidR="007B22DE" w:rsidRPr="00954547">
        <w:rPr>
          <w:rStyle w:val="FootnoteReference"/>
          <w:lang w:val="en-US"/>
        </w:rPr>
        <w:footnoteReference w:id="332"/>
      </w:r>
      <w:r w:rsidR="007B22DE" w:rsidRPr="00954547">
        <w:rPr>
          <w:lang w:val="en-US"/>
        </w:rPr>
        <w:t xml:space="preserve"> </w:t>
      </w:r>
      <w:r w:rsidR="005D58D6" w:rsidRPr="00954547">
        <w:rPr>
          <w:lang w:val="en-US"/>
        </w:rPr>
        <w:t>Several United Nations Special Rapporteurs have ruled similarly.</w:t>
      </w:r>
      <w:r w:rsidR="007B22DE" w:rsidRPr="00954547">
        <w:rPr>
          <w:rStyle w:val="FootnoteReference"/>
          <w:lang w:val="en-US"/>
        </w:rPr>
        <w:footnoteReference w:id="333"/>
      </w:r>
      <w:r w:rsidR="005D58D6" w:rsidRPr="00954547">
        <w:rPr>
          <w:lang w:val="en-US"/>
        </w:rPr>
        <w:t xml:space="preserve"> In addition, the European Court has indicated that the use of handcuffs on </w:t>
      </w:r>
      <w:r w:rsidR="006663DC" w:rsidRPr="00954547">
        <w:rPr>
          <w:lang w:val="en-US"/>
        </w:rPr>
        <w:t>“an ill or otherwise weak person</w:t>
      </w:r>
      <w:r w:rsidR="003D6DE7" w:rsidRPr="00954547">
        <w:rPr>
          <w:lang w:val="en-US"/>
        </w:rPr>
        <w:t xml:space="preserve"> </w:t>
      </w:r>
      <w:r w:rsidR="005D58D6" w:rsidRPr="00954547">
        <w:rPr>
          <w:lang w:val="en-US"/>
        </w:rPr>
        <w:t xml:space="preserve">is disproportionate </w:t>
      </w:r>
      <w:r w:rsidR="006D569A" w:rsidRPr="00954547">
        <w:rPr>
          <w:lang w:val="en-US"/>
        </w:rPr>
        <w:t>[…]</w:t>
      </w:r>
      <w:r w:rsidR="006663DC" w:rsidRPr="00954547">
        <w:rPr>
          <w:lang w:val="en-US"/>
        </w:rPr>
        <w:t xml:space="preserve"> </w:t>
      </w:r>
      <w:r w:rsidR="005D58D6" w:rsidRPr="00954547">
        <w:rPr>
          <w:lang w:val="en-US"/>
        </w:rPr>
        <w:t xml:space="preserve">and </w:t>
      </w:r>
      <w:r w:rsidR="006663DC" w:rsidRPr="00954547">
        <w:rPr>
          <w:lang w:val="en-US"/>
        </w:rPr>
        <w:t xml:space="preserve">implies an </w:t>
      </w:r>
      <w:r w:rsidR="005D58D6" w:rsidRPr="00954547">
        <w:rPr>
          <w:lang w:val="en-US"/>
        </w:rPr>
        <w:t>unjustifi</w:t>
      </w:r>
      <w:r w:rsidR="006663DC" w:rsidRPr="00954547">
        <w:rPr>
          <w:lang w:val="en-US"/>
        </w:rPr>
        <w:t>able</w:t>
      </w:r>
      <w:r w:rsidR="005D58D6" w:rsidRPr="00954547">
        <w:rPr>
          <w:lang w:val="en-US"/>
        </w:rPr>
        <w:t xml:space="preserve"> humiliation</w:t>
      </w:r>
      <w:r w:rsidR="006663DC" w:rsidRPr="00954547">
        <w:rPr>
          <w:lang w:val="en-US"/>
        </w:rPr>
        <w:t xml:space="preserve">,” and if these are used for “a woman suffering labour pains and immediately after the delivery, it amounted </w:t>
      </w:r>
      <w:r w:rsidR="00F00ACF" w:rsidRPr="00954547">
        <w:rPr>
          <w:lang w:val="en-US"/>
        </w:rPr>
        <w:t>to inhuman</w:t>
      </w:r>
      <w:r w:rsidR="006663DC" w:rsidRPr="00954547">
        <w:rPr>
          <w:lang w:val="en-US"/>
        </w:rPr>
        <w:t xml:space="preserve"> and degrading treatment.”</w:t>
      </w:r>
      <w:r w:rsidR="007B22DE" w:rsidRPr="00954547">
        <w:rPr>
          <w:rStyle w:val="FootnoteReference"/>
          <w:sz w:val="18"/>
          <w:szCs w:val="18"/>
          <w:lang w:val="en-US"/>
        </w:rPr>
        <w:footnoteReference w:id="334"/>
      </w:r>
    </w:p>
    <w:p w14:paraId="3D50465A" w14:textId="4F3F76EF" w:rsidR="007B22DE" w:rsidRPr="00954547" w:rsidRDefault="006663DC" w:rsidP="00E9754F">
      <w:pPr>
        <w:pStyle w:val="Numberedparagraphs"/>
        <w:tabs>
          <w:tab w:val="left" w:pos="567"/>
        </w:tabs>
        <w:rPr>
          <w:rFonts w:eastAsia="Times"/>
          <w:color w:val="auto"/>
          <w:lang w:val="en-US"/>
        </w:rPr>
      </w:pPr>
      <w:bookmarkStart w:id="89" w:name="_Ref88035632"/>
      <w:r w:rsidRPr="00954547">
        <w:rPr>
          <w:color w:val="auto"/>
          <w:lang w:val="en-US"/>
        </w:rPr>
        <w:t xml:space="preserve">When Manuela was detained, she had recently given birth and was being treated for severe preeclampsia. Therefore, it was unreasonable to assume that there was a real risk of flight that could not have been mitigated by other less harmful means. </w:t>
      </w:r>
      <w:r w:rsidR="00E9754F" w:rsidRPr="00954547">
        <w:rPr>
          <w:color w:val="auto"/>
          <w:lang w:val="en-US"/>
        </w:rPr>
        <w:t>It has not been argued before the Court that Manuela had behaved aggressively at any time with the medical staff or with the police, that she was a danger to herself, or that she had taken any measures to escape. Therefore, the Court considers that those actions amounted to a violation of the right not to be subjected to torture or cruel, inhuman or degrading treatment or punishment established in</w:t>
      </w:r>
      <w:r w:rsidR="00E9754F" w:rsidRPr="00954547">
        <w:rPr>
          <w:rFonts w:eastAsia="Times"/>
          <w:color w:val="auto"/>
          <w:lang w:val="en-US"/>
        </w:rPr>
        <w:t xml:space="preserve"> </w:t>
      </w:r>
      <w:r w:rsidR="00A17F8C" w:rsidRPr="00954547">
        <w:rPr>
          <w:rFonts w:cs="Tahoma"/>
          <w:color w:val="auto"/>
          <w:lang w:val="en-US"/>
        </w:rPr>
        <w:t>Article</w:t>
      </w:r>
      <w:r w:rsidR="001C4516" w:rsidRPr="00954547">
        <w:rPr>
          <w:rFonts w:cs="Tahoma"/>
          <w:color w:val="auto"/>
          <w:lang w:val="en-US"/>
        </w:rPr>
        <w:t xml:space="preserve"> </w:t>
      </w:r>
      <w:r w:rsidR="005903D2" w:rsidRPr="00954547">
        <w:rPr>
          <w:rFonts w:cs="Tahoma"/>
          <w:color w:val="auto"/>
          <w:lang w:val="en-US"/>
        </w:rPr>
        <w:t>5(2)</w:t>
      </w:r>
      <w:r w:rsidR="005E0FD1" w:rsidRPr="00954547">
        <w:rPr>
          <w:rFonts w:cs="Tahoma"/>
          <w:color w:val="auto"/>
          <w:lang w:val="en-US"/>
        </w:rPr>
        <w:t xml:space="preserve"> of the American Convention</w:t>
      </w:r>
      <w:r w:rsidR="001C4516" w:rsidRPr="00954547">
        <w:rPr>
          <w:rFonts w:cs="Tahoma"/>
          <w:color w:val="auto"/>
          <w:lang w:val="en-US"/>
        </w:rPr>
        <w:t>.</w:t>
      </w:r>
      <w:bookmarkEnd w:id="89"/>
    </w:p>
    <w:p w14:paraId="7F3C5B94" w14:textId="4D1CEC54" w:rsidR="00683EB1" w:rsidRPr="00954547" w:rsidRDefault="00E9754F" w:rsidP="00386B24">
      <w:pPr>
        <w:pStyle w:val="Numberedparagraphs"/>
        <w:tabs>
          <w:tab w:val="clear" w:pos="720"/>
          <w:tab w:val="left" w:pos="567"/>
        </w:tabs>
        <w:rPr>
          <w:lang w:val="en-US"/>
        </w:rPr>
      </w:pPr>
      <w:r w:rsidRPr="00954547">
        <w:rPr>
          <w:lang w:val="en-US"/>
        </w:rPr>
        <w:t xml:space="preserve">Based on the above, the Court concludes that the State failed to comply with the obligation to provide </w:t>
      </w:r>
      <w:r w:rsidR="00607E12" w:rsidRPr="00954547">
        <w:rPr>
          <w:lang w:val="en-US"/>
        </w:rPr>
        <w:t>the presumed victim</w:t>
      </w:r>
      <w:r w:rsidR="00683EB1" w:rsidRPr="00954547">
        <w:rPr>
          <w:lang w:val="en-US"/>
        </w:rPr>
        <w:t xml:space="preserve"> </w:t>
      </w:r>
      <w:r w:rsidRPr="00954547">
        <w:rPr>
          <w:lang w:val="en-US"/>
        </w:rPr>
        <w:t xml:space="preserve">with acceptable and quality medical care and, consequently, this amounted to a violation of the rights to </w:t>
      </w:r>
      <w:r w:rsidR="00144817" w:rsidRPr="00954547">
        <w:rPr>
          <w:lang w:val="en-US"/>
        </w:rPr>
        <w:t>personal integrity</w:t>
      </w:r>
      <w:r w:rsidR="0078694F" w:rsidRPr="00954547">
        <w:rPr>
          <w:lang w:val="en-US"/>
        </w:rPr>
        <w:t xml:space="preserve"> and</w:t>
      </w:r>
      <w:r w:rsidR="00B562B1" w:rsidRPr="00954547">
        <w:rPr>
          <w:lang w:val="en-US"/>
        </w:rPr>
        <w:t xml:space="preserve"> to health</w:t>
      </w:r>
      <w:r w:rsidR="001C4516" w:rsidRPr="00954547">
        <w:rPr>
          <w:lang w:val="en-US"/>
        </w:rPr>
        <w:t xml:space="preserve">, </w:t>
      </w:r>
      <w:r w:rsidRPr="00954547">
        <w:rPr>
          <w:lang w:val="en-US"/>
        </w:rPr>
        <w:t>established in</w:t>
      </w:r>
      <w:r w:rsidR="001C4516" w:rsidRPr="00954547">
        <w:rPr>
          <w:lang w:val="en-US"/>
        </w:rPr>
        <w:t xml:space="preserve"> </w:t>
      </w:r>
      <w:r w:rsidR="00A17F8C" w:rsidRPr="00954547">
        <w:rPr>
          <w:lang w:val="en-US"/>
        </w:rPr>
        <w:t>Articles</w:t>
      </w:r>
      <w:r w:rsidR="001C4516" w:rsidRPr="00954547">
        <w:rPr>
          <w:lang w:val="en-US"/>
        </w:rPr>
        <w:t xml:space="preserve"> 5</w:t>
      </w:r>
      <w:r w:rsidR="0078694F" w:rsidRPr="00954547">
        <w:rPr>
          <w:lang w:val="en-US"/>
        </w:rPr>
        <w:t xml:space="preserve"> and </w:t>
      </w:r>
      <w:r w:rsidR="001C4516" w:rsidRPr="00954547">
        <w:rPr>
          <w:lang w:val="en-US"/>
        </w:rPr>
        <w:t>26</w:t>
      </w:r>
      <w:r w:rsidR="005E0FD1" w:rsidRPr="00954547">
        <w:rPr>
          <w:lang w:val="en-US"/>
        </w:rPr>
        <w:t xml:space="preserve"> of the American Convention</w:t>
      </w:r>
      <w:r w:rsidR="001C4516" w:rsidRPr="00954547">
        <w:rPr>
          <w:lang w:val="en-US"/>
        </w:rPr>
        <w:t>.</w:t>
      </w:r>
    </w:p>
    <w:p w14:paraId="4FCFADE8" w14:textId="0B97612D" w:rsidR="00683EB1" w:rsidRPr="00954547" w:rsidRDefault="00683EB1" w:rsidP="00F9245F">
      <w:pPr>
        <w:pStyle w:val="Heading3"/>
        <w:tabs>
          <w:tab w:val="left" w:pos="567"/>
        </w:tabs>
        <w:jc w:val="both"/>
        <w:rPr>
          <w:rStyle w:val="Heading3Char"/>
          <w:b/>
        </w:rPr>
      </w:pPr>
      <w:bookmarkStart w:id="90" w:name="_Toc106353922"/>
      <w:r w:rsidRPr="00954547">
        <w:t>B.3</w:t>
      </w:r>
      <w:r w:rsidRPr="00954547">
        <w:rPr>
          <w:b w:val="0"/>
        </w:rPr>
        <w:t xml:space="preserve"> </w:t>
      </w:r>
      <w:r w:rsidRPr="00954547">
        <w:rPr>
          <w:b w:val="0"/>
        </w:rPr>
        <w:tab/>
      </w:r>
      <w:r w:rsidR="00D817F3" w:rsidRPr="00954547">
        <w:rPr>
          <w:rStyle w:val="Heading3Char"/>
          <w:b/>
        </w:rPr>
        <w:t>The violation of medical confidentiality and the protection of personal data</w:t>
      </w:r>
      <w:bookmarkEnd w:id="90"/>
    </w:p>
    <w:p w14:paraId="6D4F6F7A" w14:textId="1641B18C" w:rsidR="00683EB1" w:rsidRPr="00954547" w:rsidRDefault="00E66FF2" w:rsidP="00AB759E">
      <w:pPr>
        <w:pStyle w:val="Numberedparagraphs"/>
        <w:tabs>
          <w:tab w:val="clear" w:pos="720"/>
          <w:tab w:val="left" w:pos="567"/>
        </w:tabs>
        <w:rPr>
          <w:lang w:val="en-US"/>
        </w:rPr>
      </w:pPr>
      <w:r w:rsidRPr="00954547">
        <w:rPr>
          <w:lang w:val="en-US"/>
        </w:rPr>
        <w:t>The ultimate aim of the provision of health</w:t>
      </w:r>
      <w:r w:rsidR="001B3C0B" w:rsidRPr="00954547">
        <w:rPr>
          <w:lang w:val="en-US"/>
        </w:rPr>
        <w:t xml:space="preserve"> services</w:t>
      </w:r>
      <w:r w:rsidRPr="00954547">
        <w:rPr>
          <w:lang w:val="en-US"/>
        </w:rPr>
        <w:t xml:space="preserve"> is to improve the mental and physical health of the patient.</w:t>
      </w:r>
      <w:r w:rsidR="00683EB1" w:rsidRPr="00954547">
        <w:rPr>
          <w:rStyle w:val="FootnoteReference"/>
          <w:lang w:val="en-US"/>
        </w:rPr>
        <w:footnoteReference w:id="335"/>
      </w:r>
      <w:r w:rsidRPr="00954547">
        <w:rPr>
          <w:lang w:val="en-US"/>
        </w:rPr>
        <w:t xml:space="preserve"> Indeed, the</w:t>
      </w:r>
      <w:r w:rsidR="001A2146" w:rsidRPr="00954547">
        <w:rPr>
          <w:lang w:val="en-US"/>
        </w:rPr>
        <w:t xml:space="preserve"> </w:t>
      </w:r>
      <w:r w:rsidRPr="00954547">
        <w:rPr>
          <w:lang w:val="en-US"/>
        </w:rPr>
        <w:t xml:space="preserve">Declaration </w:t>
      </w:r>
      <w:r w:rsidR="001A2146" w:rsidRPr="00954547">
        <w:rPr>
          <w:lang w:val="en-US"/>
        </w:rPr>
        <w:t xml:space="preserve">of Geneva </w:t>
      </w:r>
      <w:r w:rsidR="00053A7C" w:rsidRPr="00954547">
        <w:rPr>
          <w:lang w:val="en-US"/>
        </w:rPr>
        <w:t xml:space="preserve">of the </w:t>
      </w:r>
      <w:r w:rsidR="001A2146" w:rsidRPr="00954547">
        <w:rPr>
          <w:lang w:val="en-US"/>
        </w:rPr>
        <w:t>World Medical Association</w:t>
      </w:r>
      <w:r w:rsidR="00386B24" w:rsidRPr="00954547">
        <w:rPr>
          <w:lang w:val="en-US"/>
        </w:rPr>
        <w:t xml:space="preserve"> </w:t>
      </w:r>
      <w:r w:rsidR="00683EB1" w:rsidRPr="00954547">
        <w:rPr>
          <w:lang w:val="en-US"/>
        </w:rPr>
        <w:t>estab</w:t>
      </w:r>
      <w:r w:rsidR="001A2146" w:rsidRPr="00954547">
        <w:rPr>
          <w:lang w:val="en-US"/>
        </w:rPr>
        <w:t xml:space="preserve">lishes that </w:t>
      </w:r>
      <w:r w:rsidR="00AB759E" w:rsidRPr="00954547">
        <w:rPr>
          <w:lang w:val="en-US"/>
        </w:rPr>
        <w:t xml:space="preserve">for </w:t>
      </w:r>
      <w:r w:rsidR="001A2146" w:rsidRPr="00954547">
        <w:rPr>
          <w:lang w:val="en-US"/>
        </w:rPr>
        <w:t xml:space="preserve">members of the medical professions </w:t>
      </w:r>
      <w:r w:rsidR="00AB759E" w:rsidRPr="00954547">
        <w:rPr>
          <w:lang w:val="en-US"/>
        </w:rPr>
        <w:t>“t</w:t>
      </w:r>
      <w:r w:rsidR="00AB759E" w:rsidRPr="00954547">
        <w:rPr>
          <w:rFonts w:cs="Open Sans"/>
          <w:shd w:val="clear" w:color="auto" w:fill="FFFFFF"/>
          <w:lang w:val="en-US"/>
        </w:rPr>
        <w:t>he health and well-being of [the</w:t>
      </w:r>
      <w:r w:rsidR="001B3C0B" w:rsidRPr="00954547">
        <w:rPr>
          <w:rFonts w:cs="Open Sans"/>
          <w:shd w:val="clear" w:color="auto" w:fill="FFFFFF"/>
          <w:lang w:val="en-US"/>
        </w:rPr>
        <w:t>ir</w:t>
      </w:r>
      <w:r w:rsidR="00AB759E" w:rsidRPr="00954547">
        <w:rPr>
          <w:rFonts w:cs="Open Sans"/>
          <w:shd w:val="clear" w:color="auto" w:fill="FFFFFF"/>
          <w:lang w:val="en-US"/>
        </w:rPr>
        <w:t>] patient will be [their] first consideration</w:t>
      </w:r>
      <w:r w:rsidR="00AB759E" w:rsidRPr="00954547">
        <w:rPr>
          <w:lang w:val="en-US"/>
        </w:rPr>
        <w:t>.</w:t>
      </w:r>
      <w:r w:rsidR="00683EB1" w:rsidRPr="00954547">
        <w:rPr>
          <w:lang w:val="en-US"/>
        </w:rPr>
        <w:t>”</w:t>
      </w:r>
      <w:r w:rsidR="00683EB1" w:rsidRPr="00954547">
        <w:rPr>
          <w:rStyle w:val="FootnoteReference"/>
          <w:rFonts w:cs="Times New Roman"/>
          <w:lang w:val="en-US"/>
        </w:rPr>
        <w:footnoteReference w:id="336"/>
      </w:r>
      <w:r w:rsidR="00AB759E" w:rsidRPr="00954547">
        <w:rPr>
          <w:lang w:val="en-US"/>
        </w:rPr>
        <w:t xml:space="preserve"> Similarly, the International Code of Medical Ethics </w:t>
      </w:r>
      <w:r w:rsidR="00683EB1" w:rsidRPr="00954547">
        <w:rPr>
          <w:lang w:val="en-US"/>
        </w:rPr>
        <w:t xml:space="preserve"> </w:t>
      </w:r>
      <w:r w:rsidR="00AB759E" w:rsidRPr="00954547">
        <w:rPr>
          <w:lang w:val="en-US"/>
        </w:rPr>
        <w:t>of the World Medical Association</w:t>
      </w:r>
      <w:r w:rsidR="001B3C0B" w:rsidRPr="00954547">
        <w:rPr>
          <w:lang w:val="en-US"/>
        </w:rPr>
        <w:t xml:space="preserve"> indicates that </w:t>
      </w:r>
      <w:r w:rsidR="00696B01" w:rsidRPr="00954547">
        <w:rPr>
          <w:lang w:val="en-US"/>
        </w:rPr>
        <w:t>“[</w:t>
      </w:r>
      <w:r w:rsidR="001B3C0B" w:rsidRPr="00954547">
        <w:rPr>
          <w:lang w:val="en-US"/>
        </w:rPr>
        <w:t>t</w:t>
      </w:r>
      <w:r w:rsidR="00696B01" w:rsidRPr="00954547">
        <w:rPr>
          <w:lang w:val="en-US"/>
        </w:rPr>
        <w:t>]</w:t>
      </w:r>
      <w:r w:rsidR="001B3C0B" w:rsidRPr="00954547">
        <w:rPr>
          <w:lang w:val="en-US"/>
        </w:rPr>
        <w:t xml:space="preserve">he </w:t>
      </w:r>
      <w:r w:rsidR="00696B01" w:rsidRPr="00954547">
        <w:rPr>
          <w:lang w:val="en-US"/>
        </w:rPr>
        <w:t>physician</w:t>
      </w:r>
      <w:r w:rsidR="001B3C0B" w:rsidRPr="00954547">
        <w:rPr>
          <w:lang w:val="en-US"/>
        </w:rPr>
        <w:t xml:space="preserve"> </w:t>
      </w:r>
      <w:r w:rsidR="00696B01" w:rsidRPr="00954547">
        <w:rPr>
          <w:lang w:val="en-US"/>
        </w:rPr>
        <w:t>shall act in the patient’s best interest when providing medical care</w:t>
      </w:r>
      <w:r w:rsidR="00683EB1" w:rsidRPr="00954547">
        <w:rPr>
          <w:lang w:val="en-US"/>
        </w:rPr>
        <w:t>”</w:t>
      </w:r>
      <w:r w:rsidR="0078694F" w:rsidRPr="00954547">
        <w:rPr>
          <w:lang w:val="en-US"/>
        </w:rPr>
        <w:t xml:space="preserve"> and </w:t>
      </w:r>
      <w:r w:rsidR="00696B01" w:rsidRPr="00954547">
        <w:rPr>
          <w:lang w:val="en-US"/>
        </w:rPr>
        <w:t>“shall owe his/her patients complete loyalty.”</w:t>
      </w:r>
      <w:r w:rsidR="00683EB1" w:rsidRPr="00954547">
        <w:rPr>
          <w:rStyle w:val="FootnoteReference"/>
          <w:lang w:val="en-US"/>
        </w:rPr>
        <w:footnoteReference w:id="337"/>
      </w:r>
    </w:p>
    <w:p w14:paraId="50755E5D" w14:textId="09C21204" w:rsidR="00B25E70" w:rsidRPr="00954547" w:rsidRDefault="00696B01" w:rsidP="0064671A">
      <w:pPr>
        <w:pStyle w:val="Numberedparagraphs"/>
        <w:tabs>
          <w:tab w:val="clear" w:pos="720"/>
          <w:tab w:val="left" w:pos="567"/>
        </w:tabs>
        <w:rPr>
          <w:color w:val="auto"/>
          <w:lang w:val="en-US"/>
        </w:rPr>
      </w:pPr>
      <w:r w:rsidRPr="00954547">
        <w:rPr>
          <w:color w:val="auto"/>
          <w:lang w:val="en-US"/>
        </w:rPr>
        <w:t xml:space="preserve">To enable </w:t>
      </w:r>
      <w:r w:rsidR="00CC2596" w:rsidRPr="00954547">
        <w:rPr>
          <w:color w:val="auto"/>
          <w:lang w:val="en-US"/>
        </w:rPr>
        <w:t>medical staff</w:t>
      </w:r>
      <w:r w:rsidRPr="00954547">
        <w:rPr>
          <w:color w:val="auto"/>
          <w:lang w:val="en-US"/>
        </w:rPr>
        <w:t xml:space="preserve"> to provide</w:t>
      </w:r>
      <w:r w:rsidR="00E020A1" w:rsidRPr="00954547">
        <w:rPr>
          <w:color w:val="auto"/>
          <w:lang w:val="en-US"/>
        </w:rPr>
        <w:t xml:space="preserve"> the</w:t>
      </w:r>
      <w:r w:rsidRPr="00954547">
        <w:rPr>
          <w:color w:val="auto"/>
          <w:lang w:val="en-US"/>
        </w:rPr>
        <w:t xml:space="preserve"> appropriate medical treatment, the patient must feel able to share all necessary information with them.</w:t>
      </w:r>
      <w:r w:rsidR="00683EB1" w:rsidRPr="00954547">
        <w:rPr>
          <w:rStyle w:val="FootnoteReference"/>
          <w:color w:val="auto"/>
          <w:lang w:val="en-US"/>
        </w:rPr>
        <w:footnoteReference w:id="338"/>
      </w:r>
      <w:r w:rsidRPr="00954547">
        <w:rPr>
          <w:color w:val="auto"/>
          <w:lang w:val="en-US"/>
        </w:rPr>
        <w:t xml:space="preserve"> Therefore, it is essential that the information that patients share with </w:t>
      </w:r>
      <w:r w:rsidR="00CC2596" w:rsidRPr="00954547">
        <w:rPr>
          <w:color w:val="auto"/>
          <w:lang w:val="en-US"/>
        </w:rPr>
        <w:t>medical staff</w:t>
      </w:r>
      <w:r w:rsidRPr="00954547">
        <w:rPr>
          <w:color w:val="auto"/>
          <w:lang w:val="en-US"/>
        </w:rPr>
        <w:t xml:space="preserve"> </w:t>
      </w:r>
      <w:r w:rsidR="0064671A" w:rsidRPr="00954547">
        <w:rPr>
          <w:color w:val="auto"/>
          <w:lang w:val="en-US"/>
        </w:rPr>
        <w:t>is not divulged illegitimately.</w:t>
      </w:r>
      <w:r w:rsidR="00683EB1" w:rsidRPr="00954547">
        <w:rPr>
          <w:rStyle w:val="FootnoteReference"/>
          <w:color w:val="auto"/>
          <w:lang w:val="en-US"/>
        </w:rPr>
        <w:footnoteReference w:id="339"/>
      </w:r>
      <w:r w:rsidR="0064671A" w:rsidRPr="00954547">
        <w:rPr>
          <w:color w:val="auto"/>
          <w:lang w:val="en-US"/>
        </w:rPr>
        <w:t xml:space="preserve"> Thus, the </w:t>
      </w:r>
      <w:r w:rsidR="00B562B1" w:rsidRPr="00954547">
        <w:rPr>
          <w:color w:val="auto"/>
          <w:lang w:val="en-US"/>
        </w:rPr>
        <w:t>right to health</w:t>
      </w:r>
      <w:r w:rsidR="00683EB1" w:rsidRPr="00954547">
        <w:rPr>
          <w:color w:val="auto"/>
          <w:lang w:val="en-US"/>
        </w:rPr>
        <w:t xml:space="preserve"> </w:t>
      </w:r>
      <w:r w:rsidR="0064671A" w:rsidRPr="00954547">
        <w:rPr>
          <w:color w:val="auto"/>
          <w:lang w:val="en-US"/>
        </w:rPr>
        <w:t xml:space="preserve">means that, for health care to be acceptable, </w:t>
      </w:r>
      <w:r w:rsidR="008B7942" w:rsidRPr="00954547">
        <w:rPr>
          <w:color w:val="auto"/>
          <w:lang w:val="en-US"/>
        </w:rPr>
        <w:t>“</w:t>
      </w:r>
      <w:r w:rsidR="008B7942" w:rsidRPr="00954547">
        <w:rPr>
          <w:lang w:val="en-US"/>
        </w:rPr>
        <w:t>personal health data [must be] treated with confidentiality</w:t>
      </w:r>
      <w:r w:rsidR="0064671A" w:rsidRPr="00954547">
        <w:rPr>
          <w:color w:val="auto"/>
          <w:lang w:val="en-US"/>
        </w:rPr>
        <w:t>.</w:t>
      </w:r>
      <w:r w:rsidR="00683EB1" w:rsidRPr="00954547">
        <w:rPr>
          <w:lang w:val="en-US"/>
        </w:rPr>
        <w:t>”</w:t>
      </w:r>
      <w:r w:rsidR="00683EB1" w:rsidRPr="00954547">
        <w:rPr>
          <w:rStyle w:val="FootnoteReference"/>
          <w:lang w:val="en-US"/>
        </w:rPr>
        <w:footnoteReference w:id="340"/>
      </w:r>
      <w:r w:rsidR="00683EB1" w:rsidRPr="00954547">
        <w:rPr>
          <w:lang w:val="en-US"/>
        </w:rPr>
        <w:t xml:space="preserve"> </w:t>
      </w:r>
    </w:p>
    <w:p w14:paraId="1C83EFD3" w14:textId="505D4D0A" w:rsidR="00C34BD2" w:rsidRPr="00954547" w:rsidRDefault="008B7942" w:rsidP="008B7942">
      <w:pPr>
        <w:pStyle w:val="Numberedparagraphs"/>
        <w:tabs>
          <w:tab w:val="left" w:pos="567"/>
        </w:tabs>
        <w:rPr>
          <w:lang w:val="en-US"/>
        </w:rPr>
      </w:pPr>
      <w:r w:rsidRPr="00954547">
        <w:rPr>
          <w:lang w:val="en-US"/>
        </w:rPr>
        <w:t>In addition</w:t>
      </w:r>
      <w:r w:rsidR="00683EB1" w:rsidRPr="00954547">
        <w:rPr>
          <w:lang w:val="en-US"/>
        </w:rPr>
        <w:t xml:space="preserve">, </w:t>
      </w:r>
      <w:r w:rsidR="00A17F8C" w:rsidRPr="00954547">
        <w:rPr>
          <w:lang w:val="en-US"/>
        </w:rPr>
        <w:t>Article</w:t>
      </w:r>
      <w:r w:rsidR="00683EB1" w:rsidRPr="00954547">
        <w:rPr>
          <w:lang w:val="en-US"/>
        </w:rPr>
        <w:t xml:space="preserve"> 11 </w:t>
      </w:r>
      <w:r w:rsidR="005E0FD1" w:rsidRPr="00954547">
        <w:rPr>
          <w:lang w:val="en-US"/>
        </w:rPr>
        <w:t>of the Convention</w:t>
      </w:r>
      <w:r w:rsidR="00683EB1" w:rsidRPr="00954547">
        <w:rPr>
          <w:lang w:val="en-US"/>
        </w:rPr>
        <w:t xml:space="preserve"> proh</w:t>
      </w:r>
      <w:r w:rsidRPr="00954547">
        <w:rPr>
          <w:lang w:val="en-US"/>
        </w:rPr>
        <w:t>ibits any arbitrary or abusive interference in a person’s private life, and spells out various areas of this, such as the privacy of his family, his home or his correspondence. Privacy includes the way in which the individual sees himself and how he decides he wishes to be seen by others,</w:t>
      </w:r>
      <w:r w:rsidR="00683EB1" w:rsidRPr="00954547">
        <w:rPr>
          <w:vertAlign w:val="superscript"/>
          <w:lang w:val="en-US"/>
        </w:rPr>
        <w:footnoteReference w:id="341"/>
      </w:r>
      <w:r w:rsidR="0078694F" w:rsidRPr="00954547">
        <w:rPr>
          <w:lang w:val="en-US"/>
        </w:rPr>
        <w:t xml:space="preserve"> and </w:t>
      </w:r>
      <w:r w:rsidRPr="00954547">
        <w:rPr>
          <w:lang w:val="en-US"/>
        </w:rPr>
        <w:t>is an essential condition for the free development of the persona.</w:t>
      </w:r>
      <w:r w:rsidR="00683EB1" w:rsidRPr="00954547">
        <w:rPr>
          <w:vertAlign w:val="superscript"/>
          <w:lang w:val="en-US"/>
        </w:rPr>
        <w:footnoteReference w:id="342"/>
      </w:r>
      <w:r w:rsidRPr="00954547">
        <w:rPr>
          <w:lang w:val="en-US"/>
        </w:rPr>
        <w:t xml:space="preserve"> In addition, it is related to: (i) reproductive autonomy, and (ii) access to reproductive health services.</w:t>
      </w:r>
      <w:r w:rsidR="00E3441A" w:rsidRPr="00954547">
        <w:rPr>
          <w:rStyle w:val="FootnoteReference"/>
          <w:lang w:val="en-US"/>
        </w:rPr>
        <w:footnoteReference w:id="343"/>
      </w:r>
    </w:p>
    <w:p w14:paraId="5FEFD286" w14:textId="4C18BAB4" w:rsidR="00683EB1" w:rsidRPr="00954547" w:rsidRDefault="003F4004" w:rsidP="00C34BD2">
      <w:pPr>
        <w:pStyle w:val="Numberedparagraphs"/>
        <w:tabs>
          <w:tab w:val="left" w:pos="567"/>
        </w:tabs>
        <w:rPr>
          <w:lang w:val="en-US"/>
        </w:rPr>
      </w:pPr>
      <w:r w:rsidRPr="00954547">
        <w:rPr>
          <w:lang w:val="en-US"/>
        </w:rPr>
        <w:t xml:space="preserve">Even though personal health data is not explicitly established in </w:t>
      </w:r>
      <w:r w:rsidR="00A17F8C" w:rsidRPr="00954547">
        <w:rPr>
          <w:lang w:val="en-US"/>
        </w:rPr>
        <w:t>Article</w:t>
      </w:r>
      <w:r w:rsidR="00683EB1" w:rsidRPr="00954547">
        <w:rPr>
          <w:lang w:val="en-US"/>
        </w:rPr>
        <w:t xml:space="preserve"> 11 </w:t>
      </w:r>
      <w:r w:rsidR="005E0FD1" w:rsidRPr="00954547">
        <w:rPr>
          <w:lang w:val="en-US"/>
        </w:rPr>
        <w:t>of the Convention</w:t>
      </w:r>
      <w:r w:rsidR="00683EB1" w:rsidRPr="00954547">
        <w:rPr>
          <w:lang w:val="en-US"/>
        </w:rPr>
        <w:t xml:space="preserve">, </w:t>
      </w:r>
      <w:r w:rsidRPr="00954547">
        <w:rPr>
          <w:lang w:val="en-US"/>
        </w:rPr>
        <w:t xml:space="preserve">this is information that described the most sensitive or delicate aspects of </w:t>
      </w:r>
      <w:r w:rsidR="00E20403" w:rsidRPr="00954547">
        <w:rPr>
          <w:lang w:val="en-US"/>
        </w:rPr>
        <w:t>an individual</w:t>
      </w:r>
      <w:r w:rsidRPr="00954547">
        <w:rPr>
          <w:lang w:val="en-US"/>
        </w:rPr>
        <w:t>, so that it should be understood as protected by the right to privacy.</w:t>
      </w:r>
      <w:r w:rsidR="00683EB1" w:rsidRPr="00954547">
        <w:rPr>
          <w:rStyle w:val="FootnoteReference"/>
          <w:lang w:val="en-US"/>
        </w:rPr>
        <w:footnoteReference w:id="344"/>
      </w:r>
      <w:r w:rsidRPr="00954547">
        <w:rPr>
          <w:lang w:val="en-US"/>
        </w:rPr>
        <w:t xml:space="preserve"> Information on </w:t>
      </w:r>
      <w:r w:rsidR="00E20403" w:rsidRPr="00954547">
        <w:rPr>
          <w:lang w:val="en-US"/>
        </w:rPr>
        <w:t xml:space="preserve">an individual’s </w:t>
      </w:r>
      <w:r w:rsidRPr="00954547">
        <w:rPr>
          <w:lang w:val="en-US"/>
        </w:rPr>
        <w:t>sex life should also be considered as personal and highly sensitive.</w:t>
      </w:r>
      <w:r w:rsidR="00C34BD2" w:rsidRPr="00954547">
        <w:rPr>
          <w:rStyle w:val="FootnoteReference"/>
          <w:lang w:val="en-US"/>
        </w:rPr>
        <w:footnoteReference w:id="345"/>
      </w:r>
    </w:p>
    <w:p w14:paraId="0E6C385F" w14:textId="715DBA7C" w:rsidR="00683EB1" w:rsidRPr="00954547" w:rsidRDefault="00DD24CB" w:rsidP="0079019D">
      <w:pPr>
        <w:pStyle w:val="Numberedparagraphs"/>
        <w:tabs>
          <w:tab w:val="left" w:pos="567"/>
        </w:tabs>
        <w:rPr>
          <w:lang w:val="en-US"/>
        </w:rPr>
      </w:pPr>
      <w:r w:rsidRPr="00954547">
        <w:rPr>
          <w:lang w:val="en-US"/>
        </w:rPr>
        <w:t xml:space="preserve">Based on the right to </w:t>
      </w:r>
      <w:r w:rsidR="0078694F" w:rsidRPr="00954547">
        <w:rPr>
          <w:lang w:val="en-US"/>
        </w:rPr>
        <w:t xml:space="preserve">privacy and </w:t>
      </w:r>
      <w:r w:rsidRPr="00954547">
        <w:rPr>
          <w:lang w:val="en-US"/>
        </w:rPr>
        <w:t>the</w:t>
      </w:r>
      <w:r w:rsidR="00B25E70" w:rsidRPr="00954547">
        <w:rPr>
          <w:lang w:val="en-US"/>
        </w:rPr>
        <w:t xml:space="preserve"> </w:t>
      </w:r>
      <w:r w:rsidR="00B562B1" w:rsidRPr="00954547">
        <w:rPr>
          <w:lang w:val="en-US"/>
        </w:rPr>
        <w:t>right to health</w:t>
      </w:r>
      <w:r w:rsidR="00E3441A" w:rsidRPr="00954547">
        <w:rPr>
          <w:lang w:val="en-US"/>
        </w:rPr>
        <w:t xml:space="preserve">, </w:t>
      </w:r>
      <w:r w:rsidRPr="00954547">
        <w:rPr>
          <w:lang w:val="en-US"/>
        </w:rPr>
        <w:t xml:space="preserve">everyone has the right to the confidentiality of medical </w:t>
      </w:r>
      <w:r w:rsidR="00E20403" w:rsidRPr="00954547">
        <w:rPr>
          <w:lang w:val="en-US"/>
        </w:rPr>
        <w:t>attention</w:t>
      </w:r>
      <w:r w:rsidRPr="00954547">
        <w:rPr>
          <w:lang w:val="en-US"/>
        </w:rPr>
        <w:t xml:space="preserve"> and the protection of their health data. As a result of this protection, the information that physicians obtain in the exercise of their profession must not be disclosed and is protected by professional secrecy.</w:t>
      </w:r>
      <w:r w:rsidR="00683EB1" w:rsidRPr="00954547">
        <w:rPr>
          <w:rStyle w:val="FootnoteReference"/>
          <w:lang w:val="en-US"/>
        </w:rPr>
        <w:footnoteReference w:id="346"/>
      </w:r>
      <w:r w:rsidRPr="00954547">
        <w:rPr>
          <w:lang w:val="en-US"/>
        </w:rPr>
        <w:t xml:space="preserve"> This includes </w:t>
      </w:r>
      <w:r w:rsidR="0079019D" w:rsidRPr="00954547">
        <w:rPr>
          <w:lang w:val="en-US"/>
        </w:rPr>
        <w:t>b</w:t>
      </w:r>
      <w:r w:rsidRPr="00954547">
        <w:rPr>
          <w:lang w:val="en-US"/>
        </w:rPr>
        <w:t>oth the information</w:t>
      </w:r>
      <w:r w:rsidR="0079019D" w:rsidRPr="00954547">
        <w:rPr>
          <w:lang w:val="en-US"/>
        </w:rPr>
        <w:t xml:space="preserve"> shared by the patient while being treated, and also the physical evidence that the </w:t>
      </w:r>
      <w:r w:rsidR="00CC2596" w:rsidRPr="00954547">
        <w:rPr>
          <w:lang w:val="en-US"/>
        </w:rPr>
        <w:t>medical staff</w:t>
      </w:r>
      <w:r w:rsidR="0079019D" w:rsidRPr="00954547">
        <w:rPr>
          <w:lang w:val="en-US"/>
        </w:rPr>
        <w:t xml:space="preserve"> may observe while providing this treatment. Thus, physicians have a right and a duty to ensure the confidentiality of the information to which they have access in their capacity as physicians.</w:t>
      </w:r>
      <w:r w:rsidR="00683EB1" w:rsidRPr="00954547">
        <w:rPr>
          <w:rStyle w:val="FootnoteReference"/>
          <w:lang w:val="en-US"/>
        </w:rPr>
        <w:footnoteReference w:id="347"/>
      </w:r>
      <w:r w:rsidR="0079019D" w:rsidRPr="00954547">
        <w:rPr>
          <w:lang w:val="en-US"/>
        </w:rPr>
        <w:t xml:space="preserve"> This obligation </w:t>
      </w:r>
      <w:r w:rsidR="00E20403" w:rsidRPr="00954547">
        <w:rPr>
          <w:lang w:val="en-US"/>
        </w:rPr>
        <w:t>to</w:t>
      </w:r>
      <w:r w:rsidR="0079019D" w:rsidRPr="00954547">
        <w:rPr>
          <w:lang w:val="en-US"/>
        </w:rPr>
        <w:t xml:space="preserve"> respect </w:t>
      </w:r>
      <w:r w:rsidR="00674DA3" w:rsidRPr="00954547">
        <w:rPr>
          <w:lang w:val="en-US"/>
        </w:rPr>
        <w:t xml:space="preserve">professional </w:t>
      </w:r>
      <w:r w:rsidR="00E20403" w:rsidRPr="00954547">
        <w:rPr>
          <w:lang w:val="en-US"/>
        </w:rPr>
        <w:t>secrec</w:t>
      </w:r>
      <w:r w:rsidR="00674DA3" w:rsidRPr="00954547">
        <w:rPr>
          <w:lang w:val="en-US"/>
        </w:rPr>
        <w:t>y</w:t>
      </w:r>
      <w:r w:rsidR="0079019D" w:rsidRPr="00954547">
        <w:rPr>
          <w:lang w:val="en-US"/>
        </w:rPr>
        <w:t xml:space="preserve"> </w:t>
      </w:r>
      <w:r w:rsidR="00683EB1" w:rsidRPr="00954547">
        <w:rPr>
          <w:lang w:val="en-US"/>
        </w:rPr>
        <w:t>ha</w:t>
      </w:r>
      <w:r w:rsidR="0079019D" w:rsidRPr="00954547">
        <w:rPr>
          <w:lang w:val="en-US"/>
        </w:rPr>
        <w:t xml:space="preserve">s been recognized in various instruments on </w:t>
      </w:r>
      <w:r w:rsidR="00EE0FC2" w:rsidRPr="00954547">
        <w:rPr>
          <w:lang w:val="en-US"/>
        </w:rPr>
        <w:t>medical</w:t>
      </w:r>
      <w:r w:rsidR="0079019D" w:rsidRPr="00954547">
        <w:rPr>
          <w:lang w:val="en-US"/>
        </w:rPr>
        <w:t xml:space="preserve"> ethics</w:t>
      </w:r>
      <w:r w:rsidR="00EE0FC2" w:rsidRPr="00954547">
        <w:rPr>
          <w:lang w:val="en-US"/>
        </w:rPr>
        <w:t>, including the Hippocratic oath,</w:t>
      </w:r>
      <w:r w:rsidR="00683EB1" w:rsidRPr="00954547">
        <w:rPr>
          <w:rStyle w:val="FootnoteReference"/>
          <w:lang w:val="en-US"/>
        </w:rPr>
        <w:footnoteReference w:id="348"/>
      </w:r>
      <w:r w:rsidR="00EE0FC2" w:rsidRPr="00954547">
        <w:rPr>
          <w:lang w:val="en-US"/>
        </w:rPr>
        <w:t xml:space="preserve"> the</w:t>
      </w:r>
      <w:r w:rsidR="00855320" w:rsidRPr="00954547">
        <w:rPr>
          <w:lang w:val="en-US"/>
        </w:rPr>
        <w:t xml:space="preserve"> </w:t>
      </w:r>
      <w:r w:rsidRPr="00954547">
        <w:rPr>
          <w:rFonts w:cs="Times New Roman"/>
          <w:lang w:val="en-US"/>
        </w:rPr>
        <w:t>Universal Declaration on Bioethics and Human Rights</w:t>
      </w:r>
      <w:r w:rsidR="00EE0FC2" w:rsidRPr="00954547">
        <w:rPr>
          <w:rFonts w:cs="Times New Roman"/>
          <w:lang w:val="en-US"/>
        </w:rPr>
        <w:t>,</w:t>
      </w:r>
      <w:r w:rsidR="00855320" w:rsidRPr="00954547">
        <w:rPr>
          <w:rStyle w:val="FootnoteReference"/>
          <w:lang w:val="en-US"/>
        </w:rPr>
        <w:footnoteReference w:id="349"/>
      </w:r>
      <w:r w:rsidR="00855320" w:rsidRPr="00954547">
        <w:rPr>
          <w:lang w:val="en-US"/>
        </w:rPr>
        <w:t xml:space="preserve"> </w:t>
      </w:r>
      <w:r w:rsidR="00EE0FC2" w:rsidRPr="00954547">
        <w:rPr>
          <w:lang w:val="en-US"/>
        </w:rPr>
        <w:t>the</w:t>
      </w:r>
      <w:r w:rsidR="00683EB1" w:rsidRPr="00954547">
        <w:rPr>
          <w:lang w:val="en-US"/>
        </w:rPr>
        <w:t xml:space="preserve"> </w:t>
      </w:r>
      <w:r w:rsidR="001B3C0B" w:rsidRPr="00954547">
        <w:rPr>
          <w:lang w:val="en-US"/>
        </w:rPr>
        <w:t>Declaration of Geneva</w:t>
      </w:r>
      <w:r w:rsidR="00683EB1" w:rsidRPr="00954547">
        <w:rPr>
          <w:lang w:val="en-US"/>
        </w:rPr>
        <w:t xml:space="preserve"> ad</w:t>
      </w:r>
      <w:r w:rsidR="00EE0FC2" w:rsidRPr="00954547">
        <w:rPr>
          <w:lang w:val="en-US"/>
        </w:rPr>
        <w:t xml:space="preserve">opted by </w:t>
      </w:r>
      <w:r w:rsidR="00653769" w:rsidRPr="00954547">
        <w:rPr>
          <w:lang w:val="en-US"/>
        </w:rPr>
        <w:t xml:space="preserve">the </w:t>
      </w:r>
      <w:r w:rsidR="001A2146" w:rsidRPr="00954547">
        <w:rPr>
          <w:lang w:val="en-US"/>
        </w:rPr>
        <w:t>World Medical Association</w:t>
      </w:r>
      <w:r w:rsidR="00683EB1" w:rsidRPr="00954547">
        <w:rPr>
          <w:lang w:val="en-US"/>
        </w:rPr>
        <w:t xml:space="preserve"> </w:t>
      </w:r>
      <w:r w:rsidR="00EE0FC2" w:rsidRPr="00954547">
        <w:rPr>
          <w:lang w:val="en-US"/>
        </w:rPr>
        <w:t>i</w:t>
      </w:r>
      <w:r w:rsidR="00683EB1" w:rsidRPr="00954547">
        <w:rPr>
          <w:lang w:val="en-US"/>
        </w:rPr>
        <w:t>n 1948</w:t>
      </w:r>
      <w:r w:rsidR="00EE0FC2" w:rsidRPr="00954547">
        <w:rPr>
          <w:lang w:val="en-US"/>
        </w:rPr>
        <w:t>,</w:t>
      </w:r>
      <w:r w:rsidR="00683EB1" w:rsidRPr="00954547">
        <w:rPr>
          <w:rStyle w:val="FootnoteReference"/>
          <w:rFonts w:cs="Times New Roman"/>
          <w:lang w:val="en-US"/>
        </w:rPr>
        <w:footnoteReference w:id="350"/>
      </w:r>
      <w:r w:rsidR="00683EB1" w:rsidRPr="00954547">
        <w:rPr>
          <w:rFonts w:cs="Times New Roman"/>
          <w:lang w:val="en-US"/>
        </w:rPr>
        <w:t xml:space="preserve"> </w:t>
      </w:r>
      <w:r w:rsidR="001B3C0B" w:rsidRPr="00954547">
        <w:rPr>
          <w:rFonts w:cs="Times New Roman"/>
          <w:lang w:val="en-US"/>
        </w:rPr>
        <w:t>the International Code of Medical Ethics</w:t>
      </w:r>
      <w:r w:rsidR="00683EB1" w:rsidRPr="00954547">
        <w:rPr>
          <w:rStyle w:val="FootnoteReference"/>
          <w:lang w:val="en-US"/>
        </w:rPr>
        <w:footnoteReference w:id="351"/>
      </w:r>
      <w:r w:rsidR="0078694F" w:rsidRPr="00954547">
        <w:rPr>
          <w:lang w:val="en-US"/>
        </w:rPr>
        <w:t xml:space="preserve"> and </w:t>
      </w:r>
      <w:r w:rsidR="00EE0FC2" w:rsidRPr="00954547">
        <w:rPr>
          <w:lang w:val="en-US"/>
        </w:rPr>
        <w:t>the Declaration of Lisbon on the Rights of the Patient.</w:t>
      </w:r>
      <w:r w:rsidR="00683EB1" w:rsidRPr="00954547">
        <w:rPr>
          <w:rStyle w:val="FootnoteReference"/>
          <w:rFonts w:eastAsia="Times New Roman"/>
          <w:lang w:val="en-US" w:eastAsia="es-CR"/>
        </w:rPr>
        <w:footnoteReference w:id="352"/>
      </w:r>
    </w:p>
    <w:p w14:paraId="68BB583F" w14:textId="0160FB8A" w:rsidR="00683EB1" w:rsidRPr="00954547" w:rsidRDefault="00E276B6" w:rsidP="006D5A9B">
      <w:pPr>
        <w:pStyle w:val="Numberedparagraphs"/>
        <w:tabs>
          <w:tab w:val="left" w:pos="567"/>
        </w:tabs>
        <w:rPr>
          <w:sz w:val="18"/>
          <w:szCs w:val="18"/>
          <w:lang w:val="en-US"/>
        </w:rPr>
      </w:pPr>
      <w:r w:rsidRPr="00954547">
        <w:rPr>
          <w:lang w:val="en-US"/>
        </w:rPr>
        <w:t xml:space="preserve">Nevertheless, the confidentiality of medical care and the protection of health data is not an absolute right and, therefore, may be restricted by States provided that the interference is not abusive or arbitrary; accordingly, </w:t>
      </w:r>
      <w:r w:rsidR="00E20403" w:rsidRPr="00954547">
        <w:rPr>
          <w:lang w:val="en-US"/>
        </w:rPr>
        <w:t>this</w:t>
      </w:r>
      <w:r w:rsidRPr="00954547">
        <w:rPr>
          <w:lang w:val="en-US"/>
        </w:rPr>
        <w:t xml:space="preserve"> must be established by law, pursue a legitimate purpose and be necessary in a democratic society.</w:t>
      </w:r>
      <w:r w:rsidR="00683EB1" w:rsidRPr="00954547">
        <w:rPr>
          <w:rStyle w:val="FootnoteReference"/>
          <w:lang w:val="en-US"/>
        </w:rPr>
        <w:footnoteReference w:id="353"/>
      </w:r>
      <w:r w:rsidR="006D5A9B" w:rsidRPr="00954547">
        <w:rPr>
          <w:lang w:val="en-US"/>
        </w:rPr>
        <w:t xml:space="preserve"> Similarly, there are exceptions to the obligation of physicians to respect </w:t>
      </w:r>
      <w:r w:rsidR="00674DA3" w:rsidRPr="00954547">
        <w:rPr>
          <w:lang w:val="en-US"/>
        </w:rPr>
        <w:t xml:space="preserve">professional </w:t>
      </w:r>
      <w:r w:rsidR="00E20403" w:rsidRPr="00954547">
        <w:rPr>
          <w:lang w:val="en-US"/>
        </w:rPr>
        <w:t>secrecy</w:t>
      </w:r>
      <w:r w:rsidR="006D5A9B" w:rsidRPr="00954547">
        <w:rPr>
          <w:lang w:val="en-US"/>
        </w:rPr>
        <w:t>.</w:t>
      </w:r>
      <w:r w:rsidR="00683EB1" w:rsidRPr="00954547">
        <w:rPr>
          <w:rStyle w:val="FootnoteReference"/>
          <w:lang w:val="en-US"/>
        </w:rPr>
        <w:footnoteReference w:id="354"/>
      </w:r>
    </w:p>
    <w:p w14:paraId="76354A84" w14:textId="7AEAE550" w:rsidR="00683EB1" w:rsidRPr="00954547" w:rsidRDefault="006D5A9B" w:rsidP="00386B24">
      <w:pPr>
        <w:pStyle w:val="Numberedparagraphs"/>
        <w:tabs>
          <w:tab w:val="left" w:pos="567"/>
        </w:tabs>
        <w:rPr>
          <w:lang w:val="en-US"/>
        </w:rPr>
      </w:pPr>
      <w:r w:rsidRPr="00954547">
        <w:rPr>
          <w:lang w:val="en-US"/>
        </w:rPr>
        <w:t xml:space="preserve">In the instant case, the information that Manuela shared with the health personnel was private. </w:t>
      </w:r>
      <w:r w:rsidR="00683EB1" w:rsidRPr="00954547">
        <w:rPr>
          <w:color w:val="auto"/>
          <w:lang w:val="en-US"/>
        </w:rPr>
        <w:t xml:space="preserve">Manuela </w:t>
      </w:r>
      <w:r w:rsidRPr="00954547">
        <w:rPr>
          <w:color w:val="auto"/>
          <w:lang w:val="en-US"/>
        </w:rPr>
        <w:t xml:space="preserve">did not authorize its disclosure; despite this, it was disclosed on at least three occasions: </w:t>
      </w:r>
      <w:r w:rsidR="00683EB1" w:rsidRPr="00954547">
        <w:rPr>
          <w:rFonts w:cs="Times New Roman"/>
          <w:color w:val="auto"/>
          <w:lang w:val="en-US"/>
        </w:rPr>
        <w:t xml:space="preserve">(1) </w:t>
      </w:r>
      <w:r w:rsidRPr="00954547">
        <w:rPr>
          <w:rFonts w:cs="Times New Roman"/>
          <w:color w:val="auto"/>
          <w:lang w:val="en-US"/>
        </w:rPr>
        <w:t>when</w:t>
      </w:r>
      <w:r w:rsidR="00683EB1" w:rsidRPr="00954547">
        <w:rPr>
          <w:rFonts w:cs="Times New Roman"/>
          <w:color w:val="auto"/>
          <w:lang w:val="en-US"/>
        </w:rPr>
        <w:t xml:space="preserve"> </w:t>
      </w:r>
      <w:r w:rsidR="00354B24" w:rsidRPr="00954547">
        <w:rPr>
          <w:rFonts w:cs="Times New Roman"/>
          <w:color w:val="auto"/>
          <w:lang w:val="en-US"/>
        </w:rPr>
        <w:t>the treating physician</w:t>
      </w:r>
      <w:r w:rsidR="00683EB1" w:rsidRPr="00954547">
        <w:rPr>
          <w:rFonts w:cs="Times New Roman"/>
          <w:color w:val="auto"/>
          <w:lang w:val="en-US"/>
        </w:rPr>
        <w:t xml:space="preserve"> </w:t>
      </w:r>
      <w:r w:rsidR="0053026C" w:rsidRPr="00954547">
        <w:rPr>
          <w:rFonts w:cs="Times New Roman"/>
          <w:color w:val="auto"/>
          <w:lang w:val="en-US"/>
        </w:rPr>
        <w:t>filed the complaint against</w:t>
      </w:r>
      <w:r w:rsidR="00683EB1" w:rsidRPr="00954547">
        <w:rPr>
          <w:rFonts w:cs="Times New Roman"/>
          <w:color w:val="auto"/>
          <w:lang w:val="en-US"/>
        </w:rPr>
        <w:t xml:space="preserve"> Manuela; (2)</w:t>
      </w:r>
      <w:r w:rsidRPr="00954547">
        <w:rPr>
          <w:rFonts w:cs="Times New Roman"/>
          <w:color w:val="auto"/>
          <w:lang w:val="en-US"/>
        </w:rPr>
        <w:t xml:space="preserve"> when the physician gave her statement </w:t>
      </w:r>
      <w:r w:rsidR="0032123B" w:rsidRPr="00954547">
        <w:rPr>
          <w:rFonts w:cs="Times New Roman"/>
          <w:color w:val="auto"/>
          <w:lang w:val="en-US"/>
        </w:rPr>
        <w:t>on February 28,</w:t>
      </w:r>
      <w:r w:rsidR="00807553" w:rsidRPr="00954547">
        <w:rPr>
          <w:rFonts w:cs="Times New Roman"/>
          <w:color w:val="auto"/>
          <w:lang w:val="en-US"/>
        </w:rPr>
        <w:t xml:space="preserve"> 2008</w:t>
      </w:r>
      <w:r w:rsidR="00683EB1" w:rsidRPr="00954547">
        <w:rPr>
          <w:rFonts w:cs="Times New Roman"/>
          <w:color w:val="auto"/>
          <w:lang w:val="en-US"/>
        </w:rPr>
        <w:t>,</w:t>
      </w:r>
      <w:r w:rsidR="0078694F" w:rsidRPr="00954547">
        <w:rPr>
          <w:rFonts w:cs="Times New Roman"/>
          <w:color w:val="auto"/>
          <w:lang w:val="en-US"/>
        </w:rPr>
        <w:t xml:space="preserve"> and </w:t>
      </w:r>
      <w:r w:rsidR="00683EB1" w:rsidRPr="00954547">
        <w:rPr>
          <w:rFonts w:cs="Times New Roman"/>
          <w:color w:val="auto"/>
          <w:lang w:val="en-US"/>
        </w:rPr>
        <w:t xml:space="preserve">(3) </w:t>
      </w:r>
      <w:r w:rsidRPr="00954547">
        <w:rPr>
          <w:rFonts w:cs="Times New Roman"/>
          <w:color w:val="auto"/>
          <w:lang w:val="en-US"/>
        </w:rPr>
        <w:t>when the</w:t>
      </w:r>
      <w:r w:rsidR="00683EB1" w:rsidRPr="00954547">
        <w:rPr>
          <w:rFonts w:cs="Times New Roman"/>
          <w:color w:val="auto"/>
          <w:lang w:val="en-US"/>
        </w:rPr>
        <w:t xml:space="preserve"> </w:t>
      </w:r>
      <w:r w:rsidRPr="00954547">
        <w:rPr>
          <w:rFonts w:cs="Times New Roman"/>
          <w:color w:val="auto"/>
          <w:lang w:val="en-US"/>
        </w:rPr>
        <w:t>d</w:t>
      </w:r>
      <w:r w:rsidR="00683EB1" w:rsidRPr="00954547">
        <w:rPr>
          <w:rFonts w:cs="Times New Roman"/>
          <w:color w:val="auto"/>
          <w:lang w:val="en-US"/>
        </w:rPr>
        <w:t xml:space="preserve">irector </w:t>
      </w:r>
      <w:r w:rsidRPr="00954547">
        <w:rPr>
          <w:rFonts w:cs="Times New Roman"/>
          <w:color w:val="auto"/>
          <w:lang w:val="en-US"/>
        </w:rPr>
        <w:t xml:space="preserve">of the </w:t>
      </w:r>
      <w:r w:rsidR="001A0994" w:rsidRPr="00954547">
        <w:rPr>
          <w:rFonts w:cs="Times New Roman"/>
          <w:color w:val="auto"/>
          <w:lang w:val="en-US"/>
        </w:rPr>
        <w:t>San Francisco Gotera National Hospital</w:t>
      </w:r>
      <w:r w:rsidRPr="00954547">
        <w:rPr>
          <w:rFonts w:cs="Times New Roman"/>
          <w:color w:val="auto"/>
          <w:lang w:val="en-US"/>
        </w:rPr>
        <w:t xml:space="preserve"> sent a report on </w:t>
      </w:r>
      <w:r w:rsidR="00F500B0" w:rsidRPr="00954547">
        <w:rPr>
          <w:rFonts w:cs="Times New Roman"/>
          <w:color w:val="auto"/>
          <w:lang w:val="en-US"/>
        </w:rPr>
        <w:t>Manuela’s medical record</w:t>
      </w:r>
      <w:r w:rsidR="00683EB1" w:rsidRPr="00954547">
        <w:rPr>
          <w:rFonts w:cs="Times New Roman"/>
          <w:color w:val="auto"/>
          <w:lang w:val="en-US"/>
        </w:rPr>
        <w:t xml:space="preserve"> </w:t>
      </w:r>
      <w:r w:rsidRPr="00954547">
        <w:rPr>
          <w:rFonts w:cs="Times New Roman"/>
          <w:color w:val="auto"/>
          <w:lang w:val="en-US"/>
        </w:rPr>
        <w:t>to the prosecution service.</w:t>
      </w:r>
    </w:p>
    <w:p w14:paraId="75789DCA" w14:textId="1B0B32CD" w:rsidR="00683EB1" w:rsidRPr="00954547" w:rsidRDefault="00742EB1" w:rsidP="00386B24">
      <w:pPr>
        <w:pStyle w:val="Numberedparagraphs"/>
        <w:tabs>
          <w:tab w:val="left" w:pos="567"/>
        </w:tabs>
        <w:rPr>
          <w:lang w:val="en-US"/>
        </w:rPr>
      </w:pPr>
      <w:r w:rsidRPr="00954547">
        <w:rPr>
          <w:lang w:val="en-US"/>
        </w:rPr>
        <w:t xml:space="preserve">The disclosure of this information to the judicial authorities constituted interference in her rights to </w:t>
      </w:r>
      <w:r w:rsidR="0078694F" w:rsidRPr="00954547">
        <w:rPr>
          <w:lang w:val="en-US"/>
        </w:rPr>
        <w:t xml:space="preserve">privacy and </w:t>
      </w:r>
      <w:r w:rsidRPr="00954547">
        <w:rPr>
          <w:lang w:val="en-US"/>
        </w:rPr>
        <w:t>to</w:t>
      </w:r>
      <w:r w:rsidR="00664E14" w:rsidRPr="00954547">
        <w:rPr>
          <w:lang w:val="en-US"/>
        </w:rPr>
        <w:t xml:space="preserve"> </w:t>
      </w:r>
      <w:r w:rsidR="0078694F" w:rsidRPr="00954547">
        <w:rPr>
          <w:lang w:val="en-US"/>
        </w:rPr>
        <w:t>health</w:t>
      </w:r>
      <w:r w:rsidR="00683EB1" w:rsidRPr="00954547">
        <w:rPr>
          <w:lang w:val="en-US"/>
        </w:rPr>
        <w:t>.</w:t>
      </w:r>
      <w:r w:rsidRPr="00954547">
        <w:rPr>
          <w:lang w:val="en-US"/>
        </w:rPr>
        <w:t xml:space="preserve"> Therefore, the Court must examine </w:t>
      </w:r>
      <w:r w:rsidR="00D7008A" w:rsidRPr="00954547">
        <w:rPr>
          <w:lang w:val="en-US"/>
        </w:rPr>
        <w:t>each</w:t>
      </w:r>
      <w:r w:rsidRPr="00954547">
        <w:rPr>
          <w:lang w:val="en-US"/>
        </w:rPr>
        <w:t xml:space="preserve"> of these occasions </w:t>
      </w:r>
      <w:r w:rsidR="00D7008A" w:rsidRPr="00954547">
        <w:rPr>
          <w:lang w:val="en-US"/>
        </w:rPr>
        <w:t>to determine whether they were</w:t>
      </w:r>
      <w:r w:rsidRPr="00954547">
        <w:rPr>
          <w:lang w:val="en-US"/>
        </w:rPr>
        <w:t xml:space="preserve"> arbitrary or abus</w:t>
      </w:r>
      <w:r w:rsidR="00D7008A" w:rsidRPr="00954547">
        <w:rPr>
          <w:lang w:val="en-US"/>
        </w:rPr>
        <w:t>iv</w:t>
      </w:r>
      <w:r w:rsidRPr="00954547">
        <w:rPr>
          <w:lang w:val="en-US"/>
        </w:rPr>
        <w:t>e or if they were compatible with the Convention.</w:t>
      </w:r>
    </w:p>
    <w:p w14:paraId="2F4A47B1" w14:textId="474A54E0" w:rsidR="00683EB1" w:rsidRPr="00954547" w:rsidRDefault="00683EB1" w:rsidP="007F0666">
      <w:pPr>
        <w:pStyle w:val="Heading4"/>
        <w:rPr>
          <w:lang w:val="en-US"/>
        </w:rPr>
      </w:pPr>
      <w:r w:rsidRPr="00954547">
        <w:rPr>
          <w:lang w:val="en-US"/>
        </w:rPr>
        <w:t>B.</w:t>
      </w:r>
      <w:r w:rsidR="00BE65AF" w:rsidRPr="00954547">
        <w:rPr>
          <w:lang w:val="en-US"/>
        </w:rPr>
        <w:t>3</w:t>
      </w:r>
      <w:r w:rsidRPr="00954547">
        <w:rPr>
          <w:lang w:val="en-US"/>
        </w:rPr>
        <w:t xml:space="preserve">.a </w:t>
      </w:r>
      <w:r w:rsidR="00742EB1" w:rsidRPr="00954547">
        <w:rPr>
          <w:lang w:val="en-US"/>
        </w:rPr>
        <w:t xml:space="preserve">The </w:t>
      </w:r>
      <w:r w:rsidR="0053026C" w:rsidRPr="00954547">
        <w:rPr>
          <w:lang w:val="en-US"/>
        </w:rPr>
        <w:t>complaint filed by</w:t>
      </w:r>
      <w:r w:rsidR="00053A7C" w:rsidRPr="00954547">
        <w:rPr>
          <w:lang w:val="en-US"/>
        </w:rPr>
        <w:t xml:space="preserve"> the </w:t>
      </w:r>
      <w:r w:rsidR="00354B24" w:rsidRPr="00954547">
        <w:rPr>
          <w:lang w:val="en-US"/>
        </w:rPr>
        <w:t>treating physician</w:t>
      </w:r>
    </w:p>
    <w:p w14:paraId="7D451955" w14:textId="38D5F802" w:rsidR="00B90992" w:rsidRPr="00954547" w:rsidRDefault="003D24A2" w:rsidP="00B90992">
      <w:pPr>
        <w:pStyle w:val="Numberedparagraphs"/>
        <w:tabs>
          <w:tab w:val="left" w:pos="567"/>
        </w:tabs>
        <w:rPr>
          <w:lang w:val="en-US"/>
        </w:rPr>
      </w:pPr>
      <w:r w:rsidRPr="00954547">
        <w:rPr>
          <w:lang w:val="en-US"/>
        </w:rPr>
        <w:t>On February 27,</w:t>
      </w:r>
      <w:r w:rsidR="00807553" w:rsidRPr="00954547">
        <w:rPr>
          <w:lang w:val="en-US"/>
        </w:rPr>
        <w:t xml:space="preserve"> 2008</w:t>
      </w:r>
      <w:r w:rsidR="00B90992" w:rsidRPr="00954547">
        <w:rPr>
          <w:lang w:val="en-US"/>
        </w:rPr>
        <w:t xml:space="preserve">, </w:t>
      </w:r>
      <w:r w:rsidR="00742EB1" w:rsidRPr="00954547">
        <w:rPr>
          <w:lang w:val="en-US"/>
        </w:rPr>
        <w:t xml:space="preserve">the physician who treated </w:t>
      </w:r>
      <w:r w:rsidR="00607E12" w:rsidRPr="00954547">
        <w:rPr>
          <w:lang w:val="en-US"/>
        </w:rPr>
        <w:t>the presumed victim</w:t>
      </w:r>
      <w:r w:rsidR="007623E2" w:rsidRPr="00954547">
        <w:rPr>
          <w:lang w:val="en-US"/>
        </w:rPr>
        <w:t xml:space="preserve"> </w:t>
      </w:r>
      <w:r w:rsidR="0053026C" w:rsidRPr="00954547">
        <w:rPr>
          <w:lang w:val="en-US"/>
        </w:rPr>
        <w:t xml:space="preserve">filed a complaint against </w:t>
      </w:r>
      <w:r w:rsidR="007623E2" w:rsidRPr="00954547">
        <w:rPr>
          <w:lang w:val="en-US"/>
        </w:rPr>
        <w:t>Manuela</w:t>
      </w:r>
      <w:r w:rsidR="00B90992" w:rsidRPr="00954547">
        <w:rPr>
          <w:lang w:val="en-US"/>
        </w:rPr>
        <w:t xml:space="preserve"> </w:t>
      </w:r>
      <w:r w:rsidR="00742EB1" w:rsidRPr="00954547">
        <w:rPr>
          <w:lang w:val="en-US"/>
        </w:rPr>
        <w:t>for possible abortion. In her complaint</w:t>
      </w:r>
      <w:r w:rsidR="0053026C" w:rsidRPr="00954547">
        <w:rPr>
          <w:lang w:val="en-US"/>
        </w:rPr>
        <w:t xml:space="preserve">, the physician included the following </w:t>
      </w:r>
      <w:r w:rsidR="00B8393C" w:rsidRPr="00954547">
        <w:rPr>
          <w:lang w:val="en-US"/>
        </w:rPr>
        <w:t>considerations</w:t>
      </w:r>
      <w:r w:rsidR="00B90992" w:rsidRPr="00954547">
        <w:rPr>
          <w:lang w:val="en-US"/>
        </w:rPr>
        <w:t>:</w:t>
      </w:r>
    </w:p>
    <w:p w14:paraId="3828409F" w14:textId="5CB1634E" w:rsidR="00B90992" w:rsidRPr="00954547" w:rsidRDefault="0053026C" w:rsidP="00936B80">
      <w:pPr>
        <w:pStyle w:val="SingleTxt"/>
        <w:numPr>
          <w:ilvl w:val="0"/>
          <w:numId w:val="0"/>
        </w:numPr>
        <w:ind w:left="567" w:right="616"/>
        <w:rPr>
          <w:sz w:val="18"/>
          <w:szCs w:val="18"/>
          <w:lang w:val="en-US"/>
        </w:rPr>
      </w:pPr>
      <w:r w:rsidRPr="00954547">
        <w:rPr>
          <w:sz w:val="18"/>
          <w:szCs w:val="18"/>
          <w:lang w:val="en-US"/>
        </w:rPr>
        <w:t>In order to comply with a</w:t>
      </w:r>
      <w:r w:rsidR="00B90992" w:rsidRPr="00954547">
        <w:rPr>
          <w:sz w:val="18"/>
          <w:szCs w:val="18"/>
          <w:lang w:val="en-US"/>
        </w:rPr>
        <w:t xml:space="preserve">rt. 312 Pn., </w:t>
      </w:r>
      <w:r w:rsidRPr="00954547">
        <w:rPr>
          <w:sz w:val="18"/>
          <w:szCs w:val="18"/>
          <w:lang w:val="en-US"/>
        </w:rPr>
        <w:t>I am hereby advising that on the 27th at 5</w:t>
      </w:r>
      <w:r w:rsidR="00076692" w:rsidRPr="00954547">
        <w:rPr>
          <w:sz w:val="18"/>
          <w:szCs w:val="18"/>
          <w:lang w:val="en-US"/>
        </w:rPr>
        <w:t>:</w:t>
      </w:r>
      <w:r w:rsidRPr="00954547">
        <w:rPr>
          <w:sz w:val="18"/>
          <w:szCs w:val="18"/>
          <w:lang w:val="en-US"/>
        </w:rPr>
        <w:t xml:space="preserve">25 p.m. this hospital provided medical care to [Manuela], female, 25 years of age </w:t>
      </w:r>
      <w:r w:rsidR="006D569A" w:rsidRPr="00954547">
        <w:rPr>
          <w:sz w:val="18"/>
          <w:szCs w:val="18"/>
          <w:lang w:val="en-US"/>
        </w:rPr>
        <w:t>[…]</w:t>
      </w:r>
      <w:r w:rsidRPr="00954547">
        <w:rPr>
          <w:sz w:val="18"/>
          <w:szCs w:val="18"/>
          <w:lang w:val="en-US"/>
        </w:rPr>
        <w:t xml:space="preserve"> who </w:t>
      </w:r>
      <w:r w:rsidR="00936B80" w:rsidRPr="00954547">
        <w:rPr>
          <w:sz w:val="18"/>
          <w:szCs w:val="18"/>
          <w:lang w:val="en-US"/>
        </w:rPr>
        <w:t>revealed the following: preterm delivery, with placental retention. She does not have the newborn; apparently as a result of committing an offense. The foregoing is reported so that the pertinent legal measures may be taken.</w:t>
      </w:r>
      <w:r w:rsidR="00B90992" w:rsidRPr="00954547">
        <w:rPr>
          <w:rStyle w:val="FootnoteReference"/>
          <w:sz w:val="18"/>
          <w:szCs w:val="18"/>
          <w:lang w:val="en-US"/>
        </w:rPr>
        <w:footnoteReference w:id="355"/>
      </w:r>
    </w:p>
    <w:p w14:paraId="1C4EA568" w14:textId="486348B6" w:rsidR="00937500" w:rsidRPr="00954547" w:rsidRDefault="00937500" w:rsidP="007F0666">
      <w:pPr>
        <w:pStyle w:val="Heading4"/>
        <w:rPr>
          <w:lang w:val="en-US"/>
        </w:rPr>
      </w:pPr>
      <w:r w:rsidRPr="00954547">
        <w:rPr>
          <w:lang w:val="en-US"/>
        </w:rPr>
        <w:t>Legali</w:t>
      </w:r>
      <w:r w:rsidR="00936B80" w:rsidRPr="00954547">
        <w:rPr>
          <w:lang w:val="en-US"/>
        </w:rPr>
        <w:t>ty of the restriction</w:t>
      </w:r>
    </w:p>
    <w:p w14:paraId="4FAD2E23" w14:textId="35D6BEFB" w:rsidR="00683EB1" w:rsidRPr="00954547" w:rsidRDefault="0065047C" w:rsidP="000A5DEA">
      <w:pPr>
        <w:pStyle w:val="Numberedparagraphs"/>
        <w:tabs>
          <w:tab w:val="left" w:pos="567"/>
        </w:tabs>
        <w:rPr>
          <w:lang w:val="en-US"/>
        </w:rPr>
      </w:pPr>
      <w:bookmarkStart w:id="91" w:name="_Ref88035037"/>
      <w:r w:rsidRPr="00954547">
        <w:rPr>
          <w:lang w:val="en-US"/>
        </w:rPr>
        <w:t xml:space="preserve">In order </w:t>
      </w:r>
      <w:r w:rsidR="00936B80" w:rsidRPr="00954547">
        <w:rPr>
          <w:lang w:val="en-US"/>
        </w:rPr>
        <w:t>to evaluate whether the harm to a right established in the American Convention is permitted in light of this instrument</w:t>
      </w:r>
      <w:r w:rsidRPr="00954547">
        <w:rPr>
          <w:lang w:val="en-US"/>
        </w:rPr>
        <w:t>, the first step is to</w:t>
      </w:r>
      <w:r w:rsidR="00936B80" w:rsidRPr="00954547">
        <w:rPr>
          <w:lang w:val="en-US"/>
        </w:rPr>
        <w:t xml:space="preserve"> examin</w:t>
      </w:r>
      <w:r w:rsidRPr="00954547">
        <w:rPr>
          <w:lang w:val="en-US"/>
        </w:rPr>
        <w:t>e</w:t>
      </w:r>
      <w:r w:rsidR="00936B80" w:rsidRPr="00954547">
        <w:rPr>
          <w:lang w:val="en-US"/>
        </w:rPr>
        <w:t xml:space="preserve"> whether the measure in question complie</w:t>
      </w:r>
      <w:r w:rsidR="00397FBD" w:rsidRPr="00954547">
        <w:rPr>
          <w:lang w:val="en-US"/>
        </w:rPr>
        <w:t>d</w:t>
      </w:r>
      <w:r w:rsidR="00936B80" w:rsidRPr="00954547">
        <w:rPr>
          <w:lang w:val="en-US"/>
        </w:rPr>
        <w:t xml:space="preserve"> with the requirement of legality. This means that the general conditions and circumstances </w:t>
      </w:r>
      <w:r w:rsidRPr="00954547">
        <w:rPr>
          <w:lang w:val="en-US"/>
        </w:rPr>
        <w:t>under which a restriction of the exercise of a specific human right is authori</w:t>
      </w:r>
      <w:r w:rsidR="000A5DEA" w:rsidRPr="00954547">
        <w:rPr>
          <w:lang w:val="en-US"/>
        </w:rPr>
        <w:t>zed</w:t>
      </w:r>
      <w:r w:rsidRPr="00954547">
        <w:rPr>
          <w:lang w:val="en-US"/>
        </w:rPr>
        <w:t xml:space="preserve"> must be clearly established by law.</w:t>
      </w:r>
      <w:r w:rsidR="00683EB1" w:rsidRPr="00954547">
        <w:rPr>
          <w:rStyle w:val="FootnoteReference"/>
          <w:lang w:val="en-US"/>
        </w:rPr>
        <w:footnoteReference w:id="356"/>
      </w:r>
      <w:r w:rsidR="000A5DEA" w:rsidRPr="00954547">
        <w:rPr>
          <w:lang w:val="en-US"/>
        </w:rPr>
        <w:t xml:space="preserve"> Moreover, the law establishing this restriction must be a law in both the formal and the material sense.</w:t>
      </w:r>
      <w:r w:rsidR="00683EB1" w:rsidRPr="00954547">
        <w:rPr>
          <w:rStyle w:val="FootnoteReference"/>
          <w:lang w:val="en-US"/>
        </w:rPr>
        <w:footnoteReference w:id="357"/>
      </w:r>
      <w:bookmarkEnd w:id="91"/>
    </w:p>
    <w:p w14:paraId="41CFD094" w14:textId="5EF39DB1" w:rsidR="00683EB1" w:rsidRPr="00954547" w:rsidRDefault="000A5DEA" w:rsidP="000A5DEA">
      <w:pPr>
        <w:pStyle w:val="Numberedparagraphs"/>
        <w:tabs>
          <w:tab w:val="left" w:pos="567"/>
        </w:tabs>
        <w:rPr>
          <w:lang w:val="en-US"/>
        </w:rPr>
      </w:pPr>
      <w:r w:rsidRPr="00954547">
        <w:rPr>
          <w:lang w:val="en-US"/>
        </w:rPr>
        <w:t>In addition, the law must be precise and in</w:t>
      </w:r>
      <w:r w:rsidR="00685FAF" w:rsidRPr="00954547">
        <w:rPr>
          <w:lang w:val="en-US"/>
        </w:rPr>
        <w:t>clude</w:t>
      </w:r>
      <w:r w:rsidRPr="00954547">
        <w:rPr>
          <w:lang w:val="en-US"/>
        </w:rPr>
        <w:t xml:space="preserve"> clear and detailed r</w:t>
      </w:r>
      <w:r w:rsidR="00685FAF" w:rsidRPr="00954547">
        <w:rPr>
          <w:lang w:val="en-US"/>
        </w:rPr>
        <w:t>ules</w:t>
      </w:r>
      <w:r w:rsidRPr="00954547">
        <w:rPr>
          <w:lang w:val="en-US"/>
        </w:rPr>
        <w:t xml:space="preserve"> in this regard.</w:t>
      </w:r>
      <w:r w:rsidR="00683EB1" w:rsidRPr="00954547">
        <w:rPr>
          <w:rStyle w:val="FootnoteReference"/>
          <w:lang w:val="en-US"/>
        </w:rPr>
        <w:footnoteReference w:id="358"/>
      </w:r>
      <w:r w:rsidRPr="00954547">
        <w:rPr>
          <w:lang w:val="en-US"/>
        </w:rPr>
        <w:t xml:space="preserve"> The </w:t>
      </w:r>
      <w:r w:rsidR="00685FAF" w:rsidRPr="00954547">
        <w:rPr>
          <w:lang w:val="en-US"/>
        </w:rPr>
        <w:t>rules</w:t>
      </w:r>
      <w:r w:rsidRPr="00954547">
        <w:rPr>
          <w:lang w:val="en-US"/>
        </w:rPr>
        <w:t xml:space="preserve"> must be unambiguous, so that they do not raise doubt in those responsible for applying the restriction, and do not </w:t>
      </w:r>
      <w:r w:rsidR="00685FAF" w:rsidRPr="00954547">
        <w:rPr>
          <w:lang w:val="en-US"/>
        </w:rPr>
        <w:t>enable</w:t>
      </w:r>
      <w:r w:rsidRPr="00954547">
        <w:rPr>
          <w:lang w:val="en-US"/>
        </w:rPr>
        <w:t xml:space="preserve"> them to act in an arbitrary or discretionary manner, making extensive interpretations of the</w:t>
      </w:r>
      <w:r w:rsidR="00685FAF" w:rsidRPr="00954547">
        <w:rPr>
          <w:lang w:val="en-US"/>
        </w:rPr>
        <w:t xml:space="preserve"> rules</w:t>
      </w:r>
      <w:r w:rsidRPr="00954547">
        <w:rPr>
          <w:lang w:val="en-US"/>
        </w:rPr>
        <w:t>.</w:t>
      </w:r>
      <w:r w:rsidR="00C369A3" w:rsidRPr="00954547">
        <w:rPr>
          <w:rStyle w:val="FootnoteReference"/>
          <w:lang w:val="en-US"/>
        </w:rPr>
        <w:footnoteReference w:id="359"/>
      </w:r>
      <w:r w:rsidRPr="00954547">
        <w:rPr>
          <w:lang w:val="en-US"/>
        </w:rPr>
        <w:t xml:space="preserve"> In this regard, the European Court had indica</w:t>
      </w:r>
      <w:r w:rsidR="00685FAF" w:rsidRPr="00954547">
        <w:rPr>
          <w:lang w:val="en-US"/>
        </w:rPr>
        <w:t>t</w:t>
      </w:r>
      <w:r w:rsidRPr="00954547">
        <w:rPr>
          <w:lang w:val="en-US"/>
        </w:rPr>
        <w:t xml:space="preserve">ed that the </w:t>
      </w:r>
      <w:r w:rsidR="00685FAF" w:rsidRPr="00954547">
        <w:rPr>
          <w:lang w:val="en-US"/>
        </w:rPr>
        <w:t>“law must be adequately accessible and foreseeable, that is, formulated with sufficient precision to enable the individual – if need be with appropriate advice – to regulate his conduct.”</w:t>
      </w:r>
      <w:r w:rsidR="00683EB1" w:rsidRPr="00954547">
        <w:rPr>
          <w:rStyle w:val="FootnoteReference"/>
          <w:lang w:val="en-US"/>
        </w:rPr>
        <w:footnoteReference w:id="360"/>
      </w:r>
    </w:p>
    <w:p w14:paraId="5C818BC4" w14:textId="17C2913F" w:rsidR="00683EB1" w:rsidRPr="00954547" w:rsidRDefault="001101C0" w:rsidP="00CB6906">
      <w:pPr>
        <w:pStyle w:val="Numberedparagraphs"/>
        <w:tabs>
          <w:tab w:val="left" w:pos="567"/>
        </w:tabs>
        <w:rPr>
          <w:lang w:val="en-US"/>
        </w:rPr>
      </w:pPr>
      <w:bookmarkStart w:id="92" w:name="_Ref88034940"/>
      <w:r w:rsidRPr="00954547">
        <w:rPr>
          <w:lang w:val="en-US"/>
        </w:rPr>
        <w:t>The Health Code</w:t>
      </w:r>
      <w:r w:rsidR="009E6B43" w:rsidRPr="00954547">
        <w:rPr>
          <w:lang w:val="en-US"/>
        </w:rPr>
        <w:t xml:space="preserve"> of El </w:t>
      </w:r>
      <w:r w:rsidR="00683EB1" w:rsidRPr="00954547">
        <w:rPr>
          <w:lang w:val="en-US"/>
        </w:rPr>
        <w:t>Salvador establ</w:t>
      </w:r>
      <w:r w:rsidR="00697819" w:rsidRPr="00954547">
        <w:rPr>
          <w:lang w:val="en-US"/>
        </w:rPr>
        <w:t xml:space="preserve">ishes </w:t>
      </w:r>
      <w:r w:rsidR="00397FBD" w:rsidRPr="00954547">
        <w:rPr>
          <w:lang w:val="en-US"/>
        </w:rPr>
        <w:t>that</w:t>
      </w:r>
      <w:r w:rsidR="00697819" w:rsidRPr="00954547">
        <w:rPr>
          <w:lang w:val="en-US"/>
        </w:rPr>
        <w:t xml:space="preserve"> one of the exceptions to the inviolability </w:t>
      </w:r>
      <w:r w:rsidR="00674DA3" w:rsidRPr="00954547">
        <w:rPr>
          <w:lang w:val="en-US"/>
        </w:rPr>
        <w:t>of professional confidentiality</w:t>
      </w:r>
      <w:r w:rsidR="00397FBD" w:rsidRPr="00954547">
        <w:rPr>
          <w:lang w:val="en-US"/>
        </w:rPr>
        <w:t xml:space="preserve"> is</w:t>
      </w:r>
      <w:r w:rsidR="00697819" w:rsidRPr="00954547">
        <w:rPr>
          <w:lang w:val="en-US"/>
        </w:rPr>
        <w:t xml:space="preserve"> </w:t>
      </w:r>
      <w:r w:rsidR="00397FBD" w:rsidRPr="00954547">
        <w:rPr>
          <w:lang w:val="en-US"/>
        </w:rPr>
        <w:t>“</w:t>
      </w:r>
      <w:r w:rsidR="00697819" w:rsidRPr="00954547">
        <w:rPr>
          <w:lang w:val="en-US"/>
        </w:rPr>
        <w:t>if</w:t>
      </w:r>
      <w:r w:rsidR="00397FBD" w:rsidRPr="00954547">
        <w:rPr>
          <w:lang w:val="en-US"/>
        </w:rPr>
        <w:t xml:space="preserve"> </w:t>
      </w:r>
      <w:r w:rsidR="00697819" w:rsidRPr="00954547">
        <w:rPr>
          <w:lang w:val="en-US"/>
        </w:rPr>
        <w:t xml:space="preserve">respecting it </w:t>
      </w:r>
      <w:r w:rsidR="00397FBD" w:rsidRPr="00954547">
        <w:rPr>
          <w:lang w:val="en-US"/>
        </w:rPr>
        <w:t xml:space="preserve">would </w:t>
      </w:r>
      <w:r w:rsidR="00697819" w:rsidRPr="00954547">
        <w:rPr>
          <w:lang w:val="en-US"/>
        </w:rPr>
        <w:t>violate the laws in force.</w:t>
      </w:r>
      <w:r w:rsidR="00683EB1" w:rsidRPr="00954547">
        <w:rPr>
          <w:lang w:val="en-US"/>
        </w:rPr>
        <w:t>”</w:t>
      </w:r>
      <w:r w:rsidR="00683EB1" w:rsidRPr="00954547">
        <w:rPr>
          <w:rStyle w:val="FootnoteReference"/>
          <w:lang w:val="en-US"/>
        </w:rPr>
        <w:footnoteReference w:id="361"/>
      </w:r>
      <w:r w:rsidR="00697819" w:rsidRPr="00954547">
        <w:rPr>
          <w:rStyle w:val="LineNumber"/>
          <w:lang w:val="en-US"/>
        </w:rPr>
        <w:t xml:space="preserve"> Also, criminal law establish</w:t>
      </w:r>
      <w:r w:rsidR="00397FBD" w:rsidRPr="00954547">
        <w:rPr>
          <w:rStyle w:val="LineNumber"/>
          <w:lang w:val="en-US"/>
        </w:rPr>
        <w:t>es</w:t>
      </w:r>
      <w:r w:rsidR="00697819" w:rsidRPr="00954547">
        <w:rPr>
          <w:rStyle w:val="LineNumber"/>
          <w:lang w:val="en-US"/>
        </w:rPr>
        <w:t xml:space="preserve"> the duty of physicians to respect professional </w:t>
      </w:r>
      <w:r w:rsidR="00397FBD" w:rsidRPr="00954547">
        <w:rPr>
          <w:rStyle w:val="LineNumber"/>
          <w:lang w:val="en-US"/>
        </w:rPr>
        <w:t>secrecy</w:t>
      </w:r>
      <w:r w:rsidR="00697819" w:rsidRPr="00954547">
        <w:rPr>
          <w:rStyle w:val="LineNumber"/>
          <w:lang w:val="en-US"/>
        </w:rPr>
        <w:t xml:space="preserve"> and, therefore, refrain from testifying while, on the other hand, establishing an obligation to report the occurrence of a wrongful act. And</w:t>
      </w:r>
      <w:r w:rsidR="00397FBD" w:rsidRPr="00954547">
        <w:rPr>
          <w:rStyle w:val="LineNumber"/>
          <w:lang w:val="en-US"/>
        </w:rPr>
        <w:t>,</w:t>
      </w:r>
      <w:r w:rsidR="00581470" w:rsidRPr="00954547">
        <w:rPr>
          <w:rStyle w:val="LineNumber"/>
          <w:lang w:val="en-US"/>
        </w:rPr>
        <w:t xml:space="preserve"> while </w:t>
      </w:r>
      <w:r w:rsidR="00697819" w:rsidRPr="00954547">
        <w:rPr>
          <w:rStyle w:val="LineNumber"/>
          <w:lang w:val="en-US"/>
        </w:rPr>
        <w:t xml:space="preserve">an article of the Code of Criminal Procedure establishes an exception to the reporting obligation </w:t>
      </w:r>
      <w:r w:rsidR="00581470" w:rsidRPr="00954547">
        <w:rPr>
          <w:rStyle w:val="LineNumber"/>
          <w:lang w:val="en-US"/>
        </w:rPr>
        <w:t>when</w:t>
      </w:r>
      <w:r w:rsidR="00697819" w:rsidRPr="00954547">
        <w:rPr>
          <w:rStyle w:val="LineNumber"/>
          <w:lang w:val="en-US"/>
        </w:rPr>
        <w:t xml:space="preserve"> the physician ha</w:t>
      </w:r>
      <w:r w:rsidR="00581470" w:rsidRPr="00954547">
        <w:rPr>
          <w:rStyle w:val="LineNumber"/>
          <w:lang w:val="en-US"/>
        </w:rPr>
        <w:t>s</w:t>
      </w:r>
      <w:r w:rsidR="00697819" w:rsidRPr="00954547">
        <w:rPr>
          <w:rStyle w:val="LineNumber"/>
          <w:lang w:val="en-US"/>
        </w:rPr>
        <w:t xml:space="preserve"> </w:t>
      </w:r>
      <w:r w:rsidR="00581470" w:rsidRPr="00954547">
        <w:rPr>
          <w:rStyle w:val="LineNumber"/>
          <w:lang w:val="en-US"/>
        </w:rPr>
        <w:t>become aware</w:t>
      </w:r>
      <w:r w:rsidR="00697819" w:rsidRPr="00954547">
        <w:rPr>
          <w:rStyle w:val="LineNumber"/>
          <w:lang w:val="en-US"/>
        </w:rPr>
        <w:t xml:space="preserve"> of the act “under the protection of </w:t>
      </w:r>
      <w:r w:rsidR="00581470" w:rsidRPr="00954547">
        <w:rPr>
          <w:rStyle w:val="LineNumber"/>
          <w:lang w:val="en-US"/>
        </w:rPr>
        <w:t>professional secrecy,</w:t>
      </w:r>
      <w:r w:rsidR="00683EB1" w:rsidRPr="00954547">
        <w:rPr>
          <w:lang w:val="en-US"/>
        </w:rPr>
        <w:t>”</w:t>
      </w:r>
      <w:r w:rsidR="00683EB1" w:rsidRPr="00954547">
        <w:rPr>
          <w:rStyle w:val="FootnoteReference"/>
          <w:rFonts w:eastAsiaTheme="minorHAnsi"/>
          <w:lang w:val="en-US"/>
        </w:rPr>
        <w:footnoteReference w:id="362"/>
      </w:r>
      <w:r w:rsidR="007D7721" w:rsidRPr="00954547">
        <w:rPr>
          <w:lang w:val="en-US"/>
        </w:rPr>
        <w:t xml:space="preserve"> </w:t>
      </w:r>
      <w:r w:rsidR="00581470" w:rsidRPr="00954547">
        <w:rPr>
          <w:lang w:val="en-US"/>
        </w:rPr>
        <w:t xml:space="preserve">article 312 of </w:t>
      </w:r>
      <w:r w:rsidR="007D7721" w:rsidRPr="00954547">
        <w:rPr>
          <w:lang w:val="en-US"/>
        </w:rPr>
        <w:t>the Criminal Code</w:t>
      </w:r>
      <w:r w:rsidR="00683EB1" w:rsidRPr="00954547">
        <w:rPr>
          <w:lang w:val="en-US"/>
        </w:rPr>
        <w:t xml:space="preserve"> </w:t>
      </w:r>
      <w:r w:rsidR="00581470" w:rsidRPr="00954547">
        <w:rPr>
          <w:lang w:val="en-US"/>
        </w:rPr>
        <w:t>defines the failure of public officials to report wrongful acts as an offense, without establishing any exception.</w:t>
      </w:r>
      <w:r w:rsidR="00683EB1" w:rsidRPr="00954547">
        <w:rPr>
          <w:rStyle w:val="FootnoteReference"/>
          <w:rFonts w:eastAsiaTheme="minorHAnsi" w:cs="ArialMT"/>
          <w:lang w:val="en-US"/>
        </w:rPr>
        <w:footnoteReference w:id="363"/>
      </w:r>
      <w:r w:rsidR="00581470" w:rsidRPr="00954547">
        <w:rPr>
          <w:rFonts w:cs="ArialMT"/>
          <w:lang w:val="en-US"/>
        </w:rPr>
        <w:t xml:space="preserve"> Therefore, the Court underscores that the law is not sufficiently clear about whether physicians who become aware of a possible wrongful act due to information protected by professional secrecy have an obligation to report it, and </w:t>
      </w:r>
      <w:r w:rsidR="00CB6906" w:rsidRPr="00954547">
        <w:rPr>
          <w:rFonts w:cs="ArialMT"/>
          <w:lang w:val="en-US"/>
        </w:rPr>
        <w:t>does not establish specific regulations concerning professional secrecy in relation to</w:t>
      </w:r>
      <w:r w:rsidR="00CB6906" w:rsidRPr="00954547">
        <w:rPr>
          <w:lang w:val="en-US"/>
        </w:rPr>
        <w:t xml:space="preserve"> </w:t>
      </w:r>
      <w:r w:rsidR="009E6B43" w:rsidRPr="00954547">
        <w:rPr>
          <w:lang w:val="en-US"/>
        </w:rPr>
        <w:t>obstetric emergencies</w:t>
      </w:r>
      <w:r w:rsidR="00BB196E" w:rsidRPr="00954547">
        <w:rPr>
          <w:lang w:val="en-US"/>
        </w:rPr>
        <w:t>.</w:t>
      </w:r>
      <w:bookmarkEnd w:id="92"/>
      <w:r w:rsidR="00BB196E" w:rsidRPr="00954547">
        <w:rPr>
          <w:lang w:val="en-US"/>
        </w:rPr>
        <w:t xml:space="preserve"> </w:t>
      </w:r>
      <w:r w:rsidR="00683EB1" w:rsidRPr="00954547">
        <w:rPr>
          <w:lang w:val="en-US"/>
        </w:rPr>
        <w:t xml:space="preserve">  </w:t>
      </w:r>
    </w:p>
    <w:p w14:paraId="70DBBB69" w14:textId="41D92FD3" w:rsidR="00683EB1" w:rsidRPr="00954547" w:rsidRDefault="00CB6906" w:rsidP="00CC2596">
      <w:pPr>
        <w:pStyle w:val="Numberedparagraphs"/>
        <w:tabs>
          <w:tab w:val="left" w:pos="567"/>
        </w:tabs>
        <w:rPr>
          <w:lang w:val="en-US"/>
        </w:rPr>
      </w:pPr>
      <w:r w:rsidRPr="00954547">
        <w:rPr>
          <w:lang w:val="en-US"/>
        </w:rPr>
        <w:t xml:space="preserve">In this regard, expert witness </w:t>
      </w:r>
      <w:r w:rsidR="00683EB1" w:rsidRPr="00954547">
        <w:rPr>
          <w:lang w:val="en-US"/>
        </w:rPr>
        <w:t xml:space="preserve">Oscar A. Cabrera </w:t>
      </w:r>
      <w:r w:rsidRPr="00954547">
        <w:rPr>
          <w:lang w:val="en-US"/>
        </w:rPr>
        <w:t>pointed out that</w:t>
      </w:r>
      <w:r w:rsidR="00683EB1" w:rsidRPr="00954547">
        <w:rPr>
          <w:lang w:val="en-US"/>
        </w:rPr>
        <w:t xml:space="preserve"> </w:t>
      </w:r>
      <w:r w:rsidR="00683EB1" w:rsidRPr="00954547">
        <w:rPr>
          <w:rFonts w:cs="Times New Roman"/>
          <w:lang w:val="en-US"/>
        </w:rPr>
        <w:t>“[</w:t>
      </w:r>
      <w:r w:rsidRPr="00954547">
        <w:rPr>
          <w:rFonts w:cs="Times New Roman"/>
          <w:lang w:val="en-US"/>
        </w:rPr>
        <w:t>t</w:t>
      </w:r>
      <w:r w:rsidR="00683EB1" w:rsidRPr="00954547">
        <w:rPr>
          <w:rFonts w:cs="Times New Roman"/>
          <w:lang w:val="en-US"/>
        </w:rPr>
        <w:t>]</w:t>
      </w:r>
      <w:r w:rsidRPr="00954547">
        <w:rPr>
          <w:rFonts w:cs="Times New Roman"/>
          <w:lang w:val="en-US"/>
        </w:rPr>
        <w:t xml:space="preserve">he lack of regulatory frameworks that clearly establish the exceptional nature of restrictions to medical confidentiality, as well as the very limited cases in which those restrictions are acceptable,  results in granting absolute discretionality to the </w:t>
      </w:r>
      <w:r w:rsidR="00CC2596" w:rsidRPr="00954547">
        <w:rPr>
          <w:rFonts w:cs="Times New Roman"/>
          <w:lang w:val="en-US"/>
        </w:rPr>
        <w:t>medical staff</w:t>
      </w:r>
      <w:r w:rsidRPr="00954547">
        <w:rPr>
          <w:rFonts w:cs="Times New Roman"/>
          <w:lang w:val="en-US"/>
        </w:rPr>
        <w:t xml:space="preserve"> to determine how they comply with their duties and obligations</w:t>
      </w:r>
      <w:r w:rsidRPr="00954547">
        <w:rPr>
          <w:lang w:val="en-US"/>
        </w:rPr>
        <w:t>.</w:t>
      </w:r>
      <w:r w:rsidR="00683EB1" w:rsidRPr="00954547">
        <w:rPr>
          <w:rFonts w:cs="Times New Roman"/>
          <w:lang w:val="en-US"/>
        </w:rPr>
        <w:t>”</w:t>
      </w:r>
      <w:r w:rsidR="00683EB1" w:rsidRPr="00954547">
        <w:rPr>
          <w:rStyle w:val="FootnoteReference"/>
          <w:rFonts w:cs="Times New Roman"/>
          <w:lang w:val="en-US"/>
        </w:rPr>
        <w:footnoteReference w:id="364"/>
      </w:r>
      <w:r w:rsidRPr="00954547">
        <w:rPr>
          <w:rFonts w:cs="Times New Roman"/>
          <w:lang w:val="en-US"/>
        </w:rPr>
        <w:t xml:space="preserve"> The Court recalls that</w:t>
      </w:r>
      <w:r w:rsidR="00CC2596" w:rsidRPr="00954547">
        <w:rPr>
          <w:rFonts w:cs="Times New Roman"/>
          <w:lang w:val="en-US"/>
        </w:rPr>
        <w:t xml:space="preserve">, according to a study conducted in El Salvador, 80% of the obstetric gynecologists interviewed believed that it was compulsory to report all cases of </w:t>
      </w:r>
      <w:r w:rsidR="009E6B43" w:rsidRPr="00954547">
        <w:rPr>
          <w:rFonts w:eastAsiaTheme="minorHAnsi"/>
          <w:lang w:val="en-US"/>
        </w:rPr>
        <w:t>obstetric emergencies</w:t>
      </w:r>
      <w:r w:rsidR="00683EB1" w:rsidRPr="00954547">
        <w:rPr>
          <w:rFonts w:eastAsiaTheme="minorHAnsi"/>
          <w:lang w:val="en-US"/>
        </w:rPr>
        <w:t xml:space="preserve"> (</w:t>
      </w:r>
      <w:r w:rsidR="00683EB1" w:rsidRPr="00954547">
        <w:rPr>
          <w:rFonts w:eastAsiaTheme="minorHAnsi"/>
          <w:i/>
          <w:lang w:val="en-US"/>
        </w:rPr>
        <w:t xml:space="preserve">supra </w:t>
      </w:r>
      <w:r w:rsidR="00B10E5A" w:rsidRPr="00954547">
        <w:rPr>
          <w:rFonts w:eastAsiaTheme="minorHAnsi"/>
          <w:lang w:val="en-US"/>
        </w:rPr>
        <w:t>para.</w:t>
      </w:r>
      <w:r w:rsidR="00683EB1" w:rsidRPr="00954547">
        <w:rPr>
          <w:rFonts w:eastAsiaTheme="minorHAnsi"/>
          <w:lang w:val="en-US"/>
        </w:rPr>
        <w:t xml:space="preserve"> </w:t>
      </w:r>
      <w:r w:rsidR="00AE56D5" w:rsidRPr="00954547">
        <w:rPr>
          <w:rFonts w:eastAsiaTheme="minorHAnsi"/>
          <w:lang w:val="en-US"/>
        </w:rPr>
        <w:fldChar w:fldCharType="begin"/>
      </w:r>
      <w:r w:rsidR="00AE56D5" w:rsidRPr="00954547">
        <w:rPr>
          <w:rFonts w:eastAsiaTheme="minorHAnsi"/>
          <w:lang w:val="en-US"/>
        </w:rPr>
        <w:instrText xml:space="preserve"> REF _Ref87981891 \r \h </w:instrText>
      </w:r>
      <w:r w:rsidR="00793F65" w:rsidRPr="00954547">
        <w:rPr>
          <w:rFonts w:eastAsiaTheme="minorHAnsi"/>
          <w:lang w:val="en-US"/>
        </w:rPr>
        <w:instrText xml:space="preserve"> \* MERGEFORMAT </w:instrText>
      </w:r>
      <w:r w:rsidR="00AE56D5" w:rsidRPr="00954547">
        <w:rPr>
          <w:rFonts w:eastAsiaTheme="minorHAnsi"/>
          <w:lang w:val="en-US"/>
        </w:rPr>
      </w:r>
      <w:r w:rsidR="00AE56D5" w:rsidRPr="00954547">
        <w:rPr>
          <w:rFonts w:eastAsiaTheme="minorHAnsi"/>
          <w:lang w:val="en-US"/>
        </w:rPr>
        <w:fldChar w:fldCharType="separate"/>
      </w:r>
      <w:r w:rsidR="000E4488" w:rsidRPr="00954547">
        <w:rPr>
          <w:rFonts w:eastAsiaTheme="minorHAnsi"/>
          <w:lang w:val="en-US"/>
        </w:rPr>
        <w:t>45</w:t>
      </w:r>
      <w:r w:rsidR="00AE56D5" w:rsidRPr="00954547">
        <w:rPr>
          <w:rFonts w:eastAsiaTheme="minorHAnsi"/>
          <w:lang w:val="en-US"/>
        </w:rPr>
        <w:fldChar w:fldCharType="end"/>
      </w:r>
      <w:r w:rsidR="00683EB1" w:rsidRPr="00954547">
        <w:rPr>
          <w:rFonts w:eastAsiaTheme="minorHAnsi"/>
          <w:lang w:val="en-US"/>
        </w:rPr>
        <w:t xml:space="preserve">). </w:t>
      </w:r>
      <w:r w:rsidR="00CC2596" w:rsidRPr="00954547">
        <w:rPr>
          <w:rFonts w:eastAsiaTheme="minorHAnsi"/>
          <w:lang w:val="en-US"/>
        </w:rPr>
        <w:t>Moreover, the possible result of this lack of clarity has been that, in El Salvador, it is frequent that the report of a suspected abortion is filed by the administrative or medical staff of the health institution where the woman was being  treated</w:t>
      </w:r>
      <w:r w:rsidR="00683EB1" w:rsidRPr="00954547">
        <w:rPr>
          <w:rFonts w:cs="Tahoma"/>
          <w:lang w:val="en-US"/>
        </w:rPr>
        <w:t xml:space="preserve"> </w:t>
      </w:r>
      <w:r w:rsidR="00683EB1" w:rsidRPr="00954547">
        <w:rPr>
          <w:rFonts w:eastAsiaTheme="minorHAnsi"/>
          <w:lang w:val="en-US"/>
        </w:rPr>
        <w:t>(</w:t>
      </w:r>
      <w:r w:rsidR="00683EB1" w:rsidRPr="00954547">
        <w:rPr>
          <w:rFonts w:eastAsiaTheme="minorHAnsi"/>
          <w:i/>
          <w:lang w:val="en-US"/>
        </w:rPr>
        <w:t xml:space="preserve">supra </w:t>
      </w:r>
      <w:r w:rsidR="00B10E5A" w:rsidRPr="00954547">
        <w:rPr>
          <w:rFonts w:eastAsiaTheme="minorHAnsi"/>
          <w:lang w:val="en-US"/>
        </w:rPr>
        <w:t>para.</w:t>
      </w:r>
      <w:r w:rsidR="00683EB1" w:rsidRPr="00954547">
        <w:rPr>
          <w:rFonts w:eastAsiaTheme="minorHAnsi"/>
          <w:lang w:val="en-US"/>
        </w:rPr>
        <w:t xml:space="preserve"> </w:t>
      </w:r>
      <w:r w:rsidR="00AE56D5" w:rsidRPr="00954547">
        <w:rPr>
          <w:rFonts w:eastAsiaTheme="minorHAnsi"/>
          <w:lang w:val="en-US"/>
        </w:rPr>
        <w:fldChar w:fldCharType="begin"/>
      </w:r>
      <w:r w:rsidR="00AE56D5" w:rsidRPr="00954547">
        <w:rPr>
          <w:rFonts w:eastAsiaTheme="minorHAnsi"/>
          <w:lang w:val="en-US"/>
        </w:rPr>
        <w:instrText xml:space="preserve"> REF _Ref87981891 \r \h </w:instrText>
      </w:r>
      <w:r w:rsidR="00793F65" w:rsidRPr="00954547">
        <w:rPr>
          <w:rFonts w:eastAsiaTheme="minorHAnsi"/>
          <w:lang w:val="en-US"/>
        </w:rPr>
        <w:instrText xml:space="preserve"> \* MERGEFORMAT </w:instrText>
      </w:r>
      <w:r w:rsidR="00AE56D5" w:rsidRPr="00954547">
        <w:rPr>
          <w:rFonts w:eastAsiaTheme="minorHAnsi"/>
          <w:lang w:val="en-US"/>
        </w:rPr>
      </w:r>
      <w:r w:rsidR="00AE56D5" w:rsidRPr="00954547">
        <w:rPr>
          <w:rFonts w:eastAsiaTheme="minorHAnsi"/>
          <w:lang w:val="en-US"/>
        </w:rPr>
        <w:fldChar w:fldCharType="separate"/>
      </w:r>
      <w:r w:rsidR="000E4488" w:rsidRPr="00954547">
        <w:rPr>
          <w:rFonts w:eastAsiaTheme="minorHAnsi"/>
          <w:lang w:val="en-US"/>
        </w:rPr>
        <w:t>45</w:t>
      </w:r>
      <w:r w:rsidR="00AE56D5" w:rsidRPr="00954547">
        <w:rPr>
          <w:rFonts w:eastAsiaTheme="minorHAnsi"/>
          <w:lang w:val="en-US"/>
        </w:rPr>
        <w:fldChar w:fldCharType="end"/>
      </w:r>
      <w:r w:rsidR="00683EB1" w:rsidRPr="00954547">
        <w:rPr>
          <w:rFonts w:eastAsiaTheme="minorHAnsi"/>
          <w:lang w:val="en-US"/>
        </w:rPr>
        <w:t>).</w:t>
      </w:r>
    </w:p>
    <w:p w14:paraId="5A45E5B6" w14:textId="2D2876CA" w:rsidR="00343024" w:rsidRPr="00954547" w:rsidRDefault="00CC2596" w:rsidP="00A4541B">
      <w:pPr>
        <w:pStyle w:val="Numberedparagraphs"/>
        <w:tabs>
          <w:tab w:val="left" w:pos="567"/>
        </w:tabs>
        <w:rPr>
          <w:lang w:val="en-US"/>
        </w:rPr>
      </w:pPr>
      <w:r w:rsidRPr="00954547">
        <w:rPr>
          <w:rFonts w:eastAsiaTheme="minorHAnsi"/>
          <w:lang w:val="en-US"/>
        </w:rPr>
        <w:t>Taking the foregoing into account</w:t>
      </w:r>
      <w:r w:rsidR="00683EB1" w:rsidRPr="00954547">
        <w:rPr>
          <w:rFonts w:eastAsiaTheme="minorHAnsi"/>
          <w:lang w:val="en-US"/>
        </w:rPr>
        <w:t xml:space="preserve">, </w:t>
      </w:r>
      <w:r w:rsidR="00E76B1A" w:rsidRPr="00954547">
        <w:rPr>
          <w:rFonts w:eastAsiaTheme="minorHAnsi"/>
          <w:lang w:val="en-US"/>
        </w:rPr>
        <w:t>the Court</w:t>
      </w:r>
      <w:r w:rsidR="00683EB1" w:rsidRPr="00954547">
        <w:rPr>
          <w:rFonts w:eastAsiaTheme="minorHAnsi"/>
          <w:lang w:val="en-US"/>
        </w:rPr>
        <w:t xml:space="preserve"> consider</w:t>
      </w:r>
      <w:r w:rsidRPr="00954547">
        <w:rPr>
          <w:rFonts w:eastAsiaTheme="minorHAnsi"/>
          <w:lang w:val="en-US"/>
        </w:rPr>
        <w:t xml:space="preserve">s that the law did not establish clearly whether or not a reporting duty existed that would have obliged the medical staff to reveal </w:t>
      </w:r>
      <w:r w:rsidR="00A4541B" w:rsidRPr="00954547">
        <w:rPr>
          <w:rFonts w:eastAsiaTheme="minorHAnsi"/>
          <w:lang w:val="en-US"/>
        </w:rPr>
        <w:t>Manuela’s confidential data. The Court also notes that this lack of clarity in the law caused the medical staff to understand that they were obliged to report this type of situation because, to the contrary, they could be sanctioned. Moreover, it could also have the result, as in this case</w:t>
      </w:r>
      <w:r w:rsidR="003C2231" w:rsidRPr="00954547">
        <w:rPr>
          <w:rFonts w:cs="Times New Roman"/>
          <w:color w:val="auto"/>
          <w:lang w:val="en-US"/>
        </w:rPr>
        <w:t xml:space="preserve"> (</w:t>
      </w:r>
      <w:r w:rsidR="003C2231" w:rsidRPr="00954547">
        <w:rPr>
          <w:rFonts w:cs="Times New Roman"/>
          <w:i/>
          <w:color w:val="auto"/>
          <w:lang w:val="en-US"/>
        </w:rPr>
        <w:t xml:space="preserve">supra </w:t>
      </w:r>
      <w:r w:rsidR="00B10E5A" w:rsidRPr="00954547">
        <w:rPr>
          <w:rFonts w:cs="Times New Roman"/>
          <w:color w:val="auto"/>
          <w:lang w:val="en-US"/>
        </w:rPr>
        <w:t>para.</w:t>
      </w:r>
      <w:r w:rsidR="00AE56D5" w:rsidRPr="00954547">
        <w:rPr>
          <w:rFonts w:cs="Times New Roman"/>
          <w:color w:val="auto"/>
          <w:lang w:val="en-US"/>
        </w:rPr>
        <w:t xml:space="preserve"> </w:t>
      </w:r>
      <w:r w:rsidR="00AE56D5" w:rsidRPr="00954547">
        <w:rPr>
          <w:rFonts w:cs="Times New Roman"/>
          <w:color w:val="auto"/>
          <w:lang w:val="en-US"/>
        </w:rPr>
        <w:fldChar w:fldCharType="begin"/>
      </w:r>
      <w:r w:rsidR="00AE56D5" w:rsidRPr="00954547">
        <w:rPr>
          <w:rFonts w:cs="Times New Roman"/>
          <w:color w:val="auto"/>
          <w:lang w:val="en-US"/>
        </w:rPr>
        <w:instrText xml:space="preserve"> REF _Ref87982000 \r \h </w:instrText>
      </w:r>
      <w:r w:rsidR="00793F65" w:rsidRPr="00954547">
        <w:rPr>
          <w:rFonts w:cs="Times New Roman"/>
          <w:color w:val="auto"/>
          <w:lang w:val="en-US"/>
        </w:rPr>
        <w:instrText xml:space="preserve"> \* MERGEFORMAT </w:instrText>
      </w:r>
      <w:r w:rsidR="00AE56D5" w:rsidRPr="00954547">
        <w:rPr>
          <w:rFonts w:cs="Times New Roman"/>
          <w:color w:val="auto"/>
          <w:lang w:val="en-US"/>
        </w:rPr>
      </w:r>
      <w:r w:rsidR="00AE56D5" w:rsidRPr="00954547">
        <w:rPr>
          <w:rFonts w:cs="Times New Roman"/>
          <w:color w:val="auto"/>
          <w:lang w:val="en-US"/>
        </w:rPr>
        <w:fldChar w:fldCharType="separate"/>
      </w:r>
      <w:r w:rsidR="000E4488" w:rsidRPr="00954547">
        <w:rPr>
          <w:rFonts w:cs="Times New Roman"/>
          <w:color w:val="auto"/>
          <w:lang w:val="en-US"/>
        </w:rPr>
        <w:t>195</w:t>
      </w:r>
      <w:r w:rsidR="00AE56D5" w:rsidRPr="00954547">
        <w:rPr>
          <w:rFonts w:cs="Times New Roman"/>
          <w:color w:val="auto"/>
          <w:lang w:val="en-US"/>
        </w:rPr>
        <w:fldChar w:fldCharType="end"/>
      </w:r>
      <w:r w:rsidR="003C2231" w:rsidRPr="00954547">
        <w:rPr>
          <w:rFonts w:cs="Times New Roman"/>
          <w:color w:val="auto"/>
          <w:lang w:val="en-US"/>
        </w:rPr>
        <w:t xml:space="preserve">), </w:t>
      </w:r>
      <w:r w:rsidR="00A4541B" w:rsidRPr="00954547">
        <w:rPr>
          <w:rFonts w:cs="Times New Roman"/>
          <w:color w:val="auto"/>
          <w:lang w:val="en-US"/>
        </w:rPr>
        <w:t>that the</w:t>
      </w:r>
      <w:r w:rsidR="003C2231" w:rsidRPr="00954547">
        <w:rPr>
          <w:rFonts w:cs="Times New Roman"/>
          <w:color w:val="auto"/>
          <w:lang w:val="en-US"/>
        </w:rPr>
        <w:t xml:space="preserve"> </w:t>
      </w:r>
      <w:r w:rsidRPr="00954547">
        <w:rPr>
          <w:rFonts w:cs="Times New Roman"/>
          <w:color w:val="auto"/>
          <w:lang w:val="en-US"/>
        </w:rPr>
        <w:t>medical staff</w:t>
      </w:r>
      <w:r w:rsidR="003C2231" w:rsidRPr="00954547">
        <w:rPr>
          <w:rFonts w:cs="Times New Roman"/>
          <w:color w:val="auto"/>
          <w:lang w:val="en-US"/>
        </w:rPr>
        <w:t xml:space="preserve"> </w:t>
      </w:r>
      <w:r w:rsidR="00A4541B" w:rsidRPr="00954547">
        <w:rPr>
          <w:rFonts w:cs="Times New Roman"/>
          <w:color w:val="auto"/>
          <w:lang w:val="en-US"/>
        </w:rPr>
        <w:t xml:space="preserve">prioritize the report </w:t>
      </w:r>
      <w:r w:rsidR="004C0811" w:rsidRPr="00954547">
        <w:rPr>
          <w:rFonts w:cs="Times New Roman"/>
          <w:color w:val="auto"/>
          <w:lang w:val="en-US"/>
        </w:rPr>
        <w:t>over the provision of</w:t>
      </w:r>
      <w:r w:rsidR="00A4541B" w:rsidRPr="00954547">
        <w:rPr>
          <w:rFonts w:cs="Times New Roman"/>
          <w:color w:val="auto"/>
          <w:lang w:val="en-US"/>
        </w:rPr>
        <w:t xml:space="preserve"> emergency medical care to the woman </w:t>
      </w:r>
      <w:r w:rsidR="004C0811" w:rsidRPr="00954547">
        <w:rPr>
          <w:rFonts w:cs="Times New Roman"/>
          <w:color w:val="auto"/>
          <w:lang w:val="en-US"/>
        </w:rPr>
        <w:t>who</w:t>
      </w:r>
      <w:r w:rsidR="00A4541B" w:rsidRPr="00954547">
        <w:rPr>
          <w:rFonts w:cs="Times New Roman"/>
          <w:color w:val="auto"/>
          <w:lang w:val="en-US"/>
        </w:rPr>
        <w:t xml:space="preserve"> needs this. Thus, the Court stresse</w:t>
      </w:r>
      <w:r w:rsidR="004C0811" w:rsidRPr="00954547">
        <w:rPr>
          <w:rFonts w:cs="Times New Roman"/>
          <w:color w:val="auto"/>
          <w:lang w:val="en-US"/>
        </w:rPr>
        <w:t>s</w:t>
      </w:r>
      <w:r w:rsidR="00A4541B" w:rsidRPr="00954547">
        <w:rPr>
          <w:rFonts w:cs="Times New Roman"/>
          <w:color w:val="auto"/>
          <w:lang w:val="en-US"/>
        </w:rPr>
        <w:t xml:space="preserve"> that, in the case of obstetric emergencies, the law should indicate clearly that, the duty to preserve medical</w:t>
      </w:r>
      <w:r w:rsidR="00A4541B" w:rsidRPr="00954547">
        <w:rPr>
          <w:lang w:val="en-US"/>
        </w:rPr>
        <w:t xml:space="preserve"> </w:t>
      </w:r>
      <w:r w:rsidR="00674DA3" w:rsidRPr="00954547">
        <w:rPr>
          <w:rFonts w:cs="Times New Roman"/>
          <w:color w:val="auto"/>
          <w:lang w:val="en-US"/>
        </w:rPr>
        <w:t xml:space="preserve">professional </w:t>
      </w:r>
      <w:r w:rsidR="004C0811" w:rsidRPr="00954547">
        <w:rPr>
          <w:rFonts w:cs="Times New Roman"/>
          <w:color w:val="auto"/>
          <w:lang w:val="en-US"/>
        </w:rPr>
        <w:t>secrecy</w:t>
      </w:r>
      <w:r w:rsidR="00A4541B" w:rsidRPr="00954547">
        <w:rPr>
          <w:rFonts w:cs="Times New Roman"/>
          <w:color w:val="auto"/>
          <w:lang w:val="en-US"/>
        </w:rPr>
        <w:t xml:space="preserve"> is an exception to the general reporting obligation established in a</w:t>
      </w:r>
      <w:r w:rsidR="00A17F8C" w:rsidRPr="00954547">
        <w:rPr>
          <w:rFonts w:cs="Times New Roman"/>
          <w:color w:val="auto"/>
          <w:lang w:val="en-US"/>
        </w:rPr>
        <w:t>rticle</w:t>
      </w:r>
      <w:r w:rsidR="000A7D12" w:rsidRPr="00954547">
        <w:rPr>
          <w:rFonts w:cs="Times New Roman"/>
          <w:color w:val="auto"/>
          <w:lang w:val="en-US"/>
        </w:rPr>
        <w:t xml:space="preserve"> 229</w:t>
      </w:r>
      <w:r w:rsidR="00053A7C" w:rsidRPr="00954547">
        <w:rPr>
          <w:rFonts w:cs="Times New Roman"/>
          <w:color w:val="auto"/>
          <w:lang w:val="en-US"/>
        </w:rPr>
        <w:t xml:space="preserve"> of the </w:t>
      </w:r>
      <w:r w:rsidR="00BA4784" w:rsidRPr="00954547">
        <w:rPr>
          <w:rFonts w:cs="Times New Roman"/>
          <w:color w:val="auto"/>
          <w:lang w:val="en-US"/>
        </w:rPr>
        <w:t>Code of Criminal Procedure</w:t>
      </w:r>
      <w:r w:rsidR="00A4541B" w:rsidRPr="00954547">
        <w:rPr>
          <w:rFonts w:cs="Times New Roman"/>
          <w:color w:val="auto"/>
          <w:lang w:val="en-US"/>
        </w:rPr>
        <w:t>,</w:t>
      </w:r>
      <w:r w:rsidR="00573723" w:rsidRPr="00954547">
        <w:rPr>
          <w:rStyle w:val="FootnoteReference"/>
          <w:rFonts w:cs="Times New Roman"/>
          <w:color w:val="auto"/>
          <w:lang w:val="en-US"/>
        </w:rPr>
        <w:footnoteReference w:id="365"/>
      </w:r>
      <w:r w:rsidR="00A4541B" w:rsidRPr="00954547">
        <w:rPr>
          <w:rFonts w:cs="Times New Roman"/>
          <w:color w:val="auto"/>
          <w:lang w:val="en-US"/>
        </w:rPr>
        <w:t xml:space="preserve"> as well as the reporting obligation imposed on public officials and on the head or person </w:t>
      </w:r>
      <w:r w:rsidR="00872944" w:rsidRPr="00954547">
        <w:rPr>
          <w:rFonts w:cs="Times New Roman"/>
          <w:color w:val="auto"/>
          <w:lang w:val="en-US"/>
        </w:rPr>
        <w:t>in charge of</w:t>
      </w:r>
      <w:r w:rsidR="00A4541B" w:rsidRPr="00954547">
        <w:rPr>
          <w:rFonts w:cs="Times New Roman"/>
          <w:color w:val="auto"/>
          <w:lang w:val="en-US"/>
        </w:rPr>
        <w:t xml:space="preserve"> a hospital, clinic or other similar establishment.</w:t>
      </w:r>
      <w:r w:rsidR="00573723" w:rsidRPr="00954547">
        <w:rPr>
          <w:rStyle w:val="FootnoteReference"/>
          <w:lang w:val="en-US"/>
        </w:rPr>
        <w:footnoteReference w:id="366"/>
      </w:r>
      <w:r w:rsidR="006E5C6C" w:rsidRPr="00954547">
        <w:rPr>
          <w:rFonts w:cs="Times New Roman"/>
          <w:color w:val="auto"/>
          <w:lang w:val="en-US"/>
        </w:rPr>
        <w:t xml:space="preserve">  </w:t>
      </w:r>
    </w:p>
    <w:p w14:paraId="51952B2F" w14:textId="55FF8D65" w:rsidR="003E74E8" w:rsidRPr="00954547" w:rsidRDefault="00872944" w:rsidP="007D2DD3">
      <w:pPr>
        <w:pStyle w:val="Numberedparagraphs"/>
        <w:tabs>
          <w:tab w:val="left" w:pos="567"/>
        </w:tabs>
        <w:rPr>
          <w:lang w:val="en-US"/>
        </w:rPr>
      </w:pPr>
      <w:bookmarkStart w:id="93" w:name="_Ref88034942"/>
      <w:r w:rsidRPr="00954547">
        <w:rPr>
          <w:rFonts w:eastAsiaTheme="minorHAnsi"/>
          <w:lang w:val="en-US"/>
        </w:rPr>
        <w:t xml:space="preserve">Consequently, the disclosure of the information on Manuela’s </w:t>
      </w:r>
      <w:r w:rsidR="00674DA3" w:rsidRPr="00954547">
        <w:rPr>
          <w:rFonts w:eastAsiaTheme="minorHAnsi"/>
          <w:lang w:val="en-US"/>
        </w:rPr>
        <w:t>sexual and reproductive health</w:t>
      </w:r>
      <w:r w:rsidR="00AE5A1D" w:rsidRPr="00954547">
        <w:rPr>
          <w:rFonts w:eastAsiaTheme="minorHAnsi"/>
          <w:lang w:val="en-US"/>
        </w:rPr>
        <w:t xml:space="preserve"> </w:t>
      </w:r>
      <w:r w:rsidR="00C00425" w:rsidRPr="00954547">
        <w:rPr>
          <w:rFonts w:eastAsiaTheme="minorHAnsi"/>
          <w:lang w:val="en-US"/>
        </w:rPr>
        <w:t xml:space="preserve">based on imprecise and contradictory legislation did not comply with the requirement of legality and, therefore, constituted a violation </w:t>
      </w:r>
      <w:r w:rsidR="00041C12" w:rsidRPr="00954547">
        <w:rPr>
          <w:rFonts w:eastAsiaTheme="minorHAnsi"/>
          <w:lang w:val="en-US"/>
        </w:rPr>
        <w:t>of Article</w:t>
      </w:r>
      <w:r w:rsidR="003E74E8" w:rsidRPr="00954547">
        <w:rPr>
          <w:rFonts w:eastAsiaTheme="minorHAnsi"/>
          <w:lang w:val="en-US"/>
        </w:rPr>
        <w:t xml:space="preserve"> 2 </w:t>
      </w:r>
      <w:r w:rsidR="005E0FD1" w:rsidRPr="00954547">
        <w:rPr>
          <w:rFonts w:eastAsiaTheme="minorHAnsi"/>
          <w:lang w:val="en-US"/>
        </w:rPr>
        <w:t>of the Convention</w:t>
      </w:r>
      <w:r w:rsidR="00DE60E9" w:rsidRPr="00954547">
        <w:rPr>
          <w:rFonts w:eastAsiaTheme="minorHAnsi"/>
          <w:lang w:val="en-US"/>
        </w:rPr>
        <w:t xml:space="preserve">, </w:t>
      </w:r>
      <w:r w:rsidR="00C00425" w:rsidRPr="00954547">
        <w:rPr>
          <w:rFonts w:eastAsiaTheme="minorHAnsi"/>
          <w:lang w:val="en-US"/>
        </w:rPr>
        <w:t>in relation to</w:t>
      </w:r>
      <w:r w:rsidR="00DE60E9" w:rsidRPr="00954547">
        <w:rPr>
          <w:rFonts w:eastAsiaTheme="minorHAnsi"/>
          <w:lang w:val="en-US"/>
        </w:rPr>
        <w:t xml:space="preserve"> </w:t>
      </w:r>
      <w:r w:rsidR="00A17F8C" w:rsidRPr="00954547">
        <w:rPr>
          <w:rFonts w:eastAsiaTheme="minorHAnsi"/>
          <w:lang w:val="en-US"/>
        </w:rPr>
        <w:t>Articles</w:t>
      </w:r>
      <w:r w:rsidR="00DE60E9" w:rsidRPr="00954547">
        <w:rPr>
          <w:rFonts w:eastAsiaTheme="minorHAnsi"/>
          <w:lang w:val="en-US"/>
        </w:rPr>
        <w:t xml:space="preserve"> 11</w:t>
      </w:r>
      <w:r w:rsidR="0078694F" w:rsidRPr="00954547">
        <w:rPr>
          <w:rFonts w:eastAsiaTheme="minorHAnsi"/>
          <w:lang w:val="en-US"/>
        </w:rPr>
        <w:t xml:space="preserve"> and </w:t>
      </w:r>
      <w:r w:rsidR="00DE60E9" w:rsidRPr="00954547">
        <w:rPr>
          <w:rFonts w:eastAsiaTheme="minorHAnsi"/>
          <w:lang w:val="en-US"/>
        </w:rPr>
        <w:t xml:space="preserve">26 </w:t>
      </w:r>
      <w:r w:rsidR="005E0FD1" w:rsidRPr="00954547">
        <w:rPr>
          <w:rFonts w:eastAsiaTheme="minorHAnsi"/>
          <w:lang w:val="en-US"/>
        </w:rPr>
        <w:t>of the Convention</w:t>
      </w:r>
      <w:r w:rsidR="00DE60E9" w:rsidRPr="00954547">
        <w:rPr>
          <w:rFonts w:eastAsiaTheme="minorHAnsi"/>
          <w:lang w:val="en-US"/>
        </w:rPr>
        <w:t>.</w:t>
      </w:r>
      <w:r w:rsidR="003E74E8" w:rsidRPr="00954547">
        <w:rPr>
          <w:rFonts w:eastAsiaTheme="minorHAnsi"/>
          <w:lang w:val="en-US"/>
        </w:rPr>
        <w:t xml:space="preserve"> </w:t>
      </w:r>
      <w:r w:rsidR="00C00425" w:rsidRPr="00954547">
        <w:rPr>
          <w:rFonts w:eastAsiaTheme="minorHAnsi"/>
          <w:lang w:val="en-US"/>
        </w:rPr>
        <w:t>Despite this, the Court finds it necessary in the instant case to analyze the purpose, suitability, necessity and proportionality of the restriction.</w:t>
      </w:r>
      <w:bookmarkEnd w:id="93"/>
    </w:p>
    <w:p w14:paraId="5CAC41A6" w14:textId="66FB0009" w:rsidR="00FD7788" w:rsidRPr="00954547" w:rsidRDefault="00C00425" w:rsidP="007F0666">
      <w:pPr>
        <w:pStyle w:val="Heading4"/>
        <w:rPr>
          <w:lang w:val="en-US"/>
        </w:rPr>
      </w:pPr>
      <w:r w:rsidRPr="00954547">
        <w:rPr>
          <w:lang w:val="en-US"/>
        </w:rPr>
        <w:t>Purpose and suitability of the restriction</w:t>
      </w:r>
    </w:p>
    <w:p w14:paraId="668DF8EB" w14:textId="18531C2D" w:rsidR="006834F8" w:rsidRPr="00954547" w:rsidRDefault="006834F8" w:rsidP="00386B24">
      <w:pPr>
        <w:pStyle w:val="Numberedparagraphs"/>
        <w:tabs>
          <w:tab w:val="left" w:pos="567"/>
        </w:tabs>
        <w:rPr>
          <w:lang w:val="en-US"/>
        </w:rPr>
      </w:pPr>
      <w:r w:rsidRPr="00954547">
        <w:rPr>
          <w:lang w:val="en-US"/>
        </w:rPr>
        <w:t xml:space="preserve">The second limitation of any restriction relates to the purpose of the restrictive measure; in other words, the reason cited to justify the restriction must be one permitted by the American Convention. According to the State, the purpose of the restriction </w:t>
      </w:r>
      <w:r w:rsidR="00190E26" w:rsidRPr="00954547">
        <w:rPr>
          <w:lang w:val="en-US"/>
        </w:rPr>
        <w:t>was</w:t>
      </w:r>
      <w:r w:rsidRPr="00954547">
        <w:rPr>
          <w:lang w:val="en-US"/>
        </w:rPr>
        <w:t xml:space="preserve"> to avoid more serious consequences for the life and health of the infant, and to comply with the international obligation to investigate, prosecute and, as appropriate, punish offenses committed against children.</w:t>
      </w:r>
    </w:p>
    <w:p w14:paraId="116CECF8" w14:textId="09832F15" w:rsidR="006834F8" w:rsidRPr="00954547" w:rsidRDefault="006834F8" w:rsidP="006834F8">
      <w:pPr>
        <w:pStyle w:val="Numberedparagraphs"/>
        <w:tabs>
          <w:tab w:val="left" w:pos="567"/>
        </w:tabs>
        <w:rPr>
          <w:lang w:val="en-US"/>
        </w:rPr>
      </w:pPr>
      <w:r w:rsidRPr="00954547">
        <w:rPr>
          <w:lang w:val="en-US"/>
        </w:rPr>
        <w:t>Regarding the first purpose indicated by</w:t>
      </w:r>
      <w:r w:rsidR="008B20F1" w:rsidRPr="00954547">
        <w:rPr>
          <w:lang w:val="en-US"/>
        </w:rPr>
        <w:t xml:space="preserve"> </w:t>
      </w:r>
      <w:r w:rsidR="00B8393C" w:rsidRPr="00954547">
        <w:rPr>
          <w:lang w:val="en-US"/>
        </w:rPr>
        <w:t>the State</w:t>
      </w:r>
      <w:r w:rsidR="002F14DC" w:rsidRPr="00954547">
        <w:rPr>
          <w:lang w:val="en-US"/>
        </w:rPr>
        <w:t xml:space="preserve">, </w:t>
      </w:r>
      <w:r w:rsidR="00E76B1A" w:rsidRPr="00954547">
        <w:rPr>
          <w:lang w:val="en-US"/>
        </w:rPr>
        <w:t>the Court</w:t>
      </w:r>
      <w:r w:rsidR="002F14DC" w:rsidRPr="00954547">
        <w:rPr>
          <w:lang w:val="en-US"/>
        </w:rPr>
        <w:t xml:space="preserve"> </w:t>
      </w:r>
      <w:r w:rsidRPr="00954547">
        <w:rPr>
          <w:lang w:val="en-US"/>
        </w:rPr>
        <w:t xml:space="preserve">notes that, according to the information </w:t>
      </w:r>
      <w:r w:rsidR="00D21CCD" w:rsidRPr="00954547">
        <w:rPr>
          <w:lang w:val="en-US"/>
        </w:rPr>
        <w:t>possessed by</w:t>
      </w:r>
      <w:r w:rsidRPr="00954547">
        <w:rPr>
          <w:lang w:val="en-US"/>
        </w:rPr>
        <w:t xml:space="preserve"> the physician when she made her report, Manuela had indicated that the infant was dead.</w:t>
      </w:r>
      <w:r w:rsidR="0069011A" w:rsidRPr="00954547">
        <w:rPr>
          <w:rStyle w:val="FootnoteReference"/>
          <w:lang w:val="en-US"/>
        </w:rPr>
        <w:footnoteReference w:id="367"/>
      </w:r>
      <w:r w:rsidRPr="00954547">
        <w:rPr>
          <w:lang w:val="en-US"/>
        </w:rPr>
        <w:t xml:space="preserve"> Moreover, the actions taken by the prosecution in this case reveal that the report was treated as a report of an offense that had already taken place, and not as a situation in which the life of a newborn was in danger.</w:t>
      </w:r>
      <w:r w:rsidR="0069011A" w:rsidRPr="00954547">
        <w:rPr>
          <w:rStyle w:val="FootnoteReference"/>
          <w:lang w:val="en-US"/>
        </w:rPr>
        <w:footnoteReference w:id="368"/>
      </w:r>
      <w:r w:rsidRPr="00954547">
        <w:rPr>
          <w:lang w:val="en-US"/>
        </w:rPr>
        <w:t xml:space="preserve"> Therefore, the Court considers that, in the instant case, the purpose of the restriction was not to protect the life of a child, but rather to comply with the international obligation to investigate, prosecute and, as appropriate, punish offenses</w:t>
      </w:r>
      <w:r w:rsidR="00901EB6" w:rsidRPr="00954547">
        <w:rPr>
          <w:lang w:val="en-US"/>
        </w:rPr>
        <w:t xml:space="preserve"> committed against children, which is in conformity with the Convention. Thus, the Court notes that the report made in this case was an appropriate measure to achieve that purpose.</w:t>
      </w:r>
    </w:p>
    <w:p w14:paraId="11ACAEBA" w14:textId="6FD86220" w:rsidR="00EE15AA" w:rsidRPr="00954547" w:rsidRDefault="00EE15AA" w:rsidP="007F0666">
      <w:pPr>
        <w:pStyle w:val="Heading4"/>
        <w:rPr>
          <w:lang w:val="en-US"/>
        </w:rPr>
      </w:pPr>
      <w:r w:rsidRPr="00954547">
        <w:rPr>
          <w:lang w:val="en-US"/>
        </w:rPr>
        <w:t>Nece</w:t>
      </w:r>
      <w:r w:rsidR="00901EB6" w:rsidRPr="00954547">
        <w:rPr>
          <w:lang w:val="en-US"/>
        </w:rPr>
        <w:t>ssity of the restriction</w:t>
      </w:r>
    </w:p>
    <w:p w14:paraId="22AA82A6" w14:textId="4F4A1A6D" w:rsidR="00DC5D2F" w:rsidRPr="00954547" w:rsidRDefault="00901EB6" w:rsidP="00202C84">
      <w:pPr>
        <w:pStyle w:val="Numberedparagraphs"/>
        <w:tabs>
          <w:tab w:val="clear" w:pos="720"/>
          <w:tab w:val="left" w:pos="567"/>
        </w:tabs>
        <w:rPr>
          <w:lang w:val="en-US"/>
        </w:rPr>
      </w:pPr>
      <w:r w:rsidRPr="00954547">
        <w:rPr>
          <w:lang w:val="en-US"/>
        </w:rPr>
        <w:t>To evaluate the necessity of the measure, the alternatives that existed to achieve the legitimate purpose sought must be examined in order to decide whether they represented greater or lesser harm.</w:t>
      </w:r>
      <w:r w:rsidR="004C2C83" w:rsidRPr="00954547">
        <w:rPr>
          <w:rStyle w:val="FootnoteReference"/>
          <w:lang w:val="en-US"/>
        </w:rPr>
        <w:footnoteReference w:id="369"/>
      </w:r>
      <w:r w:rsidR="00160DB0" w:rsidRPr="00954547">
        <w:rPr>
          <w:lang w:val="en-US"/>
        </w:rPr>
        <w:t xml:space="preserve"> </w:t>
      </w:r>
      <w:r w:rsidR="00202C84" w:rsidRPr="00954547">
        <w:rPr>
          <w:lang w:val="en-US"/>
        </w:rPr>
        <w:t xml:space="preserve">In this regard, the Court notes that the report of, or information concerning, the possible perpetration of an offense by someone who has not acquired this knowledge through </w:t>
      </w:r>
      <w:r w:rsidR="002D5007" w:rsidRPr="00954547">
        <w:rPr>
          <w:lang w:val="en-US"/>
        </w:rPr>
        <w:t>the medical treatment of the</w:t>
      </w:r>
      <w:r w:rsidR="00DC5D2F" w:rsidRPr="00954547">
        <w:rPr>
          <w:lang w:val="en-US"/>
        </w:rPr>
        <w:t xml:space="preserve"> woman could also be appropriate. In such cases, </w:t>
      </w:r>
      <w:r w:rsidR="00BC7072" w:rsidRPr="00954547">
        <w:rPr>
          <w:lang w:val="en-US"/>
        </w:rPr>
        <w:t>the right to</w:t>
      </w:r>
      <w:r w:rsidR="00EA3DEA" w:rsidRPr="00954547">
        <w:rPr>
          <w:lang w:val="en-US"/>
        </w:rPr>
        <w:t xml:space="preserve"> </w:t>
      </w:r>
      <w:r w:rsidR="00A4329E" w:rsidRPr="00954547">
        <w:rPr>
          <w:lang w:val="en-US"/>
        </w:rPr>
        <w:t xml:space="preserve">the </w:t>
      </w:r>
      <w:r w:rsidR="00EA3DEA" w:rsidRPr="00954547">
        <w:rPr>
          <w:lang w:val="en-US"/>
        </w:rPr>
        <w:t>protec</w:t>
      </w:r>
      <w:r w:rsidR="00DC5D2F" w:rsidRPr="00954547">
        <w:rPr>
          <w:lang w:val="en-US"/>
        </w:rPr>
        <w:t>tio</w:t>
      </w:r>
      <w:r w:rsidR="00EA3DEA" w:rsidRPr="00954547">
        <w:rPr>
          <w:lang w:val="en-US"/>
        </w:rPr>
        <w:t xml:space="preserve">n </w:t>
      </w:r>
      <w:r w:rsidR="00DC5D2F" w:rsidRPr="00954547">
        <w:rPr>
          <w:lang w:val="en-US"/>
        </w:rPr>
        <w:t>of the health data of the person receiving medical care would not be violated. However, in the instant case, it is not certain that it would haves been possible to investigate the presumed homicide if the medical staff had not disclosed Manuela’s information, so that the measure could be a necessary measure and it is necessary to examine the proportionality of the restriction.</w:t>
      </w:r>
    </w:p>
    <w:p w14:paraId="4D8CE925" w14:textId="699365B8" w:rsidR="00160DB0" w:rsidRPr="00954547" w:rsidRDefault="00160DB0" w:rsidP="007F0666">
      <w:pPr>
        <w:pStyle w:val="Heading4"/>
        <w:rPr>
          <w:lang w:val="en-US"/>
        </w:rPr>
      </w:pPr>
      <w:r w:rsidRPr="00954547">
        <w:rPr>
          <w:lang w:val="en-US"/>
        </w:rPr>
        <w:t>Propor</w:t>
      </w:r>
      <w:r w:rsidR="00D21CCD" w:rsidRPr="00954547">
        <w:rPr>
          <w:lang w:val="en-US"/>
        </w:rPr>
        <w:t>tionality of the restriction</w:t>
      </w:r>
    </w:p>
    <w:p w14:paraId="615FF7B0" w14:textId="130E982F" w:rsidR="00862B64" w:rsidRPr="00954547" w:rsidRDefault="00D21CCD" w:rsidP="00386B24">
      <w:pPr>
        <w:pStyle w:val="Numberedparagraphs"/>
        <w:tabs>
          <w:tab w:val="left" w:pos="567"/>
        </w:tabs>
        <w:rPr>
          <w:lang w:val="en-US"/>
        </w:rPr>
      </w:pPr>
      <w:r w:rsidRPr="00954547">
        <w:rPr>
          <w:lang w:val="en-US"/>
        </w:rPr>
        <w:t>On this point, it is necessary to examine whether the restriction was strictly proportionate, so that the sacrifice inherent in it was not exaggerated or disproportionate to the advantages obtained from the said limitation.</w:t>
      </w:r>
      <w:r w:rsidR="00160DB0" w:rsidRPr="00954547">
        <w:rPr>
          <w:rStyle w:val="FootnoteReference"/>
          <w:lang w:val="en-US"/>
        </w:rPr>
        <w:footnoteReference w:id="370"/>
      </w:r>
      <w:r w:rsidRPr="00954547">
        <w:rPr>
          <w:lang w:val="en-US"/>
        </w:rPr>
        <w:t xml:space="preserve"> In this regard, the Court has indicated that the restriction must be proportionate to the interest that justifies it and be closely adapted to the achievement of that legitimate objective, interfering as little as possible in the effective exercise of the rights at stake.</w:t>
      </w:r>
      <w:r w:rsidR="00160DB0" w:rsidRPr="00954547">
        <w:rPr>
          <w:rStyle w:val="FootnoteReference"/>
          <w:lang w:val="en-US"/>
        </w:rPr>
        <w:footnoteReference w:id="371"/>
      </w:r>
      <w:r w:rsidR="00160DB0" w:rsidRPr="00954547">
        <w:rPr>
          <w:lang w:val="en-US"/>
        </w:rPr>
        <w:t xml:space="preserve"> </w:t>
      </w:r>
      <w:r w:rsidRPr="00954547">
        <w:rPr>
          <w:lang w:val="en-US"/>
        </w:rPr>
        <w:t>Indeed, even if a restriction is established by law, is suitable and necessary, the Court must determine whether it is strictly proportionate</w:t>
      </w:r>
      <w:r w:rsidR="00160DB0" w:rsidRPr="00954547">
        <w:rPr>
          <w:lang w:val="en-US"/>
        </w:rPr>
        <w:t>.</w:t>
      </w:r>
      <w:r w:rsidR="002E2311" w:rsidRPr="00954547">
        <w:rPr>
          <w:lang w:val="en-US"/>
        </w:rPr>
        <w:t xml:space="preserve"> </w:t>
      </w:r>
    </w:p>
    <w:p w14:paraId="6105291B" w14:textId="2120B779" w:rsidR="000E4312" w:rsidRPr="00954547" w:rsidRDefault="00E473DE" w:rsidP="00386B24">
      <w:pPr>
        <w:pStyle w:val="Numberedparagraphs"/>
        <w:tabs>
          <w:tab w:val="left" w:pos="567"/>
        </w:tabs>
        <w:rPr>
          <w:lang w:val="en-US"/>
        </w:rPr>
      </w:pPr>
      <w:r w:rsidRPr="00954547">
        <w:rPr>
          <w:lang w:val="en-US"/>
        </w:rPr>
        <w:t xml:space="preserve">Manuela </w:t>
      </w:r>
      <w:r w:rsidR="000E4312" w:rsidRPr="00954547">
        <w:rPr>
          <w:lang w:val="en-US"/>
        </w:rPr>
        <w:t>went to the hospital after suffer</w:t>
      </w:r>
      <w:r w:rsidR="006467C0" w:rsidRPr="00954547">
        <w:rPr>
          <w:lang w:val="en-US"/>
        </w:rPr>
        <w:t>ing</w:t>
      </w:r>
      <w:r w:rsidR="000E4312" w:rsidRPr="00954547">
        <w:rPr>
          <w:lang w:val="en-US"/>
        </w:rPr>
        <w:t xml:space="preserve"> an </w:t>
      </w:r>
      <w:r w:rsidR="00B72FE4" w:rsidRPr="00954547">
        <w:rPr>
          <w:lang w:val="en-US"/>
        </w:rPr>
        <w:t>obstetric emergency</w:t>
      </w:r>
      <w:r w:rsidR="00331877" w:rsidRPr="00954547">
        <w:rPr>
          <w:lang w:val="en-US"/>
        </w:rPr>
        <w:t>,</w:t>
      </w:r>
      <w:r w:rsidR="000E4312" w:rsidRPr="00954547">
        <w:rPr>
          <w:lang w:val="en-US"/>
        </w:rPr>
        <w:t xml:space="preserve"> share</w:t>
      </w:r>
      <w:r w:rsidR="006467C0" w:rsidRPr="00954547">
        <w:rPr>
          <w:lang w:val="en-US"/>
        </w:rPr>
        <w:t>d</w:t>
      </w:r>
      <w:r w:rsidR="000E4312" w:rsidRPr="00954547">
        <w:rPr>
          <w:lang w:val="en-US"/>
        </w:rPr>
        <w:t xml:space="preserve"> </w:t>
      </w:r>
      <w:r w:rsidR="006467C0" w:rsidRPr="00954547">
        <w:rPr>
          <w:lang w:val="en-US"/>
        </w:rPr>
        <w:t xml:space="preserve">the information she considered pertinent </w:t>
      </w:r>
      <w:r w:rsidR="000E4312" w:rsidRPr="00954547">
        <w:rPr>
          <w:lang w:val="en-US"/>
        </w:rPr>
        <w:t>with her physician, and allowed the physician to examine her. The information obtained by the physician while treating Manuela was subsequently used in the criminal proceedings against her. Therefore, Manuela had to decide between not receiving medical care</w:t>
      </w:r>
      <w:r w:rsidR="005117A1" w:rsidRPr="00954547">
        <w:rPr>
          <w:lang w:val="en-US"/>
        </w:rPr>
        <w:t xml:space="preserve"> or</w:t>
      </w:r>
      <w:r w:rsidR="000E4312" w:rsidRPr="00954547">
        <w:rPr>
          <w:lang w:val="en-US"/>
        </w:rPr>
        <w:t xml:space="preserve"> that this care would be used against her in the criminal proceedings.</w:t>
      </w:r>
    </w:p>
    <w:p w14:paraId="0B07B355" w14:textId="55346B6E" w:rsidR="002E2311" w:rsidRPr="00954547" w:rsidRDefault="00E76B1A" w:rsidP="005117A1">
      <w:pPr>
        <w:pStyle w:val="Numberedparagraphs"/>
        <w:tabs>
          <w:tab w:val="left" w:pos="567"/>
        </w:tabs>
        <w:rPr>
          <w:lang w:val="en-US"/>
        </w:rPr>
      </w:pPr>
      <w:r w:rsidRPr="00954547">
        <w:rPr>
          <w:lang w:val="en-US"/>
        </w:rPr>
        <w:t>The Court</w:t>
      </w:r>
      <w:r w:rsidR="005432F8" w:rsidRPr="00954547">
        <w:rPr>
          <w:lang w:val="en-US"/>
        </w:rPr>
        <w:t xml:space="preserve"> </w:t>
      </w:r>
      <w:r w:rsidR="005117A1" w:rsidRPr="00954547">
        <w:rPr>
          <w:lang w:val="en-US"/>
        </w:rPr>
        <w:t xml:space="preserve">notes that the failure to respect medical confidentiality may prevent people from seeking medical </w:t>
      </w:r>
      <w:r w:rsidR="006467C0" w:rsidRPr="00954547">
        <w:rPr>
          <w:lang w:val="en-US"/>
        </w:rPr>
        <w:t>care</w:t>
      </w:r>
      <w:r w:rsidR="005117A1" w:rsidRPr="00954547">
        <w:rPr>
          <w:lang w:val="en-US"/>
        </w:rPr>
        <w:t xml:space="preserve"> when they need this, endangering their health and that of the community in cases of contagious diseases.</w:t>
      </w:r>
      <w:r w:rsidR="00BE0F64" w:rsidRPr="00954547">
        <w:rPr>
          <w:rStyle w:val="FootnoteReference"/>
          <w:rFonts w:eastAsia="Times New Roman"/>
          <w:lang w:val="en-US" w:eastAsia="es-CR"/>
        </w:rPr>
        <w:footnoteReference w:id="372"/>
      </w:r>
      <w:r w:rsidR="005117A1" w:rsidRPr="00954547">
        <w:rPr>
          <w:rFonts w:eastAsia="Times New Roman"/>
          <w:lang w:val="en-US" w:eastAsia="es-CR"/>
        </w:rPr>
        <w:t xml:space="preserve"> Specifically, in cases in which women need medical care</w:t>
      </w:r>
      <w:r w:rsidR="00BE0F64" w:rsidRPr="00954547">
        <w:rPr>
          <w:rFonts w:eastAsia="Times New Roman"/>
          <w:lang w:val="en-US" w:eastAsia="es-CR"/>
        </w:rPr>
        <w:t xml:space="preserve"> </w:t>
      </w:r>
      <w:r w:rsidR="005117A1" w:rsidRPr="00954547">
        <w:rPr>
          <w:rFonts w:eastAsia="Times New Roman"/>
          <w:lang w:val="en-US" w:eastAsia="es-CR"/>
        </w:rPr>
        <w:t xml:space="preserve">following a delivery or in an </w:t>
      </w:r>
      <w:r w:rsidR="00B72FE4" w:rsidRPr="00954547">
        <w:rPr>
          <w:lang w:val="en-US"/>
        </w:rPr>
        <w:t>obstetric emergency</w:t>
      </w:r>
      <w:r w:rsidR="00BE0F64" w:rsidRPr="00954547">
        <w:rPr>
          <w:lang w:val="en-US"/>
        </w:rPr>
        <w:t xml:space="preserve">, </w:t>
      </w:r>
      <w:r w:rsidR="002E2311" w:rsidRPr="00954547">
        <w:rPr>
          <w:rFonts w:cs="Times New Roman"/>
          <w:lang w:val="en-US"/>
        </w:rPr>
        <w:t xml:space="preserve">CEDAW </w:t>
      </w:r>
      <w:r w:rsidR="005117A1" w:rsidRPr="00954547">
        <w:rPr>
          <w:rFonts w:cs="Times New Roman"/>
          <w:lang w:val="en-US"/>
        </w:rPr>
        <w:t>has indicated that</w:t>
      </w:r>
      <w:r w:rsidR="002E2311" w:rsidRPr="00954547">
        <w:rPr>
          <w:rFonts w:cs="Times New Roman"/>
          <w:lang w:val="en-US"/>
        </w:rPr>
        <w:t>:</w:t>
      </w:r>
    </w:p>
    <w:p w14:paraId="417776AE" w14:textId="0A96C7FD" w:rsidR="002E2311" w:rsidRPr="00954547" w:rsidRDefault="006D569A" w:rsidP="006D569A">
      <w:pPr>
        <w:pStyle w:val="ListParagraph"/>
        <w:numPr>
          <w:ilvl w:val="0"/>
          <w:numId w:val="0"/>
        </w:numPr>
        <w:ind w:left="567" w:right="616"/>
        <w:rPr>
          <w:lang w:val="en-US"/>
        </w:rPr>
      </w:pPr>
      <w:r w:rsidRPr="00954547">
        <w:rPr>
          <w:sz w:val="18"/>
          <w:szCs w:val="18"/>
          <w:lang w:val="en-US"/>
        </w:rPr>
        <w:t>“... lack of respect for the confidentiality of patients […] may deter women from seeking advice and treatment and thereby adversely affect their health and well-being. Women will be less willing, for that reason, to seek medical care for diseases of the genital tract, for contraception or for incomplete abortion and in cases where they have suffered sexual or physical violence.</w:t>
      </w:r>
      <w:r w:rsidR="002E2311" w:rsidRPr="00954547">
        <w:rPr>
          <w:rStyle w:val="FootnoteReference"/>
          <w:sz w:val="18"/>
          <w:szCs w:val="18"/>
          <w:lang w:val="en-US"/>
        </w:rPr>
        <w:footnoteReference w:id="373"/>
      </w:r>
    </w:p>
    <w:p w14:paraId="283D0416" w14:textId="7A20D010" w:rsidR="009B0D34" w:rsidRPr="00954547" w:rsidRDefault="006D569A" w:rsidP="00274C29">
      <w:pPr>
        <w:pStyle w:val="Numberedparagraphs"/>
        <w:tabs>
          <w:tab w:val="clear" w:pos="720"/>
          <w:tab w:val="left" w:pos="567"/>
        </w:tabs>
        <w:rPr>
          <w:lang w:val="en-US"/>
        </w:rPr>
      </w:pPr>
      <w:r w:rsidRPr="00954547">
        <w:rPr>
          <w:lang w:val="en-US"/>
        </w:rPr>
        <w:t>Similarly, the</w:t>
      </w:r>
      <w:r w:rsidR="00274C29" w:rsidRPr="00954547">
        <w:rPr>
          <w:lang w:val="en-US"/>
        </w:rPr>
        <w:t xml:space="preserve"> </w:t>
      </w:r>
      <w:r w:rsidR="008C4B22" w:rsidRPr="00954547">
        <w:rPr>
          <w:lang w:val="en-US"/>
        </w:rPr>
        <w:t>Human Rights Committee</w:t>
      </w:r>
      <w:r w:rsidR="00B55307" w:rsidRPr="00954547">
        <w:rPr>
          <w:lang w:val="en-US"/>
        </w:rPr>
        <w:t xml:space="preserve"> ha</w:t>
      </w:r>
      <w:r w:rsidRPr="00954547">
        <w:rPr>
          <w:lang w:val="en-US"/>
        </w:rPr>
        <w:t xml:space="preserve">s indicated that the “legal duty imposed upon health personnel </w:t>
      </w:r>
      <w:r w:rsidR="00274C29" w:rsidRPr="00954547">
        <w:rPr>
          <w:lang w:val="en-US"/>
        </w:rPr>
        <w:t xml:space="preserve">to </w:t>
      </w:r>
      <w:r w:rsidRPr="00954547">
        <w:rPr>
          <w:lang w:val="en-US"/>
        </w:rPr>
        <w:t>report on cases of women who have undergone</w:t>
      </w:r>
      <w:r w:rsidR="00274C29" w:rsidRPr="00954547">
        <w:rPr>
          <w:lang w:val="en-US"/>
        </w:rPr>
        <w:t xml:space="preserve"> abortions may inhibit women from seeking medical treatment, thereby endangering their lives.”</w:t>
      </w:r>
      <w:r w:rsidR="00B55307" w:rsidRPr="00954547">
        <w:rPr>
          <w:rStyle w:val="FootnoteReference"/>
          <w:rFonts w:cs="Times New Roman"/>
          <w:color w:val="auto"/>
          <w:lang w:val="en-US"/>
        </w:rPr>
        <w:footnoteReference w:id="374"/>
      </w:r>
    </w:p>
    <w:p w14:paraId="61C0EC48" w14:textId="7353E3BF" w:rsidR="000A7D12" w:rsidRPr="00954547" w:rsidRDefault="00274C29" w:rsidP="00430000">
      <w:pPr>
        <w:pStyle w:val="Numberedparagraphs"/>
        <w:tabs>
          <w:tab w:val="clear" w:pos="720"/>
          <w:tab w:val="left" w:pos="567"/>
        </w:tabs>
        <w:rPr>
          <w:lang w:val="en-US"/>
        </w:rPr>
      </w:pPr>
      <w:r w:rsidRPr="00954547">
        <w:rPr>
          <w:lang w:val="en-US"/>
        </w:rPr>
        <w:t xml:space="preserve">In this sense, the Court considers that, in cases related to obstetric emergencies such as this one, the disclosure of medical date may restrict the access to adequate medical </w:t>
      </w:r>
      <w:r w:rsidR="006467C0" w:rsidRPr="00954547">
        <w:rPr>
          <w:lang w:val="en-US"/>
        </w:rPr>
        <w:t>attention</w:t>
      </w:r>
      <w:r w:rsidRPr="00954547">
        <w:rPr>
          <w:lang w:val="en-US"/>
        </w:rPr>
        <w:t xml:space="preserve"> for women who need medical care, but who avoid going to a hospital for fear of being criminalized, and this jeopardizes their right to health, personal integrity and life. Indeed, in such case, </w:t>
      </w:r>
      <w:r w:rsidR="00430000" w:rsidRPr="00954547">
        <w:rPr>
          <w:lang w:val="en-US"/>
        </w:rPr>
        <w:t xml:space="preserve">there is an apparent </w:t>
      </w:r>
      <w:r w:rsidR="006467C0" w:rsidRPr="00954547">
        <w:rPr>
          <w:lang w:val="en-US"/>
        </w:rPr>
        <w:t>conflict</w:t>
      </w:r>
      <w:r w:rsidR="00430000" w:rsidRPr="00954547">
        <w:rPr>
          <w:lang w:val="en-US"/>
        </w:rPr>
        <w:t xml:space="preserve"> between </w:t>
      </w:r>
      <w:r w:rsidRPr="00954547">
        <w:rPr>
          <w:lang w:val="en-US"/>
        </w:rPr>
        <w:t>two rules</w:t>
      </w:r>
      <w:r w:rsidR="00430000" w:rsidRPr="00954547">
        <w:rPr>
          <w:lang w:val="en-US"/>
        </w:rPr>
        <w:t xml:space="preserve">: the duty to respect </w:t>
      </w:r>
      <w:r w:rsidR="00430000" w:rsidRPr="00954547">
        <w:rPr>
          <w:iCs/>
          <w:lang w:val="en-US"/>
        </w:rPr>
        <w:t xml:space="preserve">professional </w:t>
      </w:r>
      <w:r w:rsidR="006467C0" w:rsidRPr="00954547">
        <w:rPr>
          <w:iCs/>
          <w:lang w:val="en-US"/>
        </w:rPr>
        <w:t>secrecy</w:t>
      </w:r>
      <w:r w:rsidR="00430000" w:rsidRPr="00954547">
        <w:rPr>
          <w:iCs/>
          <w:lang w:val="en-US"/>
        </w:rPr>
        <w:t xml:space="preserve"> and the reporting duty. In cases of obstetric emergencies in which the life of the woman is in danger, the duty to respect the professional secret should be given priority. Therefore, the harm caused by the report made by</w:t>
      </w:r>
      <w:r w:rsidR="00430000" w:rsidRPr="00954547">
        <w:rPr>
          <w:lang w:val="en-US"/>
        </w:rPr>
        <w:t xml:space="preserve"> </w:t>
      </w:r>
      <w:r w:rsidR="00354B24" w:rsidRPr="00954547">
        <w:rPr>
          <w:lang w:val="en-US"/>
        </w:rPr>
        <w:t>the treating physician</w:t>
      </w:r>
      <w:r w:rsidR="00AE5A1D" w:rsidRPr="00954547">
        <w:rPr>
          <w:lang w:val="en-US"/>
        </w:rPr>
        <w:t xml:space="preserve"> </w:t>
      </w:r>
      <w:r w:rsidR="00430000" w:rsidRPr="00954547">
        <w:rPr>
          <w:lang w:val="en-US"/>
        </w:rPr>
        <w:t xml:space="preserve">in this case was disproportionate compared to the advantages it obtained. Consequently, the report made by </w:t>
      </w:r>
      <w:r w:rsidR="00354B24" w:rsidRPr="00954547">
        <w:rPr>
          <w:lang w:val="en-US"/>
        </w:rPr>
        <w:t>the treating physician</w:t>
      </w:r>
      <w:r w:rsidR="00084110" w:rsidRPr="00954547">
        <w:rPr>
          <w:lang w:val="en-US"/>
        </w:rPr>
        <w:t xml:space="preserve"> </w:t>
      </w:r>
      <w:r w:rsidR="00084110" w:rsidRPr="00954547">
        <w:rPr>
          <w:rFonts w:eastAsiaTheme="minorHAnsi"/>
          <w:lang w:val="en-US"/>
        </w:rPr>
        <w:t>constitu</w:t>
      </w:r>
      <w:r w:rsidR="00430000" w:rsidRPr="00954547">
        <w:rPr>
          <w:rFonts w:eastAsiaTheme="minorHAnsi"/>
          <w:lang w:val="en-US"/>
        </w:rPr>
        <w:t xml:space="preserve">ted a violation of Manuela’s rights to </w:t>
      </w:r>
      <w:r w:rsidR="0078694F" w:rsidRPr="00954547">
        <w:rPr>
          <w:rFonts w:eastAsiaTheme="minorHAnsi"/>
          <w:lang w:val="en-US"/>
        </w:rPr>
        <w:t>privacy and</w:t>
      </w:r>
      <w:r w:rsidR="00667AFE" w:rsidRPr="00954547">
        <w:rPr>
          <w:rFonts w:eastAsiaTheme="minorHAnsi"/>
          <w:lang w:val="en-US"/>
        </w:rPr>
        <w:t xml:space="preserve"> </w:t>
      </w:r>
      <w:r w:rsidR="0078694F" w:rsidRPr="00954547">
        <w:rPr>
          <w:rFonts w:eastAsiaTheme="minorHAnsi"/>
          <w:lang w:val="en-US"/>
        </w:rPr>
        <w:t>health</w:t>
      </w:r>
      <w:r w:rsidR="00430000" w:rsidRPr="00954547">
        <w:rPr>
          <w:rFonts w:eastAsiaTheme="minorHAnsi"/>
          <w:lang w:val="en-US"/>
        </w:rPr>
        <w:t xml:space="preserve">, </w:t>
      </w:r>
      <w:r w:rsidR="00667AFE" w:rsidRPr="00954547">
        <w:rPr>
          <w:rFonts w:eastAsiaTheme="minorHAnsi"/>
          <w:lang w:val="en-US"/>
        </w:rPr>
        <w:t>establ</w:t>
      </w:r>
      <w:r w:rsidR="00430000" w:rsidRPr="00954547">
        <w:rPr>
          <w:rFonts w:eastAsiaTheme="minorHAnsi"/>
          <w:lang w:val="en-US"/>
        </w:rPr>
        <w:t>ished in</w:t>
      </w:r>
      <w:r w:rsidR="00667AFE" w:rsidRPr="00954547">
        <w:rPr>
          <w:rFonts w:eastAsiaTheme="minorHAnsi"/>
          <w:lang w:val="en-US"/>
        </w:rPr>
        <w:t xml:space="preserve"> </w:t>
      </w:r>
      <w:r w:rsidR="00A17F8C" w:rsidRPr="00954547">
        <w:rPr>
          <w:rFonts w:eastAsiaTheme="minorHAnsi"/>
          <w:lang w:val="en-US"/>
        </w:rPr>
        <w:t>Articles</w:t>
      </w:r>
      <w:r w:rsidR="00667AFE" w:rsidRPr="00954547">
        <w:rPr>
          <w:rFonts w:eastAsiaTheme="minorHAnsi"/>
          <w:lang w:val="en-US"/>
        </w:rPr>
        <w:t xml:space="preserve"> 11</w:t>
      </w:r>
      <w:r w:rsidR="0078694F" w:rsidRPr="00954547">
        <w:rPr>
          <w:rFonts w:eastAsiaTheme="minorHAnsi"/>
          <w:lang w:val="en-US"/>
        </w:rPr>
        <w:t xml:space="preserve"> and </w:t>
      </w:r>
      <w:r w:rsidR="00667AFE" w:rsidRPr="00954547">
        <w:rPr>
          <w:rFonts w:eastAsiaTheme="minorHAnsi"/>
          <w:lang w:val="en-US"/>
        </w:rPr>
        <w:t>26</w:t>
      </w:r>
      <w:r w:rsidR="005E0FD1" w:rsidRPr="00954547">
        <w:rPr>
          <w:rFonts w:eastAsiaTheme="minorHAnsi"/>
          <w:lang w:val="en-US"/>
        </w:rPr>
        <w:t xml:space="preserve"> of the American Convention</w:t>
      </w:r>
      <w:r w:rsidR="00667AFE" w:rsidRPr="00954547">
        <w:rPr>
          <w:rFonts w:eastAsiaTheme="minorHAnsi"/>
          <w:lang w:val="en-US"/>
        </w:rPr>
        <w:t>.</w:t>
      </w:r>
    </w:p>
    <w:p w14:paraId="036AEAE6" w14:textId="3814B647" w:rsidR="00276EB5" w:rsidRPr="00954547" w:rsidRDefault="00276EB5" w:rsidP="000A7D12">
      <w:pPr>
        <w:pStyle w:val="Heading4"/>
        <w:jc w:val="both"/>
        <w:rPr>
          <w:lang w:val="en-US"/>
        </w:rPr>
      </w:pPr>
      <w:r w:rsidRPr="00954547">
        <w:rPr>
          <w:lang w:val="en-US"/>
        </w:rPr>
        <w:t xml:space="preserve">B.3.b </w:t>
      </w:r>
      <w:r w:rsidR="00545A39" w:rsidRPr="00954547">
        <w:rPr>
          <w:lang w:val="en-US"/>
        </w:rPr>
        <w:t>The physician’s statement and the disclosure of the medical record</w:t>
      </w:r>
    </w:p>
    <w:p w14:paraId="23B6A41E" w14:textId="120A5C8E" w:rsidR="00646047" w:rsidRPr="00954547" w:rsidRDefault="0032123B" w:rsidP="00133FCE">
      <w:pPr>
        <w:pStyle w:val="Numberedparagraphs"/>
        <w:tabs>
          <w:tab w:val="left" w:pos="567"/>
        </w:tabs>
        <w:rPr>
          <w:rFonts w:eastAsia="Cambria" w:cs="Cambria"/>
          <w:u w:color="000000"/>
          <w:lang w:val="en-US" w:eastAsia="es-ES"/>
        </w:rPr>
      </w:pPr>
      <w:r w:rsidRPr="00954547">
        <w:rPr>
          <w:lang w:val="en-US"/>
        </w:rPr>
        <w:t>On February 28,</w:t>
      </w:r>
      <w:r w:rsidR="00646047" w:rsidRPr="00954547">
        <w:rPr>
          <w:lang w:val="en-US"/>
        </w:rPr>
        <w:t xml:space="preserve"> 2008</w:t>
      </w:r>
      <w:r w:rsidR="00767E5A" w:rsidRPr="00954547">
        <w:rPr>
          <w:lang w:val="en-US"/>
        </w:rPr>
        <w:t>,</w:t>
      </w:r>
      <w:r w:rsidR="00646047" w:rsidRPr="00954547">
        <w:rPr>
          <w:lang w:val="en-US"/>
        </w:rPr>
        <w:t xml:space="preserve"> </w:t>
      </w:r>
      <w:r w:rsidR="00767E5A" w:rsidRPr="00954547">
        <w:rPr>
          <w:lang w:val="en-US"/>
        </w:rPr>
        <w:t>the police questioned</w:t>
      </w:r>
      <w:r w:rsidR="00646047" w:rsidRPr="00954547">
        <w:rPr>
          <w:lang w:val="en-US"/>
        </w:rPr>
        <w:t xml:space="preserve"> </w:t>
      </w:r>
      <w:r w:rsidR="00354B24" w:rsidRPr="00954547">
        <w:rPr>
          <w:lang w:val="en-US"/>
        </w:rPr>
        <w:t>the treating physician</w:t>
      </w:r>
      <w:r w:rsidR="00646047" w:rsidRPr="00954547">
        <w:rPr>
          <w:lang w:val="en-US"/>
        </w:rPr>
        <w:t xml:space="preserve"> </w:t>
      </w:r>
      <w:r w:rsidR="00767E5A" w:rsidRPr="00954547">
        <w:rPr>
          <w:lang w:val="en-US"/>
        </w:rPr>
        <w:t xml:space="preserve">with regard to her report. </w:t>
      </w:r>
      <w:r w:rsidR="00133FCE" w:rsidRPr="00954547">
        <w:rPr>
          <w:lang w:val="en-US"/>
        </w:rPr>
        <w:t>The physician reveal</w:t>
      </w:r>
      <w:r w:rsidR="00BB173B" w:rsidRPr="00954547">
        <w:rPr>
          <w:lang w:val="en-US"/>
        </w:rPr>
        <w:t>ed</w:t>
      </w:r>
      <w:r w:rsidR="00133FCE" w:rsidRPr="00954547">
        <w:rPr>
          <w:lang w:val="en-US"/>
        </w:rPr>
        <w:t xml:space="preserve"> information about Manuela’s body, which she had examined </w:t>
      </w:r>
      <w:r w:rsidR="00BB173B" w:rsidRPr="00954547">
        <w:rPr>
          <w:lang w:val="en-US"/>
        </w:rPr>
        <w:t>while providing</w:t>
      </w:r>
      <w:r w:rsidR="00133FCE" w:rsidRPr="00954547">
        <w:rPr>
          <w:lang w:val="en-US"/>
        </w:rPr>
        <w:t xml:space="preserve"> medical treatment.</w:t>
      </w:r>
      <w:r w:rsidR="00646047" w:rsidRPr="00954547">
        <w:rPr>
          <w:rStyle w:val="FootnoteReference"/>
          <w:lang w:val="en-US"/>
        </w:rPr>
        <w:footnoteReference w:id="375"/>
      </w:r>
      <w:r w:rsidR="00646047" w:rsidRPr="00954547">
        <w:rPr>
          <w:lang w:val="en-US"/>
        </w:rPr>
        <w:t xml:space="preserve"> </w:t>
      </w:r>
      <w:r w:rsidR="00133FCE" w:rsidRPr="00954547">
        <w:rPr>
          <w:lang w:val="en-US"/>
        </w:rPr>
        <w:t>In addition</w:t>
      </w:r>
      <w:r w:rsidR="00646047" w:rsidRPr="00954547">
        <w:rPr>
          <w:lang w:val="en-US"/>
        </w:rPr>
        <w:t xml:space="preserve">, </w:t>
      </w:r>
      <w:r w:rsidR="00807D09" w:rsidRPr="00954547">
        <w:rPr>
          <w:lang w:val="en-US"/>
        </w:rPr>
        <w:t>on February 29,</w:t>
      </w:r>
      <w:r w:rsidR="00292C18" w:rsidRPr="00954547">
        <w:rPr>
          <w:lang w:val="en-US"/>
        </w:rPr>
        <w:t xml:space="preserve"> 2008</w:t>
      </w:r>
      <w:r w:rsidR="00133FCE" w:rsidRPr="00954547">
        <w:rPr>
          <w:lang w:val="en-US"/>
        </w:rPr>
        <w:t>,</w:t>
      </w:r>
      <w:r w:rsidR="00292C18" w:rsidRPr="00954547">
        <w:rPr>
          <w:lang w:val="en-US"/>
        </w:rPr>
        <w:t xml:space="preserve"> </w:t>
      </w:r>
      <w:r w:rsidR="00133FCE" w:rsidRPr="00954547">
        <w:rPr>
          <w:lang w:val="en-US"/>
        </w:rPr>
        <w:t>the</w:t>
      </w:r>
      <w:r w:rsidR="00292C18" w:rsidRPr="00954547">
        <w:rPr>
          <w:lang w:val="en-US"/>
        </w:rPr>
        <w:t xml:space="preserve"> </w:t>
      </w:r>
      <w:r w:rsidR="00C2584E" w:rsidRPr="00954547">
        <w:rPr>
          <w:lang w:val="en-US"/>
        </w:rPr>
        <w:t>San Francisco Gotera Hospital</w:t>
      </w:r>
      <w:r w:rsidR="00292C18" w:rsidRPr="00954547">
        <w:rPr>
          <w:lang w:val="en-US"/>
        </w:rPr>
        <w:t xml:space="preserve"> </w:t>
      </w:r>
      <w:r w:rsidR="00133FCE" w:rsidRPr="00954547">
        <w:rPr>
          <w:lang w:val="en-US"/>
        </w:rPr>
        <w:t>shared a transcript of Manuela’s medical record</w:t>
      </w:r>
      <w:r w:rsidR="00BB173B" w:rsidRPr="00954547">
        <w:rPr>
          <w:lang w:val="en-US"/>
        </w:rPr>
        <w:t xml:space="preserve"> with the prosecution service</w:t>
      </w:r>
      <w:r w:rsidR="00133FCE" w:rsidRPr="00954547">
        <w:rPr>
          <w:lang w:val="en-US"/>
        </w:rPr>
        <w:t>, following a request for collaboration by that service.</w:t>
      </w:r>
      <w:r w:rsidR="00646047" w:rsidRPr="00954547">
        <w:rPr>
          <w:rStyle w:val="FootnoteReference"/>
          <w:lang w:val="en-US"/>
        </w:rPr>
        <w:footnoteReference w:id="376"/>
      </w:r>
    </w:p>
    <w:p w14:paraId="30C2C69A" w14:textId="1E0E1EB6" w:rsidR="00646047" w:rsidRPr="00954547" w:rsidRDefault="00133FCE" w:rsidP="000B7905">
      <w:pPr>
        <w:pStyle w:val="Numberedparagraphs"/>
        <w:tabs>
          <w:tab w:val="clear" w:pos="720"/>
          <w:tab w:val="num" w:pos="567"/>
        </w:tabs>
        <w:rPr>
          <w:lang w:val="en-US"/>
        </w:rPr>
      </w:pPr>
      <w:r w:rsidRPr="00954547">
        <w:rPr>
          <w:rFonts w:eastAsiaTheme="minorHAnsi"/>
          <w:lang w:val="en-US"/>
        </w:rPr>
        <w:t xml:space="preserve">It should be pointed out that the </w:t>
      </w:r>
      <w:r w:rsidR="00354B24" w:rsidRPr="00954547">
        <w:rPr>
          <w:rFonts w:eastAsiaTheme="minorHAnsi"/>
          <w:lang w:val="en-US"/>
        </w:rPr>
        <w:t>treating physician</w:t>
      </w:r>
      <w:r w:rsidR="00BB173B" w:rsidRPr="00954547">
        <w:rPr>
          <w:rFonts w:eastAsiaTheme="minorHAnsi"/>
          <w:lang w:val="en-US"/>
        </w:rPr>
        <w:t>’s statement</w:t>
      </w:r>
      <w:r w:rsidR="0078694F" w:rsidRPr="00954547">
        <w:rPr>
          <w:rFonts w:eastAsiaTheme="minorHAnsi"/>
          <w:lang w:val="en-US"/>
        </w:rPr>
        <w:t xml:space="preserve"> and </w:t>
      </w:r>
      <w:r w:rsidRPr="00954547">
        <w:rPr>
          <w:rFonts w:eastAsiaTheme="minorHAnsi"/>
          <w:lang w:val="en-US"/>
        </w:rPr>
        <w:t xml:space="preserve">the medical record were probative elements collected during the initial investigation conducted by the police. According to </w:t>
      </w:r>
      <w:r w:rsidRPr="00954547">
        <w:rPr>
          <w:lang w:val="en-US"/>
        </w:rPr>
        <w:t>a</w:t>
      </w:r>
      <w:r w:rsidR="00A17F8C" w:rsidRPr="00954547">
        <w:rPr>
          <w:lang w:val="en-US"/>
        </w:rPr>
        <w:t>rticle</w:t>
      </w:r>
      <w:r w:rsidR="00646047" w:rsidRPr="00954547">
        <w:rPr>
          <w:lang w:val="en-US"/>
        </w:rPr>
        <w:t xml:space="preserve"> 187</w:t>
      </w:r>
      <w:r w:rsidR="00053A7C" w:rsidRPr="00954547">
        <w:rPr>
          <w:lang w:val="en-US"/>
        </w:rPr>
        <w:t xml:space="preserve"> of the </w:t>
      </w:r>
      <w:r w:rsidR="00BA4784" w:rsidRPr="00954547">
        <w:rPr>
          <w:lang w:val="en-US"/>
        </w:rPr>
        <w:t>Code of Criminal Procedure</w:t>
      </w:r>
      <w:r w:rsidR="00F46482" w:rsidRPr="00954547">
        <w:rPr>
          <w:lang w:val="en-US"/>
        </w:rPr>
        <w:t>,</w:t>
      </w:r>
      <w:r w:rsidR="000B7905" w:rsidRPr="00954547">
        <w:rPr>
          <w:lang w:val="en-US"/>
        </w:rPr>
        <w:t xml:space="preserve"> the physician had the obligation to refrain from making a statement concerning the information she had</w:t>
      </w:r>
      <w:r w:rsidR="00BB173B" w:rsidRPr="00954547">
        <w:rPr>
          <w:lang w:val="en-US"/>
        </w:rPr>
        <w:t xml:space="preserve"> obtained</w:t>
      </w:r>
      <w:r w:rsidR="000B7905" w:rsidRPr="00954547">
        <w:rPr>
          <w:lang w:val="en-US"/>
        </w:rPr>
        <w:t xml:space="preserve"> </w:t>
      </w:r>
      <w:r w:rsidR="00BB173B" w:rsidRPr="00954547">
        <w:rPr>
          <w:lang w:val="en-US"/>
        </w:rPr>
        <w:t>from</w:t>
      </w:r>
      <w:r w:rsidR="000B7905" w:rsidRPr="00954547">
        <w:rPr>
          <w:lang w:val="en-US"/>
        </w:rPr>
        <w:t xml:space="preserve"> providing medical care to Manuela and to refrain from sharing confidential information. The Court also considers that the personal data contained in the medical record relate</w:t>
      </w:r>
      <w:r w:rsidR="00BB173B" w:rsidRPr="00954547">
        <w:rPr>
          <w:lang w:val="en-US"/>
        </w:rPr>
        <w:t>d</w:t>
      </w:r>
      <w:r w:rsidR="000B7905" w:rsidRPr="00954547">
        <w:rPr>
          <w:lang w:val="en-US"/>
        </w:rPr>
        <w:t xml:space="preserve"> to sensitive information</w:t>
      </w:r>
      <w:r w:rsidR="00BB173B" w:rsidRPr="00954547">
        <w:rPr>
          <w:lang w:val="en-US"/>
        </w:rPr>
        <w:t xml:space="preserve"> that</w:t>
      </w:r>
      <w:r w:rsidR="000B7905" w:rsidRPr="00954547">
        <w:rPr>
          <w:lang w:val="en-US"/>
        </w:rPr>
        <w:t xml:space="preserve"> could only be disclosed with the authorization of the competent authority.</w:t>
      </w:r>
      <w:r w:rsidR="00646047" w:rsidRPr="00954547">
        <w:rPr>
          <w:rStyle w:val="FootnoteReference"/>
          <w:lang w:val="en-US"/>
        </w:rPr>
        <w:footnoteReference w:id="377"/>
      </w:r>
      <w:r w:rsidR="00646047" w:rsidRPr="00954547">
        <w:rPr>
          <w:lang w:val="en-US"/>
        </w:rPr>
        <w:t xml:space="preserve"> </w:t>
      </w:r>
    </w:p>
    <w:p w14:paraId="0C922BC5" w14:textId="5DDC309F" w:rsidR="000B7905" w:rsidRPr="00954547" w:rsidRDefault="000B7905" w:rsidP="00646047">
      <w:pPr>
        <w:pStyle w:val="Numberedparagraphs"/>
        <w:tabs>
          <w:tab w:val="clear" w:pos="720"/>
          <w:tab w:val="num" w:pos="567"/>
        </w:tabs>
        <w:rPr>
          <w:lang w:val="en-US"/>
        </w:rPr>
      </w:pPr>
      <w:r w:rsidRPr="00954547">
        <w:rPr>
          <w:lang w:val="en-US"/>
        </w:rPr>
        <w:t xml:space="preserve">As a general rule, medical information should be kept confidential, except when: (i) the patient gives his/her consent to its disclosure, or (ii) domestic law authorizes access by specific authorities. In addition, the law should establish the specific situations in which the medical record may be disclosed, clear safeguards for the protection of this information, and the way in which the information may be disclosed, requiring that this can only be done following a reasoned order issued by a competent authority and, </w:t>
      </w:r>
      <w:r w:rsidR="00323A7C" w:rsidRPr="00954547">
        <w:rPr>
          <w:lang w:val="en-US"/>
        </w:rPr>
        <w:t xml:space="preserve">only the necessary information for the </w:t>
      </w:r>
      <w:r w:rsidR="00BB173B" w:rsidRPr="00954547">
        <w:rPr>
          <w:lang w:val="en-US"/>
        </w:rPr>
        <w:t>particular</w:t>
      </w:r>
      <w:r w:rsidR="00323A7C" w:rsidRPr="00954547">
        <w:rPr>
          <w:lang w:val="en-US"/>
        </w:rPr>
        <w:t xml:space="preserve"> case.</w:t>
      </w:r>
    </w:p>
    <w:p w14:paraId="04810233" w14:textId="53EFDD45" w:rsidR="00646047" w:rsidRPr="00954547" w:rsidRDefault="00323A7C" w:rsidP="00323A7C">
      <w:pPr>
        <w:pStyle w:val="Numberedparagraphs"/>
        <w:tabs>
          <w:tab w:val="clear" w:pos="720"/>
          <w:tab w:val="num" w:pos="567"/>
        </w:tabs>
        <w:rPr>
          <w:lang w:val="en-US"/>
        </w:rPr>
      </w:pPr>
      <w:bookmarkStart w:id="94" w:name="_Ref88035002"/>
      <w:r w:rsidRPr="00954547">
        <w:rPr>
          <w:lang w:val="en-US"/>
        </w:rPr>
        <w:t xml:space="preserve">In the instant case, the statement made by </w:t>
      </w:r>
      <w:r w:rsidRPr="00954547">
        <w:rPr>
          <w:rFonts w:eastAsiaTheme="minorHAnsi"/>
          <w:lang w:val="en-US"/>
        </w:rPr>
        <w:t xml:space="preserve">the treating physician was contrary to domestic law which established the duty of professional secrecy. Furthermore, the laws on medical confidentially analyzed above did not establish clear criteria on the circumstances in which the medical authorities could share someone’s medical record. Therefore, the Court considers that, in cases such as this one, related to obstetric emergencies, the disclosure of medical information may restrict access to adequate medical </w:t>
      </w:r>
      <w:r w:rsidR="00BB173B" w:rsidRPr="00954547">
        <w:rPr>
          <w:rFonts w:eastAsiaTheme="minorHAnsi"/>
          <w:lang w:val="en-US"/>
        </w:rPr>
        <w:t>attention for</w:t>
      </w:r>
      <w:r w:rsidRPr="00954547">
        <w:rPr>
          <w:rFonts w:eastAsiaTheme="minorHAnsi"/>
          <w:lang w:val="en-US"/>
        </w:rPr>
        <w:t xml:space="preserve"> women who need medical assistance, but avoid going to a hospital for fear of being criminalized, which jeopardizes their right to health, personal integrity and life. Consequently, the statement made by the physician and the disclosure of the medical record constitute a violation of Manuela’s rights to </w:t>
      </w:r>
      <w:r w:rsidR="0078694F" w:rsidRPr="00954547">
        <w:rPr>
          <w:rFonts w:eastAsiaTheme="minorHAnsi"/>
          <w:lang w:val="en-US"/>
        </w:rPr>
        <w:t>privacy and</w:t>
      </w:r>
      <w:r w:rsidR="00BB173B" w:rsidRPr="00954547">
        <w:rPr>
          <w:rFonts w:eastAsiaTheme="minorHAnsi"/>
          <w:lang w:val="en-US"/>
        </w:rPr>
        <w:t xml:space="preserve"> to</w:t>
      </w:r>
      <w:r w:rsidR="00646047" w:rsidRPr="00954547">
        <w:rPr>
          <w:rFonts w:eastAsiaTheme="minorHAnsi"/>
          <w:lang w:val="en-US"/>
        </w:rPr>
        <w:t xml:space="preserve"> </w:t>
      </w:r>
      <w:r w:rsidR="0078694F" w:rsidRPr="00954547">
        <w:rPr>
          <w:rFonts w:eastAsiaTheme="minorHAnsi"/>
          <w:lang w:val="en-US"/>
        </w:rPr>
        <w:t>health</w:t>
      </w:r>
      <w:r w:rsidRPr="00954547">
        <w:rPr>
          <w:rFonts w:eastAsiaTheme="minorHAnsi"/>
          <w:lang w:val="en-US"/>
        </w:rPr>
        <w:t xml:space="preserve"> established in</w:t>
      </w:r>
      <w:r w:rsidR="00646047" w:rsidRPr="00954547">
        <w:rPr>
          <w:rFonts w:eastAsiaTheme="minorHAnsi"/>
          <w:lang w:val="en-US"/>
        </w:rPr>
        <w:t xml:space="preserve"> </w:t>
      </w:r>
      <w:r w:rsidR="00A17F8C" w:rsidRPr="00954547">
        <w:rPr>
          <w:rFonts w:eastAsiaTheme="minorHAnsi"/>
          <w:lang w:val="en-US"/>
        </w:rPr>
        <w:t>Articles</w:t>
      </w:r>
      <w:r w:rsidR="00646047" w:rsidRPr="00954547">
        <w:rPr>
          <w:rFonts w:eastAsiaTheme="minorHAnsi"/>
          <w:lang w:val="en-US"/>
        </w:rPr>
        <w:t xml:space="preserve"> 11</w:t>
      </w:r>
      <w:r w:rsidR="0078694F" w:rsidRPr="00954547">
        <w:rPr>
          <w:rFonts w:eastAsiaTheme="minorHAnsi"/>
          <w:lang w:val="en-US"/>
        </w:rPr>
        <w:t xml:space="preserve"> and </w:t>
      </w:r>
      <w:r w:rsidR="00646047" w:rsidRPr="00954547">
        <w:rPr>
          <w:rFonts w:eastAsiaTheme="minorHAnsi"/>
          <w:lang w:val="en-US"/>
        </w:rPr>
        <w:t>26</w:t>
      </w:r>
      <w:r w:rsidR="005E0FD1" w:rsidRPr="00954547">
        <w:rPr>
          <w:rFonts w:eastAsiaTheme="minorHAnsi"/>
          <w:lang w:val="en-US"/>
        </w:rPr>
        <w:t xml:space="preserve"> of the American Convention</w:t>
      </w:r>
      <w:r w:rsidR="00646047" w:rsidRPr="00954547">
        <w:rPr>
          <w:rFonts w:eastAsiaTheme="minorHAnsi"/>
          <w:lang w:val="en-US"/>
        </w:rPr>
        <w:t>.</w:t>
      </w:r>
      <w:bookmarkEnd w:id="94"/>
    </w:p>
    <w:p w14:paraId="7936F0E7" w14:textId="2149C723" w:rsidR="00276EB5" w:rsidRPr="00954547" w:rsidRDefault="00276EB5" w:rsidP="00C55F57">
      <w:pPr>
        <w:pStyle w:val="Numberedparagraphs"/>
        <w:numPr>
          <w:ilvl w:val="0"/>
          <w:numId w:val="0"/>
        </w:numPr>
        <w:tabs>
          <w:tab w:val="left" w:pos="1701"/>
        </w:tabs>
        <w:ind w:firstLine="1701"/>
        <w:rPr>
          <w:u w:val="single"/>
          <w:lang w:val="en-US"/>
        </w:rPr>
      </w:pPr>
      <w:r w:rsidRPr="00954547">
        <w:rPr>
          <w:u w:val="single"/>
          <w:lang w:val="en-US"/>
        </w:rPr>
        <w:t xml:space="preserve">B.3.d </w:t>
      </w:r>
      <w:r w:rsidR="00980A70" w:rsidRPr="00954547">
        <w:rPr>
          <w:u w:val="single"/>
          <w:lang w:val="en-US"/>
        </w:rPr>
        <w:t>Conclusi</w:t>
      </w:r>
      <w:r w:rsidR="00323A7C" w:rsidRPr="00954547">
        <w:rPr>
          <w:u w:val="single"/>
          <w:lang w:val="en-US"/>
        </w:rPr>
        <w:t>o</w:t>
      </w:r>
      <w:r w:rsidR="00980A70" w:rsidRPr="00954547">
        <w:rPr>
          <w:u w:val="single"/>
          <w:lang w:val="en-US"/>
        </w:rPr>
        <w:t>n</w:t>
      </w:r>
    </w:p>
    <w:p w14:paraId="0348D577" w14:textId="7381927E" w:rsidR="00DD64E4" w:rsidRPr="00954547" w:rsidRDefault="00323A7C" w:rsidP="00066EC3">
      <w:pPr>
        <w:pStyle w:val="Numberedparagraphs"/>
        <w:tabs>
          <w:tab w:val="left" w:pos="567"/>
        </w:tabs>
        <w:rPr>
          <w:lang w:val="en-US"/>
        </w:rPr>
      </w:pPr>
      <w:r w:rsidRPr="00954547">
        <w:rPr>
          <w:color w:val="auto"/>
          <w:lang w:val="en-US"/>
        </w:rPr>
        <w:t xml:space="preserve">Based on the above, failure to comply with the obligation </w:t>
      </w:r>
      <w:r w:rsidR="00085FE4" w:rsidRPr="00954547">
        <w:rPr>
          <w:color w:val="auto"/>
          <w:lang w:val="en-US"/>
        </w:rPr>
        <w:t>to</w:t>
      </w:r>
      <w:r w:rsidRPr="00954547">
        <w:rPr>
          <w:color w:val="auto"/>
          <w:lang w:val="en-US"/>
        </w:rPr>
        <w:t xml:space="preserve"> respect </w:t>
      </w:r>
      <w:r w:rsidR="00674DA3" w:rsidRPr="00954547">
        <w:rPr>
          <w:color w:val="auto"/>
          <w:lang w:val="en-US"/>
        </w:rPr>
        <w:t xml:space="preserve">professional </w:t>
      </w:r>
      <w:r w:rsidR="00085FE4" w:rsidRPr="00954547">
        <w:rPr>
          <w:color w:val="auto"/>
          <w:lang w:val="en-US"/>
        </w:rPr>
        <w:t>secrecy</w:t>
      </w:r>
      <w:r w:rsidRPr="00954547">
        <w:rPr>
          <w:color w:val="auto"/>
          <w:lang w:val="en-US"/>
        </w:rPr>
        <w:t xml:space="preserve"> </w:t>
      </w:r>
      <w:r w:rsidR="0078694F" w:rsidRPr="00954547">
        <w:rPr>
          <w:color w:val="auto"/>
          <w:lang w:val="en-US"/>
        </w:rPr>
        <w:t xml:space="preserve">and </w:t>
      </w:r>
      <w:r w:rsidRPr="00954547">
        <w:rPr>
          <w:color w:val="auto"/>
          <w:lang w:val="en-US"/>
        </w:rPr>
        <w:t xml:space="preserve">the disclosure of Manuela’s medical information constituted a violation of her rights to </w:t>
      </w:r>
      <w:r w:rsidR="0078694F" w:rsidRPr="00954547">
        <w:rPr>
          <w:color w:val="auto"/>
          <w:lang w:val="en-US"/>
        </w:rPr>
        <w:t xml:space="preserve">privacy and </w:t>
      </w:r>
      <w:r w:rsidR="00085FE4" w:rsidRPr="00954547">
        <w:rPr>
          <w:color w:val="auto"/>
          <w:lang w:val="en-US"/>
        </w:rPr>
        <w:t>to</w:t>
      </w:r>
      <w:r w:rsidR="00066EC3" w:rsidRPr="00954547">
        <w:rPr>
          <w:color w:val="auto"/>
          <w:lang w:val="en-US"/>
        </w:rPr>
        <w:t xml:space="preserve"> </w:t>
      </w:r>
      <w:r w:rsidR="0078694F" w:rsidRPr="00954547">
        <w:rPr>
          <w:color w:val="auto"/>
          <w:lang w:val="en-US"/>
        </w:rPr>
        <w:t>health</w:t>
      </w:r>
      <w:r w:rsidR="00066EC3" w:rsidRPr="00954547">
        <w:rPr>
          <w:color w:val="auto"/>
          <w:lang w:val="en-US"/>
        </w:rPr>
        <w:t xml:space="preserve">, </w:t>
      </w:r>
      <w:r w:rsidRPr="00954547">
        <w:rPr>
          <w:color w:val="auto"/>
          <w:lang w:val="en-US"/>
        </w:rPr>
        <w:t>in relation to the obligation</w:t>
      </w:r>
      <w:r w:rsidR="00085FE4" w:rsidRPr="00954547">
        <w:rPr>
          <w:color w:val="auto"/>
          <w:lang w:val="en-US"/>
        </w:rPr>
        <w:t>s</w:t>
      </w:r>
      <w:r w:rsidRPr="00954547">
        <w:rPr>
          <w:color w:val="auto"/>
          <w:lang w:val="en-US"/>
        </w:rPr>
        <w:t xml:space="preserve"> to respect and to ensure these rights and the duty to</w:t>
      </w:r>
      <w:r w:rsidR="00066EC3" w:rsidRPr="00954547">
        <w:rPr>
          <w:color w:val="auto"/>
          <w:lang w:val="en-US"/>
        </w:rPr>
        <w:t xml:space="preserve"> </w:t>
      </w:r>
      <w:r w:rsidR="00144817" w:rsidRPr="00954547">
        <w:rPr>
          <w:color w:val="auto"/>
          <w:lang w:val="en-US"/>
        </w:rPr>
        <w:t>adopt domestic legal provisions</w:t>
      </w:r>
      <w:r w:rsidR="00066EC3" w:rsidRPr="00954547">
        <w:rPr>
          <w:color w:val="auto"/>
          <w:lang w:val="en-US"/>
        </w:rPr>
        <w:t>.</w:t>
      </w:r>
    </w:p>
    <w:p w14:paraId="51BD54E4" w14:textId="48219705" w:rsidR="00683EB1" w:rsidRPr="00954547" w:rsidRDefault="00683EB1" w:rsidP="00386B24">
      <w:pPr>
        <w:pStyle w:val="Heading3"/>
        <w:tabs>
          <w:tab w:val="left" w:pos="567"/>
        </w:tabs>
      </w:pPr>
      <w:bookmarkStart w:id="95" w:name="_Toc106353923"/>
      <w:r w:rsidRPr="00954547">
        <w:t xml:space="preserve">B.4 </w:t>
      </w:r>
      <w:r w:rsidRPr="00954547">
        <w:tab/>
      </w:r>
      <w:r w:rsidR="00D817F3" w:rsidRPr="00954547">
        <w:t xml:space="preserve">The </w:t>
      </w:r>
      <w:r w:rsidR="00F4455A" w:rsidRPr="00954547">
        <w:t>medical attention received by Manuela</w:t>
      </w:r>
      <w:r w:rsidR="00D817F3" w:rsidRPr="00954547">
        <w:t xml:space="preserve"> during her detention</w:t>
      </w:r>
      <w:bookmarkEnd w:id="95"/>
    </w:p>
    <w:p w14:paraId="676E85F8" w14:textId="20F6742E" w:rsidR="00683EB1" w:rsidRPr="00954547" w:rsidRDefault="00465BF8" w:rsidP="00386B24">
      <w:pPr>
        <w:pStyle w:val="Numberedparagraphs"/>
        <w:tabs>
          <w:tab w:val="left" w:pos="567"/>
        </w:tabs>
        <w:rPr>
          <w:lang w:val="en-US"/>
        </w:rPr>
      </w:pPr>
      <w:r w:rsidRPr="00954547">
        <w:rPr>
          <w:lang w:val="en-US"/>
        </w:rPr>
        <w:t>Pursuant to</w:t>
      </w:r>
      <w:r w:rsidR="002454B7" w:rsidRPr="00954547">
        <w:rPr>
          <w:lang w:val="en-US"/>
        </w:rPr>
        <w:t xml:space="preserve"> the principle of non-discrimination, the</w:t>
      </w:r>
      <w:r w:rsidR="00683EB1" w:rsidRPr="00954547">
        <w:rPr>
          <w:lang w:val="en-US"/>
        </w:rPr>
        <w:t xml:space="preserve"> </w:t>
      </w:r>
      <w:r w:rsidR="00B562B1" w:rsidRPr="00954547">
        <w:rPr>
          <w:lang w:val="en-US"/>
        </w:rPr>
        <w:t>right to health</w:t>
      </w:r>
      <w:r w:rsidR="00683EB1" w:rsidRPr="00954547">
        <w:rPr>
          <w:lang w:val="en-US"/>
        </w:rPr>
        <w:t xml:space="preserve"> </w:t>
      </w:r>
      <w:r w:rsidR="002454B7" w:rsidRPr="00954547">
        <w:rPr>
          <w:lang w:val="en-US"/>
        </w:rPr>
        <w:t>of persons deprived of liberty entails the provision of a regular medical check-up</w:t>
      </w:r>
      <w:r w:rsidR="00683EB1" w:rsidRPr="00954547">
        <w:rPr>
          <w:rStyle w:val="FootnoteReference"/>
          <w:lang w:val="en-US"/>
        </w:rPr>
        <w:footnoteReference w:id="378"/>
      </w:r>
      <w:r w:rsidR="00683EB1" w:rsidRPr="00954547">
        <w:rPr>
          <w:lang w:val="en-US"/>
        </w:rPr>
        <w:t xml:space="preserve"> </w:t>
      </w:r>
      <w:r w:rsidR="002454B7" w:rsidRPr="00954547">
        <w:rPr>
          <w:lang w:val="en-US"/>
        </w:rPr>
        <w:t>and, when necessary, adequate, prompt and, if appropriate, specialized medical treatment</w:t>
      </w:r>
      <w:r w:rsidR="005141CA" w:rsidRPr="00954547">
        <w:rPr>
          <w:lang w:val="en-US"/>
        </w:rPr>
        <w:t xml:space="preserve"> </w:t>
      </w:r>
      <w:r w:rsidRPr="00954547">
        <w:rPr>
          <w:lang w:val="en-US"/>
        </w:rPr>
        <w:t>in keeping with</w:t>
      </w:r>
      <w:r w:rsidR="005141CA" w:rsidRPr="00954547">
        <w:rPr>
          <w:lang w:val="en-US"/>
        </w:rPr>
        <w:t xml:space="preserve"> the special </w:t>
      </w:r>
      <w:r w:rsidRPr="00954547">
        <w:rPr>
          <w:lang w:val="en-US"/>
        </w:rPr>
        <w:t xml:space="preserve">care </w:t>
      </w:r>
      <w:r w:rsidR="005141CA" w:rsidRPr="00954547">
        <w:rPr>
          <w:lang w:val="en-US"/>
        </w:rPr>
        <w:t xml:space="preserve">needs </w:t>
      </w:r>
      <w:r w:rsidRPr="00954547">
        <w:rPr>
          <w:lang w:val="en-US"/>
        </w:rPr>
        <w:t>of</w:t>
      </w:r>
      <w:r w:rsidR="005141CA" w:rsidRPr="00954547">
        <w:rPr>
          <w:lang w:val="en-US"/>
        </w:rPr>
        <w:t xml:space="preserve"> those deprived of their liberty.</w:t>
      </w:r>
      <w:r w:rsidR="00683EB1" w:rsidRPr="00954547">
        <w:rPr>
          <w:rStyle w:val="FootnoteReference"/>
          <w:lang w:val="en-US"/>
        </w:rPr>
        <w:footnoteReference w:id="379"/>
      </w:r>
    </w:p>
    <w:p w14:paraId="16165E74" w14:textId="4107DA4F" w:rsidR="00683EB1" w:rsidRPr="00954547" w:rsidRDefault="005141CA" w:rsidP="00386B24">
      <w:pPr>
        <w:pStyle w:val="Numberedparagraphs"/>
        <w:tabs>
          <w:tab w:val="left" w:pos="567"/>
        </w:tabs>
        <w:rPr>
          <w:rFonts w:eastAsia="Times"/>
          <w:color w:val="auto"/>
          <w:lang w:val="en-US"/>
        </w:rPr>
      </w:pPr>
      <w:r w:rsidRPr="00954547">
        <w:rPr>
          <w:lang w:val="en-US"/>
        </w:rPr>
        <w:t xml:space="preserve">In order to examine the care </w:t>
      </w:r>
      <w:r w:rsidR="00465BF8" w:rsidRPr="00954547">
        <w:rPr>
          <w:lang w:val="en-US"/>
        </w:rPr>
        <w:t xml:space="preserve">that Manuela </w:t>
      </w:r>
      <w:r w:rsidRPr="00954547">
        <w:rPr>
          <w:lang w:val="en-US"/>
        </w:rPr>
        <w:t xml:space="preserve">received during her detention, and based on the </w:t>
      </w:r>
      <w:r w:rsidR="00B8393C" w:rsidRPr="00954547">
        <w:rPr>
          <w:lang w:val="en-US"/>
        </w:rPr>
        <w:t>arguments</w:t>
      </w:r>
      <w:r w:rsidR="003A0C7A" w:rsidRPr="00954547">
        <w:rPr>
          <w:lang w:val="en-US"/>
        </w:rPr>
        <w:t xml:space="preserve"> of the parties and</w:t>
      </w:r>
      <w:r w:rsidR="0078694F" w:rsidRPr="00954547">
        <w:rPr>
          <w:lang w:val="en-US"/>
        </w:rPr>
        <w:t xml:space="preserve"> </w:t>
      </w:r>
      <w:r w:rsidRPr="00954547">
        <w:rPr>
          <w:lang w:val="en-US"/>
        </w:rPr>
        <w:t>the</w:t>
      </w:r>
      <w:r w:rsidR="00683EB1" w:rsidRPr="00954547">
        <w:rPr>
          <w:lang w:val="en-US"/>
        </w:rPr>
        <w:t xml:space="preserve"> </w:t>
      </w:r>
      <w:r w:rsidR="00B8393C" w:rsidRPr="00954547">
        <w:rPr>
          <w:lang w:val="en-US"/>
        </w:rPr>
        <w:t>observations</w:t>
      </w:r>
      <w:r w:rsidR="00607E12" w:rsidRPr="00954547">
        <w:rPr>
          <w:lang w:val="en-US"/>
        </w:rPr>
        <w:t xml:space="preserve"> of the </w:t>
      </w:r>
      <w:r w:rsidR="00E76B1A" w:rsidRPr="00954547">
        <w:rPr>
          <w:lang w:val="en-US"/>
        </w:rPr>
        <w:t>Commission</w:t>
      </w:r>
      <w:r w:rsidR="00683EB1" w:rsidRPr="00954547">
        <w:rPr>
          <w:lang w:val="en-US"/>
        </w:rPr>
        <w:t>,</w:t>
      </w:r>
      <w:r w:rsidRPr="00954547">
        <w:rPr>
          <w:lang w:val="en-US"/>
        </w:rPr>
        <w:t xml:space="preserve"> the</w:t>
      </w:r>
      <w:r w:rsidR="00465BF8" w:rsidRPr="00954547">
        <w:rPr>
          <w:lang w:val="en-US"/>
        </w:rPr>
        <w:t xml:space="preserve"> Court’s</w:t>
      </w:r>
      <w:r w:rsidRPr="00954547">
        <w:rPr>
          <w:lang w:val="en-US"/>
        </w:rPr>
        <w:t xml:space="preserve"> analysis will focus on the following: (a)</w:t>
      </w:r>
      <w:r w:rsidR="00683EB1" w:rsidRPr="00954547">
        <w:rPr>
          <w:lang w:val="en-US"/>
        </w:rPr>
        <w:t xml:space="preserve"> </w:t>
      </w:r>
      <w:r w:rsidR="001D6472" w:rsidRPr="00954547">
        <w:rPr>
          <w:lang w:val="en-US"/>
        </w:rPr>
        <w:t xml:space="preserve">whether a comprehensive medical examination was </w:t>
      </w:r>
      <w:r w:rsidR="001632E5" w:rsidRPr="00954547">
        <w:rPr>
          <w:lang w:val="en-US"/>
        </w:rPr>
        <w:t>performed</w:t>
      </w:r>
      <w:r w:rsidR="001D6472" w:rsidRPr="00954547">
        <w:rPr>
          <w:lang w:val="en-US"/>
        </w:rPr>
        <w:t>, and (b</w:t>
      </w:r>
      <w:r w:rsidR="00683EB1" w:rsidRPr="00954547">
        <w:rPr>
          <w:lang w:val="en-US"/>
        </w:rPr>
        <w:t xml:space="preserve">) </w:t>
      </w:r>
      <w:r w:rsidR="001D6472" w:rsidRPr="00954547">
        <w:rPr>
          <w:lang w:val="en-US"/>
        </w:rPr>
        <w:t xml:space="preserve">the medical </w:t>
      </w:r>
      <w:r w:rsidR="001632E5" w:rsidRPr="00954547">
        <w:rPr>
          <w:lang w:val="en-US"/>
        </w:rPr>
        <w:t>care</w:t>
      </w:r>
      <w:r w:rsidR="001D6472" w:rsidRPr="00954547">
        <w:rPr>
          <w:lang w:val="en-US"/>
        </w:rPr>
        <w:t xml:space="preserve"> </w:t>
      </w:r>
      <w:r w:rsidR="001632E5" w:rsidRPr="00954547">
        <w:rPr>
          <w:lang w:val="en-US"/>
        </w:rPr>
        <w:t>that</w:t>
      </w:r>
      <w:r w:rsidR="001D6472" w:rsidRPr="00954547">
        <w:rPr>
          <w:lang w:val="en-US"/>
        </w:rPr>
        <w:t xml:space="preserve"> Manuela</w:t>
      </w:r>
      <w:r w:rsidR="001632E5" w:rsidRPr="00954547">
        <w:rPr>
          <w:lang w:val="en-US"/>
        </w:rPr>
        <w:t xml:space="preserve"> received</w:t>
      </w:r>
      <w:r w:rsidR="00683EB1" w:rsidRPr="00954547">
        <w:rPr>
          <w:lang w:val="en-US"/>
        </w:rPr>
        <w:t>.</w:t>
      </w:r>
      <w:r w:rsidR="00F00ACF" w:rsidRPr="00954547">
        <w:rPr>
          <w:lang w:val="en-US"/>
        </w:rPr>
        <w:t xml:space="preserve"> Regarding the alleged use of handcuffs while</w:t>
      </w:r>
      <w:r w:rsidR="00EC5A11" w:rsidRPr="00954547">
        <w:rPr>
          <w:lang w:val="en-US"/>
        </w:rPr>
        <w:t xml:space="preserve"> Manuela</w:t>
      </w:r>
      <w:r w:rsidR="00F00ACF" w:rsidRPr="00954547">
        <w:rPr>
          <w:lang w:val="en-US"/>
        </w:rPr>
        <w:t xml:space="preserve"> was detained in the </w:t>
      </w:r>
      <w:r w:rsidR="00574A7B" w:rsidRPr="00954547">
        <w:rPr>
          <w:lang w:val="en-US"/>
        </w:rPr>
        <w:t>Rosales National Hospital</w:t>
      </w:r>
      <w:r w:rsidR="00EC5A11" w:rsidRPr="00954547">
        <w:rPr>
          <w:lang w:val="en-US"/>
        </w:rPr>
        <w:t xml:space="preserve">, </w:t>
      </w:r>
      <w:r w:rsidR="00E76B1A" w:rsidRPr="00954547">
        <w:rPr>
          <w:lang w:val="en-US"/>
        </w:rPr>
        <w:t>the Court</w:t>
      </w:r>
      <w:r w:rsidR="00EC5A11" w:rsidRPr="00954547">
        <w:rPr>
          <w:lang w:val="en-US"/>
        </w:rPr>
        <w:t xml:space="preserve"> </w:t>
      </w:r>
      <w:r w:rsidR="00F00ACF" w:rsidRPr="00954547">
        <w:rPr>
          <w:lang w:val="en-US"/>
        </w:rPr>
        <w:t xml:space="preserve">notes that it has insufficient evidence </w:t>
      </w:r>
      <w:r w:rsidR="001632E5" w:rsidRPr="00954547">
        <w:rPr>
          <w:lang w:val="en-US"/>
        </w:rPr>
        <w:t>substantiating</w:t>
      </w:r>
      <w:r w:rsidR="00F00ACF" w:rsidRPr="00954547">
        <w:rPr>
          <w:lang w:val="en-US"/>
        </w:rPr>
        <w:t xml:space="preserve"> this allegation. </w:t>
      </w:r>
    </w:p>
    <w:p w14:paraId="73323612" w14:textId="79DCAC4C" w:rsidR="00683EB1" w:rsidRPr="00954547" w:rsidRDefault="00683EB1" w:rsidP="007F0666">
      <w:pPr>
        <w:pStyle w:val="Heading4"/>
        <w:rPr>
          <w:lang w:val="en-US"/>
        </w:rPr>
      </w:pPr>
      <w:r w:rsidRPr="00954547">
        <w:rPr>
          <w:lang w:val="en-US"/>
        </w:rPr>
        <w:t xml:space="preserve">B.4.a </w:t>
      </w:r>
      <w:r w:rsidR="001D6472" w:rsidRPr="00954547">
        <w:rPr>
          <w:lang w:val="en-US"/>
        </w:rPr>
        <w:t>A comprehensive medical examination</w:t>
      </w:r>
      <w:r w:rsidRPr="00954547">
        <w:rPr>
          <w:lang w:val="en-US"/>
        </w:rPr>
        <w:t xml:space="preserve"> </w:t>
      </w:r>
    </w:p>
    <w:p w14:paraId="685137A3" w14:textId="78ABB958" w:rsidR="00683EB1" w:rsidRPr="00954547" w:rsidRDefault="001632E5" w:rsidP="00837801">
      <w:pPr>
        <w:pStyle w:val="Numberedparagraphs"/>
        <w:tabs>
          <w:tab w:val="left" w:pos="567"/>
        </w:tabs>
        <w:rPr>
          <w:lang w:val="en-US"/>
        </w:rPr>
      </w:pPr>
      <w:r w:rsidRPr="00954547">
        <w:rPr>
          <w:lang w:val="en-US"/>
        </w:rPr>
        <w:t>On the basis of</w:t>
      </w:r>
      <w:r w:rsidR="00BB5ECE" w:rsidRPr="00954547">
        <w:rPr>
          <w:lang w:val="en-US"/>
        </w:rPr>
        <w:t xml:space="preserve"> </w:t>
      </w:r>
      <w:r w:rsidR="00BC7072" w:rsidRPr="00954547">
        <w:rPr>
          <w:lang w:val="en-US"/>
        </w:rPr>
        <w:t>the right to</w:t>
      </w:r>
      <w:r w:rsidR="008D1DEA" w:rsidRPr="00954547">
        <w:rPr>
          <w:lang w:val="en-US"/>
        </w:rPr>
        <w:t xml:space="preserve"> </w:t>
      </w:r>
      <w:r w:rsidR="00144817" w:rsidRPr="00954547">
        <w:rPr>
          <w:lang w:val="en-US"/>
        </w:rPr>
        <w:t>personal integrity</w:t>
      </w:r>
      <w:r w:rsidR="008D1DEA" w:rsidRPr="00954547">
        <w:rPr>
          <w:lang w:val="en-US"/>
        </w:rPr>
        <w:t xml:space="preserve">, </w:t>
      </w:r>
      <w:r w:rsidR="00E76B1A" w:rsidRPr="00954547">
        <w:rPr>
          <w:lang w:val="en-US"/>
        </w:rPr>
        <w:t>the Court</w:t>
      </w:r>
      <w:r w:rsidR="008D1DEA" w:rsidRPr="00954547">
        <w:rPr>
          <w:lang w:val="en-US"/>
        </w:rPr>
        <w:t xml:space="preserve"> </w:t>
      </w:r>
      <w:r w:rsidR="001D6472" w:rsidRPr="00954547">
        <w:rPr>
          <w:lang w:val="en-US"/>
        </w:rPr>
        <w:t>ha</w:t>
      </w:r>
      <w:r w:rsidR="003E428D" w:rsidRPr="00954547">
        <w:rPr>
          <w:lang w:val="en-US"/>
        </w:rPr>
        <w:t>s</w:t>
      </w:r>
      <w:r w:rsidR="001D6472" w:rsidRPr="00954547">
        <w:rPr>
          <w:lang w:val="en-US"/>
        </w:rPr>
        <w:t xml:space="preserve"> interpreted that States must </w:t>
      </w:r>
      <w:r w:rsidRPr="00954547">
        <w:rPr>
          <w:lang w:val="en-US"/>
        </w:rPr>
        <w:t>perform</w:t>
      </w:r>
      <w:r w:rsidR="001D6472" w:rsidRPr="00954547">
        <w:rPr>
          <w:lang w:val="en-US"/>
        </w:rPr>
        <w:t xml:space="preserve"> a comprehensive medical examination of persons deprived of liberty as </w:t>
      </w:r>
      <w:r w:rsidR="003E428D" w:rsidRPr="00954547">
        <w:rPr>
          <w:lang w:val="en-US"/>
        </w:rPr>
        <w:t>promptly</w:t>
      </w:r>
      <w:r w:rsidR="001D6472" w:rsidRPr="00954547">
        <w:rPr>
          <w:lang w:val="en-US"/>
        </w:rPr>
        <w:t xml:space="preserve"> as possible. The </w:t>
      </w:r>
      <w:r w:rsidRPr="00954547">
        <w:rPr>
          <w:lang w:val="en-US"/>
        </w:rPr>
        <w:t xml:space="preserve">1995 </w:t>
      </w:r>
      <w:r w:rsidR="001645A6" w:rsidRPr="00954547">
        <w:rPr>
          <w:lang w:val="en-US"/>
        </w:rPr>
        <w:t xml:space="preserve">Standard Minimum Rules </w:t>
      </w:r>
      <w:r w:rsidR="00946DCB" w:rsidRPr="00954547">
        <w:rPr>
          <w:bCs/>
          <w:iCs/>
          <w:lang w:val="en-US"/>
        </w:rPr>
        <w:t>for the Treatment of Prisoners</w:t>
      </w:r>
      <w:r w:rsidR="00645977" w:rsidRPr="00954547">
        <w:rPr>
          <w:lang w:val="en-US"/>
        </w:rPr>
        <w:t xml:space="preserve"> </w:t>
      </w:r>
      <w:r w:rsidR="001D6472" w:rsidRPr="00954547">
        <w:rPr>
          <w:lang w:val="en-US"/>
        </w:rPr>
        <w:t>indicate</w:t>
      </w:r>
      <w:r w:rsidR="00837801" w:rsidRPr="00954547">
        <w:rPr>
          <w:lang w:val="en-US"/>
        </w:rPr>
        <w:t>d</w:t>
      </w:r>
      <w:r w:rsidR="00683EB1" w:rsidRPr="00954547">
        <w:rPr>
          <w:lang w:val="en-US"/>
        </w:rPr>
        <w:t xml:space="preserve">, </w:t>
      </w:r>
      <w:r w:rsidR="00683EB1" w:rsidRPr="00954547">
        <w:rPr>
          <w:i/>
          <w:lang w:val="en-US"/>
        </w:rPr>
        <w:t>inter alia</w:t>
      </w:r>
      <w:r w:rsidR="00683EB1" w:rsidRPr="00954547">
        <w:rPr>
          <w:lang w:val="en-US"/>
        </w:rPr>
        <w:t xml:space="preserve">, </w:t>
      </w:r>
      <w:r w:rsidR="001D6472" w:rsidRPr="00954547">
        <w:rPr>
          <w:lang w:val="en-US"/>
        </w:rPr>
        <w:t>that</w:t>
      </w:r>
      <w:r w:rsidR="00683EB1" w:rsidRPr="00954547">
        <w:rPr>
          <w:lang w:val="en-US"/>
        </w:rPr>
        <w:t xml:space="preserve"> “</w:t>
      </w:r>
      <w:r w:rsidR="00837801" w:rsidRPr="00954547">
        <w:rPr>
          <w:lang w:val="en-US"/>
        </w:rPr>
        <w:t>[t]he medical officer shall see and examine every prisoner as soon as possible after his admission and thereafter as necessary, with a view particularly to the discovery of physical or mental illness and the taking of all necessary measures.</w:t>
      </w:r>
      <w:r w:rsidR="00683EB1" w:rsidRPr="00954547">
        <w:rPr>
          <w:lang w:val="en-US"/>
        </w:rPr>
        <w:t>”</w:t>
      </w:r>
      <w:r w:rsidR="00683EB1" w:rsidRPr="00954547">
        <w:rPr>
          <w:rStyle w:val="FootnoteReference"/>
          <w:lang w:val="en-US"/>
        </w:rPr>
        <w:footnoteReference w:id="380"/>
      </w:r>
    </w:p>
    <w:p w14:paraId="0ED06606" w14:textId="397C5C16" w:rsidR="00683EB1" w:rsidRPr="00954547" w:rsidRDefault="00E76B1A" w:rsidP="003D05AE">
      <w:pPr>
        <w:pStyle w:val="Numberedparagraphs"/>
        <w:tabs>
          <w:tab w:val="left" w:pos="567"/>
        </w:tabs>
        <w:ind w:right="-185"/>
        <w:rPr>
          <w:lang w:val="en-US"/>
        </w:rPr>
      </w:pPr>
      <w:r w:rsidRPr="00954547">
        <w:rPr>
          <w:color w:val="auto"/>
          <w:lang w:val="en-US"/>
        </w:rPr>
        <w:t>The Court</w:t>
      </w:r>
      <w:r w:rsidR="00683EB1" w:rsidRPr="00954547">
        <w:rPr>
          <w:color w:val="auto"/>
          <w:lang w:val="en-US"/>
        </w:rPr>
        <w:t xml:space="preserve"> </w:t>
      </w:r>
      <w:r w:rsidR="003E428D" w:rsidRPr="00954547">
        <w:rPr>
          <w:color w:val="auto"/>
          <w:lang w:val="en-US"/>
        </w:rPr>
        <w:t>notes that</w:t>
      </w:r>
      <w:r w:rsidR="003E0260" w:rsidRPr="00954547">
        <w:rPr>
          <w:color w:val="auto"/>
          <w:lang w:val="en-US"/>
        </w:rPr>
        <w:t xml:space="preserve"> </w:t>
      </w:r>
      <w:r w:rsidR="00683EB1" w:rsidRPr="00954547">
        <w:rPr>
          <w:color w:val="auto"/>
          <w:lang w:val="en-US"/>
        </w:rPr>
        <w:t xml:space="preserve">Manuela </w:t>
      </w:r>
      <w:r w:rsidR="003E428D" w:rsidRPr="00954547">
        <w:rPr>
          <w:color w:val="auto"/>
          <w:lang w:val="en-US"/>
        </w:rPr>
        <w:t xml:space="preserve">was </w:t>
      </w:r>
      <w:r w:rsidR="003E0260" w:rsidRPr="00954547">
        <w:rPr>
          <w:color w:val="auto"/>
          <w:lang w:val="en-US"/>
        </w:rPr>
        <w:t xml:space="preserve">initially </w:t>
      </w:r>
      <w:r w:rsidR="003E428D" w:rsidRPr="00954547">
        <w:rPr>
          <w:color w:val="auto"/>
          <w:lang w:val="en-US"/>
        </w:rPr>
        <w:t>detained wh</w:t>
      </w:r>
      <w:r w:rsidR="003E0260" w:rsidRPr="00954547">
        <w:rPr>
          <w:color w:val="auto"/>
          <w:lang w:val="en-US"/>
        </w:rPr>
        <w:t>ile</w:t>
      </w:r>
      <w:r w:rsidR="003E428D" w:rsidRPr="00954547">
        <w:rPr>
          <w:color w:val="auto"/>
          <w:lang w:val="en-US"/>
        </w:rPr>
        <w:t xml:space="preserve"> she was hospitalized. Subsequently, on March 6, 2008, she was taken to the cells of the Morazán</w:t>
      </w:r>
      <w:r w:rsidR="003D22BE" w:rsidRPr="00954547">
        <w:rPr>
          <w:color w:val="auto"/>
          <w:lang w:val="en-US"/>
        </w:rPr>
        <w:t xml:space="preserve"> headquarters</w:t>
      </w:r>
      <w:r w:rsidR="003E428D" w:rsidRPr="00954547">
        <w:rPr>
          <w:color w:val="auto"/>
          <w:lang w:val="en-US"/>
        </w:rPr>
        <w:t xml:space="preserve"> of the  </w:t>
      </w:r>
      <w:r w:rsidR="00C525F6" w:rsidRPr="00954547">
        <w:rPr>
          <w:color w:val="auto"/>
          <w:lang w:val="en-US"/>
        </w:rPr>
        <w:t>National Civil Police</w:t>
      </w:r>
      <w:r w:rsidR="00683EB1" w:rsidRPr="00954547">
        <w:rPr>
          <w:color w:val="auto"/>
          <w:lang w:val="en-US"/>
        </w:rPr>
        <w:t xml:space="preserve"> </w:t>
      </w:r>
      <w:r w:rsidR="003E428D" w:rsidRPr="00954547">
        <w:rPr>
          <w:color w:val="auto"/>
          <w:lang w:val="en-US"/>
        </w:rPr>
        <w:t>where she remained until her transfer to the</w:t>
      </w:r>
      <w:r w:rsidR="003D05AE" w:rsidRPr="00954547">
        <w:rPr>
          <w:color w:val="auto"/>
          <w:lang w:val="en-US"/>
        </w:rPr>
        <w:t xml:space="preserve"> prison in</w:t>
      </w:r>
      <w:r w:rsidR="003E428D" w:rsidRPr="00954547">
        <w:rPr>
          <w:color w:val="auto"/>
          <w:lang w:val="en-US"/>
        </w:rPr>
        <w:t xml:space="preserve"> San Miguel</w:t>
      </w:r>
      <w:r w:rsidR="003D05AE" w:rsidRPr="00954547">
        <w:rPr>
          <w:color w:val="auto"/>
          <w:lang w:val="en-US"/>
        </w:rPr>
        <w:t>.</w:t>
      </w:r>
      <w:r w:rsidR="00683EB1" w:rsidRPr="00954547">
        <w:rPr>
          <w:rStyle w:val="FootnoteReference"/>
          <w:color w:val="auto"/>
          <w:lang w:val="en-US"/>
        </w:rPr>
        <w:footnoteReference w:id="381"/>
      </w:r>
      <w:r w:rsidR="003D05AE" w:rsidRPr="00954547">
        <w:rPr>
          <w:color w:val="auto"/>
          <w:lang w:val="en-US"/>
        </w:rPr>
        <w:t xml:space="preserve"> There is no record in the case file that any medical examination was carried out when </w:t>
      </w:r>
      <w:r w:rsidR="00816790" w:rsidRPr="00954547">
        <w:rPr>
          <w:color w:val="auto"/>
          <w:lang w:val="en-US"/>
        </w:rPr>
        <w:t>Manuela</w:t>
      </w:r>
      <w:r w:rsidR="003D05AE" w:rsidRPr="00954547">
        <w:rPr>
          <w:color w:val="auto"/>
          <w:lang w:val="en-US"/>
        </w:rPr>
        <w:t xml:space="preserve"> arrived at the police </w:t>
      </w:r>
      <w:r w:rsidR="003D22BE" w:rsidRPr="00954547">
        <w:rPr>
          <w:color w:val="auto"/>
          <w:lang w:val="en-US"/>
        </w:rPr>
        <w:t xml:space="preserve">headquarters </w:t>
      </w:r>
      <w:r w:rsidR="003D05AE" w:rsidRPr="00954547">
        <w:rPr>
          <w:color w:val="auto"/>
          <w:lang w:val="en-US"/>
        </w:rPr>
        <w:t xml:space="preserve">or at the San Miguel prison, despite the fact that </w:t>
      </w:r>
      <w:r w:rsidR="00816790" w:rsidRPr="00954547">
        <w:rPr>
          <w:color w:val="auto"/>
          <w:lang w:val="en-US"/>
        </w:rPr>
        <w:t>she</w:t>
      </w:r>
      <w:r w:rsidR="003D05AE" w:rsidRPr="00954547">
        <w:rPr>
          <w:color w:val="auto"/>
          <w:lang w:val="en-US"/>
        </w:rPr>
        <w:t xml:space="preserve"> had been hospitalized for an obstetric emergency and had visible lumps in her neck that had not been examined in the establishment </w:t>
      </w:r>
      <w:r w:rsidR="00816790" w:rsidRPr="00954547">
        <w:rPr>
          <w:color w:val="auto"/>
          <w:lang w:val="en-US"/>
        </w:rPr>
        <w:t xml:space="preserve">where </w:t>
      </w:r>
      <w:r w:rsidR="003D05AE" w:rsidRPr="00954547">
        <w:rPr>
          <w:color w:val="auto"/>
          <w:lang w:val="en-US"/>
        </w:rPr>
        <w:t xml:space="preserve">she </w:t>
      </w:r>
      <w:r w:rsidR="00816790" w:rsidRPr="00954547">
        <w:rPr>
          <w:color w:val="auto"/>
          <w:lang w:val="en-US"/>
        </w:rPr>
        <w:t>was</w:t>
      </w:r>
      <w:r w:rsidR="003D05AE" w:rsidRPr="00954547">
        <w:rPr>
          <w:color w:val="auto"/>
          <w:lang w:val="en-US"/>
        </w:rPr>
        <w:t xml:space="preserve"> hospitalized </w:t>
      </w:r>
      <w:r w:rsidR="00683EB1" w:rsidRPr="00954547">
        <w:rPr>
          <w:color w:val="auto"/>
          <w:lang w:val="en-US"/>
        </w:rPr>
        <w:t>(</w:t>
      </w:r>
      <w:r w:rsidR="00683EB1" w:rsidRPr="00954547">
        <w:rPr>
          <w:i/>
          <w:color w:val="auto"/>
          <w:lang w:val="en-US"/>
        </w:rPr>
        <w:t xml:space="preserve">supra </w:t>
      </w:r>
      <w:r w:rsidR="00B10E5A" w:rsidRPr="00954547">
        <w:rPr>
          <w:color w:val="auto"/>
          <w:lang w:val="en-US"/>
        </w:rPr>
        <w:t>para.</w:t>
      </w:r>
      <w:r w:rsidR="00AE56D5" w:rsidRPr="00954547">
        <w:rPr>
          <w:color w:val="auto"/>
          <w:lang w:val="en-US"/>
        </w:rPr>
        <w:t xml:space="preserve"> </w:t>
      </w:r>
      <w:r w:rsidR="00AE56D5" w:rsidRPr="00954547">
        <w:rPr>
          <w:color w:val="auto"/>
          <w:lang w:val="en-US"/>
        </w:rPr>
        <w:fldChar w:fldCharType="begin"/>
      </w:r>
      <w:r w:rsidR="00AE56D5" w:rsidRPr="00954547">
        <w:rPr>
          <w:color w:val="auto"/>
          <w:lang w:val="en-US"/>
        </w:rPr>
        <w:instrText xml:space="preserve"> REF _Ref87982473 \r \h </w:instrText>
      </w:r>
      <w:r w:rsidR="00793F65" w:rsidRPr="00954547">
        <w:rPr>
          <w:color w:val="auto"/>
          <w:lang w:val="en-US"/>
        </w:rPr>
        <w:instrText xml:space="preserve"> \* MERGEFORMAT </w:instrText>
      </w:r>
      <w:r w:rsidR="00AE56D5" w:rsidRPr="00954547">
        <w:rPr>
          <w:color w:val="auto"/>
          <w:lang w:val="en-US"/>
        </w:rPr>
      </w:r>
      <w:r w:rsidR="00AE56D5" w:rsidRPr="00954547">
        <w:rPr>
          <w:color w:val="auto"/>
          <w:lang w:val="en-US"/>
        </w:rPr>
        <w:fldChar w:fldCharType="separate"/>
      </w:r>
      <w:r w:rsidR="000E4488" w:rsidRPr="00954547">
        <w:rPr>
          <w:color w:val="auto"/>
          <w:lang w:val="en-US"/>
        </w:rPr>
        <w:t>196</w:t>
      </w:r>
      <w:r w:rsidR="00AE56D5" w:rsidRPr="00954547">
        <w:rPr>
          <w:color w:val="auto"/>
          <w:lang w:val="en-US"/>
        </w:rPr>
        <w:fldChar w:fldCharType="end"/>
      </w:r>
      <w:r w:rsidR="00683EB1" w:rsidRPr="00954547">
        <w:rPr>
          <w:color w:val="auto"/>
          <w:lang w:val="en-US"/>
        </w:rPr>
        <w:t>).</w:t>
      </w:r>
    </w:p>
    <w:p w14:paraId="34F7DF2F" w14:textId="39EF9B63" w:rsidR="00ED043C" w:rsidRPr="00954547" w:rsidRDefault="003D05AE" w:rsidP="00386B24">
      <w:pPr>
        <w:pStyle w:val="Numberedparagraphs"/>
        <w:tabs>
          <w:tab w:val="left" w:pos="567"/>
        </w:tabs>
        <w:rPr>
          <w:lang w:val="en-US"/>
        </w:rPr>
      </w:pPr>
      <w:r w:rsidRPr="00954547">
        <w:rPr>
          <w:color w:val="auto"/>
          <w:lang w:val="en-US"/>
        </w:rPr>
        <w:t xml:space="preserve">The Court also recalls that </w:t>
      </w:r>
      <w:r w:rsidR="00816790" w:rsidRPr="00954547">
        <w:rPr>
          <w:color w:val="auto"/>
          <w:lang w:val="en-US"/>
        </w:rPr>
        <w:t xml:space="preserve">a </w:t>
      </w:r>
      <w:r w:rsidRPr="00954547">
        <w:rPr>
          <w:color w:val="auto"/>
          <w:lang w:val="en-US"/>
        </w:rPr>
        <w:t>medical examination of persons deprived of liberty should be carried out as often as necessary. The authorities should ensure that, when</w:t>
      </w:r>
      <w:r w:rsidR="00816790" w:rsidRPr="00954547">
        <w:rPr>
          <w:color w:val="auto"/>
          <w:lang w:val="en-US"/>
        </w:rPr>
        <w:t xml:space="preserve"> required by</w:t>
      </w:r>
      <w:r w:rsidRPr="00954547">
        <w:rPr>
          <w:color w:val="auto"/>
          <w:lang w:val="en-US"/>
        </w:rPr>
        <w:t xml:space="preserve"> the nature of a medical condition, </w:t>
      </w:r>
      <w:r w:rsidR="00816790" w:rsidRPr="00954547">
        <w:rPr>
          <w:lang w:val="en-US"/>
        </w:rPr>
        <w:t>this</w:t>
      </w:r>
      <w:r w:rsidRPr="00954547">
        <w:rPr>
          <w:lang w:val="en-US"/>
        </w:rPr>
        <w:t xml:space="preserve"> should be subject to systematic periodical supervision in order to cure </w:t>
      </w:r>
      <w:r w:rsidR="00816790" w:rsidRPr="00954547">
        <w:rPr>
          <w:lang w:val="en-US"/>
        </w:rPr>
        <w:t>the</w:t>
      </w:r>
      <w:r w:rsidRPr="00954547">
        <w:rPr>
          <w:lang w:val="en-US"/>
        </w:rPr>
        <w:t xml:space="preserve"> detainee</w:t>
      </w:r>
      <w:r w:rsidR="00816790" w:rsidRPr="00954547">
        <w:rPr>
          <w:lang w:val="en-US"/>
        </w:rPr>
        <w:t>’</w:t>
      </w:r>
      <w:r w:rsidRPr="00954547">
        <w:rPr>
          <w:lang w:val="en-US"/>
        </w:rPr>
        <w:t>s ailments or to prevent the</w:t>
      </w:r>
      <w:r w:rsidR="00816790" w:rsidRPr="00954547">
        <w:rPr>
          <w:lang w:val="en-US"/>
        </w:rPr>
        <w:t>m</w:t>
      </w:r>
      <w:r w:rsidRPr="00954547">
        <w:rPr>
          <w:lang w:val="en-US"/>
        </w:rPr>
        <w:t xml:space="preserve"> </w:t>
      </w:r>
      <w:r w:rsidR="00F631AF" w:rsidRPr="00954547">
        <w:rPr>
          <w:lang w:val="en-US"/>
        </w:rPr>
        <w:t>from deteriorating, rather than merely treating the symptoms.</w:t>
      </w:r>
      <w:r w:rsidR="00ED043C" w:rsidRPr="00954547">
        <w:rPr>
          <w:rStyle w:val="FootnoteReference"/>
          <w:lang w:val="en-US"/>
        </w:rPr>
        <w:footnoteReference w:id="382"/>
      </w:r>
    </w:p>
    <w:p w14:paraId="79E14E1D" w14:textId="495EB578" w:rsidR="00F631AF" w:rsidRPr="00954547" w:rsidRDefault="00F631AF" w:rsidP="00ED043C">
      <w:pPr>
        <w:pStyle w:val="Numberedparagraphs"/>
        <w:tabs>
          <w:tab w:val="left" w:pos="567"/>
        </w:tabs>
        <w:rPr>
          <w:lang w:val="en-US"/>
        </w:rPr>
      </w:pPr>
      <w:r w:rsidRPr="00954547">
        <w:rPr>
          <w:color w:val="auto"/>
          <w:lang w:val="en-US"/>
        </w:rPr>
        <w:t>In the case of</w:t>
      </w:r>
      <w:r w:rsidR="00683EB1" w:rsidRPr="00954547">
        <w:rPr>
          <w:color w:val="auto"/>
          <w:lang w:val="en-US"/>
        </w:rPr>
        <w:t xml:space="preserve"> Manuela,</w:t>
      </w:r>
      <w:r w:rsidRPr="00954547">
        <w:rPr>
          <w:color w:val="auto"/>
          <w:lang w:val="en-US"/>
        </w:rPr>
        <w:t xml:space="preserve"> bearing in mind the lumps in her neck and that, between November 2008 and February 2009 she lost more than 13 kilograms in weight, and suffered from a high fever and jaundice,</w:t>
      </w:r>
      <w:r w:rsidR="00683EB1" w:rsidRPr="00954547">
        <w:rPr>
          <w:rStyle w:val="FootnoteReference"/>
          <w:lang w:val="en-US"/>
        </w:rPr>
        <w:footnoteReference w:id="383"/>
      </w:r>
      <w:r w:rsidRPr="00954547">
        <w:rPr>
          <w:color w:val="auto"/>
          <w:lang w:val="en-US"/>
        </w:rPr>
        <w:t xml:space="preserve"> it was reasonable to consider that a medical examination was required. However, there is no record in the case file that any medical examination of Manuela was carried out between her detention in March 2008 and February 2009. The Court considers that the State was obliged to ensure that the presumed victim </w:t>
      </w:r>
      <w:r w:rsidR="00426B69" w:rsidRPr="00954547">
        <w:rPr>
          <w:color w:val="auto"/>
          <w:lang w:val="en-US"/>
        </w:rPr>
        <w:t>be</w:t>
      </w:r>
      <w:r w:rsidRPr="00954547">
        <w:rPr>
          <w:color w:val="auto"/>
          <w:lang w:val="en-US"/>
        </w:rPr>
        <w:t xml:space="preserve"> examined by a physician to verify her health following the obstetric emergency, as well as the cause of the lumps in her neck, and to provide medical treatment as necessary.</w:t>
      </w:r>
    </w:p>
    <w:p w14:paraId="1C79D747" w14:textId="23574341" w:rsidR="00683EB1" w:rsidRPr="00954547" w:rsidRDefault="00683EB1" w:rsidP="007F0666">
      <w:pPr>
        <w:pStyle w:val="Heading4"/>
        <w:rPr>
          <w:lang w:val="en-US"/>
        </w:rPr>
      </w:pPr>
      <w:r w:rsidRPr="00954547">
        <w:rPr>
          <w:lang w:val="en-US"/>
        </w:rPr>
        <w:t xml:space="preserve">B.4.b </w:t>
      </w:r>
      <w:r w:rsidR="001D6472" w:rsidRPr="00954547">
        <w:rPr>
          <w:lang w:val="en-US"/>
        </w:rPr>
        <w:t xml:space="preserve">The medical treatment </w:t>
      </w:r>
      <w:r w:rsidR="00426B69" w:rsidRPr="00954547">
        <w:rPr>
          <w:lang w:val="en-US"/>
        </w:rPr>
        <w:t>that</w:t>
      </w:r>
      <w:r w:rsidR="001D6472" w:rsidRPr="00954547">
        <w:rPr>
          <w:lang w:val="en-US"/>
        </w:rPr>
        <w:t xml:space="preserve"> Manuela</w:t>
      </w:r>
      <w:r w:rsidR="00426B69" w:rsidRPr="00954547">
        <w:rPr>
          <w:lang w:val="en-US"/>
        </w:rPr>
        <w:t xml:space="preserve"> received</w:t>
      </w:r>
    </w:p>
    <w:p w14:paraId="09448F1F" w14:textId="1F78D7FB" w:rsidR="00683EB1" w:rsidRPr="00954547" w:rsidRDefault="00AD4468" w:rsidP="00847145">
      <w:pPr>
        <w:pStyle w:val="Numberedparagraphs"/>
        <w:tabs>
          <w:tab w:val="left" w:pos="567"/>
        </w:tabs>
        <w:rPr>
          <w:color w:val="auto"/>
          <w:lang w:val="en-US"/>
        </w:rPr>
      </w:pPr>
      <w:r w:rsidRPr="00954547">
        <w:rPr>
          <w:color w:val="auto"/>
          <w:lang w:val="en-US"/>
        </w:rPr>
        <w:t xml:space="preserve">The Court has indicated that </w:t>
      </w:r>
      <w:r w:rsidR="00847145" w:rsidRPr="00954547">
        <w:rPr>
          <w:color w:val="auto"/>
          <w:lang w:val="en-US"/>
        </w:rPr>
        <w:t xml:space="preserve">prison </w:t>
      </w:r>
      <w:r w:rsidRPr="00954547">
        <w:rPr>
          <w:color w:val="auto"/>
          <w:lang w:val="en-US"/>
        </w:rPr>
        <w:t xml:space="preserve">health services should </w:t>
      </w:r>
      <w:r w:rsidR="00847145" w:rsidRPr="00954547">
        <w:rPr>
          <w:color w:val="auto"/>
          <w:lang w:val="en-US"/>
        </w:rPr>
        <w:t>have the same level of quality as th</w:t>
      </w:r>
      <w:r w:rsidR="00426B69" w:rsidRPr="00954547">
        <w:rPr>
          <w:color w:val="auto"/>
          <w:lang w:val="en-US"/>
        </w:rPr>
        <w:t>e services</w:t>
      </w:r>
      <w:r w:rsidR="00847145" w:rsidRPr="00954547">
        <w:rPr>
          <w:color w:val="auto"/>
          <w:lang w:val="en-US"/>
        </w:rPr>
        <w:t xml:space="preserve"> for people who are not deprived of liberty. Health should be understood as a fundamental and essential guarantee for the exercise of the rights to life and to personal integrity</w:t>
      </w:r>
      <w:r w:rsidR="00426B69" w:rsidRPr="00954547">
        <w:rPr>
          <w:color w:val="auto"/>
          <w:lang w:val="en-US"/>
        </w:rPr>
        <w:t xml:space="preserve"> t</w:t>
      </w:r>
      <w:r w:rsidR="00847145" w:rsidRPr="00954547">
        <w:rPr>
          <w:color w:val="auto"/>
          <w:lang w:val="en-US"/>
        </w:rPr>
        <w:t>h</w:t>
      </w:r>
      <w:r w:rsidR="00426B69" w:rsidRPr="00954547">
        <w:rPr>
          <w:color w:val="auto"/>
          <w:lang w:val="en-US"/>
        </w:rPr>
        <w:t>at</w:t>
      </w:r>
      <w:r w:rsidR="00847145" w:rsidRPr="00954547">
        <w:rPr>
          <w:color w:val="auto"/>
          <w:lang w:val="en-US"/>
        </w:rPr>
        <w:t xml:space="preserve"> entail</w:t>
      </w:r>
      <w:r w:rsidR="00426B69" w:rsidRPr="00954547">
        <w:rPr>
          <w:color w:val="auto"/>
          <w:lang w:val="en-US"/>
        </w:rPr>
        <w:t>s</w:t>
      </w:r>
      <w:r w:rsidR="00847145" w:rsidRPr="00954547">
        <w:rPr>
          <w:color w:val="auto"/>
          <w:lang w:val="en-US"/>
        </w:rPr>
        <w:t xml:space="preserve"> </w:t>
      </w:r>
      <w:r w:rsidR="00426B69" w:rsidRPr="00954547">
        <w:rPr>
          <w:color w:val="auto"/>
          <w:lang w:val="en-US"/>
        </w:rPr>
        <w:t xml:space="preserve">the </w:t>
      </w:r>
      <w:r w:rsidR="00847145" w:rsidRPr="00954547">
        <w:rPr>
          <w:color w:val="auto"/>
          <w:lang w:val="en-US"/>
        </w:rPr>
        <w:t xml:space="preserve">obligation for States to </w:t>
      </w:r>
      <w:r w:rsidR="00144817" w:rsidRPr="00954547">
        <w:rPr>
          <w:color w:val="auto"/>
          <w:lang w:val="en-US"/>
        </w:rPr>
        <w:t>adopt domestic legal provisions</w:t>
      </w:r>
      <w:r w:rsidR="00683EB1" w:rsidRPr="00954547">
        <w:rPr>
          <w:color w:val="auto"/>
          <w:lang w:val="en-US"/>
        </w:rPr>
        <w:t>, inclu</w:t>
      </w:r>
      <w:r w:rsidR="00847145" w:rsidRPr="00954547">
        <w:rPr>
          <w:color w:val="auto"/>
          <w:lang w:val="en-US"/>
        </w:rPr>
        <w:t>ding adequate practices, to ensure equal access to health care for persons deprived of liberty, as well as the availability, accessibility, acceptability and quality of such services.</w:t>
      </w:r>
      <w:r w:rsidR="00683EB1" w:rsidRPr="00954547">
        <w:rPr>
          <w:rStyle w:val="FootnoteReference"/>
          <w:color w:val="auto"/>
          <w:lang w:val="en-US"/>
        </w:rPr>
        <w:footnoteReference w:id="384"/>
      </w:r>
      <w:r w:rsidR="00847145" w:rsidRPr="00954547">
        <w:rPr>
          <w:color w:val="auto"/>
          <w:lang w:val="en-US"/>
        </w:rPr>
        <w:t xml:space="preserve"> </w:t>
      </w:r>
      <w:r w:rsidR="00426B69" w:rsidRPr="00954547">
        <w:rPr>
          <w:color w:val="auto"/>
          <w:lang w:val="en-US"/>
        </w:rPr>
        <w:t>Therefore</w:t>
      </w:r>
      <w:r w:rsidR="00847145" w:rsidRPr="00954547">
        <w:rPr>
          <w:color w:val="auto"/>
          <w:lang w:val="en-US"/>
        </w:rPr>
        <w:t xml:space="preserve">, the accessibility of the </w:t>
      </w:r>
      <w:r w:rsidR="00B562B1" w:rsidRPr="00954547">
        <w:rPr>
          <w:color w:val="auto"/>
          <w:lang w:val="en-US"/>
        </w:rPr>
        <w:t>right to health</w:t>
      </w:r>
      <w:r w:rsidR="00672F15" w:rsidRPr="00954547">
        <w:rPr>
          <w:color w:val="auto"/>
          <w:lang w:val="en-US"/>
        </w:rPr>
        <w:t xml:space="preserve"> </w:t>
      </w:r>
      <w:r w:rsidR="00847145" w:rsidRPr="00954547">
        <w:rPr>
          <w:color w:val="auto"/>
          <w:lang w:val="en-US"/>
        </w:rPr>
        <w:t>for persons deprived of liberty means that</w:t>
      </w:r>
      <w:r w:rsidR="00426B69" w:rsidRPr="00954547">
        <w:rPr>
          <w:color w:val="auto"/>
          <w:lang w:val="en-US"/>
        </w:rPr>
        <w:t>, when necessary,</w:t>
      </w:r>
      <w:r w:rsidR="00847145" w:rsidRPr="00954547">
        <w:rPr>
          <w:color w:val="auto"/>
          <w:lang w:val="en-US"/>
        </w:rPr>
        <w:t xml:space="preserve"> health services </w:t>
      </w:r>
      <w:r w:rsidR="00426B69" w:rsidRPr="00954547">
        <w:rPr>
          <w:color w:val="auto"/>
          <w:lang w:val="en-US"/>
        </w:rPr>
        <w:t>must be</w:t>
      </w:r>
      <w:r w:rsidR="00847145" w:rsidRPr="00954547">
        <w:rPr>
          <w:color w:val="auto"/>
          <w:lang w:val="en-US"/>
        </w:rPr>
        <w:t xml:space="preserve"> provided in specialized health centers. </w:t>
      </w:r>
    </w:p>
    <w:p w14:paraId="263340F3" w14:textId="1109571D" w:rsidR="00683EB1" w:rsidRPr="00954547" w:rsidRDefault="00847145" w:rsidP="000A1E37">
      <w:pPr>
        <w:pStyle w:val="Numberedparagraphs"/>
        <w:tabs>
          <w:tab w:val="left" w:pos="567"/>
        </w:tabs>
        <w:rPr>
          <w:lang w:val="en-US"/>
        </w:rPr>
      </w:pPr>
      <w:r w:rsidRPr="00954547">
        <w:rPr>
          <w:lang w:val="en-US"/>
        </w:rPr>
        <w:t>In the instant case</w:t>
      </w:r>
      <w:r w:rsidR="00683EB1" w:rsidRPr="00954547">
        <w:rPr>
          <w:lang w:val="en-US"/>
        </w:rPr>
        <w:t xml:space="preserve">, Manuela </w:t>
      </w:r>
      <w:r w:rsidRPr="00954547">
        <w:rPr>
          <w:lang w:val="en-US"/>
        </w:rPr>
        <w:t>was diagnosed with</w:t>
      </w:r>
      <w:r w:rsidR="00683EB1" w:rsidRPr="00954547">
        <w:rPr>
          <w:lang w:val="en-US"/>
        </w:rPr>
        <w:t xml:space="preserve"> </w:t>
      </w:r>
      <w:r w:rsidRPr="00954547">
        <w:rPr>
          <w:lang w:val="en-US"/>
        </w:rPr>
        <w:t xml:space="preserve">nodular sclerosis </w:t>
      </w:r>
      <w:r w:rsidR="00AD4468" w:rsidRPr="00954547">
        <w:rPr>
          <w:lang w:val="en-US"/>
        </w:rPr>
        <w:t>Hodgkin</w:t>
      </w:r>
      <w:r w:rsidR="00D2151A" w:rsidRPr="00954547">
        <w:rPr>
          <w:lang w:val="en-US"/>
        </w:rPr>
        <w:t>’s lymphoma</w:t>
      </w:r>
      <w:r w:rsidR="00683EB1" w:rsidRPr="00954547">
        <w:rPr>
          <w:lang w:val="en-US"/>
        </w:rPr>
        <w:t xml:space="preserve"> </w:t>
      </w:r>
      <w:r w:rsidR="000A1E37" w:rsidRPr="00954547">
        <w:rPr>
          <w:lang w:val="en-US"/>
        </w:rPr>
        <w:t>on February 12, 2009.</w:t>
      </w:r>
      <w:r w:rsidR="00683EB1" w:rsidRPr="00954547">
        <w:rPr>
          <w:rStyle w:val="FootnoteReference"/>
          <w:lang w:val="en-US"/>
        </w:rPr>
        <w:footnoteReference w:id="385"/>
      </w:r>
      <w:r w:rsidR="00683EB1" w:rsidRPr="00954547">
        <w:rPr>
          <w:lang w:val="en-US"/>
        </w:rPr>
        <w:t xml:space="preserve"> </w:t>
      </w:r>
      <w:r w:rsidR="00E76B1A" w:rsidRPr="00954547">
        <w:rPr>
          <w:lang w:val="en-US"/>
        </w:rPr>
        <w:t>The Court</w:t>
      </w:r>
      <w:r w:rsidR="00683EB1" w:rsidRPr="00954547">
        <w:rPr>
          <w:lang w:val="en-US"/>
        </w:rPr>
        <w:t xml:space="preserve"> ha</w:t>
      </w:r>
      <w:r w:rsidR="000A1E37" w:rsidRPr="00954547">
        <w:rPr>
          <w:lang w:val="en-US"/>
        </w:rPr>
        <w:t xml:space="preserve">s indicated that persons deprived of liberty who suffer from serious chronic or terminal diseases should not remain in prisons </w:t>
      </w:r>
      <w:r w:rsidR="00EA2C9F" w:rsidRPr="00954547">
        <w:rPr>
          <w:lang w:val="en-US"/>
        </w:rPr>
        <w:t>unless</w:t>
      </w:r>
      <w:r w:rsidR="000A1E37" w:rsidRPr="00954547">
        <w:rPr>
          <w:lang w:val="en-US"/>
        </w:rPr>
        <w:t xml:space="preserve"> States are able to ensure that they have adequate medical units to provide them with appropriate specialized care and treatment, </w:t>
      </w:r>
      <w:r w:rsidR="00EA2C9F" w:rsidRPr="00954547">
        <w:rPr>
          <w:lang w:val="en-US"/>
        </w:rPr>
        <w:t>and this</w:t>
      </w:r>
      <w:r w:rsidR="000A1E37" w:rsidRPr="00954547">
        <w:rPr>
          <w:lang w:val="en-US"/>
        </w:rPr>
        <w:t xml:space="preserve"> includes </w:t>
      </w:r>
      <w:r w:rsidR="001B7EC0" w:rsidRPr="00954547">
        <w:rPr>
          <w:lang w:val="en-US"/>
        </w:rPr>
        <w:t>facilities</w:t>
      </w:r>
      <w:r w:rsidR="000A1E37" w:rsidRPr="00954547">
        <w:rPr>
          <w:lang w:val="en-US"/>
        </w:rPr>
        <w:t xml:space="preserve">, equipment and qualified medical and nursing </w:t>
      </w:r>
      <w:r w:rsidR="00EA2C9F" w:rsidRPr="00954547">
        <w:rPr>
          <w:lang w:val="en-US"/>
        </w:rPr>
        <w:t>staff</w:t>
      </w:r>
      <w:r w:rsidR="000A1E37" w:rsidRPr="00954547">
        <w:rPr>
          <w:lang w:val="en-US"/>
        </w:rPr>
        <w:t>. In any case, and especially if someone is evidently ill, States have the obligation to ensure that a record or file is kept of the health and treatment of anyone who enters a detention center, either in the center itself or in the hospitals or clinics where treatment is received.</w:t>
      </w:r>
      <w:r w:rsidR="00683EB1" w:rsidRPr="00954547">
        <w:rPr>
          <w:rStyle w:val="FootnoteReference"/>
          <w:lang w:val="en-US"/>
        </w:rPr>
        <w:footnoteReference w:id="386"/>
      </w:r>
    </w:p>
    <w:p w14:paraId="174F75F5" w14:textId="567BDBAF" w:rsidR="00683EB1" w:rsidRPr="00954547" w:rsidRDefault="000A1E37" w:rsidP="00386B24">
      <w:pPr>
        <w:pStyle w:val="Numberedparagraphs"/>
        <w:tabs>
          <w:tab w:val="left" w:pos="567"/>
        </w:tabs>
        <w:rPr>
          <w:color w:val="auto"/>
          <w:lang w:val="en-US"/>
        </w:rPr>
      </w:pPr>
      <w:bookmarkStart w:id="96" w:name="_Ref87982509"/>
      <w:r w:rsidRPr="00954547">
        <w:rPr>
          <w:color w:val="auto"/>
          <w:lang w:val="en-US"/>
        </w:rPr>
        <w:t xml:space="preserve">In this case, following the diagnosis of </w:t>
      </w:r>
      <w:r w:rsidR="00AD4468" w:rsidRPr="00954547">
        <w:rPr>
          <w:color w:val="auto"/>
          <w:lang w:val="en-US"/>
        </w:rPr>
        <w:t>Hodgkin</w:t>
      </w:r>
      <w:r w:rsidR="00D2151A" w:rsidRPr="00954547">
        <w:rPr>
          <w:color w:val="auto"/>
          <w:lang w:val="en-US"/>
        </w:rPr>
        <w:t>’s lymphoma</w:t>
      </w:r>
      <w:r w:rsidRPr="00954547">
        <w:rPr>
          <w:color w:val="auto"/>
          <w:lang w:val="en-US"/>
        </w:rPr>
        <w:t>,</w:t>
      </w:r>
      <w:r w:rsidR="00683EB1" w:rsidRPr="00954547">
        <w:rPr>
          <w:color w:val="auto"/>
          <w:lang w:val="en-US"/>
        </w:rPr>
        <w:t xml:space="preserve"> Manuela </w:t>
      </w:r>
      <w:r w:rsidRPr="00954547">
        <w:rPr>
          <w:color w:val="auto"/>
          <w:lang w:val="en-US"/>
        </w:rPr>
        <w:t xml:space="preserve">was prescribed chemotherapy. According to the </w:t>
      </w:r>
      <w:r w:rsidR="00F500B0" w:rsidRPr="00954547">
        <w:rPr>
          <w:color w:val="auto"/>
          <w:lang w:val="en-US"/>
        </w:rPr>
        <w:t>medical record</w:t>
      </w:r>
      <w:r w:rsidR="00683EB1" w:rsidRPr="00954547">
        <w:rPr>
          <w:color w:val="auto"/>
          <w:lang w:val="en-US"/>
        </w:rPr>
        <w:t xml:space="preserve">, </w:t>
      </w:r>
      <w:r w:rsidRPr="00954547">
        <w:rPr>
          <w:color w:val="auto"/>
          <w:lang w:val="en-US"/>
        </w:rPr>
        <w:t xml:space="preserve">the treatment she received was irregular. In particular, it can be seen that: (i) she was not taken to </w:t>
      </w:r>
      <w:r w:rsidR="005824E9" w:rsidRPr="00954547">
        <w:rPr>
          <w:color w:val="auto"/>
          <w:lang w:val="en-US"/>
        </w:rPr>
        <w:t>her April 2, 2009,</w:t>
      </w:r>
      <w:r w:rsidRPr="00954547">
        <w:rPr>
          <w:color w:val="auto"/>
          <w:lang w:val="en-US"/>
        </w:rPr>
        <w:t xml:space="preserve"> appointment to receive chemotherapy </w:t>
      </w:r>
      <w:r w:rsidR="008C4EA3" w:rsidRPr="00954547">
        <w:rPr>
          <w:color w:val="auto"/>
          <w:lang w:val="en-US"/>
        </w:rPr>
        <w:t>until April 22, and during this time her tumor increased in size;</w:t>
      </w:r>
      <w:r w:rsidR="00683EB1" w:rsidRPr="00954547">
        <w:rPr>
          <w:rStyle w:val="FootnoteReference"/>
          <w:color w:val="auto"/>
          <w:lang w:val="en-US"/>
        </w:rPr>
        <w:footnoteReference w:id="387"/>
      </w:r>
      <w:r w:rsidR="00683EB1" w:rsidRPr="00954547">
        <w:rPr>
          <w:color w:val="auto"/>
          <w:lang w:val="en-US"/>
        </w:rPr>
        <w:t xml:space="preserve"> </w:t>
      </w:r>
      <w:r w:rsidR="008C4EA3" w:rsidRPr="00954547">
        <w:rPr>
          <w:color w:val="auto"/>
          <w:lang w:val="en-US"/>
        </w:rPr>
        <w:t>(</w:t>
      </w:r>
      <w:r w:rsidR="00683EB1" w:rsidRPr="00954547">
        <w:rPr>
          <w:color w:val="auto"/>
          <w:lang w:val="en-US"/>
        </w:rPr>
        <w:t xml:space="preserve">ii) </w:t>
      </w:r>
      <w:r w:rsidR="008C4EA3" w:rsidRPr="00954547">
        <w:rPr>
          <w:color w:val="auto"/>
          <w:lang w:val="en-US"/>
        </w:rPr>
        <w:t>in January</w:t>
      </w:r>
      <w:r w:rsidR="00683EB1" w:rsidRPr="00954547">
        <w:rPr>
          <w:color w:val="auto"/>
          <w:lang w:val="en-US"/>
        </w:rPr>
        <w:t xml:space="preserve"> 2010</w:t>
      </w:r>
      <w:r w:rsidR="008C4EA3" w:rsidRPr="00954547">
        <w:rPr>
          <w:color w:val="auto"/>
          <w:lang w:val="en-US"/>
        </w:rPr>
        <w:t>, the treatment was postponed for a month,</w:t>
      </w:r>
      <w:r w:rsidR="00683EB1" w:rsidRPr="00954547">
        <w:rPr>
          <w:rStyle w:val="FootnoteReference"/>
          <w:color w:val="auto"/>
          <w:lang w:val="en-US"/>
        </w:rPr>
        <w:footnoteReference w:id="388"/>
      </w:r>
      <w:r w:rsidR="0078694F" w:rsidRPr="00954547">
        <w:rPr>
          <w:color w:val="auto"/>
          <w:lang w:val="en-US"/>
        </w:rPr>
        <w:t xml:space="preserve"> and </w:t>
      </w:r>
      <w:r w:rsidR="008C4EA3" w:rsidRPr="00954547">
        <w:rPr>
          <w:color w:val="auto"/>
          <w:lang w:val="en-US"/>
        </w:rPr>
        <w:t>(</w:t>
      </w:r>
      <w:r w:rsidR="00683EB1" w:rsidRPr="00954547">
        <w:rPr>
          <w:color w:val="auto"/>
          <w:lang w:val="en-US"/>
        </w:rPr>
        <w:t xml:space="preserve">iii) </w:t>
      </w:r>
      <w:r w:rsidR="008C4EA3" w:rsidRPr="00954547">
        <w:rPr>
          <w:color w:val="auto"/>
          <w:lang w:val="en-US"/>
        </w:rPr>
        <w:t>after receiving chemotherapy on November 6,</w:t>
      </w:r>
      <w:r w:rsidR="00683EB1" w:rsidRPr="00954547">
        <w:rPr>
          <w:color w:val="auto"/>
          <w:lang w:val="en-US"/>
        </w:rPr>
        <w:t xml:space="preserve"> 2009</w:t>
      </w:r>
      <w:r w:rsidR="008C4EA3" w:rsidRPr="00954547">
        <w:rPr>
          <w:color w:val="auto"/>
          <w:lang w:val="en-US"/>
        </w:rPr>
        <w:t>,</w:t>
      </w:r>
      <w:r w:rsidR="0078694F" w:rsidRPr="00954547">
        <w:rPr>
          <w:color w:val="auto"/>
          <w:lang w:val="en-US"/>
        </w:rPr>
        <w:t xml:space="preserve"> and </w:t>
      </w:r>
      <w:r w:rsidR="008C4EA3" w:rsidRPr="00954547">
        <w:rPr>
          <w:color w:val="auto"/>
          <w:lang w:val="en-US"/>
        </w:rPr>
        <w:t xml:space="preserve">on January 14, </w:t>
      </w:r>
      <w:r w:rsidR="00683EB1" w:rsidRPr="00954547">
        <w:rPr>
          <w:color w:val="auto"/>
          <w:lang w:val="en-US"/>
        </w:rPr>
        <w:t>2010</w:t>
      </w:r>
      <w:r w:rsidR="008C4EA3" w:rsidRPr="00954547">
        <w:rPr>
          <w:color w:val="auto"/>
          <w:lang w:val="en-US"/>
        </w:rPr>
        <w:t xml:space="preserve">, she was not taken to the subsequent </w:t>
      </w:r>
      <w:r w:rsidR="005824E9" w:rsidRPr="00954547">
        <w:rPr>
          <w:color w:val="auto"/>
          <w:lang w:val="en-US"/>
        </w:rPr>
        <w:t>follow-up</w:t>
      </w:r>
      <w:r w:rsidR="008C4EA3" w:rsidRPr="00954547">
        <w:rPr>
          <w:color w:val="auto"/>
          <w:lang w:val="en-US"/>
        </w:rPr>
        <w:t xml:space="preserve"> appointments.</w:t>
      </w:r>
      <w:r w:rsidR="00683EB1" w:rsidRPr="00954547">
        <w:rPr>
          <w:rStyle w:val="FootnoteReference"/>
          <w:color w:val="auto"/>
          <w:lang w:val="en-US"/>
        </w:rPr>
        <w:footnoteReference w:id="389"/>
      </w:r>
      <w:bookmarkEnd w:id="96"/>
    </w:p>
    <w:p w14:paraId="4C19962A" w14:textId="15FB9F4C" w:rsidR="00114880" w:rsidRPr="00954547" w:rsidRDefault="007D1FD1" w:rsidP="00114880">
      <w:pPr>
        <w:pStyle w:val="Numberedparagraphs"/>
        <w:tabs>
          <w:tab w:val="left" w:pos="567"/>
        </w:tabs>
        <w:rPr>
          <w:color w:val="auto"/>
          <w:lang w:val="en-US"/>
        </w:rPr>
      </w:pPr>
      <w:r w:rsidRPr="00954547">
        <w:rPr>
          <w:color w:val="auto"/>
          <w:lang w:val="en-US"/>
        </w:rPr>
        <w:t xml:space="preserve">Owing to the special position of guarantor that the State exercises over the person who is detained, and </w:t>
      </w:r>
      <w:r w:rsidR="005824E9" w:rsidRPr="00954547">
        <w:rPr>
          <w:color w:val="auto"/>
          <w:lang w:val="en-US"/>
        </w:rPr>
        <w:t>its</w:t>
      </w:r>
      <w:r w:rsidRPr="00954547">
        <w:rPr>
          <w:color w:val="auto"/>
          <w:lang w:val="en-US"/>
        </w:rPr>
        <w:t xml:space="preserve"> consequent control of the evidence regarding their physical condition, detention conditions, and eventual medical care, it is the State that has the burden of proof to provide a satisfactory and convincing explanation of what happened and to disprove the arguments concerning its responsibility with valid probative elements.</w:t>
      </w:r>
      <w:r w:rsidR="00683EB1" w:rsidRPr="00954547">
        <w:rPr>
          <w:rStyle w:val="FootnoteReference"/>
          <w:color w:val="auto"/>
          <w:lang w:val="en-US"/>
        </w:rPr>
        <w:footnoteReference w:id="390"/>
      </w:r>
      <w:r w:rsidRPr="00954547">
        <w:rPr>
          <w:color w:val="auto"/>
          <w:lang w:val="en-US"/>
        </w:rPr>
        <w:t xml:space="preserve"> The failure to </w:t>
      </w:r>
      <w:r w:rsidR="00114880" w:rsidRPr="00954547">
        <w:rPr>
          <w:color w:val="auto"/>
          <w:lang w:val="en-US"/>
        </w:rPr>
        <w:t>submit evidence that clarifies the type of treatment that someone</w:t>
      </w:r>
      <w:r w:rsidR="005824E9" w:rsidRPr="00954547">
        <w:rPr>
          <w:color w:val="auto"/>
          <w:lang w:val="en-US"/>
        </w:rPr>
        <w:t xml:space="preserve"> has</w:t>
      </w:r>
      <w:r w:rsidR="00114880" w:rsidRPr="00954547">
        <w:rPr>
          <w:color w:val="auto"/>
          <w:lang w:val="en-US"/>
        </w:rPr>
        <w:t xml:space="preserve"> receive</w:t>
      </w:r>
      <w:r w:rsidR="005824E9" w:rsidRPr="00954547">
        <w:rPr>
          <w:color w:val="auto"/>
          <w:lang w:val="en-US"/>
        </w:rPr>
        <w:t>d</w:t>
      </w:r>
      <w:r w:rsidR="00114880" w:rsidRPr="00954547">
        <w:rPr>
          <w:color w:val="auto"/>
          <w:lang w:val="en-US"/>
        </w:rPr>
        <w:t xml:space="preserve"> is particularly serious in cases that involve allegations relat</w:t>
      </w:r>
      <w:r w:rsidR="005824E9" w:rsidRPr="00954547">
        <w:rPr>
          <w:color w:val="auto"/>
          <w:lang w:val="en-US"/>
        </w:rPr>
        <w:t>ing</w:t>
      </w:r>
      <w:r w:rsidR="00114880" w:rsidRPr="00954547">
        <w:rPr>
          <w:color w:val="auto"/>
          <w:lang w:val="en-US"/>
        </w:rPr>
        <w:t xml:space="preserve"> to the right to health. In its position of guarantor, the State </w:t>
      </w:r>
      <w:r w:rsidR="005824E9" w:rsidRPr="00954547">
        <w:rPr>
          <w:color w:val="auto"/>
          <w:lang w:val="en-US"/>
        </w:rPr>
        <w:t>is</w:t>
      </w:r>
      <w:r w:rsidR="00114880" w:rsidRPr="00954547">
        <w:rPr>
          <w:color w:val="auto"/>
          <w:lang w:val="en-US"/>
        </w:rPr>
        <w:t xml:space="preserve"> responsib</w:t>
      </w:r>
      <w:r w:rsidR="005824E9" w:rsidRPr="00954547">
        <w:rPr>
          <w:color w:val="auto"/>
          <w:lang w:val="en-US"/>
        </w:rPr>
        <w:t>le</w:t>
      </w:r>
      <w:r w:rsidR="00114880" w:rsidRPr="00954547">
        <w:rPr>
          <w:color w:val="auto"/>
          <w:lang w:val="en-US"/>
        </w:rPr>
        <w:t xml:space="preserve"> both </w:t>
      </w:r>
      <w:r w:rsidR="005824E9" w:rsidRPr="00954547">
        <w:rPr>
          <w:color w:val="auto"/>
          <w:lang w:val="en-US"/>
        </w:rPr>
        <w:t>for</w:t>
      </w:r>
      <w:r w:rsidR="00114880" w:rsidRPr="00954547">
        <w:rPr>
          <w:color w:val="auto"/>
          <w:lang w:val="en-US"/>
        </w:rPr>
        <w:t xml:space="preserve"> ensur</w:t>
      </w:r>
      <w:r w:rsidR="005824E9" w:rsidRPr="00954547">
        <w:rPr>
          <w:color w:val="auto"/>
          <w:lang w:val="en-US"/>
        </w:rPr>
        <w:t>ing</w:t>
      </w:r>
      <w:r w:rsidR="00114880" w:rsidRPr="00954547">
        <w:rPr>
          <w:color w:val="auto"/>
          <w:lang w:val="en-US"/>
        </w:rPr>
        <w:t xml:space="preserve"> the rights of the individual in its custody, and </w:t>
      </w:r>
      <w:r w:rsidR="007942C0" w:rsidRPr="00954547">
        <w:rPr>
          <w:color w:val="auto"/>
          <w:lang w:val="en-US"/>
        </w:rPr>
        <w:t>for</w:t>
      </w:r>
      <w:r w:rsidR="00114880" w:rsidRPr="00954547">
        <w:rPr>
          <w:color w:val="auto"/>
          <w:lang w:val="en-US"/>
        </w:rPr>
        <w:t xml:space="preserve"> provid</w:t>
      </w:r>
      <w:r w:rsidR="007942C0" w:rsidRPr="00954547">
        <w:rPr>
          <w:color w:val="auto"/>
          <w:lang w:val="en-US"/>
        </w:rPr>
        <w:t>ing</w:t>
      </w:r>
      <w:r w:rsidR="00114880" w:rsidRPr="00954547">
        <w:rPr>
          <w:color w:val="auto"/>
          <w:lang w:val="en-US"/>
        </w:rPr>
        <w:t xml:space="preserve"> information and evidence on what happen</w:t>
      </w:r>
      <w:r w:rsidR="007942C0" w:rsidRPr="00954547">
        <w:rPr>
          <w:color w:val="auto"/>
          <w:lang w:val="en-US"/>
        </w:rPr>
        <w:t>ed</w:t>
      </w:r>
      <w:r w:rsidR="00114880" w:rsidRPr="00954547">
        <w:rPr>
          <w:color w:val="auto"/>
          <w:lang w:val="en-US"/>
        </w:rPr>
        <w:t xml:space="preserve"> to the detainee.</w:t>
      </w:r>
      <w:r w:rsidR="00683EB1" w:rsidRPr="00954547">
        <w:rPr>
          <w:rStyle w:val="FootnoteReference"/>
          <w:color w:val="auto"/>
          <w:lang w:val="en-US"/>
        </w:rPr>
        <w:footnoteReference w:id="391"/>
      </w:r>
      <w:r w:rsidR="00114880" w:rsidRPr="00954547">
        <w:rPr>
          <w:color w:val="auto"/>
          <w:lang w:val="en-US"/>
        </w:rPr>
        <w:t xml:space="preserve"> In the instant case, the State has not demonstrated that Manuela’s failure to attend the hospital appointments</w:t>
      </w:r>
      <w:r w:rsidR="007942C0" w:rsidRPr="00954547">
        <w:rPr>
          <w:color w:val="auto"/>
          <w:lang w:val="en-US"/>
        </w:rPr>
        <w:t xml:space="preserve"> </w:t>
      </w:r>
      <w:r w:rsidR="00114880" w:rsidRPr="00954547">
        <w:rPr>
          <w:color w:val="auto"/>
          <w:lang w:val="en-US"/>
        </w:rPr>
        <w:t xml:space="preserve">could be attributed to the presumed victim; consequently, it must be presumed that </w:t>
      </w:r>
      <w:r w:rsidR="00470822" w:rsidRPr="00954547">
        <w:rPr>
          <w:color w:val="auto"/>
          <w:lang w:val="en-US"/>
        </w:rPr>
        <w:t>the State was responsible for this omission.</w:t>
      </w:r>
    </w:p>
    <w:p w14:paraId="07156876" w14:textId="68CE2FF1" w:rsidR="00FC409E" w:rsidRPr="00954547" w:rsidRDefault="00E76B1A" w:rsidP="00B877A9">
      <w:pPr>
        <w:pStyle w:val="Numberedparagraphs"/>
        <w:tabs>
          <w:tab w:val="left" w:pos="567"/>
        </w:tabs>
        <w:rPr>
          <w:color w:val="auto"/>
          <w:lang w:val="en-US"/>
        </w:rPr>
      </w:pPr>
      <w:r w:rsidRPr="00954547">
        <w:rPr>
          <w:color w:val="auto"/>
          <w:lang w:val="en-US"/>
        </w:rPr>
        <w:t>The Court</w:t>
      </w:r>
      <w:r w:rsidR="00795001" w:rsidRPr="00954547">
        <w:rPr>
          <w:color w:val="auto"/>
          <w:lang w:val="en-US"/>
        </w:rPr>
        <w:t xml:space="preserve"> </w:t>
      </w:r>
      <w:r w:rsidR="00470822" w:rsidRPr="00954547">
        <w:rPr>
          <w:color w:val="auto"/>
          <w:lang w:val="en-US"/>
        </w:rPr>
        <w:t>emphasizes that the medical services for persons deprived of liberty should be organized and coordinated with the general administration of the health care services, which means establishing expedite and adequate procedures for the diagnosis and treatment of patients, as well as for their transfer when their health situation requires special treatments in specialized prison establishments or in civi</w:t>
      </w:r>
      <w:r w:rsidR="00CA1C78" w:rsidRPr="00954547">
        <w:rPr>
          <w:color w:val="auto"/>
          <w:lang w:val="en-US"/>
        </w:rPr>
        <w:t>l</w:t>
      </w:r>
      <w:r w:rsidR="00B877A9" w:rsidRPr="00954547">
        <w:rPr>
          <w:color w:val="auto"/>
          <w:lang w:val="en-US"/>
        </w:rPr>
        <w:t xml:space="preserve"> </w:t>
      </w:r>
      <w:r w:rsidR="00470822" w:rsidRPr="00954547">
        <w:rPr>
          <w:color w:val="auto"/>
          <w:lang w:val="en-US"/>
        </w:rPr>
        <w:t xml:space="preserve">hospitals. </w:t>
      </w:r>
      <w:r w:rsidR="00B877A9" w:rsidRPr="00954547">
        <w:rPr>
          <w:color w:val="auto"/>
          <w:lang w:val="en-US"/>
        </w:rPr>
        <w:t xml:space="preserve">To implement these </w:t>
      </w:r>
      <w:r w:rsidR="007942C0" w:rsidRPr="00954547">
        <w:rPr>
          <w:color w:val="auto"/>
          <w:lang w:val="en-US"/>
        </w:rPr>
        <w:t>obligations</w:t>
      </w:r>
      <w:r w:rsidR="00B877A9" w:rsidRPr="00954547">
        <w:rPr>
          <w:color w:val="auto"/>
          <w:lang w:val="en-US"/>
        </w:rPr>
        <w:t>, health care protocols and agile and effective mechanisms for the transfer of prisoners are necessary, particularly in emergency situations and cases of serious illnesses.</w:t>
      </w:r>
      <w:r w:rsidR="00795001" w:rsidRPr="00954547">
        <w:rPr>
          <w:rStyle w:val="FootnoteReference"/>
          <w:color w:val="auto"/>
          <w:lang w:val="en-US"/>
        </w:rPr>
        <w:footnoteReference w:id="392"/>
      </w:r>
      <w:r w:rsidR="00B877A9" w:rsidRPr="00954547">
        <w:rPr>
          <w:color w:val="auto"/>
          <w:lang w:val="en-US"/>
        </w:rPr>
        <w:t xml:space="preserve"> In this case, Manuela was unable to attend one of her chemotherapy appointments in 2009; in 2010, the treatment was delayed by one month and, on at least two occasions, she was not taken to the hospital for follow-up medical appointments</w:t>
      </w:r>
      <w:r w:rsidR="00737764" w:rsidRPr="00954547">
        <w:rPr>
          <w:color w:val="auto"/>
          <w:lang w:val="en-US"/>
        </w:rPr>
        <w:t xml:space="preserve"> (</w:t>
      </w:r>
      <w:r w:rsidR="00737764" w:rsidRPr="00954547">
        <w:rPr>
          <w:i/>
          <w:color w:val="auto"/>
          <w:lang w:val="en-US"/>
        </w:rPr>
        <w:t xml:space="preserve">supra </w:t>
      </w:r>
      <w:r w:rsidR="00B10E5A" w:rsidRPr="00954547">
        <w:rPr>
          <w:color w:val="auto"/>
          <w:lang w:val="en-US"/>
        </w:rPr>
        <w:t>para.</w:t>
      </w:r>
      <w:r w:rsidR="005C7EC1" w:rsidRPr="00954547">
        <w:rPr>
          <w:color w:val="auto"/>
          <w:lang w:val="en-US"/>
        </w:rPr>
        <w:t xml:space="preserve"> </w:t>
      </w:r>
      <w:r w:rsidR="005C7EC1" w:rsidRPr="00954547">
        <w:rPr>
          <w:color w:val="auto"/>
          <w:lang w:val="en-US"/>
        </w:rPr>
        <w:fldChar w:fldCharType="begin"/>
      </w:r>
      <w:r w:rsidR="005C7EC1" w:rsidRPr="00954547">
        <w:rPr>
          <w:color w:val="auto"/>
          <w:lang w:val="en-US"/>
        </w:rPr>
        <w:instrText xml:space="preserve"> REF _Ref87982509 \r \h </w:instrText>
      </w:r>
      <w:r w:rsidR="00793F65" w:rsidRPr="00954547">
        <w:rPr>
          <w:color w:val="auto"/>
          <w:lang w:val="en-US"/>
        </w:rPr>
        <w:instrText xml:space="preserve"> \* MERGEFORMAT </w:instrText>
      </w:r>
      <w:r w:rsidR="005C7EC1" w:rsidRPr="00954547">
        <w:rPr>
          <w:color w:val="auto"/>
          <w:lang w:val="en-US"/>
        </w:rPr>
      </w:r>
      <w:r w:rsidR="005C7EC1" w:rsidRPr="00954547">
        <w:rPr>
          <w:color w:val="auto"/>
          <w:lang w:val="en-US"/>
        </w:rPr>
        <w:fldChar w:fldCharType="separate"/>
      </w:r>
      <w:r w:rsidR="000E4488" w:rsidRPr="00954547">
        <w:rPr>
          <w:color w:val="auto"/>
          <w:lang w:val="en-US"/>
        </w:rPr>
        <w:t>238</w:t>
      </w:r>
      <w:r w:rsidR="005C7EC1" w:rsidRPr="00954547">
        <w:rPr>
          <w:color w:val="auto"/>
          <w:lang w:val="en-US"/>
        </w:rPr>
        <w:fldChar w:fldCharType="end"/>
      </w:r>
      <w:r w:rsidR="00737764" w:rsidRPr="00954547">
        <w:rPr>
          <w:color w:val="auto"/>
          <w:lang w:val="en-US"/>
        </w:rPr>
        <w:t>).</w:t>
      </w:r>
      <w:r w:rsidR="00795001" w:rsidRPr="00954547">
        <w:rPr>
          <w:color w:val="auto"/>
          <w:lang w:val="en-US"/>
        </w:rPr>
        <w:t xml:space="preserve"> </w:t>
      </w:r>
      <w:r w:rsidR="00B877A9" w:rsidRPr="00954547">
        <w:rPr>
          <w:color w:val="auto"/>
          <w:lang w:val="en-US"/>
        </w:rPr>
        <w:t xml:space="preserve">These deficiencies reveal that the State did not take the necessary measures to ensure that </w:t>
      </w:r>
      <w:r w:rsidR="00737764" w:rsidRPr="00954547">
        <w:rPr>
          <w:color w:val="auto"/>
          <w:lang w:val="en-US"/>
        </w:rPr>
        <w:t xml:space="preserve">Manuela </w:t>
      </w:r>
      <w:r w:rsidR="00066828" w:rsidRPr="00954547">
        <w:rPr>
          <w:color w:val="auto"/>
          <w:lang w:val="en-US"/>
        </w:rPr>
        <w:t>was transferred to the hospital to receive the medical treatment that she needed.</w:t>
      </w:r>
    </w:p>
    <w:p w14:paraId="77AA3161" w14:textId="3093E34F" w:rsidR="003B043A" w:rsidRPr="00954547" w:rsidRDefault="00FC409E" w:rsidP="003B043A">
      <w:pPr>
        <w:pStyle w:val="Numberedparagraphs"/>
        <w:tabs>
          <w:tab w:val="left" w:pos="567"/>
        </w:tabs>
        <w:rPr>
          <w:color w:val="auto"/>
          <w:lang w:val="en-US"/>
        </w:rPr>
      </w:pPr>
      <w:r w:rsidRPr="00954547">
        <w:rPr>
          <w:color w:val="auto"/>
          <w:lang w:val="en-US"/>
        </w:rPr>
        <w:t>Ad</w:t>
      </w:r>
      <w:r w:rsidR="00066828" w:rsidRPr="00954547">
        <w:rPr>
          <w:color w:val="auto"/>
          <w:lang w:val="en-US"/>
        </w:rPr>
        <w:t>ditionally</w:t>
      </w:r>
      <w:r w:rsidRPr="00954547">
        <w:rPr>
          <w:color w:val="auto"/>
          <w:lang w:val="en-US"/>
        </w:rPr>
        <w:t xml:space="preserve">, </w:t>
      </w:r>
      <w:r w:rsidR="00E76B1A" w:rsidRPr="00954547">
        <w:rPr>
          <w:color w:val="auto"/>
          <w:lang w:val="en-US"/>
        </w:rPr>
        <w:t>the Court</w:t>
      </w:r>
      <w:r w:rsidRPr="00954547">
        <w:rPr>
          <w:color w:val="auto"/>
          <w:lang w:val="en-US"/>
        </w:rPr>
        <w:t xml:space="preserve"> </w:t>
      </w:r>
      <w:r w:rsidR="00066828" w:rsidRPr="00954547">
        <w:rPr>
          <w:color w:val="auto"/>
          <w:lang w:val="en-US"/>
        </w:rPr>
        <w:t>recalls that</w:t>
      </w:r>
      <w:r w:rsidR="003B043A" w:rsidRPr="00954547">
        <w:rPr>
          <w:color w:val="auto"/>
          <w:lang w:val="en-US"/>
        </w:rPr>
        <w:t xml:space="preserve"> </w:t>
      </w:r>
      <w:r w:rsidR="00A17F8C" w:rsidRPr="00954547">
        <w:rPr>
          <w:color w:val="auto"/>
          <w:lang w:val="en-US"/>
        </w:rPr>
        <w:t>Article</w:t>
      </w:r>
      <w:r w:rsidR="003B043A" w:rsidRPr="00954547">
        <w:rPr>
          <w:color w:val="auto"/>
          <w:lang w:val="en-US"/>
        </w:rPr>
        <w:t xml:space="preserve"> </w:t>
      </w:r>
      <w:r w:rsidR="005903D2" w:rsidRPr="00954547">
        <w:rPr>
          <w:color w:val="auto"/>
          <w:lang w:val="en-US"/>
        </w:rPr>
        <w:t>5(2)</w:t>
      </w:r>
      <w:r w:rsidR="003B043A" w:rsidRPr="00954547">
        <w:rPr>
          <w:color w:val="auto"/>
          <w:lang w:val="en-US"/>
        </w:rPr>
        <w:t xml:space="preserve"> </w:t>
      </w:r>
      <w:r w:rsidR="005E0FD1" w:rsidRPr="00954547">
        <w:rPr>
          <w:color w:val="auto"/>
          <w:lang w:val="en-US"/>
        </w:rPr>
        <w:t>of the Convention</w:t>
      </w:r>
      <w:r w:rsidR="003B043A" w:rsidRPr="00954547">
        <w:rPr>
          <w:color w:val="auto"/>
          <w:lang w:val="en-US"/>
        </w:rPr>
        <w:t xml:space="preserve"> establ</w:t>
      </w:r>
      <w:r w:rsidR="00066828" w:rsidRPr="00954547">
        <w:rPr>
          <w:color w:val="auto"/>
          <w:lang w:val="en-US"/>
        </w:rPr>
        <w:t>ishes that no one sh</w:t>
      </w:r>
      <w:r w:rsidR="001B7EC0" w:rsidRPr="00954547">
        <w:rPr>
          <w:color w:val="auto"/>
          <w:lang w:val="en-US"/>
        </w:rPr>
        <w:t>all</w:t>
      </w:r>
      <w:r w:rsidR="00066828" w:rsidRPr="00954547">
        <w:rPr>
          <w:color w:val="auto"/>
          <w:lang w:val="en-US"/>
        </w:rPr>
        <w:t xml:space="preserve"> be subject to </w:t>
      </w:r>
      <w:r w:rsidR="00066828" w:rsidRPr="00954547">
        <w:rPr>
          <w:rFonts w:cs="Tahoma"/>
          <w:lang w:val="en-US"/>
        </w:rPr>
        <w:t xml:space="preserve">cruel, inhuman or degrading punishment, and that all persons </w:t>
      </w:r>
      <w:r w:rsidR="00066828" w:rsidRPr="00954547">
        <w:rPr>
          <w:spacing w:val="-3"/>
          <w:lang w:val="en-US"/>
        </w:rPr>
        <w:t>deprived of their liberty must be treated with respect for the inherent dignity of the human person</w:t>
      </w:r>
      <w:r w:rsidR="003B043A" w:rsidRPr="00954547">
        <w:rPr>
          <w:rFonts w:cs="Tahoma"/>
          <w:lang w:val="en-US"/>
        </w:rPr>
        <w:t xml:space="preserve">. </w:t>
      </w:r>
      <w:r w:rsidR="00066828" w:rsidRPr="00954547">
        <w:rPr>
          <w:rFonts w:cs="Tahoma"/>
          <w:lang w:val="en-US"/>
        </w:rPr>
        <w:t xml:space="preserve">In this case, Manuela’s detention prevented her from receiving satisfactory medical care, so that her punishment of imprisonment also became inhuman punishment, contrary to the </w:t>
      </w:r>
      <w:r w:rsidR="00901EB6" w:rsidRPr="00954547">
        <w:rPr>
          <w:rFonts w:cs="Tahoma"/>
          <w:lang w:val="en-US"/>
        </w:rPr>
        <w:t>Convention</w:t>
      </w:r>
      <w:r w:rsidR="003B043A" w:rsidRPr="00954547">
        <w:rPr>
          <w:rFonts w:cs="Tahoma"/>
          <w:lang w:val="en-US"/>
        </w:rPr>
        <w:t>.</w:t>
      </w:r>
    </w:p>
    <w:p w14:paraId="17986363" w14:textId="5D590DC2" w:rsidR="00EC5A11" w:rsidRPr="00954547" w:rsidRDefault="00066828" w:rsidP="00FC409E">
      <w:pPr>
        <w:pStyle w:val="Numberedparagraphs"/>
        <w:tabs>
          <w:tab w:val="left" w:pos="567"/>
        </w:tabs>
        <w:rPr>
          <w:color w:val="auto"/>
          <w:lang w:val="en-US"/>
        </w:rPr>
      </w:pPr>
      <w:r w:rsidRPr="00954547">
        <w:rPr>
          <w:color w:val="auto"/>
          <w:lang w:val="en-US"/>
        </w:rPr>
        <w:t xml:space="preserve">Therefore, the State failed to comply with the obligation to provide </w:t>
      </w:r>
      <w:r w:rsidR="00607E12" w:rsidRPr="00954547">
        <w:rPr>
          <w:lang w:val="en-US"/>
        </w:rPr>
        <w:t>the presumed victim</w:t>
      </w:r>
      <w:r w:rsidR="00737764" w:rsidRPr="00954547">
        <w:rPr>
          <w:lang w:val="en-US"/>
        </w:rPr>
        <w:t xml:space="preserve"> </w:t>
      </w:r>
      <w:r w:rsidRPr="00954547">
        <w:rPr>
          <w:lang w:val="en-US"/>
        </w:rPr>
        <w:t>with accessible medical care, which constituted a violation</w:t>
      </w:r>
      <w:r w:rsidR="00F6091D" w:rsidRPr="00954547">
        <w:rPr>
          <w:lang w:val="en-US"/>
        </w:rPr>
        <w:t xml:space="preserve"> of the </w:t>
      </w:r>
      <w:r w:rsidR="00105F3F" w:rsidRPr="00954547">
        <w:rPr>
          <w:lang w:val="en-US"/>
        </w:rPr>
        <w:t>right</w:t>
      </w:r>
      <w:r w:rsidR="00C169A0" w:rsidRPr="00954547">
        <w:rPr>
          <w:lang w:val="en-US"/>
        </w:rPr>
        <w:t>s</w:t>
      </w:r>
      <w:r w:rsidR="00BC7072" w:rsidRPr="00954547">
        <w:rPr>
          <w:lang w:val="en-US"/>
        </w:rPr>
        <w:t xml:space="preserve"> to</w:t>
      </w:r>
      <w:r w:rsidR="00737764" w:rsidRPr="00954547">
        <w:rPr>
          <w:lang w:val="en-US"/>
        </w:rPr>
        <w:t xml:space="preserve"> </w:t>
      </w:r>
      <w:r w:rsidR="0078694F" w:rsidRPr="00954547">
        <w:rPr>
          <w:lang w:val="en-US"/>
        </w:rPr>
        <w:t xml:space="preserve">health and </w:t>
      </w:r>
      <w:r w:rsidR="00C169A0" w:rsidRPr="00954547">
        <w:rPr>
          <w:lang w:val="en-US"/>
        </w:rPr>
        <w:t xml:space="preserve">to </w:t>
      </w:r>
      <w:r w:rsidR="00144817" w:rsidRPr="00954547">
        <w:rPr>
          <w:lang w:val="en-US"/>
        </w:rPr>
        <w:t>personal integrity</w:t>
      </w:r>
      <w:r w:rsidR="00FC409E" w:rsidRPr="00954547">
        <w:rPr>
          <w:lang w:val="en-US"/>
        </w:rPr>
        <w:t xml:space="preserve">, </w:t>
      </w:r>
      <w:r w:rsidR="00C169A0" w:rsidRPr="00954547">
        <w:rPr>
          <w:lang w:val="en-US"/>
        </w:rPr>
        <w:t>established in</w:t>
      </w:r>
      <w:r w:rsidR="00FC409E" w:rsidRPr="00954547">
        <w:rPr>
          <w:lang w:val="en-US"/>
        </w:rPr>
        <w:t xml:space="preserve"> </w:t>
      </w:r>
      <w:r w:rsidR="00A17F8C" w:rsidRPr="00954547">
        <w:rPr>
          <w:lang w:val="en-US"/>
        </w:rPr>
        <w:t>Articles</w:t>
      </w:r>
      <w:r w:rsidR="00FC409E" w:rsidRPr="00954547">
        <w:rPr>
          <w:lang w:val="en-US"/>
        </w:rPr>
        <w:t xml:space="preserve"> 26</w:t>
      </w:r>
      <w:r w:rsidR="0078694F" w:rsidRPr="00954547">
        <w:rPr>
          <w:lang w:val="en-US"/>
        </w:rPr>
        <w:t xml:space="preserve"> and </w:t>
      </w:r>
      <w:r w:rsidR="00FC409E" w:rsidRPr="00954547">
        <w:rPr>
          <w:lang w:val="en-US"/>
        </w:rPr>
        <w:t>5</w:t>
      </w:r>
      <w:r w:rsidR="005E0FD1" w:rsidRPr="00954547">
        <w:rPr>
          <w:lang w:val="en-US"/>
        </w:rPr>
        <w:t xml:space="preserve"> of the American Convention</w:t>
      </w:r>
      <w:r w:rsidR="00FC409E" w:rsidRPr="00954547">
        <w:rPr>
          <w:lang w:val="en-US"/>
        </w:rPr>
        <w:t>.</w:t>
      </w:r>
    </w:p>
    <w:p w14:paraId="14CCA2F3" w14:textId="1C6BB6AA" w:rsidR="00BE65AF" w:rsidRPr="00954547" w:rsidRDefault="00BE65AF" w:rsidP="000F0C7C">
      <w:pPr>
        <w:pStyle w:val="Heading3"/>
        <w:tabs>
          <w:tab w:val="left" w:pos="567"/>
        </w:tabs>
        <w:jc w:val="both"/>
      </w:pPr>
      <w:bookmarkStart w:id="97" w:name="_Toc106353924"/>
      <w:r w:rsidRPr="00954547">
        <w:t xml:space="preserve">B.5 </w:t>
      </w:r>
      <w:r w:rsidR="00D817F3" w:rsidRPr="00954547">
        <w:t>The violation of the right to life and the alleged lack of investigation</w:t>
      </w:r>
      <w:bookmarkEnd w:id="97"/>
    </w:p>
    <w:p w14:paraId="0FD0538B" w14:textId="711D970D" w:rsidR="00BE65AF" w:rsidRPr="00954547" w:rsidRDefault="00E76B1A" w:rsidP="001947FE">
      <w:pPr>
        <w:pStyle w:val="Numberedparagraphs"/>
        <w:tabs>
          <w:tab w:val="left" w:pos="567"/>
        </w:tabs>
        <w:rPr>
          <w:rFonts w:eastAsia="Times"/>
          <w:lang w:val="en-US"/>
        </w:rPr>
      </w:pPr>
      <w:r w:rsidRPr="00954547">
        <w:rPr>
          <w:lang w:val="en-US"/>
        </w:rPr>
        <w:t>The Court</w:t>
      </w:r>
      <w:r w:rsidR="00BE65AF" w:rsidRPr="00954547">
        <w:rPr>
          <w:lang w:val="en-US"/>
        </w:rPr>
        <w:t xml:space="preserve"> ha</w:t>
      </w:r>
      <w:r w:rsidR="00CA1C78" w:rsidRPr="00954547">
        <w:rPr>
          <w:lang w:val="en-US"/>
        </w:rPr>
        <w:t xml:space="preserve">s indicated that, to determine the international responsibility of the State in cases of death in a medical context, the following must be proved: (a) that due to acts or omissions, a patient is denied access to health care in situations of medical emergencies or essential medical treatments, despite the foreseeable risk that this denial signifies </w:t>
      </w:r>
      <w:r w:rsidR="001947FE" w:rsidRPr="00954547">
        <w:rPr>
          <w:lang w:val="en-US"/>
        </w:rPr>
        <w:t>for the patient’s life, or (b) gross medical negligence,</w:t>
      </w:r>
      <w:r w:rsidR="00BE65AF" w:rsidRPr="00954547">
        <w:rPr>
          <w:rStyle w:val="FootnoteReference"/>
          <w:rFonts w:eastAsia="Calibri"/>
          <w:lang w:val="en-US"/>
        </w:rPr>
        <w:footnoteReference w:id="393"/>
      </w:r>
      <w:r w:rsidR="0078694F" w:rsidRPr="00954547">
        <w:rPr>
          <w:lang w:val="en-US"/>
        </w:rPr>
        <w:t xml:space="preserve"> and </w:t>
      </w:r>
      <w:r w:rsidR="001947FE" w:rsidRPr="00954547">
        <w:rPr>
          <w:lang w:val="en-US"/>
        </w:rPr>
        <w:t>(</w:t>
      </w:r>
      <w:r w:rsidR="00BE65AF" w:rsidRPr="00954547">
        <w:rPr>
          <w:lang w:val="en-US"/>
        </w:rPr>
        <w:t>c)</w:t>
      </w:r>
      <w:r w:rsidR="001947FE" w:rsidRPr="00954547">
        <w:rPr>
          <w:lang w:val="en-US"/>
        </w:rPr>
        <w:t xml:space="preserve"> the existence of a causal nexus between the action that has been proved and the harm suffered by the patient.</w:t>
      </w:r>
      <w:r w:rsidR="00BE65AF" w:rsidRPr="00954547">
        <w:rPr>
          <w:rStyle w:val="FootnoteReference"/>
          <w:rFonts w:eastAsia="Calibri"/>
          <w:lang w:val="en-US"/>
        </w:rPr>
        <w:footnoteReference w:id="394"/>
      </w:r>
      <w:r w:rsidR="00BE65AF" w:rsidRPr="00954547">
        <w:rPr>
          <w:lang w:val="en-US"/>
        </w:rPr>
        <w:t xml:space="preserve"> </w:t>
      </w:r>
      <w:r w:rsidR="001947FE" w:rsidRPr="00954547">
        <w:rPr>
          <w:lang w:val="en-US"/>
        </w:rPr>
        <w:t xml:space="preserve">When the attribution of responsibility stems from an omission, it is necessary to verify the probability that the omitted conduct would have interrupted the causal process that brought about the harmful result. This verification must take into consideration </w:t>
      </w:r>
      <w:r w:rsidR="004D3E22" w:rsidRPr="00954547">
        <w:rPr>
          <w:lang w:val="en-US"/>
        </w:rPr>
        <w:t xml:space="preserve">any </w:t>
      </w:r>
      <w:r w:rsidR="001947FE" w:rsidRPr="00954547">
        <w:rPr>
          <w:lang w:val="en-US"/>
        </w:rPr>
        <w:t xml:space="preserve">possible situation </w:t>
      </w:r>
      <w:r w:rsidR="004D3E22" w:rsidRPr="00954547">
        <w:rPr>
          <w:lang w:val="en-US"/>
        </w:rPr>
        <w:t xml:space="preserve">that </w:t>
      </w:r>
      <w:r w:rsidR="000018BD" w:rsidRPr="00954547">
        <w:rPr>
          <w:lang w:val="en-US"/>
        </w:rPr>
        <w:t>indicated</w:t>
      </w:r>
      <w:r w:rsidR="004D3E22" w:rsidRPr="00954547">
        <w:rPr>
          <w:lang w:val="en-US"/>
        </w:rPr>
        <w:t xml:space="preserve"> the</w:t>
      </w:r>
      <w:r w:rsidR="001947FE" w:rsidRPr="00954547">
        <w:rPr>
          <w:lang w:val="en-US"/>
        </w:rPr>
        <w:t xml:space="preserve"> special vulnerability of the person concerned,</w:t>
      </w:r>
      <w:r w:rsidR="00BE65AF" w:rsidRPr="00954547">
        <w:rPr>
          <w:vertAlign w:val="superscript"/>
          <w:lang w:val="en-US"/>
        </w:rPr>
        <w:footnoteReference w:id="395"/>
      </w:r>
      <w:r w:rsidR="001947FE" w:rsidRPr="00954547">
        <w:rPr>
          <w:lang w:val="en-US"/>
        </w:rPr>
        <w:t xml:space="preserve"> </w:t>
      </w:r>
      <w:r w:rsidR="004D3E22" w:rsidRPr="00954547">
        <w:rPr>
          <w:lang w:val="en-US"/>
        </w:rPr>
        <w:t xml:space="preserve">such as the fact that they </w:t>
      </w:r>
      <w:r w:rsidR="000018BD" w:rsidRPr="00954547">
        <w:rPr>
          <w:lang w:val="en-US"/>
        </w:rPr>
        <w:t>we</w:t>
      </w:r>
      <w:r w:rsidR="004D3E22" w:rsidRPr="00954547">
        <w:rPr>
          <w:lang w:val="en-US"/>
        </w:rPr>
        <w:t>re in prison, and on this basis the measures adopted to protect them.</w:t>
      </w:r>
      <w:r w:rsidR="00BE65AF" w:rsidRPr="00954547">
        <w:rPr>
          <w:rStyle w:val="FootnoteReference"/>
          <w:rFonts w:eastAsia="Calibri"/>
          <w:lang w:val="en-US"/>
        </w:rPr>
        <w:footnoteReference w:id="396"/>
      </w:r>
    </w:p>
    <w:p w14:paraId="37DB1999" w14:textId="29B5CB3F" w:rsidR="00D17614" w:rsidRPr="00954547" w:rsidRDefault="004D3E22" w:rsidP="00386B24">
      <w:pPr>
        <w:pStyle w:val="Numberedparagraphs"/>
        <w:tabs>
          <w:tab w:val="left" w:pos="567"/>
        </w:tabs>
        <w:rPr>
          <w:color w:val="auto"/>
          <w:lang w:val="en-US"/>
        </w:rPr>
      </w:pPr>
      <w:r w:rsidRPr="00954547">
        <w:rPr>
          <w:color w:val="auto"/>
          <w:lang w:val="en-US"/>
        </w:rPr>
        <w:t xml:space="preserve">In this case, the Court notes that </w:t>
      </w:r>
      <w:r w:rsidR="00BE65AF" w:rsidRPr="00954547">
        <w:rPr>
          <w:color w:val="auto"/>
          <w:lang w:val="en-US"/>
        </w:rPr>
        <w:t xml:space="preserve">Manuela </w:t>
      </w:r>
      <w:r w:rsidRPr="00954547">
        <w:rPr>
          <w:color w:val="auto"/>
          <w:lang w:val="en-US"/>
        </w:rPr>
        <w:t>died</w:t>
      </w:r>
      <w:r w:rsidR="00BE65AF" w:rsidRPr="00954547">
        <w:rPr>
          <w:color w:val="auto"/>
          <w:lang w:val="en-US"/>
        </w:rPr>
        <w:t xml:space="preserve"> </w:t>
      </w:r>
      <w:r w:rsidR="00060952" w:rsidRPr="00954547">
        <w:rPr>
          <w:color w:val="auto"/>
          <w:lang w:val="en-US"/>
        </w:rPr>
        <w:t>on April 30,</w:t>
      </w:r>
      <w:r w:rsidR="00BE65AF" w:rsidRPr="00954547">
        <w:rPr>
          <w:color w:val="auto"/>
          <w:lang w:val="en-US"/>
        </w:rPr>
        <w:t xml:space="preserve"> 2010. </w:t>
      </w:r>
      <w:r w:rsidRPr="00954547">
        <w:rPr>
          <w:color w:val="auto"/>
          <w:lang w:val="en-US"/>
        </w:rPr>
        <w:t xml:space="preserve">The cause of her death was </w:t>
      </w:r>
      <w:r w:rsidRPr="00954547">
        <w:rPr>
          <w:color w:val="202124"/>
          <w:shd w:val="clear" w:color="auto" w:fill="FFFFFF"/>
          <w:lang w:val="en-US"/>
        </w:rPr>
        <w:t xml:space="preserve">cardiorespiratory arrest </w:t>
      </w:r>
      <w:r w:rsidR="00D8400D" w:rsidRPr="00954547">
        <w:rPr>
          <w:color w:val="202124"/>
          <w:shd w:val="clear" w:color="auto" w:fill="FFFFFF"/>
          <w:lang w:val="en-US"/>
        </w:rPr>
        <w:t xml:space="preserve">and the diagnosis was </w:t>
      </w:r>
      <w:r w:rsidR="00AD4468" w:rsidRPr="00954547">
        <w:rPr>
          <w:color w:val="auto"/>
          <w:lang w:val="en-US"/>
        </w:rPr>
        <w:t>Hodgkin</w:t>
      </w:r>
      <w:r w:rsidR="00D2151A" w:rsidRPr="00954547">
        <w:rPr>
          <w:color w:val="auto"/>
          <w:lang w:val="en-US"/>
        </w:rPr>
        <w:t>’s lymphoma</w:t>
      </w:r>
      <w:r w:rsidR="00D8400D" w:rsidRPr="00954547">
        <w:rPr>
          <w:color w:val="auto"/>
          <w:lang w:val="en-US"/>
        </w:rPr>
        <w:t>.</w:t>
      </w:r>
      <w:r w:rsidR="00BE65AF" w:rsidRPr="00954547">
        <w:rPr>
          <w:rStyle w:val="FootnoteReference"/>
          <w:color w:val="auto"/>
          <w:lang w:val="en-US"/>
        </w:rPr>
        <w:footnoteReference w:id="397"/>
      </w:r>
      <w:r w:rsidR="00D8400D" w:rsidRPr="00954547">
        <w:rPr>
          <w:color w:val="auto"/>
          <w:lang w:val="en-US"/>
        </w:rPr>
        <w:t xml:space="preserve"> According to expert witness </w:t>
      </w:r>
      <w:r w:rsidR="00BE65AF" w:rsidRPr="00954547">
        <w:rPr>
          <w:color w:val="auto"/>
          <w:lang w:val="en-US"/>
        </w:rPr>
        <w:t>Guillermo Ortiz</w:t>
      </w:r>
      <w:r w:rsidR="00D17614" w:rsidRPr="00954547">
        <w:rPr>
          <w:color w:val="auto"/>
          <w:lang w:val="en-US"/>
        </w:rPr>
        <w:t xml:space="preserve">: </w:t>
      </w:r>
    </w:p>
    <w:p w14:paraId="4621B0EB" w14:textId="5EA5CEC3" w:rsidR="00BE65AF" w:rsidRPr="00954547" w:rsidRDefault="00D8400D" w:rsidP="009601D1">
      <w:pPr>
        <w:pStyle w:val="Numberedparagraphs"/>
        <w:numPr>
          <w:ilvl w:val="0"/>
          <w:numId w:val="0"/>
        </w:numPr>
        <w:ind w:left="567" w:right="566"/>
        <w:rPr>
          <w:color w:val="auto"/>
          <w:sz w:val="18"/>
          <w:szCs w:val="18"/>
          <w:lang w:val="en-US"/>
        </w:rPr>
      </w:pPr>
      <w:r w:rsidRPr="00954547">
        <w:rPr>
          <w:color w:val="auto"/>
          <w:sz w:val="18"/>
          <w:szCs w:val="18"/>
          <w:lang w:val="en-US"/>
        </w:rPr>
        <w:t xml:space="preserve">Hodgkin’s lymphoma is one of the cancers that have the most favorable outcome when they are detected in time. That is to say, they can be 95% cured if they are detected in time. Unfortunately, in the case of [Manuela] </w:t>
      </w:r>
      <w:r w:rsidR="009601D1" w:rsidRPr="00954547">
        <w:rPr>
          <w:color w:val="auto"/>
          <w:sz w:val="18"/>
          <w:szCs w:val="18"/>
          <w:lang w:val="en-US"/>
        </w:rPr>
        <w:t xml:space="preserve">it was detected belatedly and the treatment was </w:t>
      </w:r>
      <w:r w:rsidR="000018BD" w:rsidRPr="00954547">
        <w:rPr>
          <w:color w:val="auto"/>
          <w:sz w:val="18"/>
          <w:szCs w:val="18"/>
          <w:lang w:val="en-US"/>
        </w:rPr>
        <w:t>too</w:t>
      </w:r>
      <w:r w:rsidR="009601D1" w:rsidRPr="00954547">
        <w:rPr>
          <w:color w:val="auto"/>
          <w:sz w:val="18"/>
          <w:szCs w:val="18"/>
          <w:lang w:val="en-US"/>
        </w:rPr>
        <w:t xml:space="preserve"> late and, therefore, it was not effective.</w:t>
      </w:r>
      <w:r w:rsidR="00BE65AF" w:rsidRPr="00954547">
        <w:rPr>
          <w:rStyle w:val="FootnoteReference"/>
          <w:sz w:val="18"/>
          <w:szCs w:val="18"/>
          <w:lang w:val="en-US"/>
        </w:rPr>
        <w:footnoteReference w:id="398"/>
      </w:r>
      <w:r w:rsidR="000018BD" w:rsidRPr="00954547">
        <w:rPr>
          <w:color w:val="auto"/>
          <w:sz w:val="18"/>
          <w:szCs w:val="18"/>
          <w:lang w:val="en-US"/>
        </w:rPr>
        <w:t xml:space="preserve"> </w:t>
      </w:r>
    </w:p>
    <w:p w14:paraId="2AE1ECE0" w14:textId="14C50DC7" w:rsidR="009601D1" w:rsidRPr="00954547" w:rsidRDefault="00E76B1A" w:rsidP="00386B24">
      <w:pPr>
        <w:pStyle w:val="Numberedparagraphs"/>
        <w:tabs>
          <w:tab w:val="left" w:pos="567"/>
        </w:tabs>
        <w:rPr>
          <w:color w:val="auto"/>
          <w:lang w:val="en-US"/>
        </w:rPr>
      </w:pPr>
      <w:r w:rsidRPr="00954547">
        <w:rPr>
          <w:color w:val="auto"/>
          <w:lang w:val="en-US"/>
        </w:rPr>
        <w:t>The Court</w:t>
      </w:r>
      <w:r w:rsidR="00BE65AF" w:rsidRPr="00954547">
        <w:rPr>
          <w:color w:val="auto"/>
          <w:lang w:val="en-US"/>
        </w:rPr>
        <w:t xml:space="preserve"> </w:t>
      </w:r>
      <w:r w:rsidR="009601D1" w:rsidRPr="00954547">
        <w:rPr>
          <w:color w:val="auto"/>
          <w:lang w:val="en-US"/>
        </w:rPr>
        <w:t xml:space="preserve">has verified various omissions in the medical attention provided to the presumed victim. Specifically, the State failed to comply with its obligations: (i) to </w:t>
      </w:r>
      <w:r w:rsidR="000018BD" w:rsidRPr="00954547">
        <w:rPr>
          <w:color w:val="auto"/>
          <w:lang w:val="en-US"/>
        </w:rPr>
        <w:t>perform</w:t>
      </w:r>
      <w:r w:rsidR="009601D1" w:rsidRPr="00954547">
        <w:rPr>
          <w:color w:val="auto"/>
          <w:lang w:val="en-US"/>
        </w:rPr>
        <w:t xml:space="preserve"> a comprehensive examination of Manuela’s health when she was hospitalized; (ii) to examine her health at the time she was detained, and (iii) to take the necessary measures to ensure that Manuela could receive medical treatment while she was deprived of liberty. If these omissions had not occurred, the probability that Manuela would die due to Hodgkin’s lymphoma would have been reduced. Accordingly, the Court considers that the existence of a causal nexus</w:t>
      </w:r>
      <w:r w:rsidR="00B3732B" w:rsidRPr="00954547">
        <w:rPr>
          <w:color w:val="auto"/>
          <w:lang w:val="en-US"/>
        </w:rPr>
        <w:t xml:space="preserve"> in this case</w:t>
      </w:r>
      <w:r w:rsidR="009601D1" w:rsidRPr="00954547">
        <w:rPr>
          <w:color w:val="auto"/>
          <w:lang w:val="en-US"/>
        </w:rPr>
        <w:t xml:space="preserve"> has been proved</w:t>
      </w:r>
      <w:r w:rsidR="00B3732B" w:rsidRPr="00954547">
        <w:rPr>
          <w:color w:val="auto"/>
          <w:lang w:val="en-US"/>
        </w:rPr>
        <w:t>,</w:t>
      </w:r>
      <w:r w:rsidR="005A2CC2" w:rsidRPr="00954547">
        <w:rPr>
          <w:color w:val="auto"/>
          <w:lang w:val="en-US"/>
        </w:rPr>
        <w:t xml:space="preserve"> and this</w:t>
      </w:r>
      <w:r w:rsidR="00B3732B" w:rsidRPr="00954547">
        <w:rPr>
          <w:color w:val="auto"/>
          <w:lang w:val="en-US"/>
        </w:rPr>
        <w:t xml:space="preserve"> demonstrates the failure to comply with the obligation to ensure Manuela’s right to life.</w:t>
      </w:r>
    </w:p>
    <w:p w14:paraId="398AA501" w14:textId="773EBE72" w:rsidR="0032601D" w:rsidRPr="00954547" w:rsidRDefault="00B3732B" w:rsidP="0032601D">
      <w:pPr>
        <w:pStyle w:val="Numberedparagraphs"/>
        <w:tabs>
          <w:tab w:val="left" w:pos="567"/>
        </w:tabs>
        <w:rPr>
          <w:rFonts w:eastAsia="Times"/>
          <w:color w:val="auto"/>
          <w:lang w:val="en-US"/>
        </w:rPr>
      </w:pPr>
      <w:r w:rsidRPr="00954547">
        <w:rPr>
          <w:color w:val="auto"/>
          <w:lang w:val="en-US"/>
        </w:rPr>
        <w:t>Consequently</w:t>
      </w:r>
      <w:r w:rsidR="0032601D" w:rsidRPr="00954547">
        <w:rPr>
          <w:color w:val="auto"/>
          <w:lang w:val="en-US"/>
        </w:rPr>
        <w:t xml:space="preserve">, </w:t>
      </w:r>
      <w:r w:rsidR="00B8393C" w:rsidRPr="00954547">
        <w:rPr>
          <w:color w:val="auto"/>
          <w:lang w:val="en-US"/>
        </w:rPr>
        <w:t xml:space="preserve">the </w:t>
      </w:r>
      <w:r w:rsidR="00591343" w:rsidRPr="00954547">
        <w:rPr>
          <w:color w:val="auto"/>
          <w:lang w:val="en-US"/>
        </w:rPr>
        <w:t>State is responsible for the violation</w:t>
      </w:r>
      <w:r w:rsidR="0032601D" w:rsidRPr="00954547">
        <w:rPr>
          <w:color w:val="auto"/>
          <w:lang w:val="en-US"/>
        </w:rPr>
        <w:t xml:space="preserve"> </w:t>
      </w:r>
      <w:r w:rsidRPr="00954547">
        <w:rPr>
          <w:color w:val="auto"/>
          <w:lang w:val="en-US"/>
        </w:rPr>
        <w:t xml:space="preserve">of the obligation to ensure </w:t>
      </w:r>
      <w:r w:rsidR="00F6091D" w:rsidRPr="00954547">
        <w:rPr>
          <w:color w:val="auto"/>
          <w:lang w:val="en-US"/>
        </w:rPr>
        <w:t xml:space="preserve">the </w:t>
      </w:r>
      <w:r w:rsidR="003634C1" w:rsidRPr="00954547">
        <w:rPr>
          <w:color w:val="auto"/>
          <w:lang w:val="en-US"/>
        </w:rPr>
        <w:t>right to life</w:t>
      </w:r>
      <w:r w:rsidR="0032601D" w:rsidRPr="00954547">
        <w:rPr>
          <w:color w:val="auto"/>
          <w:lang w:val="en-US"/>
        </w:rPr>
        <w:t xml:space="preserve"> </w:t>
      </w:r>
      <w:r w:rsidRPr="00954547">
        <w:rPr>
          <w:color w:val="auto"/>
          <w:lang w:val="en-US"/>
        </w:rPr>
        <w:t>contained in</w:t>
      </w:r>
      <w:r w:rsidR="0032601D" w:rsidRPr="00954547">
        <w:rPr>
          <w:color w:val="auto"/>
          <w:lang w:val="en-US"/>
        </w:rPr>
        <w:t xml:space="preserve"> </w:t>
      </w:r>
      <w:r w:rsidR="00A17F8C" w:rsidRPr="00954547">
        <w:rPr>
          <w:color w:val="auto"/>
          <w:lang w:val="en-US"/>
        </w:rPr>
        <w:t>Article</w:t>
      </w:r>
      <w:r w:rsidR="0032601D" w:rsidRPr="00954547">
        <w:rPr>
          <w:color w:val="auto"/>
          <w:lang w:val="en-US"/>
        </w:rPr>
        <w:t xml:space="preserve"> </w:t>
      </w:r>
      <w:r w:rsidR="00A17F8C" w:rsidRPr="00954547">
        <w:rPr>
          <w:color w:val="auto"/>
          <w:lang w:val="en-US"/>
        </w:rPr>
        <w:t>4(1)</w:t>
      </w:r>
      <w:r w:rsidR="005E0FD1" w:rsidRPr="00954547">
        <w:rPr>
          <w:color w:val="auto"/>
          <w:lang w:val="en-US"/>
        </w:rPr>
        <w:t xml:space="preserve"> of the American Convention</w:t>
      </w:r>
      <w:r w:rsidR="0032601D" w:rsidRPr="00954547">
        <w:rPr>
          <w:color w:val="auto"/>
          <w:lang w:val="en-US"/>
        </w:rPr>
        <w:t xml:space="preserve"> </w:t>
      </w:r>
      <w:r w:rsidRPr="00954547">
        <w:rPr>
          <w:color w:val="auto"/>
          <w:lang w:val="en-US"/>
        </w:rPr>
        <w:t>in relation to</w:t>
      </w:r>
      <w:r w:rsidR="0032601D" w:rsidRPr="00954547">
        <w:rPr>
          <w:color w:val="auto"/>
          <w:lang w:val="en-US"/>
        </w:rPr>
        <w:t xml:space="preserve"> </w:t>
      </w:r>
      <w:r w:rsidR="00A17F8C" w:rsidRPr="00954547">
        <w:rPr>
          <w:color w:val="auto"/>
          <w:lang w:val="en-US"/>
        </w:rPr>
        <w:t>Article 1(1) of this instrument</w:t>
      </w:r>
      <w:r w:rsidR="0032601D" w:rsidRPr="00954547">
        <w:rPr>
          <w:color w:val="auto"/>
          <w:lang w:val="en-US"/>
        </w:rPr>
        <w:t xml:space="preserve">. </w:t>
      </w:r>
    </w:p>
    <w:p w14:paraId="71E4CD19" w14:textId="717E4108" w:rsidR="00CE7CC6" w:rsidRPr="00954547" w:rsidRDefault="00B3732B" w:rsidP="009C0EAB">
      <w:pPr>
        <w:pStyle w:val="Numberedparagraphs"/>
        <w:tabs>
          <w:tab w:val="left" w:pos="567"/>
        </w:tabs>
        <w:rPr>
          <w:rFonts w:eastAsia="Times"/>
          <w:color w:val="auto"/>
          <w:lang w:val="en-US"/>
        </w:rPr>
      </w:pPr>
      <w:r w:rsidRPr="00954547">
        <w:rPr>
          <w:color w:val="auto"/>
          <w:lang w:val="en-US"/>
        </w:rPr>
        <w:t xml:space="preserve">The Court has also established that when a person dies while in the State’s custody, the </w:t>
      </w:r>
      <w:r w:rsidR="005A2CC2" w:rsidRPr="00954547">
        <w:rPr>
          <w:color w:val="auto"/>
          <w:lang w:val="en-US"/>
        </w:rPr>
        <w:t>pertinent</w:t>
      </w:r>
      <w:r w:rsidRPr="00954547">
        <w:rPr>
          <w:color w:val="auto"/>
          <w:lang w:val="en-US"/>
        </w:rPr>
        <w:t xml:space="preserve"> authorities have the duty to open, </w:t>
      </w:r>
      <w:r w:rsidRPr="00954547">
        <w:rPr>
          <w:i/>
          <w:color w:val="auto"/>
          <w:lang w:val="en-US"/>
        </w:rPr>
        <w:t xml:space="preserve">ex officio </w:t>
      </w:r>
      <w:r w:rsidRPr="00954547">
        <w:rPr>
          <w:iCs/>
          <w:color w:val="auto"/>
          <w:lang w:val="en-US"/>
        </w:rPr>
        <w:t>and immediately, a serious, impartial and effective investigation.</w:t>
      </w:r>
      <w:r w:rsidR="007178F4" w:rsidRPr="00954547">
        <w:rPr>
          <w:rStyle w:val="FootnoteReference"/>
          <w:color w:val="auto"/>
          <w:lang w:val="en-US"/>
        </w:rPr>
        <w:footnoteReference w:id="399"/>
      </w:r>
      <w:r w:rsidRPr="00954547">
        <w:rPr>
          <w:color w:val="auto"/>
          <w:lang w:val="en-US"/>
        </w:rPr>
        <w:t xml:space="preserve"> However, in cases such as this one, where there are no indications of violence in the death of the presumed victim (and nor was this alleged)</w:t>
      </w:r>
      <w:r w:rsidR="003F52EB" w:rsidRPr="00954547">
        <w:rPr>
          <w:color w:val="auto"/>
          <w:lang w:val="en-US"/>
        </w:rPr>
        <w:t xml:space="preserve"> since</w:t>
      </w:r>
      <w:r w:rsidRPr="00954547">
        <w:rPr>
          <w:color w:val="auto"/>
          <w:lang w:val="en-US"/>
        </w:rPr>
        <w:t xml:space="preserve"> her death occurred in a hospital and it is reasonably probable that it was due to natural or accidental causes, </w:t>
      </w:r>
      <w:r w:rsidR="009C0EAB" w:rsidRPr="00954547">
        <w:rPr>
          <w:color w:val="auto"/>
          <w:lang w:val="en-US"/>
        </w:rPr>
        <w:t>a non-judicial investigation, such as the one conducted by the authorities where Manuela had been detained may be sufficient.</w:t>
      </w:r>
      <w:r w:rsidR="00ED043C" w:rsidRPr="00954547">
        <w:rPr>
          <w:rStyle w:val="FootnoteReference"/>
          <w:color w:val="auto"/>
          <w:lang w:val="en-US"/>
        </w:rPr>
        <w:footnoteReference w:id="400"/>
      </w:r>
      <w:r w:rsidR="009C0EAB" w:rsidRPr="00954547">
        <w:rPr>
          <w:color w:val="auto"/>
          <w:lang w:val="en-US"/>
        </w:rPr>
        <w:t xml:space="preserve"> Manuela’s death certificate records that the “disease or pathological condition that was the direct cause of death” was </w:t>
      </w:r>
      <w:r w:rsidR="00847145" w:rsidRPr="00954547">
        <w:rPr>
          <w:lang w:val="en-US"/>
        </w:rPr>
        <w:t xml:space="preserve">nodular sclerosis </w:t>
      </w:r>
      <w:r w:rsidR="00AD4468" w:rsidRPr="00954547">
        <w:rPr>
          <w:color w:val="auto"/>
          <w:lang w:val="en-US"/>
        </w:rPr>
        <w:t>Hodgkin</w:t>
      </w:r>
      <w:r w:rsidR="00D2151A" w:rsidRPr="00954547">
        <w:rPr>
          <w:color w:val="auto"/>
          <w:lang w:val="en-US"/>
        </w:rPr>
        <w:t>’s lymphoma</w:t>
      </w:r>
      <w:r w:rsidR="009C0EAB" w:rsidRPr="00954547">
        <w:rPr>
          <w:color w:val="auto"/>
          <w:lang w:val="en-US"/>
        </w:rPr>
        <w:t>.</w:t>
      </w:r>
      <w:r w:rsidR="00ED043C" w:rsidRPr="00954547">
        <w:rPr>
          <w:rStyle w:val="FootnoteReference"/>
          <w:color w:val="auto"/>
          <w:lang w:val="en-US"/>
        </w:rPr>
        <w:footnoteReference w:id="401"/>
      </w:r>
      <w:r w:rsidR="009C0EAB" w:rsidRPr="00954547">
        <w:rPr>
          <w:color w:val="auto"/>
          <w:lang w:val="en-US"/>
        </w:rPr>
        <w:t xml:space="preserve"> Therefore, the Court considers that it has not been proved that the State is responsible for the alleged failure to ensure access to justice, pursuant to </w:t>
      </w:r>
      <w:r w:rsidR="00F6091D" w:rsidRPr="00954547">
        <w:rPr>
          <w:color w:val="auto"/>
          <w:lang w:val="en-US"/>
        </w:rPr>
        <w:t xml:space="preserve">the </w:t>
      </w:r>
      <w:r w:rsidR="00105F3F" w:rsidRPr="00954547">
        <w:rPr>
          <w:color w:val="auto"/>
          <w:lang w:val="en-US"/>
        </w:rPr>
        <w:t>right</w:t>
      </w:r>
      <w:r w:rsidR="003F52EB" w:rsidRPr="00954547">
        <w:rPr>
          <w:color w:val="auto"/>
          <w:lang w:val="en-US"/>
        </w:rPr>
        <w:t>s</w:t>
      </w:r>
      <w:r w:rsidR="00BC7072" w:rsidRPr="00954547">
        <w:rPr>
          <w:color w:val="auto"/>
          <w:lang w:val="en-US"/>
        </w:rPr>
        <w:t xml:space="preserve"> to</w:t>
      </w:r>
      <w:r w:rsidR="00FC7A42" w:rsidRPr="00954547">
        <w:rPr>
          <w:color w:val="auto"/>
          <w:lang w:val="en-US"/>
        </w:rPr>
        <w:t xml:space="preserve"> </w:t>
      </w:r>
      <w:r w:rsidR="0078694F" w:rsidRPr="00954547">
        <w:rPr>
          <w:color w:val="auto"/>
          <w:lang w:val="en-US"/>
        </w:rPr>
        <w:t>judicial guarantees and</w:t>
      </w:r>
      <w:r w:rsidR="003F52EB" w:rsidRPr="00954547">
        <w:rPr>
          <w:color w:val="auto"/>
          <w:lang w:val="en-US"/>
        </w:rPr>
        <w:t xml:space="preserve"> to</w:t>
      </w:r>
      <w:r w:rsidR="0078694F" w:rsidRPr="00954547">
        <w:rPr>
          <w:color w:val="auto"/>
          <w:lang w:val="en-US"/>
        </w:rPr>
        <w:t xml:space="preserve"> judicial protection</w:t>
      </w:r>
      <w:r w:rsidR="00FC7A42" w:rsidRPr="00954547">
        <w:rPr>
          <w:color w:val="auto"/>
          <w:lang w:val="en-US"/>
        </w:rPr>
        <w:t xml:space="preserve"> </w:t>
      </w:r>
      <w:r w:rsidR="009C0EAB" w:rsidRPr="00954547">
        <w:rPr>
          <w:color w:val="auto"/>
          <w:lang w:val="en-US"/>
        </w:rPr>
        <w:t>recognized in</w:t>
      </w:r>
      <w:r w:rsidR="00FC7A42" w:rsidRPr="00954547">
        <w:rPr>
          <w:color w:val="auto"/>
          <w:lang w:val="en-US"/>
        </w:rPr>
        <w:t xml:space="preserve"> </w:t>
      </w:r>
      <w:r w:rsidR="00A17F8C" w:rsidRPr="00954547">
        <w:rPr>
          <w:color w:val="auto"/>
          <w:lang w:val="en-US"/>
        </w:rPr>
        <w:t>Articles</w:t>
      </w:r>
      <w:r w:rsidR="00FC7A42" w:rsidRPr="00954547">
        <w:rPr>
          <w:color w:val="auto"/>
          <w:lang w:val="en-US"/>
        </w:rPr>
        <w:t xml:space="preserve"> </w:t>
      </w:r>
      <w:r w:rsidR="00A17F8C" w:rsidRPr="00954547">
        <w:rPr>
          <w:color w:val="auto"/>
          <w:lang w:val="en-US"/>
        </w:rPr>
        <w:t>8(1)</w:t>
      </w:r>
      <w:r w:rsidR="0078694F" w:rsidRPr="00954547">
        <w:rPr>
          <w:color w:val="auto"/>
          <w:lang w:val="en-US"/>
        </w:rPr>
        <w:t xml:space="preserve"> and </w:t>
      </w:r>
      <w:r w:rsidR="00FC7A42" w:rsidRPr="00954547">
        <w:rPr>
          <w:color w:val="auto"/>
          <w:lang w:val="en-US"/>
        </w:rPr>
        <w:t>25</w:t>
      </w:r>
      <w:r w:rsidR="005E0FD1" w:rsidRPr="00954547">
        <w:rPr>
          <w:color w:val="auto"/>
          <w:lang w:val="en-US"/>
        </w:rPr>
        <w:t xml:space="preserve"> of the American Convention</w:t>
      </w:r>
      <w:r w:rsidR="00FC7A42" w:rsidRPr="00954547">
        <w:rPr>
          <w:color w:val="auto"/>
          <w:lang w:val="en-US"/>
        </w:rPr>
        <w:t xml:space="preserve">, </w:t>
      </w:r>
      <w:r w:rsidR="0078694F" w:rsidRPr="00954547">
        <w:rPr>
          <w:color w:val="auto"/>
          <w:lang w:val="en-US"/>
        </w:rPr>
        <w:t>to the detriment of</w:t>
      </w:r>
      <w:r w:rsidR="00FC7A42" w:rsidRPr="00954547">
        <w:rPr>
          <w:color w:val="auto"/>
          <w:lang w:val="en-US"/>
        </w:rPr>
        <w:t xml:space="preserve"> Manuela</w:t>
      </w:r>
      <w:r w:rsidR="009C0EAB" w:rsidRPr="00954547">
        <w:rPr>
          <w:color w:val="auto"/>
          <w:lang w:val="en-US"/>
        </w:rPr>
        <w:t>’s family</w:t>
      </w:r>
      <w:r w:rsidR="00FC7A42" w:rsidRPr="00954547">
        <w:rPr>
          <w:color w:val="auto"/>
          <w:lang w:val="en-US"/>
        </w:rPr>
        <w:t xml:space="preserve">. </w:t>
      </w:r>
    </w:p>
    <w:p w14:paraId="3DC0EF23" w14:textId="2D1B81CD" w:rsidR="008D1AB7" w:rsidRPr="00954547" w:rsidRDefault="008D1AB7" w:rsidP="00386B24">
      <w:pPr>
        <w:pStyle w:val="Heading3"/>
        <w:tabs>
          <w:tab w:val="left" w:pos="567"/>
        </w:tabs>
      </w:pPr>
      <w:bookmarkStart w:id="98" w:name="_Toc106353925"/>
      <w:r w:rsidRPr="00954547">
        <w:t>B.</w:t>
      </w:r>
      <w:r w:rsidR="00267484" w:rsidRPr="00954547">
        <w:t>6</w:t>
      </w:r>
      <w:r w:rsidRPr="00954547">
        <w:tab/>
      </w:r>
      <w:r w:rsidR="006E4BFA" w:rsidRPr="00954547">
        <w:t>The impact of the discrimination that occurred</w:t>
      </w:r>
      <w:r w:rsidR="00D817F3" w:rsidRPr="00954547">
        <w:t xml:space="preserve"> in this case</w:t>
      </w:r>
      <w:bookmarkEnd w:id="98"/>
    </w:p>
    <w:p w14:paraId="78900CA8" w14:textId="3F1AD717" w:rsidR="00B87194" w:rsidRPr="00954547" w:rsidRDefault="00E76B1A" w:rsidP="001C0AC4">
      <w:pPr>
        <w:pStyle w:val="Numberedparagraphs"/>
        <w:tabs>
          <w:tab w:val="left" w:pos="567"/>
        </w:tabs>
        <w:rPr>
          <w:rFonts w:eastAsia="Times"/>
          <w:color w:val="auto"/>
          <w:lang w:val="en-US"/>
        </w:rPr>
      </w:pPr>
      <w:r w:rsidRPr="00954547">
        <w:rPr>
          <w:color w:val="auto"/>
          <w:lang w:val="en-US"/>
        </w:rPr>
        <w:t>The Court</w:t>
      </w:r>
      <w:r w:rsidR="008D1AB7" w:rsidRPr="00954547">
        <w:rPr>
          <w:color w:val="auto"/>
          <w:lang w:val="en-US"/>
        </w:rPr>
        <w:t xml:space="preserve"> rec</w:t>
      </w:r>
      <w:r w:rsidR="009C0EAB" w:rsidRPr="00954547">
        <w:rPr>
          <w:color w:val="auto"/>
          <w:lang w:val="en-US"/>
        </w:rPr>
        <w:t>alls that, as a crosscutting condition for the accessibility of health services, the State is obliged to ensure that everyone is treated equally.</w:t>
      </w:r>
      <w:r w:rsidR="0074334C" w:rsidRPr="00954547">
        <w:rPr>
          <w:rStyle w:val="FootnoteReference"/>
          <w:lang w:val="en-US"/>
        </w:rPr>
        <w:footnoteReference w:id="402"/>
      </w:r>
      <w:r w:rsidR="008D1AB7" w:rsidRPr="00954547">
        <w:rPr>
          <w:lang w:val="en-US"/>
        </w:rPr>
        <w:t xml:space="preserve"> </w:t>
      </w:r>
      <w:r w:rsidR="001C0AC4" w:rsidRPr="00954547">
        <w:rPr>
          <w:lang w:val="en-US"/>
        </w:rPr>
        <w:t xml:space="preserve">Thus, pursuant to </w:t>
      </w:r>
      <w:r w:rsidR="00A17F8C" w:rsidRPr="00954547">
        <w:rPr>
          <w:lang w:val="en-US"/>
        </w:rPr>
        <w:t>Article 1(1)</w:t>
      </w:r>
      <w:r w:rsidR="005E0FD1" w:rsidRPr="00954547">
        <w:rPr>
          <w:lang w:val="en-US"/>
        </w:rPr>
        <w:t xml:space="preserve"> of the American Convention</w:t>
      </w:r>
      <w:r w:rsidR="008D1AB7" w:rsidRPr="00954547">
        <w:rPr>
          <w:lang w:val="en-US"/>
        </w:rPr>
        <w:t xml:space="preserve">, </w:t>
      </w:r>
      <w:r w:rsidR="001C0AC4" w:rsidRPr="00954547">
        <w:rPr>
          <w:lang w:val="en-US"/>
        </w:rPr>
        <w:t xml:space="preserve">discriminatory treatment is not permitted based on a person’s sex. In the current stage of the evolution of international law, the fundamental principle of equality and non-discrimination has entered the realm of </w:t>
      </w:r>
      <w:r w:rsidR="008632BF" w:rsidRPr="00954547">
        <w:rPr>
          <w:i/>
          <w:lang w:val="en-US"/>
        </w:rPr>
        <w:t>jus cogens</w:t>
      </w:r>
      <w:r w:rsidR="0078694F" w:rsidRPr="00954547">
        <w:rPr>
          <w:lang w:val="en-US"/>
        </w:rPr>
        <w:t xml:space="preserve"> and </w:t>
      </w:r>
      <w:r w:rsidR="008632BF" w:rsidRPr="00954547">
        <w:rPr>
          <w:lang w:val="en-US"/>
        </w:rPr>
        <w:t>permea</w:t>
      </w:r>
      <w:r w:rsidR="001C0AC4" w:rsidRPr="00954547">
        <w:rPr>
          <w:lang w:val="en-US"/>
        </w:rPr>
        <w:t>tes the whole legal system.</w:t>
      </w:r>
      <w:r w:rsidR="008632BF" w:rsidRPr="00954547">
        <w:rPr>
          <w:rStyle w:val="FootnoteReference"/>
          <w:lang w:val="en-US"/>
        </w:rPr>
        <w:footnoteReference w:id="403"/>
      </w:r>
    </w:p>
    <w:p w14:paraId="14352F8D" w14:textId="56D19138" w:rsidR="00B87194" w:rsidRPr="00954547" w:rsidRDefault="003F52EB" w:rsidP="00FB6913">
      <w:pPr>
        <w:pStyle w:val="Numberedparagraphs"/>
        <w:tabs>
          <w:tab w:val="left" w:pos="567"/>
        </w:tabs>
        <w:rPr>
          <w:rFonts w:eastAsia="Times"/>
          <w:color w:val="auto"/>
          <w:lang w:val="en-US"/>
        </w:rPr>
      </w:pPr>
      <w:r w:rsidRPr="00954547">
        <w:rPr>
          <w:lang w:val="en-US"/>
        </w:rPr>
        <w:t>The</w:t>
      </w:r>
      <w:r w:rsidR="00E76B1A" w:rsidRPr="00954547">
        <w:rPr>
          <w:lang w:val="en-US"/>
        </w:rPr>
        <w:t xml:space="preserve"> Court</w:t>
      </w:r>
      <w:r w:rsidR="00284929" w:rsidRPr="00954547">
        <w:rPr>
          <w:lang w:val="en-US"/>
        </w:rPr>
        <w:t xml:space="preserve"> ha</w:t>
      </w:r>
      <w:r w:rsidR="001C0AC4" w:rsidRPr="00954547">
        <w:rPr>
          <w:lang w:val="en-US"/>
        </w:rPr>
        <w:t>s</w:t>
      </w:r>
      <w:r w:rsidRPr="00954547">
        <w:rPr>
          <w:lang w:val="en-US"/>
        </w:rPr>
        <w:t xml:space="preserve"> also</w:t>
      </w:r>
      <w:r w:rsidR="001C0AC4" w:rsidRPr="00954547">
        <w:rPr>
          <w:lang w:val="en-US"/>
        </w:rPr>
        <w:t xml:space="preserve"> indicated that </w:t>
      </w:r>
      <w:r w:rsidR="00BC7072" w:rsidRPr="00954547">
        <w:rPr>
          <w:lang w:val="en-US"/>
        </w:rPr>
        <w:t>the right to</w:t>
      </w:r>
      <w:r w:rsidR="00284929" w:rsidRPr="00954547">
        <w:rPr>
          <w:lang w:val="en-US"/>
        </w:rPr>
        <w:t xml:space="preserve"> </w:t>
      </w:r>
      <w:r w:rsidR="001C0AC4" w:rsidRPr="00954547">
        <w:rPr>
          <w:lang w:val="en-US"/>
        </w:rPr>
        <w:t xml:space="preserve">equality guaranteed by </w:t>
      </w:r>
      <w:r w:rsidR="00A17F8C" w:rsidRPr="00954547">
        <w:rPr>
          <w:lang w:val="en-US"/>
        </w:rPr>
        <w:t>Article</w:t>
      </w:r>
      <w:r w:rsidR="00284929" w:rsidRPr="00954547">
        <w:rPr>
          <w:lang w:val="en-US"/>
        </w:rPr>
        <w:t xml:space="preserve"> 24 </w:t>
      </w:r>
      <w:r w:rsidR="001C0AC4" w:rsidRPr="00954547">
        <w:rPr>
          <w:lang w:val="en-US"/>
        </w:rPr>
        <w:t xml:space="preserve">of the Convention has two dimensions </w:t>
      </w:r>
      <w:r w:rsidR="00284929" w:rsidRPr="00954547">
        <w:rPr>
          <w:lang w:val="en-US"/>
        </w:rPr>
        <w:t>(</w:t>
      </w:r>
      <w:r w:rsidR="00284929" w:rsidRPr="00954547">
        <w:rPr>
          <w:i/>
          <w:lang w:val="en-US"/>
        </w:rPr>
        <w:t xml:space="preserve">supra </w:t>
      </w:r>
      <w:r w:rsidR="00B10E5A" w:rsidRPr="00954547">
        <w:rPr>
          <w:lang w:val="en-US"/>
        </w:rPr>
        <w:t>para.</w:t>
      </w:r>
      <w:r w:rsidR="00284929" w:rsidRPr="00954547">
        <w:rPr>
          <w:lang w:val="en-US"/>
        </w:rPr>
        <w:t xml:space="preserve"> </w:t>
      </w:r>
      <w:r w:rsidR="005C7EC1" w:rsidRPr="00954547">
        <w:rPr>
          <w:lang w:val="en-US"/>
        </w:rPr>
        <w:fldChar w:fldCharType="begin"/>
      </w:r>
      <w:r w:rsidR="005C7EC1" w:rsidRPr="00954547">
        <w:rPr>
          <w:lang w:val="en-US"/>
        </w:rPr>
        <w:instrText xml:space="preserve"> REF _Ref87982592 \r \h </w:instrText>
      </w:r>
      <w:r w:rsidR="00793F65" w:rsidRPr="00954547">
        <w:rPr>
          <w:lang w:val="en-US"/>
        </w:rPr>
        <w:instrText xml:space="preserve"> \* MERGEFORMAT </w:instrText>
      </w:r>
      <w:r w:rsidR="005C7EC1" w:rsidRPr="00954547">
        <w:rPr>
          <w:lang w:val="en-US"/>
        </w:rPr>
      </w:r>
      <w:r w:rsidR="005C7EC1" w:rsidRPr="00954547">
        <w:rPr>
          <w:lang w:val="en-US"/>
        </w:rPr>
        <w:fldChar w:fldCharType="separate"/>
      </w:r>
      <w:r w:rsidR="000E4488" w:rsidRPr="00954547">
        <w:rPr>
          <w:lang w:val="en-US"/>
        </w:rPr>
        <w:t>156</w:t>
      </w:r>
      <w:r w:rsidR="005C7EC1" w:rsidRPr="00954547">
        <w:rPr>
          <w:lang w:val="en-US"/>
        </w:rPr>
        <w:fldChar w:fldCharType="end"/>
      </w:r>
      <w:r w:rsidR="00284929" w:rsidRPr="00954547">
        <w:rPr>
          <w:lang w:val="en-US"/>
        </w:rPr>
        <w:t xml:space="preserve">). </w:t>
      </w:r>
      <w:r w:rsidR="001C0AC4" w:rsidRPr="00954547">
        <w:rPr>
          <w:lang w:val="en-US"/>
        </w:rPr>
        <w:t>The second dimension is material or substantive and requires the adoption of positive measures of promotion in favor of groups that have historically been marginalized or discriminated against owing to the factors mentioned in</w:t>
      </w:r>
      <w:r w:rsidR="001C0AC4" w:rsidRPr="00954547">
        <w:rPr>
          <w:rFonts w:eastAsia="Times"/>
          <w:color w:val="auto"/>
          <w:lang w:val="en-US"/>
        </w:rPr>
        <w:t xml:space="preserve"> </w:t>
      </w:r>
      <w:r w:rsidR="00A17F8C" w:rsidRPr="00954547">
        <w:rPr>
          <w:lang w:val="en-US"/>
        </w:rPr>
        <w:t>Article 1(1)</w:t>
      </w:r>
      <w:r w:rsidR="005E0FD1" w:rsidRPr="00954547">
        <w:rPr>
          <w:lang w:val="en-US"/>
        </w:rPr>
        <w:t xml:space="preserve"> of the American Convention</w:t>
      </w:r>
      <w:r w:rsidR="00B87194" w:rsidRPr="00954547">
        <w:rPr>
          <w:lang w:val="en-US"/>
        </w:rPr>
        <w:t xml:space="preserve">. </w:t>
      </w:r>
      <w:r w:rsidR="001C0AC4" w:rsidRPr="00954547">
        <w:rPr>
          <w:lang w:val="en-US"/>
        </w:rPr>
        <w:t xml:space="preserve">This means that </w:t>
      </w:r>
      <w:r w:rsidR="00BC7072" w:rsidRPr="00954547">
        <w:rPr>
          <w:lang w:val="en-US"/>
        </w:rPr>
        <w:t>the right to</w:t>
      </w:r>
      <w:r w:rsidR="001C0AC4" w:rsidRPr="00954547">
        <w:rPr>
          <w:lang w:val="en-US"/>
        </w:rPr>
        <w:t xml:space="preserve"> equality entails the obligation to adopt measures to ensure that the equality is real and effective; in other words, to correct existing inequalities, promote the inclusion and participation of historically marginalized groups,</w:t>
      </w:r>
      <w:r w:rsidRPr="00954547">
        <w:rPr>
          <w:lang w:val="en-US"/>
        </w:rPr>
        <w:t xml:space="preserve"> </w:t>
      </w:r>
      <w:r w:rsidR="001C0AC4" w:rsidRPr="00954547">
        <w:rPr>
          <w:lang w:val="en-US"/>
        </w:rPr>
        <w:t xml:space="preserve">ensure </w:t>
      </w:r>
      <w:r w:rsidR="00FB6913" w:rsidRPr="00954547">
        <w:rPr>
          <w:lang w:val="en-US"/>
        </w:rPr>
        <w:t>to disadvantaged persons or groups the effective enjoyment of their rights and, in sum, provide everyone with the real possibility of enjoying the realization of material equality in their own cases. To this end, States must actively address situations of exclusion and marginalization.</w:t>
      </w:r>
      <w:r w:rsidR="00B87194" w:rsidRPr="00954547">
        <w:rPr>
          <w:rStyle w:val="FootnoteReference"/>
          <w:lang w:val="en-US"/>
        </w:rPr>
        <w:footnoteReference w:id="404"/>
      </w:r>
    </w:p>
    <w:p w14:paraId="2AA7AB09" w14:textId="2DAA40AE" w:rsidR="00FB6913" w:rsidRPr="00954547" w:rsidRDefault="00FB6913" w:rsidP="008443DA">
      <w:pPr>
        <w:pStyle w:val="Numberedparagraphs"/>
        <w:tabs>
          <w:tab w:val="left" w:pos="567"/>
        </w:tabs>
        <w:rPr>
          <w:lang w:val="en-US"/>
        </w:rPr>
      </w:pPr>
      <w:r w:rsidRPr="00954547">
        <w:rPr>
          <w:lang w:val="en-US"/>
        </w:rPr>
        <w:t xml:space="preserve">The </w:t>
      </w:r>
      <w:r w:rsidR="00420435" w:rsidRPr="00954547">
        <w:rPr>
          <w:lang w:val="en-US"/>
        </w:rPr>
        <w:t>duty</w:t>
      </w:r>
      <w:r w:rsidRPr="00954547">
        <w:rPr>
          <w:lang w:val="en-US"/>
        </w:rPr>
        <w:t xml:space="preserve"> to ensure material equality </w:t>
      </w:r>
      <w:r w:rsidR="00420435" w:rsidRPr="00954547">
        <w:rPr>
          <w:lang w:val="en-US"/>
        </w:rPr>
        <w:t xml:space="preserve">concurs </w:t>
      </w:r>
      <w:r w:rsidRPr="00954547">
        <w:rPr>
          <w:lang w:val="en-US"/>
        </w:rPr>
        <w:t>with</w:t>
      </w:r>
      <w:r w:rsidR="00C55BBA" w:rsidRPr="00954547">
        <w:rPr>
          <w:lang w:val="en-US"/>
        </w:rPr>
        <w:t xml:space="preserve"> </w:t>
      </w:r>
      <w:r w:rsidR="00A17F8C" w:rsidRPr="00954547">
        <w:rPr>
          <w:lang w:val="en-US"/>
        </w:rPr>
        <w:t>Articles</w:t>
      </w:r>
      <w:r w:rsidR="00C55BBA" w:rsidRPr="00954547">
        <w:rPr>
          <w:lang w:val="en-US"/>
        </w:rPr>
        <w:t xml:space="preserve"> 3</w:t>
      </w:r>
      <w:r w:rsidR="0078694F" w:rsidRPr="00954547">
        <w:rPr>
          <w:lang w:val="en-US"/>
        </w:rPr>
        <w:t xml:space="preserve"> and </w:t>
      </w:r>
      <w:r w:rsidR="00C55BBA" w:rsidRPr="00954547">
        <w:rPr>
          <w:lang w:val="en-US"/>
        </w:rPr>
        <w:t xml:space="preserve">4 </w:t>
      </w:r>
      <w:r w:rsidR="005E0FD1" w:rsidRPr="00954547">
        <w:rPr>
          <w:lang w:val="en-US"/>
        </w:rPr>
        <w:t>of the Convention</w:t>
      </w:r>
      <w:r w:rsidR="00C55BBA" w:rsidRPr="00954547">
        <w:rPr>
          <w:lang w:val="en-US"/>
        </w:rPr>
        <w:t xml:space="preserve"> </w:t>
      </w:r>
      <w:r w:rsidRPr="00954547">
        <w:rPr>
          <w:lang w:val="en-US"/>
        </w:rPr>
        <w:t>on the Elimination of All Forms of Discrimination against Women, which establish</w:t>
      </w:r>
      <w:r w:rsidR="00C55BBA" w:rsidRPr="00954547">
        <w:rPr>
          <w:lang w:val="en-US"/>
        </w:rPr>
        <w:t>:</w:t>
      </w:r>
    </w:p>
    <w:p w14:paraId="21D3EB1C" w14:textId="77777777" w:rsidR="008443DA" w:rsidRPr="00954547" w:rsidRDefault="008443DA" w:rsidP="008443DA">
      <w:pPr>
        <w:pStyle w:val="NormalWeb"/>
        <w:shd w:val="clear" w:color="auto" w:fill="FFFFFF"/>
        <w:spacing w:before="0" w:beforeAutospacing="0" w:after="150" w:afterAutospacing="0"/>
        <w:ind w:left="540" w:right="535"/>
        <w:jc w:val="both"/>
        <w:rPr>
          <w:rFonts w:ascii="Verdana" w:hAnsi="Verdana"/>
          <w:i/>
          <w:iCs/>
          <w:color w:val="000000"/>
          <w:sz w:val="18"/>
          <w:szCs w:val="18"/>
          <w:lang w:val="en-US"/>
        </w:rPr>
      </w:pPr>
      <w:r w:rsidRPr="00954547">
        <w:rPr>
          <w:rStyle w:val="Emphasis"/>
          <w:rFonts w:ascii="Verdana" w:hAnsi="Verdana"/>
          <w:i w:val="0"/>
          <w:iCs w:val="0"/>
          <w:color w:val="000000"/>
          <w:sz w:val="18"/>
          <w:szCs w:val="18"/>
          <w:lang w:val="en-US"/>
        </w:rPr>
        <w:t>Article 3</w:t>
      </w:r>
      <w:r w:rsidRPr="00954547">
        <w:rPr>
          <w:rFonts w:ascii="Verdana" w:hAnsi="Verdana"/>
          <w:i/>
          <w:iCs/>
          <w:color w:val="000000"/>
          <w:sz w:val="18"/>
          <w:szCs w:val="18"/>
          <w:lang w:val="en-US"/>
        </w:rPr>
        <w:t> </w:t>
      </w:r>
    </w:p>
    <w:p w14:paraId="6F325643" w14:textId="6761B739" w:rsidR="008443DA" w:rsidRPr="00954547" w:rsidRDefault="008443DA" w:rsidP="008443DA">
      <w:pPr>
        <w:pStyle w:val="NormalWeb"/>
        <w:shd w:val="clear" w:color="auto" w:fill="FFFFFF"/>
        <w:spacing w:before="0" w:beforeAutospacing="0" w:after="150" w:afterAutospacing="0"/>
        <w:ind w:left="540" w:right="535"/>
        <w:jc w:val="both"/>
        <w:rPr>
          <w:rFonts w:ascii="Verdana" w:hAnsi="Verdana"/>
          <w:color w:val="000000"/>
          <w:sz w:val="18"/>
          <w:szCs w:val="18"/>
          <w:lang w:val="en-US"/>
        </w:rPr>
      </w:pPr>
      <w:r w:rsidRPr="00954547">
        <w:rPr>
          <w:rFonts w:ascii="Verdana" w:hAnsi="Verdana"/>
          <w:color w:val="000000"/>
          <w:sz w:val="18"/>
          <w:szCs w:val="18"/>
          <w:lang w:val="en-US"/>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79242EB0" w14:textId="77777777" w:rsidR="008443DA" w:rsidRPr="00954547" w:rsidRDefault="008443DA" w:rsidP="008443DA">
      <w:pPr>
        <w:pStyle w:val="NormalWeb"/>
        <w:shd w:val="clear" w:color="auto" w:fill="FFFFFF"/>
        <w:spacing w:before="0" w:beforeAutospacing="0" w:after="150" w:afterAutospacing="0"/>
        <w:ind w:left="540" w:right="535"/>
        <w:jc w:val="both"/>
        <w:rPr>
          <w:rFonts w:ascii="Verdana" w:hAnsi="Verdana"/>
          <w:i/>
          <w:iCs/>
          <w:color w:val="000000"/>
          <w:sz w:val="18"/>
          <w:szCs w:val="18"/>
          <w:lang w:val="en-US"/>
        </w:rPr>
      </w:pPr>
      <w:r w:rsidRPr="00954547">
        <w:rPr>
          <w:rStyle w:val="Emphasis"/>
          <w:rFonts w:ascii="Verdana" w:hAnsi="Verdana"/>
          <w:i w:val="0"/>
          <w:iCs w:val="0"/>
          <w:color w:val="000000"/>
          <w:sz w:val="18"/>
          <w:szCs w:val="18"/>
          <w:lang w:val="en-US"/>
        </w:rPr>
        <w:t>Article 4</w:t>
      </w:r>
    </w:p>
    <w:p w14:paraId="7C201AEF" w14:textId="77777777" w:rsidR="008443DA" w:rsidRPr="00954547" w:rsidRDefault="008443DA" w:rsidP="008443DA">
      <w:pPr>
        <w:pStyle w:val="NormalWeb"/>
        <w:shd w:val="clear" w:color="auto" w:fill="FFFFFF"/>
        <w:spacing w:before="0" w:beforeAutospacing="0" w:after="0" w:afterAutospacing="0"/>
        <w:ind w:left="540" w:right="535"/>
        <w:jc w:val="both"/>
        <w:rPr>
          <w:rFonts w:ascii="Verdana" w:hAnsi="Verdana"/>
          <w:color w:val="000000"/>
          <w:sz w:val="18"/>
          <w:szCs w:val="18"/>
          <w:lang w:val="en-US"/>
        </w:rPr>
      </w:pPr>
      <w:r w:rsidRPr="00954547">
        <w:rPr>
          <w:rFonts w:ascii="Verdana" w:hAnsi="Verdana"/>
          <w:color w:val="000000"/>
          <w:sz w:val="18"/>
          <w:szCs w:val="18"/>
          <w:lang w:val="en-US"/>
        </w:rPr>
        <w:t>1. Adoption by States Parties of temporary special measures aimed at accelerating de facto equality between men and women shall not be considered discrimination as defined in the present Convention, but shall in no way entail as a consequence the maintenance of unequal or separate standards; these measures shall be discontinued when the objectives of equality of opportunity and treatment have been achieved.</w:t>
      </w:r>
    </w:p>
    <w:p w14:paraId="76B62C8C" w14:textId="77777777" w:rsidR="008443DA" w:rsidRPr="00954547" w:rsidRDefault="008443DA" w:rsidP="008443DA">
      <w:pPr>
        <w:pStyle w:val="NormalWeb"/>
        <w:shd w:val="clear" w:color="auto" w:fill="FFFFFF"/>
        <w:spacing w:before="0" w:beforeAutospacing="0" w:after="150" w:afterAutospacing="0"/>
        <w:ind w:left="540" w:right="535"/>
        <w:jc w:val="both"/>
        <w:rPr>
          <w:rFonts w:ascii="Verdana" w:hAnsi="Verdana"/>
          <w:color w:val="000000"/>
          <w:sz w:val="18"/>
          <w:szCs w:val="18"/>
          <w:lang w:val="en-US"/>
        </w:rPr>
      </w:pPr>
      <w:r w:rsidRPr="00954547">
        <w:rPr>
          <w:rFonts w:ascii="Verdana" w:hAnsi="Verdana"/>
          <w:color w:val="000000"/>
          <w:sz w:val="18"/>
          <w:szCs w:val="18"/>
          <w:lang w:val="en-US"/>
        </w:rPr>
        <w:t>2. Adoption by States Parties of special measures, including those measures contained in the present Convention, aimed at protecting maternity shall not be considered discriminatory.</w:t>
      </w:r>
    </w:p>
    <w:p w14:paraId="4ACCFED4" w14:textId="6A30C5C5" w:rsidR="005E4BFB" w:rsidRPr="00954547" w:rsidRDefault="00420435" w:rsidP="00CE72A7">
      <w:pPr>
        <w:pStyle w:val="Numberedparagraphs"/>
        <w:tabs>
          <w:tab w:val="left" w:pos="567"/>
        </w:tabs>
        <w:rPr>
          <w:rFonts w:eastAsia="Times"/>
          <w:color w:val="auto"/>
          <w:lang w:val="en-US"/>
        </w:rPr>
      </w:pPr>
      <w:r w:rsidRPr="00954547">
        <w:rPr>
          <w:lang w:val="en-US"/>
        </w:rPr>
        <w:t xml:space="preserve">The peremptory legal principle of the equal and effective protection of the law and non-discrimination signifies that States must refrain from </w:t>
      </w:r>
      <w:r w:rsidR="00CE72A7" w:rsidRPr="00954547">
        <w:rPr>
          <w:lang w:val="en-US"/>
        </w:rPr>
        <w:t xml:space="preserve">creating discriminatory regulations or regulations that have discriminatory effects on different groups of </w:t>
      </w:r>
      <w:r w:rsidR="00BC434A" w:rsidRPr="00954547">
        <w:rPr>
          <w:lang w:val="en-US"/>
        </w:rPr>
        <w:t>the</w:t>
      </w:r>
      <w:r w:rsidR="00CE72A7" w:rsidRPr="00954547">
        <w:rPr>
          <w:lang w:val="en-US"/>
        </w:rPr>
        <w:t xml:space="preserve"> population when exercising their rights.</w:t>
      </w:r>
      <w:r w:rsidR="005E4BFB" w:rsidRPr="00954547">
        <w:rPr>
          <w:rStyle w:val="FootnoteReference"/>
          <w:lang w:val="en-US"/>
        </w:rPr>
        <w:footnoteReference w:id="405"/>
      </w:r>
      <w:r w:rsidR="00CE72A7" w:rsidRPr="00954547">
        <w:rPr>
          <w:lang w:val="en-US"/>
        </w:rPr>
        <w:t xml:space="preserve"> Accordingly, if a norm or practice that appears to be neutral has particularly negative repercussions on a person or group with specific characteristics, this should be considered indirect discrimination.</w:t>
      </w:r>
      <w:r w:rsidR="005E4BFB" w:rsidRPr="00954547">
        <w:rPr>
          <w:rStyle w:val="FootnoteReference"/>
          <w:lang w:val="en-US"/>
        </w:rPr>
        <w:footnoteReference w:id="406"/>
      </w:r>
    </w:p>
    <w:p w14:paraId="137E8AB5" w14:textId="0294322E" w:rsidR="00543137" w:rsidRPr="00954547" w:rsidRDefault="00E76B1A" w:rsidP="009F3074">
      <w:pPr>
        <w:pStyle w:val="Numberedparagraphs"/>
        <w:tabs>
          <w:tab w:val="left" w:pos="567"/>
          <w:tab w:val="left" w:pos="4410"/>
        </w:tabs>
        <w:rPr>
          <w:lang w:val="en-US"/>
        </w:rPr>
      </w:pPr>
      <w:r w:rsidRPr="00954547">
        <w:rPr>
          <w:rFonts w:eastAsia="Times"/>
          <w:color w:val="auto"/>
          <w:lang w:val="en-US"/>
        </w:rPr>
        <w:t>The Court</w:t>
      </w:r>
      <w:r w:rsidR="00C55BBA" w:rsidRPr="00954547">
        <w:rPr>
          <w:rFonts w:eastAsia="Times"/>
          <w:color w:val="auto"/>
          <w:lang w:val="en-US"/>
        </w:rPr>
        <w:t xml:space="preserve"> ha</w:t>
      </w:r>
      <w:r w:rsidR="00CE72A7" w:rsidRPr="00954547">
        <w:rPr>
          <w:rFonts w:eastAsia="Times"/>
          <w:color w:val="auto"/>
          <w:lang w:val="en-US"/>
        </w:rPr>
        <w:t>s recognized that the liberty and autonomy of women in the area of</w:t>
      </w:r>
      <w:r w:rsidR="00C55BBA" w:rsidRPr="00954547">
        <w:rPr>
          <w:rFonts w:eastAsia="Times"/>
          <w:color w:val="auto"/>
          <w:lang w:val="en-US"/>
        </w:rPr>
        <w:t xml:space="preserve"> </w:t>
      </w:r>
      <w:r w:rsidR="00674DA3" w:rsidRPr="00954547">
        <w:rPr>
          <w:lang w:val="en-US"/>
        </w:rPr>
        <w:t>sexual and reproductive health</w:t>
      </w:r>
      <w:r w:rsidR="00C55BBA" w:rsidRPr="00954547">
        <w:rPr>
          <w:lang w:val="en-US"/>
        </w:rPr>
        <w:t xml:space="preserve"> ha</w:t>
      </w:r>
      <w:r w:rsidR="00CE72A7" w:rsidRPr="00954547">
        <w:rPr>
          <w:lang w:val="en-US"/>
        </w:rPr>
        <w:t>s historically been limited, restricted or annulled based on negative and prejudicial gender stereotypes.</w:t>
      </w:r>
      <w:r w:rsidR="00C55BBA" w:rsidRPr="00954547">
        <w:rPr>
          <w:vertAlign w:val="superscript"/>
          <w:lang w:val="en-US"/>
        </w:rPr>
        <w:footnoteReference w:id="407"/>
      </w:r>
      <w:r w:rsidR="00CE72A7" w:rsidRPr="00954547">
        <w:rPr>
          <w:lang w:val="en-US"/>
        </w:rPr>
        <w:t xml:space="preserve"> This was because, socially and cultural, men have been assigned a dominant role in the adoption of decisions concerning a woman’s body and women are seen, quintessentially, as a reproductive being.</w:t>
      </w:r>
      <w:r w:rsidR="00271D7C" w:rsidRPr="00954547">
        <w:rPr>
          <w:color w:val="auto"/>
          <w:vertAlign w:val="superscript"/>
          <w:lang w:val="en-US"/>
        </w:rPr>
        <w:footnoteReference w:id="408"/>
      </w:r>
      <w:r w:rsidR="00271D7C" w:rsidRPr="00954547">
        <w:rPr>
          <w:color w:val="auto"/>
          <w:lang w:val="en-US"/>
        </w:rPr>
        <w:t xml:space="preserve"> </w:t>
      </w:r>
      <w:r w:rsidR="00A1729F" w:rsidRPr="00954547">
        <w:rPr>
          <w:color w:val="auto"/>
          <w:lang w:val="en-US"/>
        </w:rPr>
        <w:t xml:space="preserve">Nevertheless, women have the </w:t>
      </w:r>
      <w:r w:rsidR="009F3074" w:rsidRPr="00954547">
        <w:rPr>
          <w:color w:val="auto"/>
          <w:lang w:val="en-US"/>
        </w:rPr>
        <w:t>“</w:t>
      </w:r>
      <w:r w:rsidR="00A1729F" w:rsidRPr="00954547">
        <w:rPr>
          <w:color w:val="auto"/>
          <w:lang w:val="en-US"/>
        </w:rPr>
        <w:t>right to receive d</w:t>
      </w:r>
      <w:r w:rsidR="009F3074" w:rsidRPr="00954547">
        <w:rPr>
          <w:color w:val="auto"/>
          <w:lang w:val="en-US"/>
        </w:rPr>
        <w:t>ignified</w:t>
      </w:r>
      <w:r w:rsidR="00A1729F" w:rsidRPr="00954547">
        <w:rPr>
          <w:color w:val="auto"/>
          <w:lang w:val="en-US"/>
        </w:rPr>
        <w:t xml:space="preserve"> and respectful reproductive health</w:t>
      </w:r>
      <w:r w:rsidR="009F3074" w:rsidRPr="00954547">
        <w:rPr>
          <w:color w:val="auto"/>
          <w:lang w:val="en-US"/>
        </w:rPr>
        <w:t xml:space="preserve"> care</w:t>
      </w:r>
      <w:r w:rsidR="00A1729F" w:rsidRPr="00954547">
        <w:rPr>
          <w:color w:val="auto"/>
          <w:lang w:val="en-US"/>
        </w:rPr>
        <w:t xml:space="preserve"> services and obstetric care</w:t>
      </w:r>
      <w:r w:rsidR="009F3074" w:rsidRPr="00954547">
        <w:rPr>
          <w:color w:val="auto"/>
          <w:lang w:val="en-US"/>
        </w:rPr>
        <w:t>,</w:t>
      </w:r>
      <w:r w:rsidR="00A1729F" w:rsidRPr="00954547">
        <w:rPr>
          <w:color w:val="auto"/>
          <w:lang w:val="en-US"/>
        </w:rPr>
        <w:t xml:space="preserve"> </w:t>
      </w:r>
      <w:r w:rsidR="009F3074" w:rsidRPr="00954547">
        <w:rPr>
          <w:color w:val="auto"/>
          <w:lang w:val="en-US"/>
        </w:rPr>
        <w:t>free from</w:t>
      </w:r>
      <w:r w:rsidR="00A1729F" w:rsidRPr="00954547">
        <w:rPr>
          <w:color w:val="auto"/>
          <w:lang w:val="en-US"/>
        </w:rPr>
        <w:t xml:space="preserve"> discrimination </w:t>
      </w:r>
      <w:r w:rsidR="009F3074" w:rsidRPr="00954547">
        <w:rPr>
          <w:color w:val="auto"/>
          <w:lang w:val="en-US"/>
        </w:rPr>
        <w:t>and any</w:t>
      </w:r>
      <w:r w:rsidR="00A1729F" w:rsidRPr="00954547">
        <w:rPr>
          <w:color w:val="auto"/>
          <w:lang w:val="en-US"/>
        </w:rPr>
        <w:t xml:space="preserve"> violence.</w:t>
      </w:r>
      <w:r w:rsidR="009F3074" w:rsidRPr="00954547">
        <w:rPr>
          <w:color w:val="auto"/>
          <w:lang w:val="en-US"/>
        </w:rPr>
        <w:t>”</w:t>
      </w:r>
      <w:r w:rsidR="00346637" w:rsidRPr="00954547">
        <w:rPr>
          <w:rStyle w:val="FootnoteReference"/>
          <w:lang w:val="en-US"/>
        </w:rPr>
        <w:footnoteReference w:id="409"/>
      </w:r>
    </w:p>
    <w:p w14:paraId="2032B3FC" w14:textId="2D041FD0" w:rsidR="004528B3" w:rsidRPr="00954547" w:rsidRDefault="00A1729F" w:rsidP="00A1729F">
      <w:pPr>
        <w:pStyle w:val="Numberedparagraphs"/>
        <w:tabs>
          <w:tab w:val="left" w:pos="567"/>
        </w:tabs>
        <w:rPr>
          <w:lang w:val="en-US"/>
        </w:rPr>
      </w:pPr>
      <w:r w:rsidRPr="00954547">
        <w:rPr>
          <w:lang w:val="en-US"/>
        </w:rPr>
        <w:t>This Court also considers that various structural disadvantages coalesced in Manuela and had an impact on her victimization. In particular, the Court underscores that Manuela was a poor illiterate woman who lived in a rural area. If the discrimination that has been alleged in this case is verified, these factors of vulnerability or sources of discrimination would have coalesced intersectionally, increasing the presumed victim’s comparative disadvantages and causing a specific form of discrimination due to the confluence of all those factors.</w:t>
      </w:r>
      <w:r w:rsidR="004528B3" w:rsidRPr="00954547">
        <w:rPr>
          <w:rStyle w:val="FootnoteReference"/>
          <w:lang w:val="en-US"/>
        </w:rPr>
        <w:footnoteReference w:id="410"/>
      </w:r>
      <w:r w:rsidR="004528B3" w:rsidRPr="00954547">
        <w:rPr>
          <w:lang w:val="en-US"/>
        </w:rPr>
        <w:t xml:space="preserve"> </w:t>
      </w:r>
      <w:r w:rsidRPr="00954547">
        <w:rPr>
          <w:lang w:val="en-US"/>
        </w:rPr>
        <w:t>Moreover, the Court stresses that th</w:t>
      </w:r>
      <w:r w:rsidR="00BC434A" w:rsidRPr="00954547">
        <w:rPr>
          <w:lang w:val="en-US"/>
        </w:rPr>
        <w:t>o</w:t>
      </w:r>
      <w:r w:rsidRPr="00954547">
        <w:rPr>
          <w:lang w:val="en-US"/>
        </w:rPr>
        <w:t xml:space="preserve">se factors of discrimination </w:t>
      </w:r>
      <w:r w:rsidR="00A64AF3" w:rsidRPr="00954547">
        <w:rPr>
          <w:lang w:val="en-US"/>
        </w:rPr>
        <w:t xml:space="preserve">coincide with the profile of most of the women who have been tried for abortion or aggravated homicide in </w:t>
      </w:r>
      <w:r w:rsidR="00015F7C" w:rsidRPr="00954547">
        <w:rPr>
          <w:rFonts w:eastAsiaTheme="minorHAnsi"/>
          <w:lang w:val="en-US"/>
        </w:rPr>
        <w:t>El Salvador</w:t>
      </w:r>
      <w:r w:rsidR="00A64AF3" w:rsidRPr="00954547">
        <w:rPr>
          <w:rFonts w:eastAsiaTheme="minorHAnsi"/>
          <w:lang w:val="en-US"/>
        </w:rPr>
        <w:t xml:space="preserve">; they have little or no income, hardly any schooling, and reside in rural or marginal urban areas </w:t>
      </w:r>
      <w:r w:rsidR="008C4FCB" w:rsidRPr="00954547">
        <w:rPr>
          <w:lang w:val="en-US"/>
        </w:rPr>
        <w:t>(</w:t>
      </w:r>
      <w:r w:rsidR="008C4FCB" w:rsidRPr="00954547">
        <w:rPr>
          <w:i/>
          <w:lang w:val="en-US"/>
        </w:rPr>
        <w:t xml:space="preserve">supra </w:t>
      </w:r>
      <w:r w:rsidR="00B10E5A" w:rsidRPr="00954547">
        <w:rPr>
          <w:lang w:val="en-US"/>
        </w:rPr>
        <w:t>para.</w:t>
      </w:r>
      <w:r w:rsidR="005C7EC1" w:rsidRPr="00954547">
        <w:rPr>
          <w:lang w:val="en-US"/>
        </w:rPr>
        <w:t xml:space="preserve"> </w:t>
      </w:r>
      <w:r w:rsidR="005C7EC1" w:rsidRPr="00954547">
        <w:rPr>
          <w:lang w:val="en-US"/>
        </w:rPr>
        <w:fldChar w:fldCharType="begin"/>
      </w:r>
      <w:r w:rsidR="005C7EC1" w:rsidRPr="00954547">
        <w:rPr>
          <w:lang w:val="en-US"/>
        </w:rPr>
        <w:instrText xml:space="preserve"> REF _Ref87981481 \r \h </w:instrText>
      </w:r>
      <w:r w:rsidR="00793F65" w:rsidRPr="00954547">
        <w:rPr>
          <w:lang w:val="en-US"/>
        </w:rPr>
        <w:instrText xml:space="preserve"> \* MERGEFORMAT </w:instrText>
      </w:r>
      <w:r w:rsidR="005C7EC1" w:rsidRPr="00954547">
        <w:rPr>
          <w:lang w:val="en-US"/>
        </w:rPr>
      </w:r>
      <w:r w:rsidR="005C7EC1" w:rsidRPr="00954547">
        <w:rPr>
          <w:lang w:val="en-US"/>
        </w:rPr>
        <w:fldChar w:fldCharType="separate"/>
      </w:r>
      <w:r w:rsidR="000E4488" w:rsidRPr="00954547">
        <w:rPr>
          <w:lang w:val="en-US"/>
        </w:rPr>
        <w:t>46</w:t>
      </w:r>
      <w:r w:rsidR="005C7EC1" w:rsidRPr="00954547">
        <w:rPr>
          <w:lang w:val="en-US"/>
        </w:rPr>
        <w:fldChar w:fldCharType="end"/>
      </w:r>
      <w:r w:rsidR="008C4FCB" w:rsidRPr="00954547">
        <w:rPr>
          <w:lang w:val="en-US"/>
        </w:rPr>
        <w:t>)</w:t>
      </w:r>
      <w:r w:rsidR="004528B3" w:rsidRPr="00954547">
        <w:rPr>
          <w:lang w:val="en-US"/>
        </w:rPr>
        <w:t>.</w:t>
      </w:r>
    </w:p>
    <w:p w14:paraId="4F614898" w14:textId="3876ED84" w:rsidR="00D61AB8" w:rsidRPr="00954547" w:rsidRDefault="009F3074" w:rsidP="001621A4">
      <w:pPr>
        <w:pStyle w:val="Numberedparagraphs"/>
        <w:tabs>
          <w:tab w:val="left" w:pos="567"/>
        </w:tabs>
        <w:rPr>
          <w:rFonts w:eastAsia="Times"/>
          <w:color w:val="auto"/>
          <w:lang w:val="en-US"/>
        </w:rPr>
      </w:pPr>
      <w:r w:rsidRPr="00954547">
        <w:rPr>
          <w:color w:val="auto"/>
          <w:lang w:val="en-US"/>
        </w:rPr>
        <w:t>The Court considers that the am</w:t>
      </w:r>
      <w:r w:rsidR="001621A4" w:rsidRPr="00954547">
        <w:rPr>
          <w:color w:val="auto"/>
          <w:lang w:val="en-US"/>
        </w:rPr>
        <w:t>b</w:t>
      </w:r>
      <w:r w:rsidRPr="00954547">
        <w:rPr>
          <w:color w:val="auto"/>
          <w:lang w:val="en-US"/>
        </w:rPr>
        <w:t xml:space="preserve">iguity of the laws on the medical professional </w:t>
      </w:r>
      <w:r w:rsidR="003D7400" w:rsidRPr="00954547">
        <w:rPr>
          <w:color w:val="auto"/>
          <w:lang w:val="en-US"/>
        </w:rPr>
        <w:t>secrecy</w:t>
      </w:r>
      <w:r w:rsidRPr="00954547">
        <w:rPr>
          <w:color w:val="auto"/>
          <w:lang w:val="en-US"/>
        </w:rPr>
        <w:t xml:space="preserve"> </w:t>
      </w:r>
      <w:r w:rsidR="0078694F" w:rsidRPr="00954547">
        <w:rPr>
          <w:color w:val="auto"/>
          <w:lang w:val="en-US"/>
        </w:rPr>
        <w:t xml:space="preserve">and </w:t>
      </w:r>
      <w:r w:rsidRPr="00954547">
        <w:rPr>
          <w:color w:val="auto"/>
          <w:lang w:val="en-US"/>
        </w:rPr>
        <w:t xml:space="preserve">the reporting obligation that exists </w:t>
      </w:r>
      <w:r w:rsidR="00015F7C" w:rsidRPr="00954547">
        <w:rPr>
          <w:color w:val="auto"/>
          <w:lang w:val="en-US"/>
        </w:rPr>
        <w:t>in El Salvador</w:t>
      </w:r>
      <w:r w:rsidR="005E4BFB" w:rsidRPr="00954547">
        <w:rPr>
          <w:color w:val="auto"/>
          <w:lang w:val="en-US"/>
        </w:rPr>
        <w:t xml:space="preserve"> </w:t>
      </w:r>
      <w:r w:rsidRPr="00954547">
        <w:rPr>
          <w:color w:val="auto"/>
          <w:lang w:val="en-US"/>
        </w:rPr>
        <w:t xml:space="preserve">disproportionately affects women because they have the biological </w:t>
      </w:r>
      <w:r w:rsidR="001621A4" w:rsidRPr="00954547">
        <w:rPr>
          <w:color w:val="auto"/>
          <w:lang w:val="en-US"/>
        </w:rPr>
        <w:t>capacity to conceive. As already mentioned, a belief exists among gynecologists that they must report cases of possible abortions, as in this case where Manuela was report</w:t>
      </w:r>
      <w:r w:rsidR="003D7400" w:rsidRPr="00954547">
        <w:rPr>
          <w:color w:val="auto"/>
          <w:lang w:val="en-US"/>
        </w:rPr>
        <w:t>ed</w:t>
      </w:r>
      <w:r w:rsidR="001621A4" w:rsidRPr="00954547">
        <w:rPr>
          <w:color w:val="auto"/>
          <w:lang w:val="en-US"/>
        </w:rPr>
        <w:t xml:space="preserve"> for a possible abortion. According to expert witness Guillermo Ortiz, this does not occur with other types of offense.</w:t>
      </w:r>
      <w:r w:rsidR="004528B3" w:rsidRPr="00954547">
        <w:rPr>
          <w:rStyle w:val="FootnoteReference"/>
          <w:color w:val="auto"/>
          <w:lang w:val="en-US"/>
        </w:rPr>
        <w:footnoteReference w:id="411"/>
      </w:r>
      <w:r w:rsidR="001621A4" w:rsidRPr="00954547">
        <w:rPr>
          <w:color w:val="auto"/>
          <w:lang w:val="en-US"/>
        </w:rPr>
        <w:t xml:space="preserve"> In addition, the Court notes that, according to the records, this type of report is not filed by the staff of private clinics, but only by the staff of public hospitals.</w:t>
      </w:r>
      <w:r w:rsidR="004140DD" w:rsidRPr="00954547">
        <w:rPr>
          <w:rStyle w:val="FootnoteReference"/>
          <w:color w:val="auto"/>
          <w:lang w:val="en-US"/>
        </w:rPr>
        <w:footnoteReference w:id="412"/>
      </w:r>
      <w:r w:rsidR="001621A4" w:rsidRPr="00954547">
        <w:rPr>
          <w:color w:val="auto"/>
          <w:lang w:val="en-US"/>
        </w:rPr>
        <w:t xml:space="preserve"> This reveals that the legislative ambiguity does not have an effect on women who have sufficient financial resources to be attended in a private hospital.</w:t>
      </w:r>
    </w:p>
    <w:p w14:paraId="2EBFF663" w14:textId="00397114" w:rsidR="005E4BFB" w:rsidRPr="00954547" w:rsidRDefault="001621A4" w:rsidP="00F360E9">
      <w:pPr>
        <w:pStyle w:val="Numberedparagraphs"/>
        <w:tabs>
          <w:tab w:val="left" w:pos="567"/>
        </w:tabs>
        <w:rPr>
          <w:rFonts w:eastAsia="Times"/>
          <w:color w:val="auto"/>
          <w:lang w:val="en-US"/>
        </w:rPr>
      </w:pPr>
      <w:r w:rsidRPr="00954547">
        <w:rPr>
          <w:rFonts w:eastAsia="Times"/>
          <w:color w:val="auto"/>
          <w:lang w:val="en-US"/>
        </w:rPr>
        <w:t>In the instant case</w:t>
      </w:r>
      <w:r w:rsidR="005E4BFB" w:rsidRPr="00954547">
        <w:rPr>
          <w:rFonts w:eastAsia="Times"/>
          <w:color w:val="auto"/>
          <w:lang w:val="en-US"/>
        </w:rPr>
        <w:t xml:space="preserve">, </w:t>
      </w:r>
      <w:r w:rsidRPr="00954547">
        <w:rPr>
          <w:rFonts w:eastAsia="Times"/>
          <w:color w:val="auto"/>
          <w:lang w:val="en-US"/>
        </w:rPr>
        <w:t>the</w:t>
      </w:r>
      <w:r w:rsidR="005E4BFB" w:rsidRPr="00954547">
        <w:rPr>
          <w:rFonts w:eastAsia="Times"/>
          <w:color w:val="auto"/>
          <w:lang w:val="en-US"/>
        </w:rPr>
        <w:t xml:space="preserve"> </w:t>
      </w:r>
      <w:r w:rsidR="00CC2596" w:rsidRPr="00954547">
        <w:rPr>
          <w:rFonts w:eastAsia="Times"/>
          <w:color w:val="auto"/>
          <w:lang w:val="en-US"/>
        </w:rPr>
        <w:t>medical staff</w:t>
      </w:r>
      <w:r w:rsidR="005E4BFB" w:rsidRPr="00954547">
        <w:rPr>
          <w:rFonts w:eastAsia="Times"/>
          <w:color w:val="auto"/>
          <w:lang w:val="en-US"/>
        </w:rPr>
        <w:t xml:space="preserve"> </w:t>
      </w:r>
      <w:r w:rsidRPr="00954547">
        <w:rPr>
          <w:rFonts w:eastAsia="Times"/>
          <w:color w:val="auto"/>
          <w:lang w:val="en-US"/>
        </w:rPr>
        <w:t xml:space="preserve">gave priority to filing a report for a supposed offense over providing a medical diagnosis and treatment. </w:t>
      </w:r>
      <w:r w:rsidR="00F360E9" w:rsidRPr="00954547">
        <w:rPr>
          <w:rFonts w:eastAsia="Times"/>
          <w:color w:val="auto"/>
          <w:lang w:val="en-US"/>
        </w:rPr>
        <w:t xml:space="preserve">In addition, this report, combined with the statement of the treating physician and the subsequent handing over of </w:t>
      </w:r>
      <w:r w:rsidR="00F500B0" w:rsidRPr="00954547">
        <w:rPr>
          <w:rFonts w:eastAsia="Times"/>
          <w:color w:val="auto"/>
          <w:lang w:val="en-US"/>
        </w:rPr>
        <w:t>Manuela’s medical record</w:t>
      </w:r>
      <w:r w:rsidR="00315565" w:rsidRPr="00954547">
        <w:rPr>
          <w:rFonts w:eastAsia="Times"/>
          <w:color w:val="auto"/>
          <w:lang w:val="en-US"/>
        </w:rPr>
        <w:t>,</w:t>
      </w:r>
      <w:r w:rsidR="005E4BFB" w:rsidRPr="00954547">
        <w:rPr>
          <w:rFonts w:eastAsia="Times"/>
          <w:color w:val="auto"/>
          <w:lang w:val="en-US"/>
        </w:rPr>
        <w:t xml:space="preserve"> </w:t>
      </w:r>
      <w:r w:rsidR="00F360E9" w:rsidRPr="00954547">
        <w:rPr>
          <w:rFonts w:eastAsia="Times"/>
          <w:color w:val="auto"/>
          <w:lang w:val="en-US"/>
        </w:rPr>
        <w:t xml:space="preserve">was used in criminal proceedings against her, in violation of her rights to </w:t>
      </w:r>
      <w:r w:rsidR="0078694F" w:rsidRPr="00954547">
        <w:rPr>
          <w:rFonts w:eastAsia="Times"/>
          <w:color w:val="auto"/>
          <w:lang w:val="en-US"/>
        </w:rPr>
        <w:t>privacy and</w:t>
      </w:r>
      <w:r w:rsidR="00082AAC" w:rsidRPr="00954547">
        <w:rPr>
          <w:rFonts w:eastAsia="Times"/>
          <w:color w:val="auto"/>
          <w:lang w:val="en-US"/>
        </w:rPr>
        <w:t xml:space="preserve"> </w:t>
      </w:r>
      <w:r w:rsidR="00176125" w:rsidRPr="00954547">
        <w:rPr>
          <w:rFonts w:eastAsia="Times"/>
          <w:color w:val="auto"/>
          <w:lang w:val="en-US"/>
        </w:rPr>
        <w:t xml:space="preserve">to </w:t>
      </w:r>
      <w:r w:rsidR="0078694F" w:rsidRPr="00954547">
        <w:rPr>
          <w:rFonts w:eastAsia="Times"/>
          <w:color w:val="auto"/>
          <w:lang w:val="en-US"/>
        </w:rPr>
        <w:t>health</w:t>
      </w:r>
      <w:r w:rsidR="00315565" w:rsidRPr="00954547">
        <w:rPr>
          <w:rFonts w:eastAsia="Times"/>
          <w:color w:val="auto"/>
          <w:lang w:val="en-US"/>
        </w:rPr>
        <w:t>.</w:t>
      </w:r>
      <w:r w:rsidR="00F360E9" w:rsidRPr="00954547">
        <w:rPr>
          <w:rFonts w:eastAsia="Times"/>
          <w:color w:val="auto"/>
          <w:lang w:val="en-US"/>
        </w:rPr>
        <w:t xml:space="preserve"> All these actions were influenced by the </w:t>
      </w:r>
      <w:r w:rsidR="00176125" w:rsidRPr="00954547">
        <w:rPr>
          <w:rFonts w:eastAsia="Times"/>
          <w:color w:val="auto"/>
          <w:lang w:val="en-US"/>
        </w:rPr>
        <w:t>perception</w:t>
      </w:r>
      <w:r w:rsidR="00F360E9" w:rsidRPr="00954547">
        <w:rPr>
          <w:rFonts w:eastAsia="Times"/>
          <w:color w:val="auto"/>
          <w:lang w:val="en-US"/>
        </w:rPr>
        <w:t xml:space="preserve"> that the prosecution of a presumed offense should prevail over a woman’s rights, </w:t>
      </w:r>
      <w:r w:rsidR="00176125" w:rsidRPr="00954547">
        <w:rPr>
          <w:rFonts w:eastAsia="Times"/>
          <w:color w:val="auto"/>
          <w:lang w:val="en-US"/>
        </w:rPr>
        <w:t>and this</w:t>
      </w:r>
      <w:r w:rsidR="00F360E9" w:rsidRPr="00954547">
        <w:rPr>
          <w:rFonts w:eastAsia="Times"/>
          <w:color w:val="auto"/>
          <w:lang w:val="en-US"/>
        </w:rPr>
        <w:t xml:space="preserve"> was discriminatory.</w:t>
      </w:r>
    </w:p>
    <w:p w14:paraId="3C59B471" w14:textId="334C5171" w:rsidR="0065511A" w:rsidRPr="00954547" w:rsidRDefault="00F360E9" w:rsidP="0065511A">
      <w:pPr>
        <w:pStyle w:val="Numberedparagraphs"/>
        <w:tabs>
          <w:tab w:val="left" w:pos="567"/>
        </w:tabs>
        <w:rPr>
          <w:rFonts w:eastAsia="Times"/>
          <w:color w:val="auto"/>
          <w:lang w:val="en-US"/>
        </w:rPr>
      </w:pPr>
      <w:r w:rsidRPr="00954547">
        <w:rPr>
          <w:lang w:val="en-US"/>
        </w:rPr>
        <w:t xml:space="preserve">In sum, the Court concludes that, in this case, the State failed to ensure the </w:t>
      </w:r>
      <w:r w:rsidR="00B562B1" w:rsidRPr="00954547">
        <w:rPr>
          <w:lang w:val="en-US"/>
        </w:rPr>
        <w:t>right to health</w:t>
      </w:r>
      <w:r w:rsidR="0065511A" w:rsidRPr="00954547">
        <w:rPr>
          <w:lang w:val="en-US"/>
        </w:rPr>
        <w:t xml:space="preserve"> </w:t>
      </w:r>
      <w:r w:rsidRPr="00954547">
        <w:rPr>
          <w:lang w:val="en-US"/>
        </w:rPr>
        <w:t xml:space="preserve">without discrimination, as well as </w:t>
      </w:r>
      <w:r w:rsidR="00BC7072" w:rsidRPr="00954547">
        <w:rPr>
          <w:lang w:val="en-US"/>
        </w:rPr>
        <w:t>the right to</w:t>
      </w:r>
      <w:r w:rsidR="0065511A" w:rsidRPr="00954547">
        <w:rPr>
          <w:lang w:val="en-US"/>
        </w:rPr>
        <w:t xml:space="preserve"> </w:t>
      </w:r>
      <w:r w:rsidRPr="00954547">
        <w:rPr>
          <w:lang w:val="en-US"/>
        </w:rPr>
        <w:t xml:space="preserve">equality established in </w:t>
      </w:r>
      <w:r w:rsidR="00A17F8C" w:rsidRPr="00954547">
        <w:rPr>
          <w:lang w:val="en-US"/>
        </w:rPr>
        <w:t>Articles</w:t>
      </w:r>
      <w:r w:rsidR="0065511A" w:rsidRPr="00954547">
        <w:rPr>
          <w:lang w:val="en-US"/>
        </w:rPr>
        <w:t xml:space="preserve"> 24</w:t>
      </w:r>
      <w:r w:rsidR="0078694F" w:rsidRPr="00954547">
        <w:rPr>
          <w:lang w:val="en-US"/>
        </w:rPr>
        <w:t xml:space="preserve"> and </w:t>
      </w:r>
      <w:r w:rsidR="0065511A" w:rsidRPr="00954547">
        <w:rPr>
          <w:lang w:val="en-US"/>
        </w:rPr>
        <w:t xml:space="preserve">26, </w:t>
      </w:r>
      <w:r w:rsidRPr="00954547">
        <w:rPr>
          <w:lang w:val="en-US"/>
        </w:rPr>
        <w:t>in relation to</w:t>
      </w:r>
      <w:r w:rsidR="0065511A" w:rsidRPr="00954547">
        <w:rPr>
          <w:lang w:val="en-US"/>
        </w:rPr>
        <w:t xml:space="preserve"> </w:t>
      </w:r>
      <w:r w:rsidR="00A17F8C" w:rsidRPr="00954547">
        <w:rPr>
          <w:lang w:val="en-US"/>
        </w:rPr>
        <w:t xml:space="preserve">Article 1(1) </w:t>
      </w:r>
      <w:r w:rsidR="005E0FD1" w:rsidRPr="00954547">
        <w:rPr>
          <w:lang w:val="en-US"/>
        </w:rPr>
        <w:t>of the Convention</w:t>
      </w:r>
      <w:r w:rsidR="0065511A" w:rsidRPr="00954547">
        <w:rPr>
          <w:lang w:val="en-US"/>
        </w:rPr>
        <w:t>.</w:t>
      </w:r>
    </w:p>
    <w:p w14:paraId="69DA2529" w14:textId="7573C53C" w:rsidR="00F50FB7" w:rsidRPr="00954547" w:rsidRDefault="00F360E9" w:rsidP="007F6768">
      <w:pPr>
        <w:pStyle w:val="Numberedparagraphs"/>
        <w:tabs>
          <w:tab w:val="left" w:pos="567"/>
        </w:tabs>
        <w:rPr>
          <w:rFonts w:eastAsia="Times"/>
          <w:color w:val="auto"/>
          <w:lang w:val="en-US"/>
        </w:rPr>
      </w:pPr>
      <w:r w:rsidRPr="00954547">
        <w:rPr>
          <w:rFonts w:eastAsia="Times"/>
          <w:color w:val="auto"/>
          <w:lang w:val="en-US"/>
        </w:rPr>
        <w:t>Furthermore</w:t>
      </w:r>
      <w:r w:rsidR="00B55C1E" w:rsidRPr="00954547">
        <w:rPr>
          <w:rFonts w:eastAsia="Times"/>
          <w:color w:val="auto"/>
          <w:lang w:val="en-US"/>
        </w:rPr>
        <w:t xml:space="preserve">, </w:t>
      </w:r>
      <w:r w:rsidR="00D858DE" w:rsidRPr="00954547">
        <w:rPr>
          <w:color w:val="auto"/>
          <w:lang w:val="en-US" w:bidi="en-US"/>
        </w:rPr>
        <w:t>the Inter-American Convention for the Prevention, Punishment and Eradication of Violence against Women</w:t>
      </w:r>
      <w:r w:rsidR="00B55C1E" w:rsidRPr="00954547">
        <w:rPr>
          <w:rStyle w:val="Strong"/>
          <w:rFonts w:cs="Tahoma"/>
          <w:b w:val="0"/>
          <w:color w:val="auto"/>
          <w:shd w:val="clear" w:color="auto" w:fill="FFFFFF"/>
          <w:lang w:val="en-US"/>
        </w:rPr>
        <w:t xml:space="preserve"> “</w:t>
      </w:r>
      <w:r w:rsidR="00A16B01" w:rsidRPr="00954547">
        <w:rPr>
          <w:rStyle w:val="Strong"/>
          <w:rFonts w:cs="Tahoma"/>
          <w:b w:val="0"/>
          <w:color w:val="auto"/>
          <w:shd w:val="clear" w:color="auto" w:fill="FFFFFF"/>
          <w:lang w:val="en-US"/>
        </w:rPr>
        <w:t>Convention of B</w:t>
      </w:r>
      <w:r w:rsidR="00F00ACF" w:rsidRPr="00954547">
        <w:rPr>
          <w:rStyle w:val="Strong"/>
          <w:rFonts w:cs="Tahoma"/>
          <w:b w:val="0"/>
          <w:color w:val="auto"/>
          <w:shd w:val="clear" w:color="auto" w:fill="FFFFFF"/>
          <w:lang w:val="en-US"/>
        </w:rPr>
        <w:t>e</w:t>
      </w:r>
      <w:r w:rsidR="00A16B01" w:rsidRPr="00954547">
        <w:rPr>
          <w:rStyle w:val="Strong"/>
          <w:rFonts w:cs="Tahoma"/>
          <w:b w:val="0"/>
          <w:color w:val="auto"/>
          <w:shd w:val="clear" w:color="auto" w:fill="FFFFFF"/>
          <w:lang w:val="en-US"/>
        </w:rPr>
        <w:t>l</w:t>
      </w:r>
      <w:r w:rsidR="00F00ACF" w:rsidRPr="00954547">
        <w:rPr>
          <w:rStyle w:val="Strong"/>
          <w:rFonts w:cs="Tahoma"/>
          <w:b w:val="0"/>
          <w:color w:val="auto"/>
          <w:shd w:val="clear" w:color="auto" w:fill="FFFFFF"/>
          <w:lang w:val="en-US"/>
        </w:rPr>
        <w:t>é</w:t>
      </w:r>
      <w:r w:rsidR="00A16B01" w:rsidRPr="00954547">
        <w:rPr>
          <w:rStyle w:val="Strong"/>
          <w:rFonts w:cs="Tahoma"/>
          <w:b w:val="0"/>
          <w:color w:val="auto"/>
          <w:shd w:val="clear" w:color="auto" w:fill="FFFFFF"/>
          <w:lang w:val="en-US"/>
        </w:rPr>
        <w:t>m</w:t>
      </w:r>
      <w:r w:rsidR="00B55C1E" w:rsidRPr="00954547">
        <w:rPr>
          <w:rStyle w:val="Strong"/>
          <w:rFonts w:cs="Tahoma"/>
          <w:b w:val="0"/>
          <w:color w:val="auto"/>
          <w:shd w:val="clear" w:color="auto" w:fill="FFFFFF"/>
          <w:lang w:val="en-US"/>
        </w:rPr>
        <w:t xml:space="preserve"> do Pará”</w:t>
      </w:r>
      <w:r w:rsidR="00B55C1E" w:rsidRPr="00954547">
        <w:rPr>
          <w:rStyle w:val="Strong"/>
          <w:rFonts w:cs="Tahoma"/>
          <w:color w:val="auto"/>
          <w:shd w:val="clear" w:color="auto" w:fill="FFFFFF"/>
          <w:lang w:val="en-US"/>
        </w:rPr>
        <w:t xml:space="preserve"> </w:t>
      </w:r>
      <w:r w:rsidR="00B55C1E" w:rsidRPr="00954547">
        <w:rPr>
          <w:rFonts w:eastAsia="Batang"/>
          <w:bCs/>
          <w:color w:val="auto"/>
          <w:lang w:val="en-US" w:eastAsia="es-MX"/>
        </w:rPr>
        <w:t>establ</w:t>
      </w:r>
      <w:r w:rsidR="00A16B01" w:rsidRPr="00954547">
        <w:rPr>
          <w:rFonts w:eastAsia="Batang"/>
          <w:bCs/>
          <w:color w:val="auto"/>
          <w:lang w:val="en-US" w:eastAsia="es-MX"/>
        </w:rPr>
        <w:t>ishes the right of every woman to a life free from violence and that this right includes the right to be free from all forms of discrimination.</w:t>
      </w:r>
      <w:r w:rsidR="00B55C1E" w:rsidRPr="00954547">
        <w:rPr>
          <w:rFonts w:eastAsia="Batang"/>
          <w:color w:val="auto"/>
          <w:vertAlign w:val="superscript"/>
          <w:lang w:val="en-US" w:eastAsia="es-MX"/>
        </w:rPr>
        <w:footnoteReference w:id="413"/>
      </w:r>
      <w:r w:rsidR="00A16B01" w:rsidRPr="00954547">
        <w:rPr>
          <w:rFonts w:eastAsia="Batang"/>
          <w:color w:val="auto"/>
          <w:lang w:val="en-US" w:eastAsia="es-MX"/>
        </w:rPr>
        <w:t xml:space="preserve"> It also indicates that States must “refrain from engaging in any act or practice of violence against women and ensure that their authorities, officials, agents and institutions act in conformity with this obligation.</w:t>
      </w:r>
      <w:r w:rsidR="00B55C1E" w:rsidRPr="00954547">
        <w:rPr>
          <w:rFonts w:eastAsia="Batang"/>
          <w:color w:val="auto"/>
          <w:lang w:val="en-US" w:eastAsia="es-MX"/>
        </w:rPr>
        <w:t>”</w:t>
      </w:r>
      <w:r w:rsidR="00B55C1E" w:rsidRPr="00954547">
        <w:rPr>
          <w:rFonts w:eastAsia="Batang"/>
          <w:color w:val="auto"/>
          <w:vertAlign w:val="superscript"/>
          <w:lang w:val="en-US" w:eastAsia="es-MX"/>
        </w:rPr>
        <w:footnoteReference w:id="414"/>
      </w:r>
      <w:r w:rsidR="00A16B01" w:rsidRPr="00954547">
        <w:rPr>
          <w:rFonts w:eastAsia="Batang"/>
          <w:color w:val="auto"/>
          <w:lang w:val="en-US" w:eastAsia="es-MX"/>
        </w:rPr>
        <w:t xml:space="preserve"> In this regard, the Court</w:t>
      </w:r>
      <w:r w:rsidR="00B55C1E" w:rsidRPr="00954547">
        <w:rPr>
          <w:rFonts w:eastAsia="Batang"/>
          <w:color w:val="auto"/>
          <w:lang w:val="en-US" w:eastAsia="es-MX"/>
        </w:rPr>
        <w:t xml:space="preserve"> </w:t>
      </w:r>
      <w:r w:rsidR="00A16B01" w:rsidRPr="00954547">
        <w:rPr>
          <w:rFonts w:eastAsia="Batang"/>
          <w:color w:val="auto"/>
          <w:lang w:val="en-US" w:eastAsia="es-MX"/>
        </w:rPr>
        <w:t xml:space="preserve">recalls that the protection of human rights is based on the </w:t>
      </w:r>
      <w:r w:rsidR="00245A96" w:rsidRPr="00954547">
        <w:rPr>
          <w:rFonts w:eastAsia="Batang"/>
          <w:color w:val="auto"/>
          <w:lang w:val="en-US" w:eastAsia="es-MX"/>
        </w:rPr>
        <w:t>acknowledgement</w:t>
      </w:r>
      <w:r w:rsidR="00A16B01" w:rsidRPr="00954547">
        <w:rPr>
          <w:rFonts w:eastAsia="Batang"/>
          <w:color w:val="auto"/>
          <w:lang w:val="en-US" w:eastAsia="es-MX"/>
        </w:rPr>
        <w:t xml:space="preserve"> of the existence of certain inviolable characteristics of the human person</w:t>
      </w:r>
      <w:r w:rsidR="00245A96" w:rsidRPr="00954547">
        <w:rPr>
          <w:rFonts w:eastAsia="Batang"/>
          <w:color w:val="auto"/>
          <w:lang w:val="en-US" w:eastAsia="es-MX"/>
        </w:rPr>
        <w:t>a</w:t>
      </w:r>
      <w:r w:rsidR="00A16B01" w:rsidRPr="00954547">
        <w:rPr>
          <w:rFonts w:eastAsia="Batang"/>
          <w:color w:val="auto"/>
          <w:lang w:val="en-US" w:eastAsia="es-MX"/>
        </w:rPr>
        <w:t xml:space="preserve"> that cannot </w:t>
      </w:r>
      <w:r w:rsidR="007F6768" w:rsidRPr="00954547">
        <w:rPr>
          <w:rFonts w:eastAsia="Batang"/>
          <w:color w:val="auto"/>
          <w:lang w:val="en-US" w:eastAsia="es-MX"/>
        </w:rPr>
        <w:t>legitimately be impaired by the exercise of public power. These are individual spheres that the State may not violate.</w:t>
      </w:r>
      <w:r w:rsidR="00B55C1E" w:rsidRPr="00954547">
        <w:rPr>
          <w:rFonts w:eastAsia="Batang"/>
          <w:color w:val="auto"/>
          <w:vertAlign w:val="superscript"/>
          <w:lang w:val="en-US" w:eastAsia="es-MX"/>
        </w:rPr>
        <w:footnoteReference w:id="415"/>
      </w:r>
      <w:r w:rsidR="007F6768" w:rsidRPr="00954547">
        <w:rPr>
          <w:rFonts w:eastAsia="Batang"/>
          <w:color w:val="auto"/>
          <w:lang w:val="en-US" w:eastAsia="es-MX"/>
        </w:rPr>
        <w:t xml:space="preserve"> To ensure this protection, the Court has considered that it is not sufficient that States refrain from violati</w:t>
      </w:r>
      <w:r w:rsidR="00245A96" w:rsidRPr="00954547">
        <w:rPr>
          <w:rFonts w:eastAsia="Batang"/>
          <w:color w:val="auto"/>
          <w:lang w:val="en-US" w:eastAsia="es-MX"/>
        </w:rPr>
        <w:t>ng</w:t>
      </w:r>
      <w:r w:rsidR="007F6768" w:rsidRPr="00954547">
        <w:rPr>
          <w:rFonts w:eastAsia="Batang"/>
          <w:color w:val="auto"/>
          <w:lang w:val="en-US" w:eastAsia="es-MX"/>
        </w:rPr>
        <w:t xml:space="preserve"> rights; rather, it is imperative that they adopt positive measures to be determined based on the particular needs for protection of the subject of law, due either to his personal situation or to the specific situation in which he finds himself.</w:t>
      </w:r>
      <w:r w:rsidR="00B55C1E" w:rsidRPr="00954547">
        <w:rPr>
          <w:rFonts w:eastAsia="Batang"/>
          <w:color w:val="auto"/>
          <w:vertAlign w:val="superscript"/>
          <w:lang w:val="en-US" w:eastAsia="es-MX"/>
        </w:rPr>
        <w:footnoteReference w:id="416"/>
      </w:r>
      <w:r w:rsidR="00B55C1E" w:rsidRPr="00954547">
        <w:rPr>
          <w:rFonts w:eastAsia="Batang"/>
          <w:color w:val="auto"/>
          <w:lang w:val="en-US" w:eastAsia="es-MX"/>
        </w:rPr>
        <w:t xml:space="preserve"> </w:t>
      </w:r>
      <w:r w:rsidR="00E76B1A" w:rsidRPr="00954547">
        <w:rPr>
          <w:rFonts w:eastAsia="Batang"/>
          <w:color w:val="auto"/>
          <w:lang w:val="en-US" w:eastAsia="es-MX"/>
        </w:rPr>
        <w:t>The Court</w:t>
      </w:r>
      <w:r w:rsidR="00B55C1E" w:rsidRPr="00954547">
        <w:rPr>
          <w:rFonts w:eastAsia="Batang"/>
          <w:color w:val="auto"/>
          <w:lang w:val="en-US" w:eastAsia="es-MX"/>
        </w:rPr>
        <w:t xml:space="preserve"> consider</w:t>
      </w:r>
      <w:r w:rsidR="007F6768" w:rsidRPr="00954547">
        <w:rPr>
          <w:rFonts w:eastAsia="Batang"/>
          <w:color w:val="auto"/>
          <w:lang w:val="en-US" w:eastAsia="es-MX"/>
        </w:rPr>
        <w:t>s that the State obligation has special relevance when violations of the sexual and reproductive right</w:t>
      </w:r>
      <w:r w:rsidR="00245A96" w:rsidRPr="00954547">
        <w:rPr>
          <w:rFonts w:eastAsia="Batang"/>
          <w:color w:val="auto"/>
          <w:lang w:val="en-US" w:eastAsia="es-MX"/>
        </w:rPr>
        <w:t>s</w:t>
      </w:r>
      <w:r w:rsidR="007F6768" w:rsidRPr="00954547">
        <w:rPr>
          <w:rFonts w:eastAsia="Batang"/>
          <w:color w:val="auto"/>
          <w:lang w:val="en-US" w:eastAsia="es-MX"/>
        </w:rPr>
        <w:t xml:space="preserve"> of woman are involved.</w:t>
      </w:r>
      <w:r w:rsidR="00B55C1E" w:rsidRPr="00954547">
        <w:rPr>
          <w:rStyle w:val="FootnoteReference"/>
          <w:rFonts w:eastAsia="Batang"/>
          <w:color w:val="auto"/>
          <w:lang w:val="en-US" w:eastAsia="es-MX"/>
        </w:rPr>
        <w:footnoteReference w:id="417"/>
      </w:r>
    </w:p>
    <w:p w14:paraId="6B82AABA" w14:textId="763AA13F" w:rsidR="00B55C1E" w:rsidRPr="00954547" w:rsidRDefault="00901EB6" w:rsidP="007F6768">
      <w:pPr>
        <w:pStyle w:val="Numberedparagraphs"/>
        <w:tabs>
          <w:tab w:val="left" w:pos="567"/>
        </w:tabs>
        <w:rPr>
          <w:rFonts w:eastAsia="Times"/>
          <w:color w:val="auto"/>
          <w:lang w:val="en-US"/>
        </w:rPr>
      </w:pPr>
      <w:r w:rsidRPr="00954547">
        <w:rPr>
          <w:color w:val="auto"/>
          <w:lang w:val="en-US" w:bidi="en-US"/>
        </w:rPr>
        <w:t>The Convention</w:t>
      </w:r>
      <w:r w:rsidR="00B55C1E" w:rsidRPr="00954547">
        <w:rPr>
          <w:rStyle w:val="Strong"/>
          <w:rFonts w:cs="Tahoma"/>
          <w:b w:val="0"/>
          <w:color w:val="auto"/>
          <w:shd w:val="clear" w:color="auto" w:fill="FFFFFF"/>
          <w:lang w:val="en-US"/>
        </w:rPr>
        <w:t xml:space="preserve"> </w:t>
      </w:r>
      <w:r w:rsidR="003F3C65" w:rsidRPr="00954547">
        <w:rPr>
          <w:rStyle w:val="Strong"/>
          <w:rFonts w:cs="Tahoma"/>
          <w:b w:val="0"/>
          <w:color w:val="auto"/>
          <w:shd w:val="clear" w:color="auto" w:fill="FFFFFF"/>
          <w:lang w:val="en-US"/>
        </w:rPr>
        <w:t>of</w:t>
      </w:r>
      <w:r w:rsidR="00B55C1E" w:rsidRPr="00954547">
        <w:rPr>
          <w:rStyle w:val="Strong"/>
          <w:rFonts w:cs="Tahoma"/>
          <w:b w:val="0"/>
          <w:color w:val="auto"/>
          <w:shd w:val="clear" w:color="auto" w:fill="FFFFFF"/>
          <w:lang w:val="en-US"/>
        </w:rPr>
        <w:t xml:space="preserve"> Belém do Pará ha</w:t>
      </w:r>
      <w:r w:rsidR="007F6768" w:rsidRPr="00954547">
        <w:rPr>
          <w:rStyle w:val="Strong"/>
          <w:rFonts w:cs="Tahoma"/>
          <w:b w:val="0"/>
          <w:color w:val="auto"/>
          <w:shd w:val="clear" w:color="auto" w:fill="FFFFFF"/>
          <w:lang w:val="en-US"/>
        </w:rPr>
        <w:t xml:space="preserve">s established parameters to </w:t>
      </w:r>
      <w:r w:rsidR="00F00ACF" w:rsidRPr="00954547">
        <w:rPr>
          <w:rStyle w:val="Strong"/>
          <w:rFonts w:cs="Tahoma"/>
          <w:b w:val="0"/>
          <w:color w:val="auto"/>
          <w:shd w:val="clear" w:color="auto" w:fill="FFFFFF"/>
          <w:lang w:val="en-US"/>
        </w:rPr>
        <w:t>identify</w:t>
      </w:r>
      <w:r w:rsidR="007F6768" w:rsidRPr="00954547">
        <w:rPr>
          <w:rStyle w:val="Strong"/>
          <w:rFonts w:cs="Tahoma"/>
          <w:b w:val="0"/>
          <w:color w:val="auto"/>
          <w:shd w:val="clear" w:color="auto" w:fill="FFFFFF"/>
          <w:lang w:val="en-US"/>
        </w:rPr>
        <w:t xml:space="preserve"> when an act constitutes violence and its article 1 </w:t>
      </w:r>
      <w:r w:rsidR="00245A96" w:rsidRPr="00954547">
        <w:rPr>
          <w:rStyle w:val="Strong"/>
          <w:rFonts w:cs="Tahoma"/>
          <w:b w:val="0"/>
          <w:color w:val="auto"/>
          <w:shd w:val="clear" w:color="auto" w:fill="FFFFFF"/>
          <w:lang w:val="en-US"/>
        </w:rPr>
        <w:t>indicates</w:t>
      </w:r>
      <w:r w:rsidR="007F6768" w:rsidRPr="00954547">
        <w:rPr>
          <w:rStyle w:val="Strong"/>
          <w:rFonts w:cs="Tahoma"/>
          <w:b w:val="0"/>
          <w:color w:val="auto"/>
          <w:shd w:val="clear" w:color="auto" w:fill="FFFFFF"/>
          <w:lang w:val="en-US"/>
        </w:rPr>
        <w:t xml:space="preserve"> that “</w:t>
      </w:r>
      <w:r w:rsidR="007F6768" w:rsidRPr="00954547">
        <w:rPr>
          <w:lang w:val="en-US"/>
        </w:rPr>
        <w:t>violence against women shall be understood as any act or conduct, based on gender, which causes death or physical, sexual or psychological harm or suffering to women, whether in the public or the private sphere.</w:t>
      </w:r>
      <w:r w:rsidR="00B55C1E" w:rsidRPr="00954547">
        <w:rPr>
          <w:color w:val="auto"/>
          <w:lang w:val="en-US"/>
        </w:rPr>
        <w:t>”</w:t>
      </w:r>
      <w:r w:rsidR="00B55C1E" w:rsidRPr="00954547">
        <w:rPr>
          <w:rStyle w:val="FootnoteReference"/>
          <w:rFonts w:eastAsiaTheme="minorHAnsi"/>
          <w:color w:val="auto"/>
          <w:lang w:val="en-US"/>
        </w:rPr>
        <w:footnoteReference w:id="418"/>
      </w:r>
      <w:r w:rsidR="00B55C1E" w:rsidRPr="00954547">
        <w:rPr>
          <w:color w:val="auto"/>
          <w:lang w:val="en-US"/>
        </w:rPr>
        <w:t xml:space="preserve"> </w:t>
      </w:r>
      <w:r w:rsidR="00DA6738" w:rsidRPr="00954547">
        <w:rPr>
          <w:color w:val="auto"/>
          <w:lang w:val="en-US"/>
        </w:rPr>
        <w:t>The Court has also indicated that gender-based violence “encompasses acts that inflict physical, mental or sexual harm or suffering, threats to commit such acts, coercion and other forms of deprivation of liberty.</w:t>
      </w:r>
      <w:r w:rsidR="00B55C1E" w:rsidRPr="00954547">
        <w:rPr>
          <w:color w:val="auto"/>
          <w:lang w:val="en-US"/>
        </w:rPr>
        <w:t>”</w:t>
      </w:r>
      <w:r w:rsidR="00B55C1E" w:rsidRPr="00954547">
        <w:rPr>
          <w:rStyle w:val="FootnoteReference"/>
          <w:rFonts w:eastAsiaTheme="minorHAnsi"/>
          <w:color w:val="auto"/>
          <w:lang w:val="en-US"/>
        </w:rPr>
        <w:footnoteReference w:id="419"/>
      </w:r>
      <w:r w:rsidR="00B55C1E" w:rsidRPr="00954547">
        <w:rPr>
          <w:color w:val="auto"/>
          <w:lang w:val="en-US"/>
        </w:rPr>
        <w:t xml:space="preserve"> </w:t>
      </w:r>
    </w:p>
    <w:p w14:paraId="4BD961E4" w14:textId="5814A5CD" w:rsidR="00EB7A41" w:rsidRPr="00954547" w:rsidRDefault="00A2674F" w:rsidP="00A2674F">
      <w:pPr>
        <w:pStyle w:val="Numberedparagraphs"/>
        <w:tabs>
          <w:tab w:val="clear" w:pos="720"/>
          <w:tab w:val="num" w:pos="567"/>
        </w:tabs>
        <w:rPr>
          <w:rFonts w:eastAsia="Batang"/>
          <w:bCs/>
          <w:color w:val="auto"/>
          <w:lang w:val="en-US" w:eastAsia="es-MX"/>
        </w:rPr>
      </w:pPr>
      <w:r w:rsidRPr="00954547">
        <w:rPr>
          <w:rFonts w:eastAsia="Batang"/>
          <w:bCs/>
          <w:color w:val="auto"/>
          <w:lang w:val="en-US" w:eastAsia="es-MX"/>
        </w:rPr>
        <w:t>Based on the foregoing</w:t>
      </w:r>
      <w:r w:rsidR="00DA6738" w:rsidRPr="00954547">
        <w:rPr>
          <w:rFonts w:eastAsia="Batang"/>
          <w:bCs/>
          <w:color w:val="auto"/>
          <w:lang w:val="en-US" w:eastAsia="es-MX"/>
        </w:rPr>
        <w:t xml:space="preserve">, the Court notes that, owing to the ambiguity of the laws on </w:t>
      </w:r>
      <w:r w:rsidR="00674DA3" w:rsidRPr="00954547">
        <w:rPr>
          <w:rFonts w:eastAsia="Batang"/>
          <w:bCs/>
          <w:color w:val="auto"/>
          <w:lang w:val="en-US" w:eastAsia="es-MX"/>
        </w:rPr>
        <w:t xml:space="preserve">professional </w:t>
      </w:r>
      <w:r w:rsidR="002B5A5F" w:rsidRPr="00954547">
        <w:rPr>
          <w:rFonts w:eastAsia="Batang"/>
          <w:bCs/>
          <w:color w:val="auto"/>
          <w:lang w:val="en-US" w:eastAsia="es-MX"/>
        </w:rPr>
        <w:t>secrecy</w:t>
      </w:r>
      <w:r w:rsidR="00DA6738" w:rsidRPr="00954547">
        <w:rPr>
          <w:rFonts w:eastAsia="Batang"/>
          <w:bCs/>
          <w:color w:val="auto"/>
          <w:lang w:val="en-US" w:eastAsia="es-MX"/>
        </w:rPr>
        <w:t xml:space="preserve"> </w:t>
      </w:r>
      <w:r w:rsidR="0078694F" w:rsidRPr="00954547">
        <w:rPr>
          <w:rFonts w:eastAsia="Batang"/>
          <w:bCs/>
          <w:color w:val="auto"/>
          <w:lang w:val="en-US" w:eastAsia="es-MX"/>
        </w:rPr>
        <w:t xml:space="preserve">and </w:t>
      </w:r>
      <w:r w:rsidR="00DA6738" w:rsidRPr="00954547">
        <w:rPr>
          <w:rFonts w:eastAsia="Batang"/>
          <w:bCs/>
          <w:color w:val="auto"/>
          <w:lang w:val="en-US" w:eastAsia="es-MX"/>
        </w:rPr>
        <w:t xml:space="preserve">the reporting obligation, if Manuela </w:t>
      </w:r>
      <w:r w:rsidR="002B5A5F" w:rsidRPr="00954547">
        <w:rPr>
          <w:rFonts w:eastAsia="Batang"/>
          <w:bCs/>
          <w:color w:val="auto"/>
          <w:lang w:val="en-US" w:eastAsia="es-MX"/>
        </w:rPr>
        <w:t>had recourse</w:t>
      </w:r>
      <w:r w:rsidR="00DA6738" w:rsidRPr="00954547">
        <w:rPr>
          <w:rFonts w:eastAsia="Batang"/>
          <w:bCs/>
          <w:color w:val="auto"/>
          <w:lang w:val="en-US" w:eastAsia="es-MX"/>
        </w:rPr>
        <w:t xml:space="preserve"> to the medical services to treat the </w:t>
      </w:r>
      <w:r w:rsidR="00B72FE4" w:rsidRPr="00954547">
        <w:rPr>
          <w:rFonts w:eastAsia="Batang"/>
          <w:bCs/>
          <w:color w:val="auto"/>
          <w:lang w:val="en-US" w:eastAsia="es-MX"/>
        </w:rPr>
        <w:t>obstetric emergency</w:t>
      </w:r>
      <w:r w:rsidR="006E4522" w:rsidRPr="00954547">
        <w:rPr>
          <w:rFonts w:eastAsia="Batang"/>
          <w:bCs/>
          <w:color w:val="auto"/>
          <w:lang w:val="en-US" w:eastAsia="es-MX"/>
        </w:rPr>
        <w:t xml:space="preserve"> </w:t>
      </w:r>
      <w:r w:rsidR="00DA6738" w:rsidRPr="00954547">
        <w:rPr>
          <w:rFonts w:eastAsia="Batang"/>
          <w:bCs/>
          <w:color w:val="auto"/>
          <w:lang w:val="en-US" w:eastAsia="es-MX"/>
        </w:rPr>
        <w:t>that jeopardized her</w:t>
      </w:r>
      <w:r w:rsidR="006E4522" w:rsidRPr="00954547">
        <w:rPr>
          <w:rFonts w:eastAsia="Batang"/>
          <w:bCs/>
          <w:color w:val="auto"/>
          <w:lang w:val="en-US" w:eastAsia="es-MX"/>
        </w:rPr>
        <w:t xml:space="preserve"> </w:t>
      </w:r>
      <w:r w:rsidR="00BC7072" w:rsidRPr="00954547">
        <w:rPr>
          <w:rFonts w:eastAsia="Batang"/>
          <w:bCs/>
          <w:color w:val="auto"/>
          <w:lang w:val="en-US" w:eastAsia="es-MX"/>
        </w:rPr>
        <w:t>health</w:t>
      </w:r>
      <w:r w:rsidR="006E4522" w:rsidRPr="00954547">
        <w:rPr>
          <w:rFonts w:eastAsia="Batang"/>
          <w:bCs/>
          <w:color w:val="auto"/>
          <w:lang w:val="en-US" w:eastAsia="es-MX"/>
        </w:rPr>
        <w:t xml:space="preserve"> </w:t>
      </w:r>
      <w:r w:rsidR="00DA6738" w:rsidRPr="00954547">
        <w:rPr>
          <w:rFonts w:eastAsia="Batang"/>
          <w:bCs/>
          <w:color w:val="auto"/>
          <w:lang w:val="en-US" w:eastAsia="es-MX"/>
        </w:rPr>
        <w:t>she could be reported, and this is what happened. Subjecting Manuela to this situation</w:t>
      </w:r>
      <w:r w:rsidRPr="00954547">
        <w:rPr>
          <w:rFonts w:eastAsia="Batang"/>
          <w:bCs/>
          <w:color w:val="auto"/>
          <w:lang w:val="en-US" w:eastAsia="es-MX"/>
        </w:rPr>
        <w:t xml:space="preserve">, which ended </w:t>
      </w:r>
      <w:r w:rsidR="002B5A5F" w:rsidRPr="00954547">
        <w:rPr>
          <w:rFonts w:eastAsia="Batang"/>
          <w:bCs/>
          <w:color w:val="auto"/>
          <w:lang w:val="en-US" w:eastAsia="es-MX"/>
        </w:rPr>
        <w:t>by</w:t>
      </w:r>
      <w:r w:rsidRPr="00954547">
        <w:rPr>
          <w:rFonts w:eastAsia="Batang"/>
          <w:bCs/>
          <w:color w:val="auto"/>
          <w:lang w:val="en-US" w:eastAsia="es-MX"/>
        </w:rPr>
        <w:t xml:space="preserve"> totally ruining her life, in addition to discriminatory, constituted an act of violence against women. Consequently, the Court concludes that the State failed to comply with its obligation to refrain from </w:t>
      </w:r>
      <w:r w:rsidRPr="00954547">
        <w:rPr>
          <w:rFonts w:eastAsia="Batang"/>
          <w:color w:val="auto"/>
          <w:lang w:val="en-US" w:eastAsia="es-MX"/>
        </w:rPr>
        <w:t xml:space="preserve">any act or practice of violence against women and ensure that its authorities, officials, agents and institutions act in conformity with this obligation, contravening </w:t>
      </w:r>
      <w:r w:rsidR="00A17F8C" w:rsidRPr="00954547">
        <w:rPr>
          <w:lang w:val="en-US"/>
        </w:rPr>
        <w:t>Article</w:t>
      </w:r>
      <w:r w:rsidR="0065511A" w:rsidRPr="00954547">
        <w:rPr>
          <w:lang w:val="en-US"/>
        </w:rPr>
        <w:t xml:space="preserve"> 7</w:t>
      </w:r>
      <w:r w:rsidRPr="00954547">
        <w:rPr>
          <w:lang w:val="en-US"/>
        </w:rPr>
        <w:t>(</w:t>
      </w:r>
      <w:r w:rsidR="0065511A" w:rsidRPr="00954547">
        <w:rPr>
          <w:lang w:val="en-US"/>
        </w:rPr>
        <w:t xml:space="preserve">a) </w:t>
      </w:r>
      <w:r w:rsidR="005E0FD1" w:rsidRPr="00954547">
        <w:rPr>
          <w:lang w:val="en-US"/>
        </w:rPr>
        <w:t>of the Convention of Belém</w:t>
      </w:r>
      <w:r w:rsidR="0065511A" w:rsidRPr="00954547">
        <w:rPr>
          <w:lang w:val="en-US"/>
        </w:rPr>
        <w:t xml:space="preserve"> do Pará.</w:t>
      </w:r>
    </w:p>
    <w:p w14:paraId="4E2EF31E" w14:textId="6C8EA610" w:rsidR="0065511A" w:rsidRPr="00954547" w:rsidRDefault="0065511A" w:rsidP="0065511A">
      <w:pPr>
        <w:pStyle w:val="Heading3"/>
        <w:rPr>
          <w:rFonts w:eastAsia="Batang"/>
          <w:lang w:eastAsia="es-MX"/>
        </w:rPr>
      </w:pPr>
      <w:bookmarkStart w:id="99" w:name="_Toc106353926"/>
      <w:r w:rsidRPr="00954547">
        <w:rPr>
          <w:rFonts w:eastAsia="Batang"/>
          <w:lang w:eastAsia="es-MX"/>
        </w:rPr>
        <w:t>B.7 Conclusi</w:t>
      </w:r>
      <w:r w:rsidR="0050121A" w:rsidRPr="00954547">
        <w:rPr>
          <w:rFonts w:eastAsia="Batang"/>
          <w:lang w:eastAsia="es-MX"/>
        </w:rPr>
        <w:t>o</w:t>
      </w:r>
      <w:r w:rsidRPr="00954547">
        <w:rPr>
          <w:rFonts w:eastAsia="Batang"/>
          <w:lang w:eastAsia="es-MX"/>
        </w:rPr>
        <w:t>n</w:t>
      </w:r>
      <w:bookmarkEnd w:id="99"/>
    </w:p>
    <w:p w14:paraId="55B35632" w14:textId="77EBE913" w:rsidR="003E32B0" w:rsidRPr="00954547" w:rsidRDefault="0050121A" w:rsidP="00FC7A42">
      <w:pPr>
        <w:pStyle w:val="Numberedparagraphs"/>
        <w:tabs>
          <w:tab w:val="clear" w:pos="720"/>
          <w:tab w:val="num" w:pos="567"/>
        </w:tabs>
        <w:rPr>
          <w:rFonts w:eastAsia="Batang"/>
          <w:bCs/>
          <w:color w:val="auto"/>
          <w:lang w:val="en-US" w:eastAsia="es-MX"/>
        </w:rPr>
      </w:pPr>
      <w:bookmarkStart w:id="100" w:name="_Ref86675733"/>
      <w:r w:rsidRPr="00954547">
        <w:rPr>
          <w:lang w:val="en-US"/>
        </w:rPr>
        <w:t xml:space="preserve">Based on the above, </w:t>
      </w:r>
      <w:r w:rsidR="0065511A" w:rsidRPr="00954547">
        <w:rPr>
          <w:lang w:val="en-US"/>
        </w:rPr>
        <w:t xml:space="preserve">El Salvador </w:t>
      </w:r>
      <w:r w:rsidRPr="00954547">
        <w:rPr>
          <w:lang w:val="en-US"/>
        </w:rPr>
        <w:t xml:space="preserve">is responsible for the violation of the rights recognized in </w:t>
      </w:r>
      <w:r w:rsidR="00A17F8C" w:rsidRPr="00954547">
        <w:rPr>
          <w:lang w:val="en-US"/>
        </w:rPr>
        <w:t>Articles</w:t>
      </w:r>
      <w:r w:rsidR="00FF3D5F" w:rsidRPr="00954547">
        <w:rPr>
          <w:lang w:val="en-US"/>
        </w:rPr>
        <w:t xml:space="preserve"> 4, 5</w:t>
      </w:r>
      <w:r w:rsidR="0065511A" w:rsidRPr="00954547">
        <w:rPr>
          <w:lang w:val="en-US"/>
        </w:rPr>
        <w:t>, 11, 24</w:t>
      </w:r>
      <w:r w:rsidR="0078694F" w:rsidRPr="00954547">
        <w:rPr>
          <w:lang w:val="en-US"/>
        </w:rPr>
        <w:t xml:space="preserve"> and </w:t>
      </w:r>
      <w:r w:rsidR="0065511A" w:rsidRPr="00954547">
        <w:rPr>
          <w:lang w:val="en-US"/>
        </w:rPr>
        <w:t>26</w:t>
      </w:r>
      <w:r w:rsidRPr="00954547">
        <w:rPr>
          <w:lang w:val="en-US"/>
        </w:rPr>
        <w:t xml:space="preserve"> in relation to </w:t>
      </w:r>
      <w:r w:rsidR="00A17F8C" w:rsidRPr="00954547">
        <w:rPr>
          <w:lang w:val="en-US"/>
        </w:rPr>
        <w:t xml:space="preserve">Articles 1(1) </w:t>
      </w:r>
      <w:r w:rsidR="0078694F" w:rsidRPr="00954547">
        <w:rPr>
          <w:lang w:val="en-US"/>
        </w:rPr>
        <w:t xml:space="preserve">and </w:t>
      </w:r>
      <w:r w:rsidR="0065511A" w:rsidRPr="00954547">
        <w:rPr>
          <w:lang w:val="en-US"/>
        </w:rPr>
        <w:t>2</w:t>
      </w:r>
      <w:r w:rsidR="005E0FD1" w:rsidRPr="00954547">
        <w:rPr>
          <w:lang w:val="en-US"/>
        </w:rPr>
        <w:t xml:space="preserve"> of the American Convention</w:t>
      </w:r>
      <w:r w:rsidR="0065511A" w:rsidRPr="00954547">
        <w:rPr>
          <w:lang w:val="en-US"/>
        </w:rPr>
        <w:t xml:space="preserve">, </w:t>
      </w:r>
      <w:r w:rsidR="0078694F" w:rsidRPr="00954547">
        <w:rPr>
          <w:lang w:val="en-US"/>
        </w:rPr>
        <w:t>to the detriment of</w:t>
      </w:r>
      <w:r w:rsidR="0065511A" w:rsidRPr="00954547">
        <w:rPr>
          <w:lang w:val="en-US"/>
        </w:rPr>
        <w:t xml:space="preserve"> Manuela. </w:t>
      </w:r>
      <w:r w:rsidRPr="00954547">
        <w:rPr>
          <w:lang w:val="en-US"/>
        </w:rPr>
        <w:t>T</w:t>
      </w:r>
      <w:r w:rsidR="00B8393C" w:rsidRPr="00954547">
        <w:rPr>
          <w:lang w:val="en-US"/>
        </w:rPr>
        <w:t>he State</w:t>
      </w:r>
      <w:r w:rsidR="0065511A" w:rsidRPr="00954547">
        <w:rPr>
          <w:lang w:val="en-US"/>
        </w:rPr>
        <w:t xml:space="preserve"> </w:t>
      </w:r>
      <w:r w:rsidRPr="00954547">
        <w:rPr>
          <w:lang w:val="en-US"/>
        </w:rPr>
        <w:t xml:space="preserve">is also responsible for non-compliance with its obligations under </w:t>
      </w:r>
      <w:r w:rsidR="00A17F8C" w:rsidRPr="00954547">
        <w:rPr>
          <w:lang w:val="en-US"/>
        </w:rPr>
        <w:t>Article</w:t>
      </w:r>
      <w:r w:rsidR="0065511A" w:rsidRPr="00954547">
        <w:rPr>
          <w:lang w:val="en-US"/>
        </w:rPr>
        <w:t xml:space="preserve"> 7</w:t>
      </w:r>
      <w:r w:rsidRPr="00954547">
        <w:rPr>
          <w:lang w:val="en-US"/>
        </w:rPr>
        <w:t>(</w:t>
      </w:r>
      <w:r w:rsidR="0065511A" w:rsidRPr="00954547">
        <w:rPr>
          <w:lang w:val="en-US"/>
        </w:rPr>
        <w:t xml:space="preserve">a) </w:t>
      </w:r>
      <w:r w:rsidR="005E0FD1" w:rsidRPr="00954547">
        <w:rPr>
          <w:lang w:val="en-US"/>
        </w:rPr>
        <w:t>of the Convention of Belém</w:t>
      </w:r>
      <w:r w:rsidR="0065511A" w:rsidRPr="00954547">
        <w:rPr>
          <w:lang w:val="en-US"/>
        </w:rPr>
        <w:t xml:space="preserve"> do Pará.</w:t>
      </w:r>
      <w:bookmarkEnd w:id="100"/>
    </w:p>
    <w:p w14:paraId="093DF677" w14:textId="78432FB3" w:rsidR="004C632B" w:rsidRPr="00954547" w:rsidRDefault="003E32B0" w:rsidP="00386B24">
      <w:pPr>
        <w:pStyle w:val="Heading1"/>
        <w:tabs>
          <w:tab w:val="left" w:pos="567"/>
        </w:tabs>
      </w:pPr>
      <w:bookmarkStart w:id="101" w:name="_Toc106353927"/>
      <w:r w:rsidRPr="00954547">
        <w:t>VI</w:t>
      </w:r>
      <w:r w:rsidR="00EB564A" w:rsidRPr="00954547">
        <w:t>I</w:t>
      </w:r>
      <w:r w:rsidRPr="00954547">
        <w:t>I-</w:t>
      </w:r>
      <w:r w:rsidR="00FC7A42" w:rsidRPr="00954547">
        <w:t>4</w:t>
      </w:r>
      <w:r w:rsidR="004C632B" w:rsidRPr="00954547">
        <w:br/>
      </w:r>
      <w:r w:rsidR="0050121A" w:rsidRPr="00954547">
        <w:t>RIGHT TO</w:t>
      </w:r>
      <w:r w:rsidR="004C632B" w:rsidRPr="00954547">
        <w:t xml:space="preserve"> </w:t>
      </w:r>
      <w:r w:rsidR="00EE7DEB" w:rsidRPr="00954547">
        <w:t>PERSONAL INTEGRITY</w:t>
      </w:r>
      <w:r w:rsidR="004C632B" w:rsidRPr="00954547">
        <w:t xml:space="preserve"> </w:t>
      </w:r>
      <w:r w:rsidR="00BC7072" w:rsidRPr="00954547">
        <w:t>OF THE FAMILY MEMBERS</w:t>
      </w:r>
      <w:r w:rsidR="00A67AE9" w:rsidRPr="00954547">
        <w:rPr>
          <w:rStyle w:val="FootnoteReference"/>
        </w:rPr>
        <w:footnoteReference w:id="420"/>
      </w:r>
      <w:r w:rsidR="005F7EB5" w:rsidRPr="00954547">
        <w:t xml:space="preserve"> </w:t>
      </w:r>
      <w:r w:rsidR="005F7EB5" w:rsidRPr="00954547">
        <w:rPr>
          <w:rStyle w:val="FootnoteReference"/>
        </w:rPr>
        <w:footnoteReference w:id="421"/>
      </w:r>
      <w:r w:rsidR="005F7EB5" w:rsidRPr="00954547">
        <w:t xml:space="preserve"> </w:t>
      </w:r>
      <w:r w:rsidR="009E3F9E" w:rsidRPr="00954547">
        <w:t>IN RELATION TO THE OBLIGATION TO RESPECT</w:t>
      </w:r>
      <w:r w:rsidR="0050121A" w:rsidRPr="00954547">
        <w:t xml:space="preserve"> RIGHT</w:t>
      </w:r>
      <w:r w:rsidR="005F6093" w:rsidRPr="00954547">
        <w:t>S</w:t>
      </w:r>
      <w:r w:rsidR="005F7EB5" w:rsidRPr="00954547">
        <w:rPr>
          <w:rStyle w:val="FootnoteReference"/>
        </w:rPr>
        <w:footnoteReference w:id="422"/>
      </w:r>
      <w:bookmarkEnd w:id="101"/>
    </w:p>
    <w:p w14:paraId="6EDFE9E4" w14:textId="32D707C5" w:rsidR="004C632B" w:rsidRPr="00954547" w:rsidRDefault="00B8393C" w:rsidP="000365EC">
      <w:pPr>
        <w:pStyle w:val="Heading2"/>
        <w:numPr>
          <w:ilvl w:val="0"/>
          <w:numId w:val="17"/>
        </w:numPr>
        <w:tabs>
          <w:tab w:val="left" w:pos="567"/>
        </w:tabs>
        <w:ind w:left="567" w:firstLine="0"/>
        <w:rPr>
          <w:lang w:val="en-US"/>
        </w:rPr>
      </w:pPr>
      <w:bookmarkStart w:id="102" w:name="_Toc106353928"/>
      <w:r w:rsidRPr="00954547">
        <w:rPr>
          <w:lang w:val="en-US"/>
        </w:rPr>
        <w:t>Arguments</w:t>
      </w:r>
      <w:r w:rsidR="003A0C7A" w:rsidRPr="00954547">
        <w:rPr>
          <w:lang w:val="en-US"/>
        </w:rPr>
        <w:t xml:space="preserve"> of the parties and the</w:t>
      </w:r>
      <w:r w:rsidR="00607E12" w:rsidRPr="00954547">
        <w:rPr>
          <w:lang w:val="en-US"/>
        </w:rPr>
        <w:t xml:space="preserve"> </w:t>
      </w:r>
      <w:r w:rsidR="00E76B1A" w:rsidRPr="00954547">
        <w:rPr>
          <w:lang w:val="en-US"/>
        </w:rPr>
        <w:t>Commission</w:t>
      </w:r>
      <w:bookmarkEnd w:id="102"/>
    </w:p>
    <w:p w14:paraId="4A810D54" w14:textId="67253C5E" w:rsidR="00271D7C" w:rsidRPr="00954547" w:rsidRDefault="00B8393C" w:rsidP="00750E6D">
      <w:pPr>
        <w:pStyle w:val="Numberedparagraphs"/>
        <w:tabs>
          <w:tab w:val="left" w:pos="567"/>
        </w:tabs>
        <w:autoSpaceDE w:val="0"/>
        <w:autoSpaceDN w:val="0"/>
        <w:adjustRightInd w:val="0"/>
        <w:contextualSpacing/>
        <w:rPr>
          <w:lang w:val="en-US"/>
        </w:rPr>
      </w:pPr>
      <w:r w:rsidRPr="00954547">
        <w:rPr>
          <w:lang w:val="en-US"/>
        </w:rPr>
        <w:t xml:space="preserve">The </w:t>
      </w:r>
      <w:r w:rsidR="006E0D5E" w:rsidRPr="00954547">
        <w:rPr>
          <w:b/>
          <w:bCs/>
          <w:i/>
          <w:iCs/>
          <w:lang w:val="en-US"/>
        </w:rPr>
        <w:t>representatives</w:t>
      </w:r>
      <w:r w:rsidR="00271D7C" w:rsidRPr="00954547">
        <w:rPr>
          <w:b/>
          <w:i/>
          <w:lang w:val="en-US"/>
        </w:rPr>
        <w:t xml:space="preserve"> </w:t>
      </w:r>
      <w:r w:rsidR="009C47E7" w:rsidRPr="00954547">
        <w:rPr>
          <w:lang w:val="en-US"/>
        </w:rPr>
        <w:t>argued that</w:t>
      </w:r>
      <w:r w:rsidR="00271D7C" w:rsidRPr="00954547">
        <w:rPr>
          <w:lang w:val="en-US"/>
        </w:rPr>
        <w:t xml:space="preserve"> “</w:t>
      </w:r>
      <w:r w:rsidRPr="00954547">
        <w:rPr>
          <w:lang w:val="en-US"/>
        </w:rPr>
        <w:t xml:space="preserve">the </w:t>
      </w:r>
      <w:r w:rsidR="009C47E7" w:rsidRPr="00954547">
        <w:rPr>
          <w:lang w:val="en-US"/>
        </w:rPr>
        <w:t xml:space="preserve">Salvadoran </w:t>
      </w:r>
      <w:r w:rsidRPr="00954547">
        <w:rPr>
          <w:lang w:val="en-US"/>
        </w:rPr>
        <w:t>State</w:t>
      </w:r>
      <w:r w:rsidR="009C47E7" w:rsidRPr="00954547">
        <w:rPr>
          <w:lang w:val="en-US"/>
        </w:rPr>
        <w:t xml:space="preserve"> is internationally responsible for the violation </w:t>
      </w:r>
      <w:r w:rsidR="00F6091D" w:rsidRPr="00954547">
        <w:rPr>
          <w:lang w:val="en-US"/>
        </w:rPr>
        <w:t xml:space="preserve">of the </w:t>
      </w:r>
      <w:r w:rsidR="00BC7072" w:rsidRPr="00954547">
        <w:rPr>
          <w:lang w:val="en-US"/>
        </w:rPr>
        <w:t>right to</w:t>
      </w:r>
      <w:r w:rsidR="00271D7C" w:rsidRPr="00954547">
        <w:rPr>
          <w:lang w:val="en-US"/>
        </w:rPr>
        <w:t xml:space="preserve"> </w:t>
      </w:r>
      <w:r w:rsidR="00144817" w:rsidRPr="00954547">
        <w:rPr>
          <w:lang w:val="en-US"/>
        </w:rPr>
        <w:t>personal integrity</w:t>
      </w:r>
      <w:r w:rsidR="00271D7C" w:rsidRPr="00954547">
        <w:rPr>
          <w:lang w:val="en-US"/>
        </w:rPr>
        <w:t xml:space="preserve"> </w:t>
      </w:r>
      <w:r w:rsidR="00BC7072" w:rsidRPr="00954547">
        <w:rPr>
          <w:lang w:val="en-US"/>
        </w:rPr>
        <w:t>of the members</w:t>
      </w:r>
      <w:r w:rsidR="00271D7C" w:rsidRPr="00954547">
        <w:rPr>
          <w:lang w:val="en-US"/>
        </w:rPr>
        <w:t xml:space="preserve"> </w:t>
      </w:r>
      <w:r w:rsidR="009C47E7" w:rsidRPr="00954547">
        <w:rPr>
          <w:lang w:val="en-US"/>
        </w:rPr>
        <w:t>of</w:t>
      </w:r>
      <w:r w:rsidR="00271D7C" w:rsidRPr="00954547">
        <w:rPr>
          <w:lang w:val="en-US"/>
        </w:rPr>
        <w:t xml:space="preserve"> Manuela</w:t>
      </w:r>
      <w:r w:rsidR="009C47E7" w:rsidRPr="00954547">
        <w:rPr>
          <w:lang w:val="en-US"/>
        </w:rPr>
        <w:t>’s family.</w:t>
      </w:r>
      <w:r w:rsidR="00271D7C" w:rsidRPr="00954547">
        <w:rPr>
          <w:lang w:val="en-US"/>
        </w:rPr>
        <w:t>”</w:t>
      </w:r>
      <w:r w:rsidR="00C5479A" w:rsidRPr="00954547">
        <w:rPr>
          <w:lang w:val="en-US"/>
        </w:rPr>
        <w:t xml:space="preserve"> </w:t>
      </w:r>
      <w:r w:rsidR="0038610B" w:rsidRPr="00954547">
        <w:rPr>
          <w:lang w:val="en-US"/>
        </w:rPr>
        <w:t>They</w:t>
      </w:r>
      <w:r w:rsidR="00C5479A" w:rsidRPr="00954547">
        <w:rPr>
          <w:lang w:val="en-US"/>
        </w:rPr>
        <w:t xml:space="preserve"> indicated that</w:t>
      </w:r>
      <w:r w:rsidR="00271D7C" w:rsidRPr="00954547">
        <w:rPr>
          <w:lang w:val="en-US"/>
        </w:rPr>
        <w:t xml:space="preserve">: </w:t>
      </w:r>
      <w:r w:rsidR="00C5479A" w:rsidRPr="00954547">
        <w:rPr>
          <w:lang w:val="en-US"/>
        </w:rPr>
        <w:t>(</w:t>
      </w:r>
      <w:r w:rsidR="00271D7C" w:rsidRPr="00954547">
        <w:rPr>
          <w:lang w:val="en-US"/>
        </w:rPr>
        <w:t xml:space="preserve">i) </w:t>
      </w:r>
      <w:r w:rsidR="00FF2DDD" w:rsidRPr="00954547">
        <w:rPr>
          <w:lang w:val="en-US"/>
        </w:rPr>
        <w:t>Manuela’s father</w:t>
      </w:r>
      <w:r w:rsidR="00271D7C" w:rsidRPr="00954547">
        <w:rPr>
          <w:lang w:val="en-US"/>
        </w:rPr>
        <w:t xml:space="preserve"> suf</w:t>
      </w:r>
      <w:r w:rsidR="00C5479A" w:rsidRPr="00954547">
        <w:rPr>
          <w:lang w:val="en-US"/>
        </w:rPr>
        <w:t>fered serious mental health problems owing to the anguish of not know</w:t>
      </w:r>
      <w:r w:rsidR="0038610B" w:rsidRPr="00954547">
        <w:rPr>
          <w:lang w:val="en-US"/>
        </w:rPr>
        <w:t>ing</w:t>
      </w:r>
      <w:r w:rsidR="00C5479A" w:rsidRPr="00954547">
        <w:rPr>
          <w:lang w:val="en-US"/>
        </w:rPr>
        <w:t xml:space="preserve"> what would happen to his daughter, as well as to the treatment by the authorities, the financial difficulties to be able to visit Manuela, and realizing that he had signed a complaint against his daughter; (ii) Manuela’s mother’s physical and mental integrity were seriously affected as a result of the search of her home and the threats made by the authorities, the injustice that her daughter suffered, the helplessness she felt knowing that her daughter was dying without being able to see her, and the mistreatment she suffered at the hands of the prison staff when visiting her daughter in prison; (iii) Manuela’s sons were significantly affected “because they lost their only </w:t>
      </w:r>
      <w:r w:rsidR="00750E6D" w:rsidRPr="00954547">
        <w:rPr>
          <w:lang w:val="en-US"/>
        </w:rPr>
        <w:t xml:space="preserve">parental reference,” as well as due to stigmatization in their community for being </w:t>
      </w:r>
      <w:r w:rsidR="0038610B" w:rsidRPr="00954547">
        <w:rPr>
          <w:lang w:val="en-US"/>
        </w:rPr>
        <w:t xml:space="preserve">the </w:t>
      </w:r>
      <w:r w:rsidR="00750E6D" w:rsidRPr="00954547">
        <w:rPr>
          <w:lang w:val="en-US"/>
        </w:rPr>
        <w:t xml:space="preserve">sons of someone who “killed her baby.” The representatives also indicated that all this </w:t>
      </w:r>
      <w:r w:rsidR="0038610B" w:rsidRPr="00954547">
        <w:rPr>
          <w:lang w:val="en-US"/>
        </w:rPr>
        <w:t>proved</w:t>
      </w:r>
      <w:r w:rsidR="00750E6D" w:rsidRPr="00954547">
        <w:rPr>
          <w:lang w:val="en-US"/>
        </w:rPr>
        <w:t xml:space="preserve"> that the members of Manuela’s family unit “suffered adverse effects and profound anguish owing to the arbitrary deprivation of Manuela’s liberty.” They also argued that there had been unlawful interference in Manuela’s private and family life and, also, that her family did not have the financial resources to pay for travel and transportation expenses. On this basis, they also asked the Court to declare the international responsibility </w:t>
      </w:r>
      <w:r w:rsidR="00607E12" w:rsidRPr="00954547">
        <w:rPr>
          <w:lang w:val="en-US"/>
        </w:rPr>
        <w:t xml:space="preserve">of the </w:t>
      </w:r>
      <w:r w:rsidRPr="00954547">
        <w:rPr>
          <w:lang w:val="en-US"/>
        </w:rPr>
        <w:t>State</w:t>
      </w:r>
      <w:r w:rsidR="00B86748" w:rsidRPr="00954547">
        <w:rPr>
          <w:lang w:val="en-US"/>
        </w:rPr>
        <w:t xml:space="preserve"> </w:t>
      </w:r>
      <w:r w:rsidR="00750E6D" w:rsidRPr="00954547">
        <w:rPr>
          <w:lang w:val="en-US"/>
        </w:rPr>
        <w:t>for the violation of</w:t>
      </w:r>
      <w:r w:rsidR="00B86748" w:rsidRPr="00954547">
        <w:rPr>
          <w:lang w:val="en-US"/>
        </w:rPr>
        <w:t xml:space="preserve"> </w:t>
      </w:r>
      <w:r w:rsidR="00A17F8C" w:rsidRPr="00954547">
        <w:rPr>
          <w:lang w:val="en-US"/>
        </w:rPr>
        <w:t>Articles</w:t>
      </w:r>
      <w:r w:rsidR="00B86748" w:rsidRPr="00954547">
        <w:rPr>
          <w:lang w:val="en-US"/>
        </w:rPr>
        <w:t xml:space="preserve"> 11</w:t>
      </w:r>
      <w:r w:rsidR="00750E6D" w:rsidRPr="00954547">
        <w:rPr>
          <w:lang w:val="en-US"/>
        </w:rPr>
        <w:t>(</w:t>
      </w:r>
      <w:r w:rsidR="005C7EC1" w:rsidRPr="00954547">
        <w:rPr>
          <w:lang w:val="en-US"/>
        </w:rPr>
        <w:t>2</w:t>
      </w:r>
      <w:r w:rsidR="00750E6D" w:rsidRPr="00954547">
        <w:rPr>
          <w:lang w:val="en-US"/>
        </w:rPr>
        <w:t>)</w:t>
      </w:r>
      <w:r w:rsidR="005C7EC1" w:rsidRPr="00954547">
        <w:rPr>
          <w:lang w:val="en-US"/>
        </w:rPr>
        <w:t>, 1</w:t>
      </w:r>
      <w:r w:rsidR="00A17F8C" w:rsidRPr="00954547">
        <w:rPr>
          <w:lang w:val="en-US"/>
        </w:rPr>
        <w:t>7(1)</w:t>
      </w:r>
      <w:r w:rsidR="0078694F" w:rsidRPr="00954547">
        <w:rPr>
          <w:lang w:val="en-US"/>
        </w:rPr>
        <w:t xml:space="preserve"> and </w:t>
      </w:r>
      <w:r w:rsidR="00B86748" w:rsidRPr="00954547">
        <w:rPr>
          <w:lang w:val="en-US"/>
        </w:rPr>
        <w:t>1</w:t>
      </w:r>
      <w:r w:rsidR="004D5AFA" w:rsidRPr="00954547">
        <w:rPr>
          <w:lang w:val="en-US"/>
        </w:rPr>
        <w:t>9</w:t>
      </w:r>
      <w:r w:rsidR="00B86748" w:rsidRPr="00954547">
        <w:rPr>
          <w:lang w:val="en-US"/>
        </w:rPr>
        <w:t xml:space="preserve"> </w:t>
      </w:r>
      <w:r w:rsidR="005E0FD1" w:rsidRPr="00954547">
        <w:rPr>
          <w:lang w:val="en-US"/>
        </w:rPr>
        <w:t>of the Convention</w:t>
      </w:r>
      <w:r w:rsidR="00B86748" w:rsidRPr="00954547">
        <w:rPr>
          <w:lang w:val="en-US"/>
        </w:rPr>
        <w:t xml:space="preserve">. </w:t>
      </w:r>
      <w:r w:rsidR="00271D7C" w:rsidRPr="00954547">
        <w:rPr>
          <w:lang w:val="en-US"/>
        </w:rPr>
        <w:t>N</w:t>
      </w:r>
      <w:r w:rsidR="00750E6D" w:rsidRPr="00954547">
        <w:rPr>
          <w:lang w:val="en-US"/>
        </w:rPr>
        <w:t>either</w:t>
      </w:r>
      <w:r w:rsidR="00271D7C" w:rsidRPr="00954547">
        <w:rPr>
          <w:lang w:val="en-US"/>
        </w:rPr>
        <w:t xml:space="preserve"> </w:t>
      </w:r>
      <w:r w:rsidR="00E76B1A" w:rsidRPr="00954547">
        <w:rPr>
          <w:lang w:val="en-US"/>
        </w:rPr>
        <w:t xml:space="preserve">the </w:t>
      </w:r>
      <w:r w:rsidR="00E76B1A" w:rsidRPr="00954547">
        <w:rPr>
          <w:b/>
          <w:bCs/>
          <w:i/>
          <w:iCs/>
          <w:lang w:val="en-US"/>
        </w:rPr>
        <w:t>Commission</w:t>
      </w:r>
      <w:r w:rsidR="00271D7C" w:rsidRPr="00954547">
        <w:rPr>
          <w:b/>
          <w:lang w:val="en-US"/>
        </w:rPr>
        <w:t xml:space="preserve"> </w:t>
      </w:r>
      <w:r w:rsidR="00271D7C" w:rsidRPr="00954547">
        <w:rPr>
          <w:lang w:val="en-US"/>
        </w:rPr>
        <w:t>n</w:t>
      </w:r>
      <w:r w:rsidR="00750E6D" w:rsidRPr="00954547">
        <w:rPr>
          <w:lang w:val="en-US"/>
        </w:rPr>
        <w:t>or</w:t>
      </w:r>
      <w:r w:rsidR="00271D7C" w:rsidRPr="00954547">
        <w:rPr>
          <w:lang w:val="en-US"/>
        </w:rPr>
        <w:t xml:space="preserve"> </w:t>
      </w:r>
      <w:r w:rsidRPr="00954547">
        <w:rPr>
          <w:lang w:val="en-US"/>
        </w:rPr>
        <w:t xml:space="preserve">the </w:t>
      </w:r>
      <w:r w:rsidRPr="00954547">
        <w:rPr>
          <w:b/>
          <w:bCs/>
          <w:i/>
          <w:iCs/>
          <w:lang w:val="en-US"/>
        </w:rPr>
        <w:t>State</w:t>
      </w:r>
      <w:r w:rsidR="00271D7C" w:rsidRPr="00954547">
        <w:rPr>
          <w:b/>
          <w:lang w:val="en-US"/>
        </w:rPr>
        <w:t xml:space="preserve"> </w:t>
      </w:r>
      <w:r w:rsidR="00271D7C" w:rsidRPr="00954547">
        <w:rPr>
          <w:lang w:val="en-US"/>
        </w:rPr>
        <w:t>present</w:t>
      </w:r>
      <w:r w:rsidR="00750E6D" w:rsidRPr="00954547">
        <w:rPr>
          <w:lang w:val="en-US"/>
        </w:rPr>
        <w:t xml:space="preserve">ed </w:t>
      </w:r>
      <w:r w:rsidRPr="00954547">
        <w:rPr>
          <w:lang w:val="en-US"/>
        </w:rPr>
        <w:t>arguments</w:t>
      </w:r>
      <w:r w:rsidR="00271D7C" w:rsidRPr="00954547">
        <w:rPr>
          <w:lang w:val="en-US"/>
        </w:rPr>
        <w:t xml:space="preserve"> </w:t>
      </w:r>
      <w:r w:rsidR="00750E6D" w:rsidRPr="00954547">
        <w:rPr>
          <w:lang w:val="en-US"/>
        </w:rPr>
        <w:t xml:space="preserve">on the alleged violation of the right to </w:t>
      </w:r>
      <w:r w:rsidR="00144817" w:rsidRPr="00954547">
        <w:rPr>
          <w:lang w:val="en-US"/>
        </w:rPr>
        <w:t>personal integrity</w:t>
      </w:r>
      <w:r w:rsidR="00271D7C" w:rsidRPr="00954547">
        <w:rPr>
          <w:lang w:val="en-US"/>
        </w:rPr>
        <w:t xml:space="preserve"> </w:t>
      </w:r>
      <w:r w:rsidR="00BC7072" w:rsidRPr="00954547">
        <w:rPr>
          <w:lang w:val="en-US"/>
        </w:rPr>
        <w:t>of the</w:t>
      </w:r>
      <w:r w:rsidR="00A3313F" w:rsidRPr="00954547">
        <w:rPr>
          <w:lang w:val="en-US"/>
        </w:rPr>
        <w:t xml:space="preserve"> members of Manuela’s</w:t>
      </w:r>
      <w:r w:rsidR="00BC7072" w:rsidRPr="00954547">
        <w:rPr>
          <w:lang w:val="en-US"/>
        </w:rPr>
        <w:t xml:space="preserve"> fam</w:t>
      </w:r>
      <w:r w:rsidR="00A3313F" w:rsidRPr="00954547">
        <w:rPr>
          <w:lang w:val="en-US"/>
        </w:rPr>
        <w:t>ily.</w:t>
      </w:r>
    </w:p>
    <w:p w14:paraId="6B980A39" w14:textId="5B378ACA" w:rsidR="00271D7C" w:rsidRPr="00954547" w:rsidRDefault="00B8393C" w:rsidP="000365EC">
      <w:pPr>
        <w:pStyle w:val="Heading2"/>
        <w:numPr>
          <w:ilvl w:val="0"/>
          <w:numId w:val="17"/>
        </w:numPr>
        <w:tabs>
          <w:tab w:val="left" w:pos="567"/>
        </w:tabs>
        <w:ind w:left="567" w:firstLine="0"/>
        <w:rPr>
          <w:lang w:val="en-US"/>
        </w:rPr>
      </w:pPr>
      <w:bookmarkStart w:id="103" w:name="_Toc106353929"/>
      <w:r w:rsidRPr="00954547">
        <w:rPr>
          <w:lang w:val="en-US"/>
        </w:rPr>
        <w:t>Considerations</w:t>
      </w:r>
      <w:r w:rsidR="00607E12" w:rsidRPr="00954547">
        <w:rPr>
          <w:lang w:val="en-US"/>
        </w:rPr>
        <w:t xml:space="preserve"> of the </w:t>
      </w:r>
      <w:r w:rsidR="00E76B1A" w:rsidRPr="00954547">
        <w:rPr>
          <w:lang w:val="en-US"/>
        </w:rPr>
        <w:t>Court</w:t>
      </w:r>
      <w:bookmarkEnd w:id="103"/>
    </w:p>
    <w:p w14:paraId="152C478E" w14:textId="239883A0" w:rsidR="00271D7C" w:rsidRPr="00954547" w:rsidRDefault="00E76B1A" w:rsidP="00A3313F">
      <w:pPr>
        <w:pStyle w:val="Numberedparagraphs"/>
        <w:tabs>
          <w:tab w:val="left" w:pos="567"/>
        </w:tabs>
        <w:rPr>
          <w:lang w:val="en-US"/>
        </w:rPr>
      </w:pPr>
      <w:bookmarkStart w:id="104" w:name="_Ref86675761"/>
      <w:r w:rsidRPr="00954547">
        <w:rPr>
          <w:lang w:val="en-US"/>
        </w:rPr>
        <w:t>The Court</w:t>
      </w:r>
      <w:r w:rsidR="00271D7C" w:rsidRPr="00954547">
        <w:rPr>
          <w:lang w:val="en-US"/>
        </w:rPr>
        <w:t xml:space="preserve"> ha</w:t>
      </w:r>
      <w:r w:rsidR="00A3313F" w:rsidRPr="00954547">
        <w:rPr>
          <w:lang w:val="en-US"/>
        </w:rPr>
        <w:t>s repeatedly asserted that the next of kin of victims of human rights violations may, in turn, be victims.</w:t>
      </w:r>
      <w:r w:rsidR="00271D7C" w:rsidRPr="00954547">
        <w:rPr>
          <w:rStyle w:val="FootnoteReference"/>
          <w:lang w:val="en-US"/>
        </w:rPr>
        <w:footnoteReference w:id="423"/>
      </w:r>
      <w:r w:rsidR="00A3313F" w:rsidRPr="00954547">
        <w:rPr>
          <w:lang w:val="en-US"/>
        </w:rPr>
        <w:t xml:space="preserve"> The Court has considered that it is also possible to declare the violation of</w:t>
      </w:r>
      <w:r w:rsidR="00271D7C" w:rsidRPr="00954547">
        <w:rPr>
          <w:lang w:val="en-US"/>
        </w:rPr>
        <w:t xml:space="preserve"> </w:t>
      </w:r>
      <w:r w:rsidR="00BC7072" w:rsidRPr="00954547">
        <w:rPr>
          <w:lang w:val="en-US"/>
        </w:rPr>
        <w:t>the right to</w:t>
      </w:r>
      <w:r w:rsidR="00A3313F" w:rsidRPr="00954547">
        <w:rPr>
          <w:lang w:val="en-US"/>
        </w:rPr>
        <w:t xml:space="preserve"> mental and moral</w:t>
      </w:r>
      <w:r w:rsidR="00271D7C" w:rsidRPr="00954547">
        <w:rPr>
          <w:lang w:val="en-US"/>
        </w:rPr>
        <w:t xml:space="preserve"> integri</w:t>
      </w:r>
      <w:r w:rsidR="00A3313F" w:rsidRPr="00954547">
        <w:rPr>
          <w:lang w:val="en-US"/>
        </w:rPr>
        <w:t xml:space="preserve">ty of “direct family members” of victims and other individuals with close ties to those victims, owing to the additional suffering they have </w:t>
      </w:r>
      <w:r w:rsidR="00B4495F" w:rsidRPr="00954547">
        <w:rPr>
          <w:lang w:val="en-US"/>
        </w:rPr>
        <w:t xml:space="preserve">experienced </w:t>
      </w:r>
      <w:r w:rsidR="00A3313F" w:rsidRPr="00954547">
        <w:rPr>
          <w:lang w:val="en-US"/>
        </w:rPr>
        <w:t>as a result of the particular circumstances of the violations perpetrated against their loved ones and due to the subsequent acts or omissions of the state authorities in relation to those facts,</w:t>
      </w:r>
      <w:r w:rsidR="00271D7C" w:rsidRPr="00954547">
        <w:rPr>
          <w:rStyle w:val="FootnoteReference"/>
          <w:lang w:val="en-US"/>
        </w:rPr>
        <w:footnoteReference w:id="424"/>
      </w:r>
      <w:r w:rsidR="00A3313F" w:rsidRPr="00954547">
        <w:rPr>
          <w:lang w:val="en-US"/>
        </w:rPr>
        <w:t xml:space="preserve"> taking into account, among other matters, the steps taken to obtain justice and the existence of a close family relationship.</w:t>
      </w:r>
      <w:r w:rsidR="00271D7C" w:rsidRPr="00954547">
        <w:rPr>
          <w:rStyle w:val="FootnoteReference"/>
          <w:lang w:val="en-US"/>
        </w:rPr>
        <w:footnoteReference w:id="425"/>
      </w:r>
      <w:bookmarkEnd w:id="104"/>
    </w:p>
    <w:p w14:paraId="303942E4" w14:textId="4B99BD46" w:rsidR="00271D7C" w:rsidRPr="00954547" w:rsidRDefault="00FF2DDD" w:rsidP="001C6305">
      <w:pPr>
        <w:pStyle w:val="Numberedparagraphs"/>
        <w:tabs>
          <w:tab w:val="left" w:pos="567"/>
        </w:tabs>
        <w:rPr>
          <w:lang w:val="en-US"/>
        </w:rPr>
      </w:pPr>
      <w:bookmarkStart w:id="105" w:name="_Ref88034832"/>
      <w:r w:rsidRPr="00954547">
        <w:rPr>
          <w:lang w:val="en-US"/>
        </w:rPr>
        <w:t>Manuela’s mother</w:t>
      </w:r>
      <w:r w:rsidR="00271D7C" w:rsidRPr="00954547">
        <w:rPr>
          <w:lang w:val="en-US"/>
        </w:rPr>
        <w:t xml:space="preserve"> </w:t>
      </w:r>
      <w:r w:rsidR="00A3313F" w:rsidRPr="00954547">
        <w:rPr>
          <w:lang w:val="en-US"/>
        </w:rPr>
        <w:t>stated that</w:t>
      </w:r>
      <w:r w:rsidR="001C6305" w:rsidRPr="00954547">
        <w:rPr>
          <w:lang w:val="en-US"/>
        </w:rPr>
        <w:t xml:space="preserve"> she</w:t>
      </w:r>
      <w:r w:rsidR="00271D7C" w:rsidRPr="00954547">
        <w:rPr>
          <w:lang w:val="en-US"/>
        </w:rPr>
        <w:t xml:space="preserve"> “</w:t>
      </w:r>
      <w:r w:rsidR="00A3313F" w:rsidRPr="00954547">
        <w:rPr>
          <w:lang w:val="en-US"/>
        </w:rPr>
        <w:t>still misses her daughter</w:t>
      </w:r>
      <w:r w:rsidR="001250BA" w:rsidRPr="00954547">
        <w:rPr>
          <w:lang w:val="en-US"/>
        </w:rPr>
        <w:t>, and remember</w:t>
      </w:r>
      <w:r w:rsidR="00B4495F" w:rsidRPr="00954547">
        <w:rPr>
          <w:lang w:val="en-US"/>
        </w:rPr>
        <w:t>s</w:t>
      </w:r>
      <w:r w:rsidR="001250BA" w:rsidRPr="00954547">
        <w:rPr>
          <w:lang w:val="en-US"/>
        </w:rPr>
        <w:t xml:space="preserve"> her every day […]</w:t>
      </w:r>
      <w:r w:rsidR="001C6305" w:rsidRPr="00954547">
        <w:rPr>
          <w:lang w:val="en-US"/>
        </w:rPr>
        <w:t>;</w:t>
      </w:r>
      <w:r w:rsidR="001250BA" w:rsidRPr="00954547">
        <w:rPr>
          <w:lang w:val="en-US"/>
        </w:rPr>
        <w:t xml:space="preserve"> [after what happened she fears and res</w:t>
      </w:r>
      <w:r w:rsidR="001C6305" w:rsidRPr="00954547">
        <w:rPr>
          <w:lang w:val="en-US"/>
        </w:rPr>
        <w:t>en</w:t>
      </w:r>
      <w:r w:rsidR="001250BA" w:rsidRPr="00954547">
        <w:rPr>
          <w:lang w:val="en-US"/>
        </w:rPr>
        <w:t>ts the authorities because] they went to her home to vilify her and her family […] [and] to separate her daughter from her children. This should never have happened. She suffers from nerv</w:t>
      </w:r>
      <w:r w:rsidR="00B4495F" w:rsidRPr="00954547">
        <w:rPr>
          <w:lang w:val="en-US"/>
        </w:rPr>
        <w:t>ousness</w:t>
      </w:r>
      <w:r w:rsidR="001250BA" w:rsidRPr="00954547">
        <w:rPr>
          <w:lang w:val="en-US"/>
        </w:rPr>
        <w:t xml:space="preserve"> and takes pills in order not to </w:t>
      </w:r>
      <w:r w:rsidR="00186529" w:rsidRPr="00954547">
        <w:rPr>
          <w:lang w:val="en-US"/>
        </w:rPr>
        <w:t xml:space="preserve">get </w:t>
      </w:r>
      <w:r w:rsidR="00131C01" w:rsidRPr="00954547">
        <w:rPr>
          <w:lang w:val="en-US"/>
        </w:rPr>
        <w:t>ill</w:t>
      </w:r>
      <w:r w:rsidR="00186529" w:rsidRPr="00954547">
        <w:rPr>
          <w:lang w:val="en-US"/>
        </w:rPr>
        <w:t>.</w:t>
      </w:r>
      <w:r w:rsidR="00271D7C" w:rsidRPr="00954547">
        <w:rPr>
          <w:lang w:val="en-US"/>
        </w:rPr>
        <w:t>”</w:t>
      </w:r>
      <w:r w:rsidR="00271D7C" w:rsidRPr="00954547">
        <w:rPr>
          <w:rStyle w:val="FootnoteReference"/>
          <w:lang w:val="en-US"/>
        </w:rPr>
        <w:footnoteReference w:id="426"/>
      </w:r>
      <w:r w:rsidR="00271D7C" w:rsidRPr="00954547">
        <w:rPr>
          <w:lang w:val="en-US"/>
        </w:rPr>
        <w:t xml:space="preserve"> </w:t>
      </w:r>
      <w:r w:rsidR="00186529" w:rsidRPr="00954547">
        <w:rPr>
          <w:lang w:val="en-US"/>
        </w:rPr>
        <w:t>Meanwhile,</w:t>
      </w:r>
      <w:r w:rsidR="00271D7C" w:rsidRPr="00954547">
        <w:rPr>
          <w:lang w:val="en-US"/>
        </w:rPr>
        <w:t xml:space="preserve"> </w:t>
      </w:r>
      <w:r w:rsidRPr="00954547">
        <w:rPr>
          <w:lang w:val="en-US"/>
        </w:rPr>
        <w:t>Manuela’s father</w:t>
      </w:r>
      <w:r w:rsidR="00186529" w:rsidRPr="00954547">
        <w:rPr>
          <w:lang w:val="en-US"/>
        </w:rPr>
        <w:t xml:space="preserve"> stated that he became “very anxious,</w:t>
      </w:r>
      <w:r w:rsidR="00131C01" w:rsidRPr="00954547">
        <w:rPr>
          <w:lang w:val="en-US"/>
        </w:rPr>
        <w:t xml:space="preserve"> felt lost,</w:t>
      </w:r>
      <w:r w:rsidR="00186529" w:rsidRPr="00954547">
        <w:rPr>
          <w:lang w:val="en-US"/>
        </w:rPr>
        <w:t xml:space="preserve"> could find no peace</w:t>
      </w:r>
      <w:r w:rsidR="00131C01" w:rsidRPr="00954547">
        <w:rPr>
          <w:lang w:val="en-US"/>
        </w:rPr>
        <w:t xml:space="preserve"> of mind</w:t>
      </w:r>
      <w:r w:rsidR="00186529" w:rsidRPr="00954547">
        <w:rPr>
          <w:lang w:val="en-US"/>
        </w:rPr>
        <w:t xml:space="preserve"> and had difficulty sleeping thinking about his daughter and feeling helpless know</w:t>
      </w:r>
      <w:r w:rsidR="00131C01" w:rsidRPr="00954547">
        <w:rPr>
          <w:lang w:val="en-US"/>
        </w:rPr>
        <w:t>ing</w:t>
      </w:r>
      <w:r w:rsidR="00186529" w:rsidRPr="00954547">
        <w:rPr>
          <w:lang w:val="en-US"/>
        </w:rPr>
        <w:t xml:space="preserve"> that she was ill</w:t>
      </w:r>
      <w:r w:rsidR="00131C01" w:rsidRPr="00954547">
        <w:rPr>
          <w:lang w:val="en-US"/>
        </w:rPr>
        <w:t xml:space="preserve"> and</w:t>
      </w:r>
      <w:r w:rsidR="00186529" w:rsidRPr="00954547">
        <w:rPr>
          <w:lang w:val="en-US"/>
        </w:rPr>
        <w:t xml:space="preserve"> alon</w:t>
      </w:r>
      <w:r w:rsidR="00131C01" w:rsidRPr="00954547">
        <w:rPr>
          <w:lang w:val="en-US"/>
        </w:rPr>
        <w:t>e</w:t>
      </w:r>
      <w:r w:rsidR="00186529" w:rsidRPr="00954547">
        <w:rPr>
          <w:lang w:val="en-US"/>
        </w:rPr>
        <w:t xml:space="preserve">, far from her children, and in so much pain. He knew he should stay strong for his family and his grandsons, but his heart was not in it, he pretended to be well, but </w:t>
      </w:r>
      <w:r w:rsidR="001C6305" w:rsidRPr="00954547">
        <w:rPr>
          <w:lang w:val="en-US"/>
        </w:rPr>
        <w:t>really he was a broken man</w:t>
      </w:r>
      <w:r w:rsidR="00271D7C" w:rsidRPr="00954547">
        <w:rPr>
          <w:lang w:val="en-US"/>
        </w:rPr>
        <w:t xml:space="preserve"> […]</w:t>
      </w:r>
      <w:r w:rsidR="001C6305" w:rsidRPr="00954547">
        <w:rPr>
          <w:lang w:val="en-US"/>
        </w:rPr>
        <w:t>.</w:t>
      </w:r>
      <w:r w:rsidR="00271D7C" w:rsidRPr="00954547">
        <w:rPr>
          <w:lang w:val="en-US"/>
        </w:rPr>
        <w:t>”</w:t>
      </w:r>
      <w:r w:rsidR="00271D7C" w:rsidRPr="00954547">
        <w:rPr>
          <w:rStyle w:val="FootnoteReference"/>
          <w:lang w:val="en-US"/>
        </w:rPr>
        <w:footnoteReference w:id="427"/>
      </w:r>
      <w:r w:rsidR="001C6305" w:rsidRPr="00954547">
        <w:rPr>
          <w:lang w:val="en-US"/>
        </w:rPr>
        <w:t xml:space="preserve"> He added that he “regretted that he had never learned how to read because, if he had known how to read, he would never have signed th</w:t>
      </w:r>
      <w:r w:rsidR="00131C01" w:rsidRPr="00954547">
        <w:rPr>
          <w:lang w:val="en-US"/>
        </w:rPr>
        <w:t>e</w:t>
      </w:r>
      <w:r w:rsidR="001C6305" w:rsidRPr="00954547">
        <w:rPr>
          <w:lang w:val="en-US"/>
        </w:rPr>
        <w:t xml:space="preserve"> note that the police gave him.</w:t>
      </w:r>
      <w:r w:rsidR="00271D7C" w:rsidRPr="00954547">
        <w:rPr>
          <w:lang w:val="en-US"/>
        </w:rPr>
        <w:t>”</w:t>
      </w:r>
      <w:r w:rsidR="00271D7C" w:rsidRPr="00954547">
        <w:rPr>
          <w:rStyle w:val="FootnoteReference"/>
          <w:lang w:val="en-US"/>
        </w:rPr>
        <w:footnoteReference w:id="428"/>
      </w:r>
      <w:bookmarkEnd w:id="105"/>
      <w:r w:rsidR="00271D7C" w:rsidRPr="00954547">
        <w:rPr>
          <w:lang w:val="en-US"/>
        </w:rPr>
        <w:t xml:space="preserve"> </w:t>
      </w:r>
    </w:p>
    <w:p w14:paraId="757A7A77" w14:textId="342A8D03" w:rsidR="00271D7C" w:rsidRPr="00954547" w:rsidRDefault="001C6305" w:rsidP="00D034E3">
      <w:pPr>
        <w:pStyle w:val="Numberedparagraphs"/>
        <w:tabs>
          <w:tab w:val="left" w:pos="567"/>
        </w:tabs>
        <w:rPr>
          <w:lang w:val="en-US"/>
        </w:rPr>
      </w:pPr>
      <w:r w:rsidRPr="00954547">
        <w:rPr>
          <w:lang w:val="en-US"/>
        </w:rPr>
        <w:t xml:space="preserve">Manuela’s children were also affected by what happened to their mother. </w:t>
      </w:r>
      <w:r w:rsidR="007744AD" w:rsidRPr="00954547">
        <w:rPr>
          <w:lang w:val="en-US"/>
        </w:rPr>
        <w:t>According to Manuela’s mother, “[a]fter the death of [Manuela], the boys were sad, they grieved and they missed her a lot. They cried, they were angry and it was very difficult to console them. They waited for their mother.</w:t>
      </w:r>
      <w:r w:rsidR="00271D7C" w:rsidRPr="00954547">
        <w:rPr>
          <w:lang w:val="en-US"/>
        </w:rPr>
        <w:t>”</w:t>
      </w:r>
      <w:r w:rsidR="00271D7C" w:rsidRPr="00954547">
        <w:rPr>
          <w:rStyle w:val="FootnoteReference"/>
          <w:lang w:val="en-US"/>
        </w:rPr>
        <w:footnoteReference w:id="429"/>
      </w:r>
      <w:r w:rsidR="00271D7C" w:rsidRPr="00954547">
        <w:rPr>
          <w:lang w:val="en-US"/>
        </w:rPr>
        <w:t xml:space="preserve"> </w:t>
      </w:r>
      <w:r w:rsidR="0060432C" w:rsidRPr="00954547">
        <w:rPr>
          <w:lang w:val="en-US"/>
        </w:rPr>
        <w:t>Manuela’s elder son</w:t>
      </w:r>
      <w:r w:rsidR="00271D7C" w:rsidRPr="00954547">
        <w:rPr>
          <w:lang w:val="en-US"/>
        </w:rPr>
        <w:t xml:space="preserve"> </w:t>
      </w:r>
      <w:r w:rsidR="007744AD" w:rsidRPr="00954547">
        <w:rPr>
          <w:lang w:val="en-US"/>
        </w:rPr>
        <w:t xml:space="preserve">stated that, when he went to visit his mother in the San Miguel prison, he “wanted to talk to her more, </w:t>
      </w:r>
      <w:r w:rsidR="00131C01" w:rsidRPr="00954547">
        <w:rPr>
          <w:lang w:val="en-US"/>
        </w:rPr>
        <w:t xml:space="preserve">to </w:t>
      </w:r>
      <w:r w:rsidR="007744AD" w:rsidRPr="00954547">
        <w:rPr>
          <w:lang w:val="en-US"/>
        </w:rPr>
        <w:t xml:space="preserve">be able to tell her more, but he could not because there was a police agent present during the visit and this frightened him. This situation did not allow him to tell his mother that he missed her, and this was very difficult for him. […] It still </w:t>
      </w:r>
      <w:r w:rsidR="00131C01" w:rsidRPr="00954547">
        <w:rPr>
          <w:lang w:val="en-US"/>
        </w:rPr>
        <w:t>hurts</w:t>
      </w:r>
      <w:r w:rsidR="007744AD" w:rsidRPr="00954547">
        <w:rPr>
          <w:lang w:val="en-US"/>
        </w:rPr>
        <w:t xml:space="preserve"> him to relive that moment because it is the last memory he has of her</w:t>
      </w:r>
      <w:r w:rsidR="00D034E3" w:rsidRPr="00954547">
        <w:rPr>
          <w:lang w:val="en-US"/>
        </w:rPr>
        <w:t>.</w:t>
      </w:r>
      <w:r w:rsidR="00271D7C" w:rsidRPr="00954547">
        <w:rPr>
          <w:lang w:val="en-US"/>
        </w:rPr>
        <w:t>”</w:t>
      </w:r>
      <w:r w:rsidR="00271D7C" w:rsidRPr="00954547">
        <w:rPr>
          <w:rStyle w:val="FootnoteReference"/>
          <w:lang w:val="en-US"/>
        </w:rPr>
        <w:footnoteReference w:id="430"/>
      </w:r>
      <w:r w:rsidR="00D034E3" w:rsidRPr="00954547">
        <w:rPr>
          <w:lang w:val="en-US"/>
        </w:rPr>
        <w:t xml:space="preserve"> He also indicated that he found it “very hard to grow up without his mother;</w:t>
      </w:r>
      <w:r w:rsidR="00271D7C" w:rsidRPr="00954547">
        <w:rPr>
          <w:lang w:val="en-US"/>
        </w:rPr>
        <w:t xml:space="preserve"> […</w:t>
      </w:r>
      <w:r w:rsidR="00D034E3" w:rsidRPr="00954547">
        <w:rPr>
          <w:lang w:val="en-US"/>
        </w:rPr>
        <w:t>h</w:t>
      </w:r>
      <w:r w:rsidR="00271D7C" w:rsidRPr="00954547">
        <w:rPr>
          <w:lang w:val="en-US"/>
        </w:rPr>
        <w:t>]</w:t>
      </w:r>
      <w:r w:rsidR="00D034E3" w:rsidRPr="00954547">
        <w:rPr>
          <w:lang w:val="en-US"/>
        </w:rPr>
        <w:t>e misses her love</w:t>
      </w:r>
      <w:r w:rsidR="00271D7C" w:rsidRPr="00954547">
        <w:rPr>
          <w:lang w:val="en-US"/>
        </w:rPr>
        <w:t xml:space="preserve"> […]</w:t>
      </w:r>
      <w:r w:rsidR="00D034E3" w:rsidRPr="00954547">
        <w:rPr>
          <w:lang w:val="en-US"/>
        </w:rPr>
        <w:t>.</w:t>
      </w:r>
      <w:r w:rsidR="00271D7C" w:rsidRPr="00954547">
        <w:rPr>
          <w:lang w:val="en-US"/>
        </w:rPr>
        <w:t xml:space="preserve"> </w:t>
      </w:r>
      <w:r w:rsidR="00D034E3" w:rsidRPr="00954547">
        <w:rPr>
          <w:lang w:val="en-US"/>
        </w:rPr>
        <w:t>Even though he has few memories of her, he misses her and would like to have her in his life to talk to her and receive her advice.</w:t>
      </w:r>
      <w:r w:rsidR="00271D7C" w:rsidRPr="00954547">
        <w:rPr>
          <w:lang w:val="en-US"/>
        </w:rPr>
        <w:t>”</w:t>
      </w:r>
      <w:r w:rsidR="00271D7C" w:rsidRPr="00954547">
        <w:rPr>
          <w:rStyle w:val="FootnoteReference"/>
          <w:lang w:val="en-US"/>
        </w:rPr>
        <w:footnoteReference w:id="431"/>
      </w:r>
      <w:r w:rsidR="00271D7C" w:rsidRPr="00954547">
        <w:rPr>
          <w:lang w:val="en-US"/>
        </w:rPr>
        <w:t xml:space="preserve"> </w:t>
      </w:r>
      <w:r w:rsidR="00D034E3" w:rsidRPr="00954547">
        <w:rPr>
          <w:lang w:val="en-US"/>
        </w:rPr>
        <w:t xml:space="preserve">Meanwhile, </w:t>
      </w:r>
      <w:r w:rsidR="0060432C" w:rsidRPr="00954547">
        <w:rPr>
          <w:lang w:val="en-US"/>
        </w:rPr>
        <w:t>Manuela’s younger son</w:t>
      </w:r>
      <w:r w:rsidR="00271D7C" w:rsidRPr="00954547">
        <w:rPr>
          <w:lang w:val="en-US"/>
        </w:rPr>
        <w:t xml:space="preserve"> </w:t>
      </w:r>
      <w:r w:rsidR="00D034E3" w:rsidRPr="00954547">
        <w:rPr>
          <w:lang w:val="en-US"/>
        </w:rPr>
        <w:t>stated that</w:t>
      </w:r>
      <w:r w:rsidR="00271D7C" w:rsidRPr="00954547">
        <w:rPr>
          <w:lang w:val="en-US"/>
        </w:rPr>
        <w:t xml:space="preserve"> “[</w:t>
      </w:r>
      <w:r w:rsidR="00D034E3" w:rsidRPr="00954547">
        <w:rPr>
          <w:lang w:val="en-US"/>
        </w:rPr>
        <w:t>i</w:t>
      </w:r>
      <w:r w:rsidR="00271D7C" w:rsidRPr="00954547">
        <w:rPr>
          <w:lang w:val="en-US"/>
        </w:rPr>
        <w:t>]</w:t>
      </w:r>
      <w:r w:rsidR="00D034E3" w:rsidRPr="00954547">
        <w:rPr>
          <w:lang w:val="en-US"/>
        </w:rPr>
        <w:t>t was painful and complicat</w:t>
      </w:r>
      <w:r w:rsidR="004312E9" w:rsidRPr="00954547">
        <w:rPr>
          <w:lang w:val="en-US"/>
        </w:rPr>
        <w:t>ed</w:t>
      </w:r>
      <w:r w:rsidR="00D034E3" w:rsidRPr="00954547">
        <w:rPr>
          <w:lang w:val="en-US"/>
        </w:rPr>
        <w:t xml:space="preserve"> to grow up without a mother. His life was different </w:t>
      </w:r>
      <w:r w:rsidR="00E82E60" w:rsidRPr="00954547">
        <w:rPr>
          <w:lang w:val="en-US"/>
        </w:rPr>
        <w:t xml:space="preserve">from that of other children owing to her absence and because he did not have her guidance. </w:t>
      </w:r>
      <w:r w:rsidR="00271D7C" w:rsidRPr="00954547">
        <w:rPr>
          <w:lang w:val="en-US"/>
        </w:rPr>
        <w:t xml:space="preserve">[…] </w:t>
      </w:r>
      <w:r w:rsidR="00E82E60" w:rsidRPr="00954547">
        <w:rPr>
          <w:lang w:val="en-US"/>
        </w:rPr>
        <w:t>He feels anger and frustration when thinking of the humiliations that his mother endured.</w:t>
      </w:r>
      <w:r w:rsidR="00271D7C" w:rsidRPr="00954547">
        <w:rPr>
          <w:lang w:val="en-US"/>
        </w:rPr>
        <w:t>”</w:t>
      </w:r>
      <w:r w:rsidR="00271D7C" w:rsidRPr="00954547">
        <w:rPr>
          <w:rStyle w:val="FootnoteReference"/>
          <w:lang w:val="en-US"/>
        </w:rPr>
        <w:footnoteReference w:id="432"/>
      </w:r>
    </w:p>
    <w:p w14:paraId="2AC35EAE" w14:textId="65C3E546" w:rsidR="00271D7C" w:rsidRPr="00954547" w:rsidRDefault="00271D7C" w:rsidP="00E82E60">
      <w:pPr>
        <w:pStyle w:val="Numberedparagraphs"/>
        <w:tabs>
          <w:tab w:val="left" w:pos="567"/>
        </w:tabs>
        <w:rPr>
          <w:lang w:val="en-US"/>
        </w:rPr>
      </w:pPr>
      <w:r w:rsidRPr="00954547">
        <w:rPr>
          <w:lang w:val="en-US"/>
        </w:rPr>
        <w:t>Ad</w:t>
      </w:r>
      <w:r w:rsidR="00E82E60" w:rsidRPr="00954547">
        <w:rPr>
          <w:lang w:val="en-US"/>
        </w:rPr>
        <w:t>ditionally, the Court notes that an expert opinion on the psychological impact</w:t>
      </w:r>
      <w:r w:rsidR="004312E9" w:rsidRPr="00954547">
        <w:rPr>
          <w:lang w:val="en-US"/>
        </w:rPr>
        <w:t xml:space="preserve">, which </w:t>
      </w:r>
      <w:r w:rsidR="00E82E60" w:rsidRPr="00954547">
        <w:rPr>
          <w:lang w:val="en-US"/>
        </w:rPr>
        <w:t>the representatives presented to the Commission</w:t>
      </w:r>
      <w:r w:rsidR="004312E9" w:rsidRPr="00954547">
        <w:rPr>
          <w:lang w:val="en-US"/>
        </w:rPr>
        <w:t>,</w:t>
      </w:r>
      <w:r w:rsidR="00E82E60" w:rsidRPr="00954547">
        <w:rPr>
          <w:lang w:val="en-US"/>
        </w:rPr>
        <w:t xml:space="preserve"> concluded that Manuela’s</w:t>
      </w:r>
      <w:r w:rsidR="004312E9" w:rsidRPr="00954547">
        <w:rPr>
          <w:lang w:val="en-US"/>
        </w:rPr>
        <w:t xml:space="preserve"> </w:t>
      </w:r>
      <w:r w:rsidR="00E06394" w:rsidRPr="00954547">
        <w:rPr>
          <w:lang w:val="en-US"/>
        </w:rPr>
        <w:t>family</w:t>
      </w:r>
      <w:r w:rsidR="00E82E60" w:rsidRPr="00954547">
        <w:rPr>
          <w:lang w:val="en-US"/>
        </w:rPr>
        <w:t xml:space="preserve"> suffered from “psychological effects </w:t>
      </w:r>
      <w:r w:rsidR="004312E9" w:rsidRPr="00954547">
        <w:rPr>
          <w:lang w:val="en-US"/>
        </w:rPr>
        <w:t xml:space="preserve">that affect their daily life </w:t>
      </w:r>
      <w:r w:rsidR="00E82E60" w:rsidRPr="00954547">
        <w:rPr>
          <w:lang w:val="en-US"/>
        </w:rPr>
        <w:t xml:space="preserve">with symptoms and characteristics corresponding to post-traumatic stress as a result of the deprivation of liberty and the stigma that </w:t>
      </w:r>
      <w:r w:rsidR="004312E9" w:rsidRPr="00954547">
        <w:rPr>
          <w:lang w:val="en-US"/>
        </w:rPr>
        <w:t xml:space="preserve">has </w:t>
      </w:r>
      <w:r w:rsidR="00E82E60" w:rsidRPr="00954547">
        <w:rPr>
          <w:lang w:val="en-US"/>
        </w:rPr>
        <w:t>remain</w:t>
      </w:r>
      <w:r w:rsidR="004312E9" w:rsidRPr="00954547">
        <w:rPr>
          <w:lang w:val="en-US"/>
        </w:rPr>
        <w:t>ed</w:t>
      </w:r>
      <w:r w:rsidR="00E82E60" w:rsidRPr="00954547">
        <w:rPr>
          <w:lang w:val="en-US"/>
        </w:rPr>
        <w:t xml:space="preserve"> even after the death of their daughter.</w:t>
      </w:r>
      <w:r w:rsidRPr="00954547">
        <w:rPr>
          <w:lang w:val="en-US"/>
        </w:rPr>
        <w:t>”</w:t>
      </w:r>
      <w:r w:rsidRPr="00954547">
        <w:rPr>
          <w:rStyle w:val="FootnoteReference"/>
          <w:lang w:val="en-US"/>
        </w:rPr>
        <w:footnoteReference w:id="433"/>
      </w:r>
    </w:p>
    <w:p w14:paraId="57299782" w14:textId="36CB5ABB" w:rsidR="001C5180" w:rsidRPr="00954547" w:rsidRDefault="00E82E60" w:rsidP="009D0E7D">
      <w:pPr>
        <w:pStyle w:val="Numberedparagraphs"/>
        <w:tabs>
          <w:tab w:val="left" w:pos="567"/>
        </w:tabs>
        <w:rPr>
          <w:lang w:val="en-US"/>
        </w:rPr>
      </w:pPr>
      <w:bookmarkStart w:id="106" w:name="_Ref86675808"/>
      <w:r w:rsidRPr="00954547">
        <w:rPr>
          <w:lang w:val="en-US"/>
        </w:rPr>
        <w:t xml:space="preserve">The evidence in the case file </w:t>
      </w:r>
      <w:r w:rsidR="00271D7C" w:rsidRPr="00954547">
        <w:rPr>
          <w:lang w:val="en-US"/>
        </w:rPr>
        <w:t>a</w:t>
      </w:r>
      <w:r w:rsidRPr="00954547">
        <w:rPr>
          <w:lang w:val="en-US"/>
        </w:rPr>
        <w:t xml:space="preserve">llows the Court to </w:t>
      </w:r>
      <w:r w:rsidR="009D0E7D" w:rsidRPr="00954547">
        <w:rPr>
          <w:lang w:val="en-US"/>
        </w:rPr>
        <w:t xml:space="preserve">confirm that Manuela’s direct family experienced profound suffering and anguish that affected their mental and moral integrity owing to Manuela’s detention, prosecution, imprisonment and death, which persist until today. Consequently, the Court concludes that the State violated </w:t>
      </w:r>
      <w:r w:rsidR="00BC7072" w:rsidRPr="00954547">
        <w:rPr>
          <w:lang w:val="en-US"/>
        </w:rPr>
        <w:t>the right to</w:t>
      </w:r>
      <w:r w:rsidR="00271D7C" w:rsidRPr="00954547">
        <w:rPr>
          <w:lang w:val="en-US"/>
        </w:rPr>
        <w:t xml:space="preserve"> </w:t>
      </w:r>
      <w:r w:rsidR="00144817" w:rsidRPr="00954547">
        <w:rPr>
          <w:lang w:val="en-US"/>
        </w:rPr>
        <w:t>personal integrity</w:t>
      </w:r>
      <w:r w:rsidR="00271D7C" w:rsidRPr="00954547">
        <w:rPr>
          <w:lang w:val="en-US"/>
        </w:rPr>
        <w:t xml:space="preserve"> </w:t>
      </w:r>
      <w:r w:rsidR="009D0E7D" w:rsidRPr="00954547">
        <w:rPr>
          <w:lang w:val="en-US"/>
        </w:rPr>
        <w:t>recognized in</w:t>
      </w:r>
      <w:r w:rsidR="00271D7C" w:rsidRPr="00954547">
        <w:rPr>
          <w:lang w:val="en-US"/>
        </w:rPr>
        <w:t xml:space="preserve"> </w:t>
      </w:r>
      <w:r w:rsidR="00A17F8C" w:rsidRPr="00954547">
        <w:rPr>
          <w:lang w:val="en-US"/>
        </w:rPr>
        <w:t>Article</w:t>
      </w:r>
      <w:r w:rsidR="00271D7C" w:rsidRPr="00954547">
        <w:rPr>
          <w:lang w:val="en-US"/>
        </w:rPr>
        <w:t xml:space="preserve"> </w:t>
      </w:r>
      <w:r w:rsidR="007C78A8" w:rsidRPr="00954547">
        <w:rPr>
          <w:lang w:val="en-US"/>
        </w:rPr>
        <w:t>5(1)</w:t>
      </w:r>
      <w:r w:rsidR="005E0FD1" w:rsidRPr="00954547">
        <w:rPr>
          <w:lang w:val="en-US"/>
        </w:rPr>
        <w:t xml:space="preserve"> of the American Convention</w:t>
      </w:r>
      <w:r w:rsidR="00271D7C" w:rsidRPr="00954547">
        <w:rPr>
          <w:lang w:val="en-US"/>
        </w:rPr>
        <w:t xml:space="preserve">, </w:t>
      </w:r>
      <w:r w:rsidR="009D0E7D" w:rsidRPr="00954547">
        <w:rPr>
          <w:lang w:val="en-US"/>
        </w:rPr>
        <w:t>in relation to</w:t>
      </w:r>
      <w:r w:rsidR="00271D7C" w:rsidRPr="00954547">
        <w:rPr>
          <w:lang w:val="en-US"/>
        </w:rPr>
        <w:t xml:space="preserve"> </w:t>
      </w:r>
      <w:r w:rsidR="00A17F8C" w:rsidRPr="00954547">
        <w:rPr>
          <w:lang w:val="en-US"/>
        </w:rPr>
        <w:t>Article 1(1) of this instrument</w:t>
      </w:r>
      <w:r w:rsidR="00271D7C" w:rsidRPr="00954547">
        <w:rPr>
          <w:lang w:val="en-US"/>
        </w:rPr>
        <w:t xml:space="preserve">, </w:t>
      </w:r>
      <w:r w:rsidR="0078694F" w:rsidRPr="00954547">
        <w:rPr>
          <w:lang w:val="en-US"/>
        </w:rPr>
        <w:t>to the detriment of</w:t>
      </w:r>
      <w:r w:rsidR="009D0E7D" w:rsidRPr="00954547">
        <w:rPr>
          <w:lang w:val="en-US"/>
        </w:rPr>
        <w:t xml:space="preserve"> Manuela’s mother, father, and elder and younger son.</w:t>
      </w:r>
      <w:bookmarkEnd w:id="106"/>
    </w:p>
    <w:p w14:paraId="1A55CCF0" w14:textId="2250CBF1" w:rsidR="00B86748" w:rsidRPr="00954547" w:rsidRDefault="00C521DE" w:rsidP="00C521DE">
      <w:pPr>
        <w:pStyle w:val="Numberedparagraphs"/>
        <w:tabs>
          <w:tab w:val="left" w:pos="567"/>
        </w:tabs>
        <w:rPr>
          <w:lang w:val="en-US"/>
        </w:rPr>
      </w:pPr>
      <w:r w:rsidRPr="00954547">
        <w:rPr>
          <w:lang w:val="en-US"/>
        </w:rPr>
        <w:t>Re</w:t>
      </w:r>
      <w:r w:rsidR="009D0E7D" w:rsidRPr="00954547">
        <w:rPr>
          <w:lang w:val="en-US"/>
        </w:rPr>
        <w:t xml:space="preserve">garding the alleged violations of </w:t>
      </w:r>
      <w:r w:rsidR="00A17F8C" w:rsidRPr="00954547">
        <w:rPr>
          <w:lang w:val="en-US"/>
        </w:rPr>
        <w:t>Articles</w:t>
      </w:r>
      <w:r w:rsidRPr="00954547">
        <w:rPr>
          <w:lang w:val="en-US"/>
        </w:rPr>
        <w:t xml:space="preserve"> 11</w:t>
      </w:r>
      <w:r w:rsidR="009D0E7D" w:rsidRPr="00954547">
        <w:rPr>
          <w:lang w:val="en-US"/>
        </w:rPr>
        <w:t>(</w:t>
      </w:r>
      <w:r w:rsidRPr="00954547">
        <w:rPr>
          <w:lang w:val="en-US"/>
        </w:rPr>
        <w:t>2</w:t>
      </w:r>
      <w:r w:rsidR="009D0E7D" w:rsidRPr="00954547">
        <w:rPr>
          <w:lang w:val="en-US"/>
        </w:rPr>
        <w:t>)</w:t>
      </w:r>
      <w:r w:rsidRPr="00954547">
        <w:rPr>
          <w:lang w:val="en-US"/>
        </w:rPr>
        <w:t>, 1</w:t>
      </w:r>
      <w:r w:rsidR="00A17F8C" w:rsidRPr="00954547">
        <w:rPr>
          <w:lang w:val="en-US"/>
        </w:rPr>
        <w:t>7(1)</w:t>
      </w:r>
      <w:r w:rsidR="0078694F" w:rsidRPr="00954547">
        <w:rPr>
          <w:lang w:val="en-US"/>
        </w:rPr>
        <w:t xml:space="preserve"> and </w:t>
      </w:r>
      <w:r w:rsidRPr="00954547">
        <w:rPr>
          <w:lang w:val="en-US"/>
        </w:rPr>
        <w:t xml:space="preserve">19 </w:t>
      </w:r>
      <w:r w:rsidR="005E0FD1" w:rsidRPr="00954547">
        <w:rPr>
          <w:lang w:val="en-US"/>
        </w:rPr>
        <w:t>of the Convention</w:t>
      </w:r>
      <w:r w:rsidRPr="00954547">
        <w:rPr>
          <w:lang w:val="en-US"/>
        </w:rPr>
        <w:t xml:space="preserve">, </w:t>
      </w:r>
      <w:r w:rsidR="00E76B1A" w:rsidRPr="00954547">
        <w:rPr>
          <w:lang w:val="en-US"/>
        </w:rPr>
        <w:t>the Court</w:t>
      </w:r>
      <w:r w:rsidRPr="00954547">
        <w:rPr>
          <w:lang w:val="en-US"/>
        </w:rPr>
        <w:t xml:space="preserve"> </w:t>
      </w:r>
      <w:r w:rsidR="009D0E7D" w:rsidRPr="00954547">
        <w:rPr>
          <w:lang w:val="en-US"/>
        </w:rPr>
        <w:t>notes that the facts related to those a</w:t>
      </w:r>
      <w:r w:rsidR="00DA1AA9" w:rsidRPr="00954547">
        <w:rPr>
          <w:lang w:val="en-US"/>
        </w:rPr>
        <w:t>llegations</w:t>
      </w:r>
      <w:r w:rsidR="009D0E7D" w:rsidRPr="00954547">
        <w:rPr>
          <w:lang w:val="en-US"/>
        </w:rPr>
        <w:t xml:space="preserve"> are essentially the same as those that it has already examined in this chapter. Therefore, the Court finds that it is not necessary to rule on the alleged violations of the right</w:t>
      </w:r>
      <w:r w:rsidR="00DA1AA9" w:rsidRPr="00954547">
        <w:rPr>
          <w:lang w:val="en-US"/>
        </w:rPr>
        <w:t>s</w:t>
      </w:r>
      <w:r w:rsidR="009D0E7D" w:rsidRPr="00954547">
        <w:rPr>
          <w:lang w:val="en-US"/>
        </w:rPr>
        <w:t xml:space="preserve"> to </w:t>
      </w:r>
      <w:r w:rsidR="0078694F" w:rsidRPr="00954547">
        <w:rPr>
          <w:lang w:val="en-US"/>
        </w:rPr>
        <w:t>priva</w:t>
      </w:r>
      <w:r w:rsidR="00DA1AA9" w:rsidRPr="00954547">
        <w:rPr>
          <w:lang w:val="en-US"/>
        </w:rPr>
        <w:t xml:space="preserve">te and </w:t>
      </w:r>
      <w:r w:rsidR="009D0E7D" w:rsidRPr="00954547">
        <w:rPr>
          <w:lang w:val="en-US"/>
        </w:rPr>
        <w:t>family life</w:t>
      </w:r>
      <w:r w:rsidR="00DA1AA9" w:rsidRPr="00954547">
        <w:rPr>
          <w:lang w:val="en-US"/>
        </w:rPr>
        <w:t>,</w:t>
      </w:r>
      <w:r w:rsidR="009D0E7D" w:rsidRPr="00954547">
        <w:rPr>
          <w:lang w:val="en-US"/>
        </w:rPr>
        <w:t xml:space="preserve"> </w:t>
      </w:r>
      <w:r w:rsidR="00DA1AA9" w:rsidRPr="00954547">
        <w:rPr>
          <w:lang w:val="en-US"/>
        </w:rPr>
        <w:t xml:space="preserve">and to </w:t>
      </w:r>
      <w:r w:rsidR="009D0E7D" w:rsidRPr="00954547">
        <w:rPr>
          <w:lang w:val="en-US"/>
        </w:rPr>
        <w:t>protection of the family, and the rights of the child.</w:t>
      </w:r>
      <w:r w:rsidRPr="00954547">
        <w:rPr>
          <w:rStyle w:val="FootnoteReference"/>
          <w:lang w:val="en-US"/>
        </w:rPr>
        <w:footnoteReference w:id="434"/>
      </w:r>
      <w:r w:rsidR="00B86748" w:rsidRPr="00954547">
        <w:rPr>
          <w:lang w:val="en-US"/>
        </w:rPr>
        <w:t xml:space="preserve">  </w:t>
      </w:r>
    </w:p>
    <w:p w14:paraId="4888B4D7" w14:textId="3D59CF5B" w:rsidR="001C5180" w:rsidRPr="00954547" w:rsidRDefault="00EB564A" w:rsidP="00386B24">
      <w:pPr>
        <w:pStyle w:val="Heading1"/>
        <w:tabs>
          <w:tab w:val="left" w:pos="567"/>
        </w:tabs>
      </w:pPr>
      <w:bookmarkStart w:id="107" w:name="_Toc74298471"/>
      <w:bookmarkStart w:id="108" w:name="_Toc106353930"/>
      <w:r w:rsidRPr="00954547">
        <w:t>IX</w:t>
      </w:r>
      <w:r w:rsidR="001C5180" w:rsidRPr="00954547">
        <w:br/>
      </w:r>
      <w:r w:rsidR="007C78A8" w:rsidRPr="00954547">
        <w:t>REPARATIONS</w:t>
      </w:r>
      <w:bookmarkEnd w:id="107"/>
      <w:bookmarkEnd w:id="108"/>
    </w:p>
    <w:p w14:paraId="3F8E784E" w14:textId="5379D83C" w:rsidR="001C5180" w:rsidRPr="00954547" w:rsidRDefault="009D0E7D" w:rsidP="00A31CC8">
      <w:pPr>
        <w:pStyle w:val="Numberedparagraphs"/>
        <w:tabs>
          <w:tab w:val="clear" w:pos="720"/>
          <w:tab w:val="left" w:pos="567"/>
        </w:tabs>
        <w:rPr>
          <w:lang w:val="en-US"/>
        </w:rPr>
      </w:pPr>
      <w:bookmarkStart w:id="109" w:name="_Toc514063465"/>
      <w:bookmarkStart w:id="110" w:name="_Toc502891616"/>
      <w:bookmarkStart w:id="111" w:name="_Toc502885956"/>
      <w:bookmarkStart w:id="112" w:name="_Toc192587"/>
      <w:bookmarkStart w:id="113" w:name="_Toc32394184"/>
      <w:bookmarkStart w:id="114" w:name="_Toc36823503"/>
      <w:bookmarkStart w:id="115" w:name="_Toc44332538"/>
      <w:r w:rsidRPr="00954547">
        <w:rPr>
          <w:lang w:val="en-US"/>
        </w:rPr>
        <w:t xml:space="preserve">Based on the provisions of </w:t>
      </w:r>
      <w:r w:rsidR="00A17F8C" w:rsidRPr="00954547">
        <w:rPr>
          <w:lang w:val="en-US"/>
        </w:rPr>
        <w:t>Article</w:t>
      </w:r>
      <w:r w:rsidR="001C5180" w:rsidRPr="00954547">
        <w:rPr>
          <w:lang w:val="en-US"/>
        </w:rPr>
        <w:t xml:space="preserve"> 63</w:t>
      </w:r>
      <w:r w:rsidRPr="00954547">
        <w:rPr>
          <w:lang w:val="en-US"/>
        </w:rPr>
        <w:t>(</w:t>
      </w:r>
      <w:r w:rsidR="001C5180" w:rsidRPr="00954547">
        <w:rPr>
          <w:lang w:val="en-US"/>
        </w:rPr>
        <w:t>1</w:t>
      </w:r>
      <w:r w:rsidRPr="00954547">
        <w:rPr>
          <w:lang w:val="en-US"/>
        </w:rPr>
        <w:t>)</w:t>
      </w:r>
      <w:r w:rsidR="005E0FD1" w:rsidRPr="00954547">
        <w:rPr>
          <w:lang w:val="en-US"/>
        </w:rPr>
        <w:t xml:space="preserve"> of the American Convention</w:t>
      </w:r>
      <w:r w:rsidR="001C5180" w:rsidRPr="00954547">
        <w:rPr>
          <w:lang w:val="en-US"/>
        </w:rPr>
        <w:t xml:space="preserve">, </w:t>
      </w:r>
      <w:r w:rsidR="00E76B1A" w:rsidRPr="00954547">
        <w:rPr>
          <w:lang w:val="en-US"/>
        </w:rPr>
        <w:t>the Court</w:t>
      </w:r>
      <w:r w:rsidR="001C5180" w:rsidRPr="00954547">
        <w:rPr>
          <w:lang w:val="en-US"/>
        </w:rPr>
        <w:t xml:space="preserve"> ha</w:t>
      </w:r>
      <w:r w:rsidRPr="00954547">
        <w:rPr>
          <w:lang w:val="en-US"/>
        </w:rPr>
        <w:t>s indicated that any violation of an international obligation that has caused harm entails the obligation to make adequate reparation, and that this provision reflects a customary norm that constitutes one of the fundamental principles of contemporary international law on State responsibility.</w:t>
      </w:r>
      <w:r w:rsidR="00A82004" w:rsidRPr="00954547">
        <w:rPr>
          <w:rStyle w:val="FootnoteReference"/>
          <w:lang w:val="en-US"/>
        </w:rPr>
        <w:footnoteReference w:id="435"/>
      </w:r>
      <w:r w:rsidRPr="00954547">
        <w:rPr>
          <w:lang w:val="en-US"/>
        </w:rPr>
        <w:t xml:space="preserve"> </w:t>
      </w:r>
      <w:r w:rsidR="00A31CC8" w:rsidRPr="00954547">
        <w:rPr>
          <w:lang w:val="en-US"/>
        </w:rPr>
        <w:t>Th</w:t>
      </w:r>
      <w:r w:rsidR="00DA1AA9" w:rsidRPr="00954547">
        <w:rPr>
          <w:lang w:val="en-US"/>
        </w:rPr>
        <w:t>e</w:t>
      </w:r>
      <w:r w:rsidRPr="00954547">
        <w:rPr>
          <w:lang w:val="en-US"/>
        </w:rPr>
        <w:t xml:space="preserve"> Court has </w:t>
      </w:r>
      <w:r w:rsidR="00A31CC8" w:rsidRPr="00954547">
        <w:rPr>
          <w:lang w:val="en-US"/>
        </w:rPr>
        <w:t xml:space="preserve">also </w:t>
      </w:r>
      <w:r w:rsidRPr="00954547">
        <w:rPr>
          <w:lang w:val="en-US"/>
        </w:rPr>
        <w:t>established that</w:t>
      </w:r>
      <w:r w:rsidR="00DA1AA9" w:rsidRPr="00954547">
        <w:rPr>
          <w:lang w:val="en-US"/>
        </w:rPr>
        <w:t xml:space="preserve"> the</w:t>
      </w:r>
      <w:r w:rsidRPr="00954547">
        <w:rPr>
          <w:lang w:val="en-US"/>
        </w:rPr>
        <w:t xml:space="preserve"> reparations must have a causal nexus to the facts of the case, the violations declared, the harm proved, and the measures requested to redress the respective harm. Therefore, the Court must analyze the concurrence of these factors to rule </w:t>
      </w:r>
      <w:r w:rsidR="00A31CC8" w:rsidRPr="00954547">
        <w:rPr>
          <w:lang w:val="en-US"/>
        </w:rPr>
        <w:t>appropriately and pursuant to law.</w:t>
      </w:r>
      <w:r w:rsidR="00A82004" w:rsidRPr="00954547">
        <w:rPr>
          <w:vertAlign w:val="superscript"/>
          <w:lang w:val="en-US"/>
        </w:rPr>
        <w:footnoteReference w:id="436"/>
      </w:r>
      <w:r w:rsidR="00A82004" w:rsidRPr="00954547">
        <w:rPr>
          <w:lang w:val="en-US"/>
        </w:rPr>
        <w:t xml:space="preserve"> </w:t>
      </w:r>
      <w:r w:rsidR="00A31CC8" w:rsidRPr="00954547">
        <w:rPr>
          <w:lang w:val="en-US"/>
        </w:rPr>
        <w:t>In addition, the Court finds that, in this case, the reparations should include an analysis that not only establishes the right of the victims to obtain reparation, but also incorporates a gender perspective in both their formulation and their implementation.</w:t>
      </w:r>
      <w:r w:rsidR="00A82004" w:rsidRPr="00954547">
        <w:rPr>
          <w:rStyle w:val="FootnoteReference"/>
          <w:lang w:val="en-US"/>
        </w:rPr>
        <w:footnoteReference w:id="437"/>
      </w:r>
    </w:p>
    <w:p w14:paraId="57AA228C" w14:textId="72F1DAE4" w:rsidR="001C5180" w:rsidRPr="00954547" w:rsidRDefault="00A31CC8" w:rsidP="00386B24">
      <w:pPr>
        <w:pStyle w:val="Numberedparagraphs"/>
        <w:tabs>
          <w:tab w:val="clear" w:pos="720"/>
          <w:tab w:val="left" w:pos="567"/>
        </w:tabs>
        <w:rPr>
          <w:lang w:val="en-US"/>
        </w:rPr>
      </w:pPr>
      <w:r w:rsidRPr="00954547">
        <w:rPr>
          <w:lang w:val="en-US"/>
        </w:rPr>
        <w:t xml:space="preserve">Consequently, and based on the </w:t>
      </w:r>
      <w:r w:rsidR="00B8393C" w:rsidRPr="00954547">
        <w:rPr>
          <w:lang w:val="en-US"/>
        </w:rPr>
        <w:t>considerations</w:t>
      </w:r>
      <w:r w:rsidR="001C5180" w:rsidRPr="00954547">
        <w:rPr>
          <w:lang w:val="en-US"/>
        </w:rPr>
        <w:t xml:space="preserve"> </w:t>
      </w:r>
      <w:r w:rsidRPr="00954547">
        <w:rPr>
          <w:lang w:val="en-US"/>
        </w:rPr>
        <w:t>set forth on the merits and on the violations of</w:t>
      </w:r>
      <w:r w:rsidR="001C5180" w:rsidRPr="00954547">
        <w:rPr>
          <w:lang w:val="en-US"/>
        </w:rPr>
        <w:t xml:space="preserve"> </w:t>
      </w:r>
      <w:r w:rsidR="00901EB6" w:rsidRPr="00954547">
        <w:rPr>
          <w:lang w:val="en-US"/>
        </w:rPr>
        <w:t>the Convention</w:t>
      </w:r>
      <w:r w:rsidR="001C5180" w:rsidRPr="00954547">
        <w:rPr>
          <w:lang w:val="en-US"/>
        </w:rPr>
        <w:t xml:space="preserve"> declar</w:t>
      </w:r>
      <w:r w:rsidRPr="00954547">
        <w:rPr>
          <w:lang w:val="en-US"/>
        </w:rPr>
        <w:t xml:space="preserve">ed in this judgment, the Court will proceed to examine the claims presented by </w:t>
      </w:r>
      <w:r w:rsidR="00E76B1A" w:rsidRPr="00954547">
        <w:rPr>
          <w:lang w:val="en-US"/>
        </w:rPr>
        <w:t>the Commission</w:t>
      </w:r>
      <w:r w:rsidR="0078694F" w:rsidRPr="00954547">
        <w:rPr>
          <w:lang w:val="en-US"/>
        </w:rPr>
        <w:t xml:space="preserve"> and </w:t>
      </w:r>
      <w:r w:rsidR="00B8393C" w:rsidRPr="00954547">
        <w:rPr>
          <w:lang w:val="en-US"/>
        </w:rPr>
        <w:t xml:space="preserve">the </w:t>
      </w:r>
      <w:r w:rsidRPr="00954547">
        <w:rPr>
          <w:lang w:val="en-US"/>
        </w:rPr>
        <w:t xml:space="preserve">victims’ </w:t>
      </w:r>
      <w:r w:rsidR="006E0D5E" w:rsidRPr="00954547">
        <w:rPr>
          <w:lang w:val="en-US"/>
        </w:rPr>
        <w:t>representatives</w:t>
      </w:r>
      <w:r w:rsidRPr="00954547">
        <w:rPr>
          <w:lang w:val="en-US"/>
        </w:rPr>
        <w:t>, as well as the</w:t>
      </w:r>
      <w:r w:rsidR="001C5180" w:rsidRPr="00954547">
        <w:rPr>
          <w:lang w:val="en-US"/>
        </w:rPr>
        <w:t xml:space="preserve"> </w:t>
      </w:r>
      <w:r w:rsidR="00B8393C" w:rsidRPr="00954547">
        <w:rPr>
          <w:lang w:val="en-US"/>
        </w:rPr>
        <w:t>observations</w:t>
      </w:r>
      <w:r w:rsidR="00607E12" w:rsidRPr="00954547">
        <w:rPr>
          <w:lang w:val="en-US"/>
        </w:rPr>
        <w:t xml:space="preserve"> </w:t>
      </w:r>
      <w:r w:rsidRPr="00954547">
        <w:rPr>
          <w:lang w:val="en-US"/>
        </w:rPr>
        <w:t>made on the</w:t>
      </w:r>
      <w:r w:rsidR="00E06394" w:rsidRPr="00954547">
        <w:rPr>
          <w:lang w:val="en-US"/>
        </w:rPr>
        <w:t>se</w:t>
      </w:r>
      <w:r w:rsidRPr="00954547">
        <w:rPr>
          <w:lang w:val="en-US"/>
        </w:rPr>
        <w:t xml:space="preserve"> by</w:t>
      </w:r>
      <w:r w:rsidR="00607E12" w:rsidRPr="00954547">
        <w:rPr>
          <w:lang w:val="en-US"/>
        </w:rPr>
        <w:t xml:space="preserve"> the </w:t>
      </w:r>
      <w:r w:rsidR="00B8393C" w:rsidRPr="00954547">
        <w:rPr>
          <w:lang w:val="en-US"/>
        </w:rPr>
        <w:t>State</w:t>
      </w:r>
      <w:r w:rsidR="001C5180" w:rsidRPr="00954547">
        <w:rPr>
          <w:lang w:val="en-US"/>
        </w:rPr>
        <w:t>,</w:t>
      </w:r>
      <w:r w:rsidRPr="00954547">
        <w:rPr>
          <w:lang w:val="en-US"/>
        </w:rPr>
        <w:t xml:space="preserve"> in light of the criteria established in its case law concerning the nature and scope of the obligation to make reparation, in order to establish measures to redress the harm caused.</w:t>
      </w:r>
      <w:r w:rsidR="00A82004" w:rsidRPr="00954547">
        <w:rPr>
          <w:rStyle w:val="FootnoteReference"/>
          <w:bCs/>
          <w:lang w:val="en-US"/>
        </w:rPr>
        <w:footnoteReference w:id="438"/>
      </w:r>
    </w:p>
    <w:p w14:paraId="34FC4960" w14:textId="5BFBC3E8" w:rsidR="001C5180" w:rsidRPr="00954547" w:rsidRDefault="00AE734E" w:rsidP="000365EC">
      <w:pPr>
        <w:pStyle w:val="Heading2"/>
        <w:numPr>
          <w:ilvl w:val="0"/>
          <w:numId w:val="19"/>
        </w:numPr>
        <w:tabs>
          <w:tab w:val="clear" w:pos="1134"/>
          <w:tab w:val="left" w:pos="567"/>
        </w:tabs>
        <w:autoSpaceDE w:val="0"/>
        <w:autoSpaceDN w:val="0"/>
        <w:adjustRightInd w:val="0"/>
        <w:ind w:left="1134" w:hanging="567"/>
        <w:jc w:val="both"/>
        <w:rPr>
          <w:lang w:val="en-US" w:eastAsia="es-ES"/>
        </w:rPr>
      </w:pPr>
      <w:bookmarkStart w:id="116" w:name="_Toc106353931"/>
      <w:r w:rsidRPr="00954547">
        <w:rPr>
          <w:lang w:val="en-US"/>
        </w:rPr>
        <w:t>Injured party</w:t>
      </w:r>
      <w:bookmarkStart w:id="117" w:name="_Ref469938768"/>
      <w:bookmarkEnd w:id="109"/>
      <w:bookmarkEnd w:id="110"/>
      <w:bookmarkEnd w:id="111"/>
      <w:bookmarkEnd w:id="112"/>
      <w:bookmarkEnd w:id="113"/>
      <w:bookmarkEnd w:id="114"/>
      <w:bookmarkEnd w:id="115"/>
      <w:bookmarkEnd w:id="116"/>
    </w:p>
    <w:p w14:paraId="4D97ACA9" w14:textId="3E3E2468" w:rsidR="001C5180" w:rsidRPr="00954547" w:rsidRDefault="00DC73D5" w:rsidP="00DC73D5">
      <w:pPr>
        <w:pStyle w:val="Numberedparagraphs"/>
        <w:tabs>
          <w:tab w:val="clear" w:pos="720"/>
          <w:tab w:val="left" w:pos="567"/>
        </w:tabs>
        <w:rPr>
          <w:lang w:val="en-US"/>
        </w:rPr>
      </w:pPr>
      <w:r w:rsidRPr="00954547">
        <w:rPr>
          <w:lang w:val="en-US"/>
        </w:rPr>
        <w:t>This Court considers that, pursuant to</w:t>
      </w:r>
      <w:r w:rsidR="001C5180" w:rsidRPr="00954547">
        <w:rPr>
          <w:lang w:val="en-US"/>
        </w:rPr>
        <w:t xml:space="preserve"> </w:t>
      </w:r>
      <w:r w:rsidRPr="00954547">
        <w:rPr>
          <w:lang w:val="en-US"/>
        </w:rPr>
        <w:t xml:space="preserve">Article 63(1) of the Convention, anyone who has been declared a victim of the violation of any right recognized therein is the </w:t>
      </w:r>
      <w:r w:rsidR="00AE734E" w:rsidRPr="00954547">
        <w:rPr>
          <w:lang w:val="en-US"/>
        </w:rPr>
        <w:t>injured party</w:t>
      </w:r>
      <w:r w:rsidRPr="00954547">
        <w:rPr>
          <w:lang w:val="en-US"/>
        </w:rPr>
        <w:t>. Therefore, the Court considers that Manuela, her mother, her father and her two sons are the “injured party” and, as victims of the violations declared in Chapter VIII, they will be considered beneficiaries of the reparations ordered by the Court.</w:t>
      </w:r>
      <w:bookmarkEnd w:id="117"/>
    </w:p>
    <w:p w14:paraId="4EC79F7E" w14:textId="79FD6A4A" w:rsidR="001C5180" w:rsidRPr="00954547" w:rsidRDefault="00AE734E" w:rsidP="000365EC">
      <w:pPr>
        <w:pStyle w:val="Heading2"/>
        <w:numPr>
          <w:ilvl w:val="0"/>
          <w:numId w:val="18"/>
        </w:numPr>
        <w:tabs>
          <w:tab w:val="clear" w:pos="1134"/>
          <w:tab w:val="left" w:pos="567"/>
        </w:tabs>
        <w:autoSpaceDE w:val="0"/>
        <w:autoSpaceDN w:val="0"/>
        <w:adjustRightInd w:val="0"/>
        <w:ind w:left="1134" w:hanging="567"/>
        <w:jc w:val="both"/>
        <w:rPr>
          <w:lang w:val="en-US"/>
        </w:rPr>
      </w:pPr>
      <w:bookmarkStart w:id="118" w:name="_Toc106353932"/>
      <w:bookmarkStart w:id="119" w:name="_Toc74298476"/>
      <w:bookmarkStart w:id="120" w:name="_Toc32394186"/>
      <w:bookmarkStart w:id="121" w:name="_Toc36823505"/>
      <w:r w:rsidRPr="00954547">
        <w:rPr>
          <w:lang w:val="en-US"/>
        </w:rPr>
        <w:t>Measures of satisfaction</w:t>
      </w:r>
      <w:bookmarkEnd w:id="118"/>
      <w:r w:rsidR="001C5180" w:rsidRPr="00954547">
        <w:rPr>
          <w:lang w:val="en-US"/>
        </w:rPr>
        <w:t xml:space="preserve"> </w:t>
      </w:r>
      <w:bookmarkEnd w:id="119"/>
    </w:p>
    <w:p w14:paraId="5B3E8548" w14:textId="27BDB9B1" w:rsidR="001C5180" w:rsidRPr="00954547" w:rsidRDefault="001C5180" w:rsidP="00386B24">
      <w:pPr>
        <w:pStyle w:val="Heading3"/>
        <w:tabs>
          <w:tab w:val="left" w:pos="567"/>
        </w:tabs>
      </w:pPr>
      <w:bookmarkStart w:id="122" w:name="_Toc74298478"/>
      <w:bookmarkStart w:id="123" w:name="_Toc106353933"/>
      <w:r w:rsidRPr="00954547">
        <w:t>B.1</w:t>
      </w:r>
      <w:r w:rsidRPr="00954547">
        <w:tab/>
      </w:r>
      <w:r w:rsidR="00AE734E" w:rsidRPr="00954547">
        <w:t>Publication</w:t>
      </w:r>
      <w:r w:rsidRPr="00954547">
        <w:t xml:space="preserve"> </w:t>
      </w:r>
      <w:r w:rsidR="0052125E" w:rsidRPr="00954547">
        <w:t>of the judgment</w:t>
      </w:r>
      <w:bookmarkEnd w:id="122"/>
      <w:bookmarkEnd w:id="123"/>
    </w:p>
    <w:p w14:paraId="088BF333" w14:textId="47CB4091" w:rsidR="001C5180" w:rsidRPr="00954547" w:rsidRDefault="00B8393C" w:rsidP="00386B24">
      <w:pPr>
        <w:pStyle w:val="Numberedparagraphs"/>
        <w:tabs>
          <w:tab w:val="clear" w:pos="720"/>
          <w:tab w:val="left" w:pos="567"/>
        </w:tabs>
        <w:rPr>
          <w:lang w:val="en-US"/>
        </w:rPr>
      </w:pPr>
      <w:bookmarkStart w:id="124" w:name="_Ref521518604"/>
      <w:r w:rsidRPr="00954547">
        <w:rPr>
          <w:lang w:val="en-US"/>
        </w:rPr>
        <w:t xml:space="preserve">The </w:t>
      </w:r>
      <w:r w:rsidR="006E0D5E" w:rsidRPr="00954547">
        <w:rPr>
          <w:b/>
          <w:bCs/>
          <w:i/>
          <w:iCs/>
          <w:lang w:val="en-US"/>
        </w:rPr>
        <w:t>representatives</w:t>
      </w:r>
      <w:r w:rsidR="001C5180" w:rsidRPr="00954547">
        <w:rPr>
          <w:lang w:val="en-US"/>
        </w:rPr>
        <w:t xml:space="preserve"> </w:t>
      </w:r>
      <w:r w:rsidR="00187844" w:rsidRPr="00954547">
        <w:rPr>
          <w:lang w:val="en-US"/>
        </w:rPr>
        <w:t>asked the Court to order the State to publish the o</w:t>
      </w:r>
      <w:r w:rsidR="00697598" w:rsidRPr="00954547">
        <w:rPr>
          <w:lang w:val="en-US"/>
        </w:rPr>
        <w:t>f</w:t>
      </w:r>
      <w:r w:rsidR="00187844" w:rsidRPr="00954547">
        <w:rPr>
          <w:lang w:val="en-US"/>
        </w:rPr>
        <w:t xml:space="preserve">ficial summary </w:t>
      </w:r>
      <w:r w:rsidR="0052125E" w:rsidRPr="00954547">
        <w:rPr>
          <w:lang w:val="en-US"/>
        </w:rPr>
        <w:t>of the judgment</w:t>
      </w:r>
      <w:r w:rsidR="001C5180" w:rsidRPr="00954547">
        <w:rPr>
          <w:lang w:val="en-US"/>
        </w:rPr>
        <w:t xml:space="preserve"> “</w:t>
      </w:r>
      <w:r w:rsidR="00187844" w:rsidRPr="00954547">
        <w:rPr>
          <w:lang w:val="en-US"/>
        </w:rPr>
        <w:t xml:space="preserve">in the Official Gazette, </w:t>
      </w:r>
      <w:r w:rsidR="008770D7" w:rsidRPr="00954547">
        <w:rPr>
          <w:lang w:val="en-US"/>
        </w:rPr>
        <w:t xml:space="preserve">and </w:t>
      </w:r>
      <w:r w:rsidR="00187844" w:rsidRPr="00954547">
        <w:rPr>
          <w:lang w:val="en-US"/>
        </w:rPr>
        <w:t xml:space="preserve">a national newspaper with widespread circulation, and on the websites of the Attorney General’s Office, </w:t>
      </w:r>
      <w:r w:rsidR="00AC6D29" w:rsidRPr="00954547">
        <w:rPr>
          <w:lang w:val="en-US"/>
        </w:rPr>
        <w:t>the Public Defenders’ Unit</w:t>
      </w:r>
      <w:r w:rsidR="001C5180" w:rsidRPr="00954547">
        <w:rPr>
          <w:lang w:val="en-US"/>
        </w:rPr>
        <w:t xml:space="preserve"> </w:t>
      </w:r>
      <w:r w:rsidR="00187844" w:rsidRPr="00954547">
        <w:rPr>
          <w:lang w:val="en-US"/>
        </w:rPr>
        <w:t xml:space="preserve">of the Attorney General’s Office, the </w:t>
      </w:r>
      <w:r w:rsidR="001C5180" w:rsidRPr="00954547">
        <w:rPr>
          <w:lang w:val="en-US"/>
        </w:rPr>
        <w:t>Minist</w:t>
      </w:r>
      <w:r w:rsidR="00187844" w:rsidRPr="00954547">
        <w:rPr>
          <w:lang w:val="en-US"/>
        </w:rPr>
        <w:t>ry of Education, the Human Rights Council of the Presidency, the Ministry of Justice and Public Security, the General Directorate of Prisons, and the Ministry of Public Health.” They also asked that the State translate the content of</w:t>
      </w:r>
      <w:r w:rsidR="0052125E" w:rsidRPr="00954547">
        <w:rPr>
          <w:lang w:val="en-US"/>
        </w:rPr>
        <w:t xml:space="preserve"> the judgment</w:t>
      </w:r>
      <w:r w:rsidR="001C5180" w:rsidRPr="00954547">
        <w:rPr>
          <w:lang w:val="en-US"/>
        </w:rPr>
        <w:t xml:space="preserve"> “</w:t>
      </w:r>
      <w:r w:rsidR="00187844" w:rsidRPr="00954547">
        <w:rPr>
          <w:lang w:val="en-US"/>
        </w:rPr>
        <w:t>into a</w:t>
      </w:r>
      <w:r w:rsidR="00394DE0" w:rsidRPr="00954547">
        <w:rPr>
          <w:lang w:val="en-US"/>
        </w:rPr>
        <w:t>n easy-to-read</w:t>
      </w:r>
      <w:r w:rsidR="00187844" w:rsidRPr="00954547">
        <w:rPr>
          <w:lang w:val="en-US"/>
        </w:rPr>
        <w:t xml:space="preserve"> format to allow it to be understoo</w:t>
      </w:r>
      <w:r w:rsidR="00697598" w:rsidRPr="00954547">
        <w:rPr>
          <w:lang w:val="en-US"/>
        </w:rPr>
        <w:t>d</w:t>
      </w:r>
      <w:r w:rsidR="00187844" w:rsidRPr="00954547">
        <w:rPr>
          <w:lang w:val="en-US"/>
        </w:rPr>
        <w:t xml:space="preserve"> by Manuela’s family and others who do not have access to formal education.</w:t>
      </w:r>
    </w:p>
    <w:p w14:paraId="7BFDAF69" w14:textId="34EF331A" w:rsidR="001C5180" w:rsidRPr="00954547" w:rsidRDefault="00B8393C" w:rsidP="00697598">
      <w:pPr>
        <w:pStyle w:val="Numberedparagraphs"/>
        <w:tabs>
          <w:tab w:val="clear" w:pos="720"/>
          <w:tab w:val="left" w:pos="567"/>
        </w:tabs>
        <w:rPr>
          <w:lang w:val="en-US"/>
        </w:rPr>
      </w:pPr>
      <w:r w:rsidRPr="00954547">
        <w:rPr>
          <w:lang w:val="en-US"/>
        </w:rPr>
        <w:t xml:space="preserve">The </w:t>
      </w:r>
      <w:r w:rsidRPr="00954547">
        <w:rPr>
          <w:b/>
          <w:bCs/>
          <w:i/>
          <w:iCs/>
          <w:lang w:val="en-US"/>
        </w:rPr>
        <w:t>State</w:t>
      </w:r>
      <w:r w:rsidR="001C5180" w:rsidRPr="00954547">
        <w:rPr>
          <w:lang w:val="en-US"/>
        </w:rPr>
        <w:t xml:space="preserve"> </w:t>
      </w:r>
      <w:r w:rsidR="00187844" w:rsidRPr="00954547">
        <w:rPr>
          <w:lang w:val="en-US"/>
        </w:rPr>
        <w:t>indicated its willingness to publish the o</w:t>
      </w:r>
      <w:r w:rsidR="00697598" w:rsidRPr="00954547">
        <w:rPr>
          <w:lang w:val="en-US"/>
        </w:rPr>
        <w:t>f</w:t>
      </w:r>
      <w:r w:rsidR="00187844" w:rsidRPr="00954547">
        <w:rPr>
          <w:lang w:val="en-US"/>
        </w:rPr>
        <w:t xml:space="preserve">ficial summary </w:t>
      </w:r>
      <w:r w:rsidR="0052125E" w:rsidRPr="00954547">
        <w:rPr>
          <w:lang w:val="en-US"/>
        </w:rPr>
        <w:t>of the judgment</w:t>
      </w:r>
      <w:r w:rsidR="001C5180" w:rsidRPr="00954547">
        <w:rPr>
          <w:lang w:val="en-US"/>
        </w:rPr>
        <w:t xml:space="preserve"> “</w:t>
      </w:r>
      <w:r w:rsidR="00187844" w:rsidRPr="00954547">
        <w:rPr>
          <w:lang w:val="en-US"/>
        </w:rPr>
        <w:t xml:space="preserve">in the Official Gazette and in a national newspaper, as well as on the institutional websites of the </w:t>
      </w:r>
      <w:r w:rsidR="00962C04" w:rsidRPr="00954547">
        <w:rPr>
          <w:lang w:val="en-US"/>
        </w:rPr>
        <w:t>domestic</w:t>
      </w:r>
      <w:r w:rsidR="00697598" w:rsidRPr="00954547">
        <w:rPr>
          <w:lang w:val="en-US"/>
        </w:rPr>
        <w:t xml:space="preserve"> </w:t>
      </w:r>
      <w:r w:rsidR="00187844" w:rsidRPr="00954547">
        <w:rPr>
          <w:lang w:val="en-US"/>
        </w:rPr>
        <w:t xml:space="preserve">institutions directly </w:t>
      </w:r>
      <w:r w:rsidR="00697598" w:rsidRPr="00954547">
        <w:rPr>
          <w:lang w:val="en-US"/>
        </w:rPr>
        <w:t xml:space="preserve">linked to the facts of the case </w:t>
      </w:r>
      <w:r w:rsidR="00394DE0" w:rsidRPr="00954547">
        <w:rPr>
          <w:lang w:val="en-US"/>
        </w:rPr>
        <w:t xml:space="preserve">within the framework of </w:t>
      </w:r>
      <w:r w:rsidR="00962C04" w:rsidRPr="00954547">
        <w:rPr>
          <w:lang w:val="en-US"/>
        </w:rPr>
        <w:t>internal</w:t>
      </w:r>
      <w:r w:rsidR="00394DE0" w:rsidRPr="00954547">
        <w:rPr>
          <w:lang w:val="en-US"/>
        </w:rPr>
        <w:t xml:space="preserve"> competences</w:t>
      </w:r>
      <w:r w:rsidR="00697598" w:rsidRPr="00954547">
        <w:rPr>
          <w:lang w:val="en-US"/>
        </w:rPr>
        <w:t>.”</w:t>
      </w:r>
    </w:p>
    <w:p w14:paraId="4E3F3EB6" w14:textId="37657912" w:rsidR="001C5180" w:rsidRPr="00954547" w:rsidRDefault="00E76B1A" w:rsidP="00697598">
      <w:pPr>
        <w:pStyle w:val="Numberedparagraphs"/>
        <w:tabs>
          <w:tab w:val="clear" w:pos="720"/>
          <w:tab w:val="left" w:pos="567"/>
        </w:tabs>
        <w:rPr>
          <w:lang w:val="en-US"/>
        </w:rPr>
      </w:pPr>
      <w:bookmarkStart w:id="125" w:name="_Ref86675902"/>
      <w:r w:rsidRPr="00954547">
        <w:rPr>
          <w:lang w:val="en-US"/>
        </w:rPr>
        <w:t>The Court</w:t>
      </w:r>
      <w:r w:rsidR="001C5180" w:rsidRPr="00954547">
        <w:rPr>
          <w:lang w:val="en-US"/>
        </w:rPr>
        <w:t xml:space="preserve"> </w:t>
      </w:r>
      <w:r w:rsidR="00697598" w:rsidRPr="00954547">
        <w:rPr>
          <w:lang w:val="en-US"/>
        </w:rPr>
        <w:t>establishes, as it has in other cases,</w:t>
      </w:r>
      <w:r w:rsidR="00A82004" w:rsidRPr="00954547">
        <w:rPr>
          <w:rStyle w:val="FootnoteReference"/>
          <w:lang w:val="en-US"/>
        </w:rPr>
        <w:footnoteReference w:id="439"/>
      </w:r>
      <w:r w:rsidR="001C5180" w:rsidRPr="00954547">
        <w:rPr>
          <w:lang w:val="en-US"/>
        </w:rPr>
        <w:t xml:space="preserve"> </w:t>
      </w:r>
      <w:r w:rsidR="00697598" w:rsidRPr="00954547">
        <w:rPr>
          <w:lang w:val="en-US"/>
        </w:rPr>
        <w:t xml:space="preserve">that </w:t>
      </w:r>
      <w:r w:rsidR="00B8393C" w:rsidRPr="00954547">
        <w:rPr>
          <w:lang w:val="en-US"/>
        </w:rPr>
        <w:t>the State</w:t>
      </w:r>
      <w:r w:rsidR="001C5180" w:rsidRPr="00954547">
        <w:rPr>
          <w:lang w:val="en-US"/>
        </w:rPr>
        <w:t xml:space="preserve"> </w:t>
      </w:r>
      <w:r w:rsidR="00697598" w:rsidRPr="00954547">
        <w:rPr>
          <w:lang w:val="en-US"/>
        </w:rPr>
        <w:t xml:space="preserve">must publish, within six months of </w:t>
      </w:r>
      <w:r w:rsidR="00A94F95" w:rsidRPr="00954547">
        <w:rPr>
          <w:lang w:val="en-US"/>
        </w:rPr>
        <w:t>notification</w:t>
      </w:r>
      <w:r w:rsidR="001C5180" w:rsidRPr="00954547">
        <w:rPr>
          <w:lang w:val="en-US"/>
        </w:rPr>
        <w:t xml:space="preserve"> </w:t>
      </w:r>
      <w:r w:rsidR="0052125E" w:rsidRPr="00954547">
        <w:rPr>
          <w:lang w:val="en-US"/>
        </w:rPr>
        <w:t>of the judgment</w:t>
      </w:r>
      <w:r w:rsidR="001C5180" w:rsidRPr="00954547">
        <w:rPr>
          <w:lang w:val="en-US"/>
        </w:rPr>
        <w:t xml:space="preserve">: </w:t>
      </w:r>
      <w:r w:rsidR="00697598" w:rsidRPr="00954547">
        <w:rPr>
          <w:lang w:val="en-US"/>
        </w:rPr>
        <w:t>(</w:t>
      </w:r>
      <w:r w:rsidR="001C5180" w:rsidRPr="00954547">
        <w:rPr>
          <w:lang w:val="en-US"/>
        </w:rPr>
        <w:t xml:space="preserve">a) </w:t>
      </w:r>
      <w:r w:rsidR="00697598" w:rsidRPr="00954547">
        <w:rPr>
          <w:lang w:val="en-US"/>
        </w:rPr>
        <w:t xml:space="preserve">the official summary of the judgment prepared by the Court, once, in the Official Gazette and in a national newspaper with widespread circulation, in an adequate and legible </w:t>
      </w:r>
      <w:r w:rsidR="004B3B9E" w:rsidRPr="00954547">
        <w:rPr>
          <w:lang w:val="en-US"/>
        </w:rPr>
        <w:t>f</w:t>
      </w:r>
      <w:r w:rsidR="00697598" w:rsidRPr="00954547">
        <w:rPr>
          <w:lang w:val="en-US"/>
        </w:rPr>
        <w:t>ont, and (b) this judgment in its entirety, available for at least one year, on the official websites of the Attorney General’s Office, the Ministry of Education, the Ministry of Justice and Public Security, and the Ministry of Public Health, in a manner that is accessible to the public from the initial page of the website</w:t>
      </w:r>
      <w:r w:rsidR="004B3B9E" w:rsidRPr="00954547">
        <w:rPr>
          <w:lang w:val="en-US"/>
        </w:rPr>
        <w:t>s</w:t>
      </w:r>
      <w:r w:rsidR="001C5180" w:rsidRPr="00954547">
        <w:rPr>
          <w:lang w:val="en-US"/>
        </w:rPr>
        <w:t>.</w:t>
      </w:r>
      <w:bookmarkEnd w:id="125"/>
      <w:r w:rsidR="001C5180" w:rsidRPr="00954547">
        <w:rPr>
          <w:lang w:val="en-US"/>
        </w:rPr>
        <w:t xml:space="preserve"> </w:t>
      </w:r>
    </w:p>
    <w:p w14:paraId="6B55B7C9" w14:textId="513F4E7D" w:rsidR="001C5180" w:rsidRPr="00954547" w:rsidRDefault="00B8393C" w:rsidP="00386B24">
      <w:pPr>
        <w:pStyle w:val="Numberedparagraphs"/>
        <w:tabs>
          <w:tab w:val="clear" w:pos="720"/>
          <w:tab w:val="left" w:pos="567"/>
        </w:tabs>
        <w:rPr>
          <w:lang w:val="en-US"/>
        </w:rPr>
      </w:pPr>
      <w:bookmarkStart w:id="126" w:name="_Ref86680980"/>
      <w:r w:rsidRPr="00954547">
        <w:rPr>
          <w:lang w:val="en-US"/>
        </w:rPr>
        <w:t>The State</w:t>
      </w:r>
      <w:r w:rsidR="00697598" w:rsidRPr="00954547">
        <w:rPr>
          <w:lang w:val="en-US"/>
        </w:rPr>
        <w:t xml:space="preserve"> must advise the Court immediately it has made each of the publications ordered, regardless of the one-year time frame for presenting its first report established in the operative paragraphs </w:t>
      </w:r>
      <w:r w:rsidR="0052125E" w:rsidRPr="00954547">
        <w:rPr>
          <w:lang w:val="en-US"/>
        </w:rPr>
        <w:t>of th</w:t>
      </w:r>
      <w:r w:rsidR="00697598" w:rsidRPr="00954547">
        <w:rPr>
          <w:lang w:val="en-US"/>
        </w:rPr>
        <w:t>is</w:t>
      </w:r>
      <w:r w:rsidR="0052125E" w:rsidRPr="00954547">
        <w:rPr>
          <w:lang w:val="en-US"/>
        </w:rPr>
        <w:t xml:space="preserve"> judgment</w:t>
      </w:r>
      <w:r w:rsidR="001C5180" w:rsidRPr="00954547">
        <w:rPr>
          <w:lang w:val="en-US"/>
        </w:rPr>
        <w:t>.</w:t>
      </w:r>
      <w:bookmarkEnd w:id="124"/>
      <w:bookmarkEnd w:id="126"/>
    </w:p>
    <w:p w14:paraId="52789AE5" w14:textId="728BC9CB" w:rsidR="001C5180" w:rsidRPr="00954547" w:rsidRDefault="001C5180" w:rsidP="00EE4318">
      <w:pPr>
        <w:pStyle w:val="Heading3"/>
        <w:tabs>
          <w:tab w:val="left" w:pos="567"/>
        </w:tabs>
        <w:jc w:val="both"/>
      </w:pPr>
      <w:bookmarkStart w:id="127" w:name="_Toc74298479"/>
      <w:bookmarkStart w:id="128" w:name="_Toc106353934"/>
      <w:r w:rsidRPr="00954547">
        <w:t xml:space="preserve">B.2 </w:t>
      </w:r>
      <w:r w:rsidRPr="00954547">
        <w:tab/>
      </w:r>
      <w:r w:rsidR="00AE734E" w:rsidRPr="00954547">
        <w:t>Public act to acknowledge international responsibility</w:t>
      </w:r>
      <w:bookmarkEnd w:id="120"/>
      <w:bookmarkEnd w:id="121"/>
      <w:bookmarkEnd w:id="127"/>
      <w:bookmarkEnd w:id="128"/>
    </w:p>
    <w:p w14:paraId="77DB2D36" w14:textId="04EB95E7" w:rsidR="001C5180" w:rsidRPr="00954547" w:rsidRDefault="00B8393C" w:rsidP="00386B24">
      <w:pPr>
        <w:pStyle w:val="Numberedparagraphs"/>
        <w:tabs>
          <w:tab w:val="clear" w:pos="720"/>
          <w:tab w:val="left" w:pos="567"/>
        </w:tabs>
        <w:rPr>
          <w:lang w:val="en-US"/>
        </w:rPr>
      </w:pPr>
      <w:r w:rsidRPr="00954547">
        <w:rPr>
          <w:lang w:val="en-US"/>
        </w:rPr>
        <w:t xml:space="preserve">The </w:t>
      </w:r>
      <w:r w:rsidR="006E0D5E" w:rsidRPr="00954547">
        <w:rPr>
          <w:b/>
          <w:bCs/>
          <w:i/>
          <w:iCs/>
          <w:lang w:val="en-US"/>
        </w:rPr>
        <w:t>representatives</w:t>
      </w:r>
      <w:r w:rsidR="001C5180" w:rsidRPr="00954547">
        <w:rPr>
          <w:lang w:val="en-US"/>
        </w:rPr>
        <w:t xml:space="preserve"> </w:t>
      </w:r>
      <w:r w:rsidR="00C80FE0" w:rsidRPr="00954547">
        <w:rPr>
          <w:lang w:val="en-US"/>
        </w:rPr>
        <w:t>asked that</w:t>
      </w:r>
      <w:r w:rsidR="00A82004" w:rsidRPr="00954547">
        <w:rPr>
          <w:lang w:val="en-US"/>
        </w:rPr>
        <w:t xml:space="preserve"> </w:t>
      </w:r>
      <w:r w:rsidRPr="00954547">
        <w:rPr>
          <w:lang w:val="en-US"/>
        </w:rPr>
        <w:t>the State</w:t>
      </w:r>
      <w:r w:rsidR="001C5180" w:rsidRPr="00954547">
        <w:rPr>
          <w:lang w:val="en-US"/>
        </w:rPr>
        <w:t xml:space="preserve"> “</w:t>
      </w:r>
      <w:r w:rsidR="00C80FE0" w:rsidRPr="00954547">
        <w:rPr>
          <w:lang w:val="en-US"/>
        </w:rPr>
        <w:t xml:space="preserve">organize a </w:t>
      </w:r>
      <w:r w:rsidR="00AE734E" w:rsidRPr="00954547">
        <w:rPr>
          <w:lang w:val="en-US"/>
        </w:rPr>
        <w:t>public act to acknowledge international responsibility</w:t>
      </w:r>
      <w:r w:rsidR="0078694F" w:rsidRPr="00954547">
        <w:rPr>
          <w:lang w:val="en-US"/>
        </w:rPr>
        <w:t xml:space="preserve"> and </w:t>
      </w:r>
      <w:r w:rsidR="00C80FE0" w:rsidRPr="00954547">
        <w:rPr>
          <w:lang w:val="en-US"/>
        </w:rPr>
        <w:t xml:space="preserve">make a public apology in relation to the facts of this case.” The </w:t>
      </w:r>
      <w:r w:rsidRPr="00954547">
        <w:rPr>
          <w:b/>
          <w:bCs/>
          <w:i/>
          <w:iCs/>
          <w:lang w:val="en-US"/>
        </w:rPr>
        <w:t>State</w:t>
      </w:r>
      <w:r w:rsidR="001C5180" w:rsidRPr="00954547">
        <w:rPr>
          <w:lang w:val="en-US"/>
        </w:rPr>
        <w:t xml:space="preserve"> </w:t>
      </w:r>
      <w:r w:rsidR="00C80FE0" w:rsidRPr="00954547">
        <w:rPr>
          <w:lang w:val="en-US"/>
        </w:rPr>
        <w:t>did not comment on this request.</w:t>
      </w:r>
      <w:r w:rsidR="001C5180" w:rsidRPr="00954547">
        <w:rPr>
          <w:lang w:val="en-US"/>
        </w:rPr>
        <w:t xml:space="preserve">  </w:t>
      </w:r>
    </w:p>
    <w:p w14:paraId="2E6271A5" w14:textId="55F9F427" w:rsidR="001C5180" w:rsidRPr="00954547" w:rsidRDefault="00E76B1A" w:rsidP="00C80FE0">
      <w:pPr>
        <w:pStyle w:val="Numberedparagraphs"/>
        <w:tabs>
          <w:tab w:val="clear" w:pos="720"/>
          <w:tab w:val="left" w:pos="567"/>
        </w:tabs>
        <w:rPr>
          <w:lang w:val="en-US"/>
        </w:rPr>
      </w:pPr>
      <w:bookmarkStart w:id="129" w:name="_Ref446682213"/>
      <w:bookmarkStart w:id="130" w:name="_Ref86675939"/>
      <w:bookmarkStart w:id="131" w:name="_Toc36823513"/>
      <w:bookmarkStart w:id="132" w:name="_Toc44332540"/>
      <w:r w:rsidRPr="00954547">
        <w:rPr>
          <w:lang w:val="en-US"/>
        </w:rPr>
        <w:t>The Court</w:t>
      </w:r>
      <w:r w:rsidR="001C5180" w:rsidRPr="00954547">
        <w:rPr>
          <w:lang w:val="en-US"/>
        </w:rPr>
        <w:t xml:space="preserve"> </w:t>
      </w:r>
      <w:r w:rsidR="00C80FE0" w:rsidRPr="00954547">
        <w:rPr>
          <w:lang w:val="en-US"/>
        </w:rPr>
        <w:t xml:space="preserve">finds it necessary to establish, in order to repair the harm caused to the victims and to avoid a repetition of facts such as those of this case, that the State organize a public act to acknowledge international responsibility </w:t>
      </w:r>
      <w:r w:rsidR="004B3B9E" w:rsidRPr="00954547">
        <w:rPr>
          <w:lang w:val="en-US"/>
        </w:rPr>
        <w:t>in relation to</w:t>
      </w:r>
      <w:r w:rsidR="00C80FE0" w:rsidRPr="00954547">
        <w:rPr>
          <w:lang w:val="en-US"/>
        </w:rPr>
        <w:t xml:space="preserve"> the facts of this case. During this act, reference must be made to the human rights violations declared in this judgment. Also, it should </w:t>
      </w:r>
      <w:r w:rsidR="004B3B9E" w:rsidRPr="00954547">
        <w:rPr>
          <w:lang w:val="en-US"/>
        </w:rPr>
        <w:t>take place</w:t>
      </w:r>
      <w:r w:rsidR="00C80FE0" w:rsidRPr="00954547">
        <w:rPr>
          <w:lang w:val="en-US"/>
        </w:rPr>
        <w:t xml:space="preserve"> in a public ceremony in the presence of senior State officials and the members of Manuela’s family or their representatives.</w:t>
      </w:r>
      <w:r w:rsidR="001C5180" w:rsidRPr="00954547">
        <w:rPr>
          <w:rStyle w:val="FootnoteReference"/>
          <w:lang w:val="en-US"/>
        </w:rPr>
        <w:footnoteReference w:id="440"/>
      </w:r>
      <w:bookmarkEnd w:id="129"/>
      <w:r w:rsidR="00C80FE0" w:rsidRPr="00954547">
        <w:rPr>
          <w:lang w:val="en-US"/>
        </w:rPr>
        <w:t xml:space="preserve"> </w:t>
      </w:r>
      <w:r w:rsidR="004B3B9E" w:rsidRPr="00954547">
        <w:rPr>
          <w:lang w:val="en-US"/>
        </w:rPr>
        <w:t>Furthermore</w:t>
      </w:r>
      <w:r w:rsidR="00C80FE0" w:rsidRPr="00954547">
        <w:rPr>
          <w:lang w:val="en-US"/>
        </w:rPr>
        <w:t>, as it has in other cases,</w:t>
      </w:r>
      <w:r w:rsidR="00141398" w:rsidRPr="00954547">
        <w:rPr>
          <w:rStyle w:val="FootnoteReference"/>
          <w:lang w:val="en-US"/>
        </w:rPr>
        <w:footnoteReference w:id="441"/>
      </w:r>
      <w:r w:rsidR="00141398" w:rsidRPr="00954547">
        <w:rPr>
          <w:lang w:val="en-US"/>
        </w:rPr>
        <w:t xml:space="preserve"> </w:t>
      </w:r>
      <w:r w:rsidRPr="00954547">
        <w:rPr>
          <w:lang w:val="en-US"/>
        </w:rPr>
        <w:t>the Court</w:t>
      </w:r>
      <w:r w:rsidR="00141398" w:rsidRPr="00954547">
        <w:rPr>
          <w:lang w:val="en-US"/>
        </w:rPr>
        <w:t xml:space="preserve"> orde</w:t>
      </w:r>
      <w:r w:rsidR="00C80FE0" w:rsidRPr="00954547">
        <w:rPr>
          <w:lang w:val="en-US"/>
        </w:rPr>
        <w:t>rs</w:t>
      </w:r>
      <w:r w:rsidR="00A94F95" w:rsidRPr="00954547">
        <w:rPr>
          <w:lang w:val="en-US"/>
        </w:rPr>
        <w:t xml:space="preserve"> the State</w:t>
      </w:r>
      <w:r w:rsidR="00141398" w:rsidRPr="00954547">
        <w:rPr>
          <w:lang w:val="en-US"/>
        </w:rPr>
        <w:t xml:space="preserve"> </w:t>
      </w:r>
      <w:r w:rsidR="00C80FE0" w:rsidRPr="00954547">
        <w:rPr>
          <w:lang w:val="en-US"/>
        </w:rPr>
        <w:t>to disseminate this act as widely as possible through the media, including by</w:t>
      </w:r>
      <w:r w:rsidR="000744F6" w:rsidRPr="00954547">
        <w:rPr>
          <w:lang w:val="en-US"/>
        </w:rPr>
        <w:t xml:space="preserve"> </w:t>
      </w:r>
      <w:r w:rsidR="00C80FE0" w:rsidRPr="00954547">
        <w:rPr>
          <w:lang w:val="en-US"/>
        </w:rPr>
        <w:t xml:space="preserve">radio, television and </w:t>
      </w:r>
      <w:r w:rsidR="004B3B9E" w:rsidRPr="00954547">
        <w:rPr>
          <w:lang w:val="en-US"/>
        </w:rPr>
        <w:t xml:space="preserve">the </w:t>
      </w:r>
      <w:r w:rsidR="00C80FE0" w:rsidRPr="00954547">
        <w:rPr>
          <w:lang w:val="en-US"/>
        </w:rPr>
        <w:t xml:space="preserve">social </w:t>
      </w:r>
      <w:r w:rsidR="00F00ACF" w:rsidRPr="00954547">
        <w:rPr>
          <w:lang w:val="en-US"/>
        </w:rPr>
        <w:t>network</w:t>
      </w:r>
      <w:r w:rsidR="004B3B9E" w:rsidRPr="00954547">
        <w:rPr>
          <w:lang w:val="en-US"/>
        </w:rPr>
        <w:t>s</w:t>
      </w:r>
      <w:r w:rsidR="000744F6" w:rsidRPr="00954547">
        <w:rPr>
          <w:lang w:val="en-US"/>
        </w:rPr>
        <w:t>, in particular those belonging to the Ministry of Health and the Ministry of Justice and Public Security</w:t>
      </w:r>
      <w:bookmarkEnd w:id="130"/>
      <w:r w:rsidR="000744F6" w:rsidRPr="00954547">
        <w:rPr>
          <w:lang w:val="en-US"/>
        </w:rPr>
        <w:t>.</w:t>
      </w:r>
    </w:p>
    <w:p w14:paraId="11AE98B1" w14:textId="7E2EC58D" w:rsidR="001C5180" w:rsidRPr="00954547" w:rsidRDefault="00B8393C" w:rsidP="00386B24">
      <w:pPr>
        <w:pStyle w:val="Numberedparagraphs"/>
        <w:tabs>
          <w:tab w:val="clear" w:pos="720"/>
          <w:tab w:val="left" w:pos="567"/>
        </w:tabs>
        <w:rPr>
          <w:lang w:val="en-US"/>
        </w:rPr>
      </w:pPr>
      <w:bookmarkStart w:id="133" w:name="_Ref72330304"/>
      <w:bookmarkStart w:id="134" w:name="_Ref33109786"/>
      <w:r w:rsidRPr="00954547">
        <w:rPr>
          <w:lang w:val="en-US"/>
        </w:rPr>
        <w:t>The State</w:t>
      </w:r>
      <w:r w:rsidR="0078694F" w:rsidRPr="00954547">
        <w:rPr>
          <w:lang w:val="en-US"/>
        </w:rPr>
        <w:t xml:space="preserve"> and </w:t>
      </w:r>
      <w:r w:rsidR="000744F6" w:rsidRPr="00954547">
        <w:rPr>
          <w:lang w:val="en-US"/>
        </w:rPr>
        <w:t>the victims and/or their representatives, must reach agreement on the method of complying with the public act, as well as on the</w:t>
      </w:r>
      <w:r w:rsidR="004B3B9E" w:rsidRPr="00954547">
        <w:rPr>
          <w:lang w:val="en-US"/>
        </w:rPr>
        <w:t xml:space="preserve"> necessary</w:t>
      </w:r>
      <w:r w:rsidR="000744F6" w:rsidRPr="00954547">
        <w:rPr>
          <w:lang w:val="en-US"/>
        </w:rPr>
        <w:t xml:space="preserve"> details such as the date and place.</w:t>
      </w:r>
      <w:r w:rsidR="001C5180" w:rsidRPr="00954547">
        <w:rPr>
          <w:rStyle w:val="FootnoteReference"/>
          <w:lang w:val="en-US"/>
        </w:rPr>
        <w:footnoteReference w:id="442"/>
      </w:r>
      <w:bookmarkEnd w:id="133"/>
      <w:r w:rsidR="001C5180" w:rsidRPr="00954547">
        <w:rPr>
          <w:lang w:val="en-US"/>
        </w:rPr>
        <w:t xml:space="preserve"> </w:t>
      </w:r>
      <w:bookmarkEnd w:id="134"/>
    </w:p>
    <w:p w14:paraId="7224784B" w14:textId="3FA62704" w:rsidR="001C5180" w:rsidRPr="00954547" w:rsidRDefault="001C5180" w:rsidP="00386B24">
      <w:pPr>
        <w:pStyle w:val="Heading3"/>
        <w:tabs>
          <w:tab w:val="left" w:pos="567"/>
        </w:tabs>
      </w:pPr>
      <w:bookmarkStart w:id="135" w:name="_Toc106353935"/>
      <w:r w:rsidRPr="00954547">
        <w:t>B.3</w:t>
      </w:r>
      <w:r w:rsidRPr="00954547">
        <w:tab/>
      </w:r>
      <w:r w:rsidR="00AE734E" w:rsidRPr="00954547">
        <w:t>Scholarships for Manuela’s sons</w:t>
      </w:r>
      <w:bookmarkEnd w:id="135"/>
    </w:p>
    <w:p w14:paraId="7C27C5B6" w14:textId="38ADABBF" w:rsidR="001C5180" w:rsidRPr="00954547" w:rsidRDefault="00B8393C" w:rsidP="004A4650">
      <w:pPr>
        <w:pStyle w:val="Numberedparagraphs"/>
        <w:tabs>
          <w:tab w:val="clear" w:pos="720"/>
          <w:tab w:val="left" w:pos="567"/>
        </w:tabs>
        <w:rPr>
          <w:lang w:val="en-US"/>
        </w:rPr>
      </w:pPr>
      <w:r w:rsidRPr="00954547">
        <w:rPr>
          <w:lang w:val="en-US"/>
        </w:rPr>
        <w:t xml:space="preserve">The </w:t>
      </w:r>
      <w:r w:rsidR="006E0D5E" w:rsidRPr="00954547">
        <w:rPr>
          <w:b/>
          <w:bCs/>
          <w:i/>
          <w:iCs/>
          <w:lang w:val="en-US"/>
        </w:rPr>
        <w:t>representatives</w:t>
      </w:r>
      <w:r w:rsidR="001C5180" w:rsidRPr="00954547">
        <w:rPr>
          <w:b/>
          <w:bCs/>
          <w:i/>
          <w:iCs/>
          <w:lang w:val="en-US"/>
        </w:rPr>
        <w:t xml:space="preserve"> </w:t>
      </w:r>
      <w:r w:rsidR="00CF323B" w:rsidRPr="00954547">
        <w:rPr>
          <w:lang w:val="en-US"/>
        </w:rPr>
        <w:t xml:space="preserve">asked the Court to order scholarships for Manuela’s two sons. For Manuela’s elder son, they requested a “full financial and educational scholarship so that he may complete </w:t>
      </w:r>
      <w:r w:rsidR="00E753DD" w:rsidRPr="00954547">
        <w:rPr>
          <w:lang w:val="en-US"/>
        </w:rPr>
        <w:t>h</w:t>
      </w:r>
      <w:r w:rsidR="00CF323B" w:rsidRPr="00954547">
        <w:rPr>
          <w:lang w:val="en-US"/>
        </w:rPr>
        <w:t xml:space="preserve">is primary and secondary education and </w:t>
      </w:r>
      <w:r w:rsidR="00E753DD" w:rsidRPr="00954547">
        <w:rPr>
          <w:lang w:val="en-US"/>
        </w:rPr>
        <w:t xml:space="preserve">that he </w:t>
      </w:r>
      <w:r w:rsidR="00CF323B" w:rsidRPr="00954547">
        <w:rPr>
          <w:lang w:val="en-US"/>
        </w:rPr>
        <w:t xml:space="preserve">be provided </w:t>
      </w:r>
      <w:r w:rsidR="00E753DD" w:rsidRPr="00954547">
        <w:rPr>
          <w:lang w:val="en-US"/>
        </w:rPr>
        <w:t xml:space="preserve">with </w:t>
      </w:r>
      <w:r w:rsidR="00CF323B" w:rsidRPr="00954547">
        <w:rPr>
          <w:lang w:val="en-US"/>
        </w:rPr>
        <w:t xml:space="preserve">and ensured a tutor to support his studies” as well as a “full financial and educational scholarship so that he </w:t>
      </w:r>
      <w:r w:rsidR="00E753DD" w:rsidRPr="00954547">
        <w:rPr>
          <w:lang w:val="en-US"/>
        </w:rPr>
        <w:t>is able to</w:t>
      </w:r>
      <w:r w:rsidR="00CF323B" w:rsidRPr="00954547">
        <w:rPr>
          <w:lang w:val="en-US"/>
        </w:rPr>
        <w:t xml:space="preserve"> study mechanics in the establishment </w:t>
      </w:r>
      <w:r w:rsidR="00E753DD" w:rsidRPr="00954547">
        <w:rPr>
          <w:lang w:val="en-US"/>
        </w:rPr>
        <w:t>of his choice</w:t>
      </w:r>
      <w:r w:rsidR="00F83FA0" w:rsidRPr="00954547">
        <w:rPr>
          <w:lang w:val="en-US"/>
        </w:rPr>
        <w:t xml:space="preserve">, including transportation from his home to that establishment.” For Manuela’s younger son, the representatives requested a “full financial and educational scholarship so that he can undertake a university career, including post graduate studies in the area of systems engineering and computer science, </w:t>
      </w:r>
      <w:r w:rsidR="004A4650" w:rsidRPr="00954547">
        <w:rPr>
          <w:lang w:val="en-US"/>
        </w:rPr>
        <w:t>t</w:t>
      </w:r>
      <w:r w:rsidR="00F83FA0" w:rsidRPr="00954547">
        <w:rPr>
          <w:lang w:val="en-US"/>
        </w:rPr>
        <w:t xml:space="preserve">o cover enrolment and tuition fees, </w:t>
      </w:r>
      <w:r w:rsidR="000C66A7" w:rsidRPr="00954547">
        <w:rPr>
          <w:lang w:val="en-US"/>
        </w:rPr>
        <w:t>academic</w:t>
      </w:r>
      <w:r w:rsidR="004F6753" w:rsidRPr="00954547">
        <w:rPr>
          <w:lang w:val="en-US"/>
        </w:rPr>
        <w:t xml:space="preserve"> supplies</w:t>
      </w:r>
      <w:r w:rsidR="004A4650" w:rsidRPr="00954547">
        <w:rPr>
          <w:lang w:val="en-US"/>
        </w:rPr>
        <w:t xml:space="preserve">, transportation to visit his family in Cacaopera, attendance at congresses, additional courses if available, in the university of his choice, based on his personal interests, and for as long as his studies require.” </w:t>
      </w:r>
      <w:r w:rsidRPr="00954547">
        <w:rPr>
          <w:lang w:val="en-US"/>
        </w:rPr>
        <w:t xml:space="preserve">The </w:t>
      </w:r>
      <w:r w:rsidRPr="00954547">
        <w:rPr>
          <w:b/>
          <w:bCs/>
          <w:i/>
          <w:iCs/>
          <w:lang w:val="en-US"/>
        </w:rPr>
        <w:t>State</w:t>
      </w:r>
      <w:r w:rsidR="00A82004" w:rsidRPr="00954547">
        <w:rPr>
          <w:b/>
          <w:bCs/>
          <w:i/>
          <w:iCs/>
          <w:lang w:val="en-US"/>
        </w:rPr>
        <w:t xml:space="preserve"> </w:t>
      </w:r>
      <w:r w:rsidR="00CF323B" w:rsidRPr="00954547">
        <w:rPr>
          <w:lang w:val="en-US"/>
        </w:rPr>
        <w:t>did not comment on this request</w:t>
      </w:r>
      <w:r w:rsidR="00A82004" w:rsidRPr="00954547">
        <w:rPr>
          <w:lang w:val="en-US"/>
        </w:rPr>
        <w:t xml:space="preserve">.  </w:t>
      </w:r>
    </w:p>
    <w:p w14:paraId="13FB8872" w14:textId="2D868616" w:rsidR="00A82004" w:rsidRPr="00954547" w:rsidRDefault="00E76B1A" w:rsidP="004F6753">
      <w:pPr>
        <w:pStyle w:val="Numberedparagraphs"/>
        <w:tabs>
          <w:tab w:val="left" w:pos="567"/>
        </w:tabs>
        <w:rPr>
          <w:lang w:val="en-US"/>
        </w:rPr>
      </w:pPr>
      <w:bookmarkStart w:id="136" w:name="_Ref86676069"/>
      <w:bookmarkStart w:id="137" w:name="_Toc74298480"/>
      <w:r w:rsidRPr="00954547">
        <w:rPr>
          <w:lang w:val="en-US"/>
        </w:rPr>
        <w:t>The Court</w:t>
      </w:r>
      <w:r w:rsidR="00A82004" w:rsidRPr="00954547">
        <w:rPr>
          <w:lang w:val="en-US"/>
        </w:rPr>
        <w:t xml:space="preserve"> </w:t>
      </w:r>
      <w:r w:rsidR="00191708" w:rsidRPr="00954547">
        <w:rPr>
          <w:lang w:val="en-US"/>
        </w:rPr>
        <w:t>notes</w:t>
      </w:r>
      <w:r w:rsidR="004A4650" w:rsidRPr="00954547">
        <w:rPr>
          <w:lang w:val="en-US"/>
        </w:rPr>
        <w:t xml:space="preserve"> that what happened to </w:t>
      </w:r>
      <w:r w:rsidR="00A82004" w:rsidRPr="00954547">
        <w:rPr>
          <w:lang w:val="en-US"/>
        </w:rPr>
        <w:t xml:space="preserve">Manuela </w:t>
      </w:r>
      <w:r w:rsidR="004A4650" w:rsidRPr="00954547">
        <w:rPr>
          <w:lang w:val="en-US"/>
        </w:rPr>
        <w:t xml:space="preserve">caused significant changes </w:t>
      </w:r>
      <w:r w:rsidR="00E753DD" w:rsidRPr="00954547">
        <w:rPr>
          <w:lang w:val="en-US"/>
        </w:rPr>
        <w:t>for</w:t>
      </w:r>
      <w:r w:rsidR="004A4650" w:rsidRPr="00954547">
        <w:rPr>
          <w:lang w:val="en-US"/>
        </w:rPr>
        <w:t xml:space="preserve"> the life project of her sons and had an impact on their personal and professional development. Consequently, the Court considers that it is appropriate to order the State to grant a scholarship in </w:t>
      </w:r>
      <w:r w:rsidR="00AC5E7D" w:rsidRPr="00954547">
        <w:rPr>
          <w:lang w:val="en-US"/>
        </w:rPr>
        <w:t xml:space="preserve">public or private </w:t>
      </w:r>
      <w:r w:rsidR="004A4650" w:rsidRPr="00954547">
        <w:rPr>
          <w:lang w:val="en-US"/>
        </w:rPr>
        <w:t xml:space="preserve">primary, secondary, technical and higher education establishments </w:t>
      </w:r>
      <w:r w:rsidR="00AC5E7D" w:rsidRPr="00954547">
        <w:rPr>
          <w:lang w:val="en-US"/>
        </w:rPr>
        <w:t>in El Salvador for both Manuela’s sons, in agreement with them, so that they may complete primary and secondary education and undertake technical or university studies, at the graduate and/or postgraduate level, or vocational training.</w:t>
      </w:r>
      <w:r w:rsidR="00A82004" w:rsidRPr="00954547">
        <w:rPr>
          <w:rStyle w:val="FootnoteReference"/>
          <w:lang w:val="en-US"/>
        </w:rPr>
        <w:footnoteReference w:id="443"/>
      </w:r>
      <w:r w:rsidR="00AC5E7D" w:rsidRPr="00954547">
        <w:rPr>
          <w:lang w:val="en-US"/>
        </w:rPr>
        <w:t xml:space="preserve"> </w:t>
      </w:r>
      <w:r w:rsidR="00E753DD" w:rsidRPr="00954547">
        <w:rPr>
          <w:lang w:val="en-US"/>
        </w:rPr>
        <w:t>Moreover</w:t>
      </w:r>
      <w:r w:rsidR="00AC5E7D" w:rsidRPr="00954547">
        <w:rPr>
          <w:lang w:val="en-US"/>
        </w:rPr>
        <w:t>, the scholarship m</w:t>
      </w:r>
      <w:r w:rsidR="00E753DD" w:rsidRPr="00954547">
        <w:rPr>
          <w:lang w:val="en-US"/>
        </w:rPr>
        <w:t>ay</w:t>
      </w:r>
      <w:r w:rsidR="00AC5E7D" w:rsidRPr="00954547">
        <w:rPr>
          <w:lang w:val="en-US"/>
        </w:rPr>
        <w:t xml:space="preserve"> not be condition</w:t>
      </w:r>
      <w:r w:rsidR="00E753DD" w:rsidRPr="00954547">
        <w:rPr>
          <w:lang w:val="en-US"/>
        </w:rPr>
        <w:t>al on</w:t>
      </w:r>
      <w:r w:rsidR="00AC5E7D" w:rsidRPr="00954547">
        <w:rPr>
          <w:lang w:val="en-US"/>
        </w:rPr>
        <w:t xml:space="preserve"> their obtaining notes that allow them to obtain a merit scholarship or depend on their academic performance and, </w:t>
      </w:r>
      <w:r w:rsidR="004F6753" w:rsidRPr="00954547">
        <w:rPr>
          <w:lang w:val="en-US"/>
        </w:rPr>
        <w:t>rather,</w:t>
      </w:r>
      <w:r w:rsidR="00AC5E7D" w:rsidRPr="00954547">
        <w:rPr>
          <w:lang w:val="en-US"/>
        </w:rPr>
        <w:t xml:space="preserve"> must be granted </w:t>
      </w:r>
      <w:r w:rsidR="004F6753" w:rsidRPr="00954547">
        <w:rPr>
          <w:lang w:val="en-US"/>
        </w:rPr>
        <w:t xml:space="preserve">based on the fact that they are victims of the violations declared </w:t>
      </w:r>
      <w:r w:rsidR="009A0FBE" w:rsidRPr="00954547">
        <w:rPr>
          <w:lang w:val="en-US"/>
        </w:rPr>
        <w:t>in this judgment</w:t>
      </w:r>
      <w:r w:rsidR="00A82004" w:rsidRPr="00954547">
        <w:rPr>
          <w:lang w:val="en-US"/>
        </w:rPr>
        <w:t xml:space="preserve">. </w:t>
      </w:r>
      <w:r w:rsidR="004F6753" w:rsidRPr="00954547">
        <w:rPr>
          <w:lang w:val="en-US"/>
        </w:rPr>
        <w:t>Th</w:t>
      </w:r>
      <w:r w:rsidR="00E753DD" w:rsidRPr="00954547">
        <w:rPr>
          <w:lang w:val="en-US"/>
        </w:rPr>
        <w:t>e</w:t>
      </w:r>
      <w:r w:rsidR="004F6753" w:rsidRPr="00954547">
        <w:rPr>
          <w:lang w:val="en-US"/>
        </w:rPr>
        <w:t xml:space="preserve"> scholarship must be granted from the time that the beneficiaries ask the State to provide it and until the conclusion of their higher technical or university studies and must cover all the expenses required for them to conclude such studies, including academic or educational supplies, and maintenance expenses. The victims or their legal representatives have six months from </w:t>
      </w:r>
      <w:r w:rsidR="00A94F95" w:rsidRPr="00954547">
        <w:rPr>
          <w:lang w:val="en-US"/>
        </w:rPr>
        <w:t>notification</w:t>
      </w:r>
      <w:r w:rsidR="00A82004" w:rsidRPr="00954547">
        <w:rPr>
          <w:lang w:val="en-US"/>
        </w:rPr>
        <w:t xml:space="preserve"> </w:t>
      </w:r>
      <w:r w:rsidR="004B6621" w:rsidRPr="00954547">
        <w:rPr>
          <w:lang w:val="en-US"/>
        </w:rPr>
        <w:t>of this judgment</w:t>
      </w:r>
      <w:r w:rsidR="004F6753" w:rsidRPr="00954547">
        <w:rPr>
          <w:lang w:val="en-US"/>
        </w:rPr>
        <w:t xml:space="preserve"> to advise the State of their intention to receive these scholarships. In addition, they have 24 months from the completion of their secondary studies to inform the State of their intention</w:t>
      </w:r>
      <w:r w:rsidR="00C775D4" w:rsidRPr="00954547">
        <w:rPr>
          <w:lang w:val="en-US"/>
        </w:rPr>
        <w:t xml:space="preserve"> of receiving the scholarship for their technical or university studies, as well as with regard to the career that they decide to follow at that level.</w:t>
      </w:r>
      <w:bookmarkEnd w:id="136"/>
    </w:p>
    <w:p w14:paraId="43BE0E13" w14:textId="7B7BAE00" w:rsidR="001C5180" w:rsidRPr="00954547" w:rsidRDefault="00AF0A78" w:rsidP="000365EC">
      <w:pPr>
        <w:pStyle w:val="Heading2"/>
        <w:numPr>
          <w:ilvl w:val="0"/>
          <w:numId w:val="18"/>
        </w:numPr>
        <w:tabs>
          <w:tab w:val="clear" w:pos="1134"/>
          <w:tab w:val="left" w:pos="567"/>
        </w:tabs>
        <w:autoSpaceDE w:val="0"/>
        <w:autoSpaceDN w:val="0"/>
        <w:adjustRightInd w:val="0"/>
        <w:ind w:left="1134" w:hanging="567"/>
        <w:jc w:val="both"/>
        <w:rPr>
          <w:lang w:val="en-US"/>
        </w:rPr>
      </w:pPr>
      <w:bookmarkStart w:id="138" w:name="_Toc106353936"/>
      <w:r w:rsidRPr="00954547">
        <w:rPr>
          <w:lang w:val="en-US"/>
        </w:rPr>
        <w:t>Measure of rehabilitation</w:t>
      </w:r>
      <w:bookmarkEnd w:id="138"/>
    </w:p>
    <w:p w14:paraId="1E45F024" w14:textId="2E1CE896" w:rsidR="00191708" w:rsidRPr="00954547" w:rsidRDefault="00B8393C" w:rsidP="00386B24">
      <w:pPr>
        <w:pStyle w:val="Numberedparagraphs"/>
        <w:tabs>
          <w:tab w:val="clear" w:pos="720"/>
          <w:tab w:val="left" w:pos="567"/>
        </w:tabs>
        <w:rPr>
          <w:lang w:val="en-US"/>
        </w:rPr>
      </w:pPr>
      <w:r w:rsidRPr="00954547">
        <w:rPr>
          <w:lang w:val="en-US"/>
        </w:rPr>
        <w:t xml:space="preserve">The </w:t>
      </w:r>
      <w:r w:rsidR="006E0D5E" w:rsidRPr="00954547">
        <w:rPr>
          <w:b/>
          <w:bCs/>
          <w:i/>
          <w:iCs/>
          <w:lang w:val="en-US"/>
        </w:rPr>
        <w:t>representatives</w:t>
      </w:r>
      <w:r w:rsidR="001C5180" w:rsidRPr="00954547">
        <w:rPr>
          <w:b/>
          <w:bCs/>
          <w:i/>
          <w:iCs/>
          <w:lang w:val="en-US"/>
        </w:rPr>
        <w:t xml:space="preserve"> </w:t>
      </w:r>
      <w:r w:rsidR="00F70612" w:rsidRPr="00954547">
        <w:rPr>
          <w:lang w:val="en-US"/>
        </w:rPr>
        <w:t xml:space="preserve">asked the Court </w:t>
      </w:r>
      <w:r w:rsidR="002C28CA" w:rsidRPr="00954547">
        <w:rPr>
          <w:lang w:val="en-US"/>
        </w:rPr>
        <w:t xml:space="preserve">to </w:t>
      </w:r>
      <w:r w:rsidR="00F70612" w:rsidRPr="00954547">
        <w:rPr>
          <w:lang w:val="en-US"/>
        </w:rPr>
        <w:t xml:space="preserve">order the State </w:t>
      </w:r>
      <w:r w:rsidR="00191708" w:rsidRPr="00954547">
        <w:rPr>
          <w:lang w:val="en-US"/>
        </w:rPr>
        <w:t xml:space="preserve">to </w:t>
      </w:r>
      <w:r w:rsidR="00F70612" w:rsidRPr="00954547">
        <w:rPr>
          <w:lang w:val="en-US"/>
        </w:rPr>
        <w:t xml:space="preserve">provide </w:t>
      </w:r>
      <w:r w:rsidR="00191708" w:rsidRPr="00954547">
        <w:rPr>
          <w:lang w:val="en-US"/>
        </w:rPr>
        <w:t xml:space="preserve">the highest quality </w:t>
      </w:r>
      <w:r w:rsidR="00F70612" w:rsidRPr="00954547">
        <w:rPr>
          <w:lang w:val="en-US"/>
        </w:rPr>
        <w:t xml:space="preserve">medical and </w:t>
      </w:r>
      <w:r w:rsidR="00191708" w:rsidRPr="00954547">
        <w:rPr>
          <w:lang w:val="en-US"/>
        </w:rPr>
        <w:t>psychological treatment, completely free of charge and lifelong, to Manuela’s mother and father, in the medical center of their choice.</w:t>
      </w:r>
    </w:p>
    <w:p w14:paraId="62587564" w14:textId="74589604" w:rsidR="00191708" w:rsidRPr="00954547" w:rsidRDefault="00B8393C" w:rsidP="00386B24">
      <w:pPr>
        <w:pStyle w:val="Numberedparagraphs"/>
        <w:tabs>
          <w:tab w:val="clear" w:pos="720"/>
          <w:tab w:val="left" w:pos="567"/>
        </w:tabs>
        <w:rPr>
          <w:lang w:val="en-US"/>
        </w:rPr>
      </w:pPr>
      <w:r w:rsidRPr="00954547">
        <w:rPr>
          <w:lang w:val="en-US"/>
        </w:rPr>
        <w:t xml:space="preserve">The </w:t>
      </w:r>
      <w:r w:rsidRPr="00954547">
        <w:rPr>
          <w:b/>
          <w:bCs/>
          <w:i/>
          <w:iCs/>
          <w:lang w:val="en-US"/>
        </w:rPr>
        <w:t>State</w:t>
      </w:r>
      <w:r w:rsidR="001C5180" w:rsidRPr="00954547">
        <w:rPr>
          <w:lang w:val="en-US"/>
        </w:rPr>
        <w:t xml:space="preserve"> </w:t>
      </w:r>
      <w:r w:rsidR="00191708" w:rsidRPr="00954547">
        <w:rPr>
          <w:lang w:val="en-US"/>
        </w:rPr>
        <w:t xml:space="preserve">indicated its willingness to “provide health care and psychological treatment to the victims </w:t>
      </w:r>
      <w:r w:rsidR="002C28CA" w:rsidRPr="00954547">
        <w:rPr>
          <w:lang w:val="en-US"/>
        </w:rPr>
        <w:t>determined by the</w:t>
      </w:r>
      <w:r w:rsidR="00191708" w:rsidRPr="00954547">
        <w:rPr>
          <w:lang w:val="en-US"/>
        </w:rPr>
        <w:t xml:space="preserve"> Court, based on an initial comprehensive evaluation to determine their individual needs, and to be provided through the public health system, with primary care in the health centers nearest to their place of residence.”</w:t>
      </w:r>
    </w:p>
    <w:p w14:paraId="43A142B8" w14:textId="05BB3752" w:rsidR="00665B00" w:rsidRPr="00954547" w:rsidRDefault="00E76B1A" w:rsidP="00061B0E">
      <w:pPr>
        <w:pStyle w:val="Numberedparagraphs"/>
        <w:tabs>
          <w:tab w:val="clear" w:pos="720"/>
          <w:tab w:val="left" w:pos="567"/>
        </w:tabs>
        <w:rPr>
          <w:lang w:val="en-US"/>
        </w:rPr>
      </w:pPr>
      <w:bookmarkStart w:id="139" w:name="_Ref86676913"/>
      <w:r w:rsidRPr="00954547">
        <w:rPr>
          <w:lang w:val="en-US"/>
        </w:rPr>
        <w:t>The Court</w:t>
      </w:r>
      <w:r w:rsidR="00665B00" w:rsidRPr="00954547">
        <w:rPr>
          <w:lang w:val="en-US"/>
        </w:rPr>
        <w:t xml:space="preserve"> ha</w:t>
      </w:r>
      <w:r w:rsidR="00191708" w:rsidRPr="00954547">
        <w:rPr>
          <w:lang w:val="en-US"/>
        </w:rPr>
        <w:t xml:space="preserve">s verified the serious impact that the facts of this case had on </w:t>
      </w:r>
      <w:r w:rsidR="00061B0E" w:rsidRPr="00954547">
        <w:rPr>
          <w:lang w:val="en-US"/>
        </w:rPr>
        <w:t xml:space="preserve">the </w:t>
      </w:r>
      <w:r w:rsidR="00191708" w:rsidRPr="00954547">
        <w:rPr>
          <w:lang w:val="en-US"/>
        </w:rPr>
        <w:t>physical integrity</w:t>
      </w:r>
      <w:r w:rsidR="00061B0E" w:rsidRPr="00954547">
        <w:rPr>
          <w:lang w:val="en-US"/>
        </w:rPr>
        <w:t xml:space="preserve"> of Manuela’s parents (</w:t>
      </w:r>
      <w:r w:rsidR="00061B0E" w:rsidRPr="00954547">
        <w:rPr>
          <w:i/>
          <w:lang w:val="en-US"/>
        </w:rPr>
        <w:t>supra</w:t>
      </w:r>
      <w:r w:rsidR="00061B0E" w:rsidRPr="00954547">
        <w:rPr>
          <w:lang w:val="en-US"/>
        </w:rPr>
        <w:t xml:space="preserve"> para. </w:t>
      </w:r>
      <w:r w:rsidR="00061B0E" w:rsidRPr="00954547">
        <w:rPr>
          <w:lang w:val="en-US"/>
        </w:rPr>
        <w:fldChar w:fldCharType="begin"/>
      </w:r>
      <w:r w:rsidR="00061B0E" w:rsidRPr="00954547">
        <w:rPr>
          <w:lang w:val="en-US"/>
        </w:rPr>
        <w:instrText xml:space="preserve"> REF _Ref88034832 \r \h </w:instrText>
      </w:r>
      <w:r w:rsidR="00793F65" w:rsidRPr="00954547">
        <w:rPr>
          <w:lang w:val="en-US"/>
        </w:rPr>
        <w:instrText xml:space="preserve"> \* MERGEFORMAT </w:instrText>
      </w:r>
      <w:r w:rsidR="00061B0E" w:rsidRPr="00954547">
        <w:rPr>
          <w:lang w:val="en-US"/>
        </w:rPr>
      </w:r>
      <w:r w:rsidR="00061B0E" w:rsidRPr="00954547">
        <w:rPr>
          <w:lang w:val="en-US"/>
        </w:rPr>
        <w:fldChar w:fldCharType="separate"/>
      </w:r>
      <w:r w:rsidR="000E4488" w:rsidRPr="00954547">
        <w:rPr>
          <w:lang w:val="en-US"/>
        </w:rPr>
        <w:t>263</w:t>
      </w:r>
      <w:r w:rsidR="00061B0E" w:rsidRPr="00954547">
        <w:rPr>
          <w:lang w:val="en-US"/>
        </w:rPr>
        <w:fldChar w:fldCharType="end"/>
      </w:r>
      <w:r w:rsidR="00061B0E" w:rsidRPr="00954547">
        <w:rPr>
          <w:lang w:val="en-US"/>
        </w:rPr>
        <w:t xml:space="preserve">). Consequently, it considers it appropriate that the State provide, free of charge and immediately, through specialized health institutions, the adequate and effective medical, psychological and/or psychiatric treatment required by Manuela’s parents, including the free provision of medicines, following their informed consent and for as long as necessary. In addition, the treatments should be provided, insofar as possible, in the centers chosen by the beneficiaries. If there are no health centers nearby, the State must cover the costs of transportation and meals. The victims have 18 months from </w:t>
      </w:r>
      <w:r w:rsidR="00A94F95" w:rsidRPr="00954547">
        <w:rPr>
          <w:lang w:val="en-US"/>
        </w:rPr>
        <w:t>notification</w:t>
      </w:r>
      <w:r w:rsidR="00665B00" w:rsidRPr="00954547">
        <w:rPr>
          <w:lang w:val="en-US"/>
        </w:rPr>
        <w:t xml:space="preserve"> </w:t>
      </w:r>
      <w:r w:rsidR="004B6621" w:rsidRPr="00954547">
        <w:rPr>
          <w:lang w:val="en-US"/>
        </w:rPr>
        <w:t>of this judgment</w:t>
      </w:r>
      <w:r w:rsidR="00061B0E" w:rsidRPr="00954547">
        <w:rPr>
          <w:lang w:val="en-US"/>
        </w:rPr>
        <w:t xml:space="preserve"> to require the State to provide this treatment.</w:t>
      </w:r>
      <w:r w:rsidR="00665B00" w:rsidRPr="00954547">
        <w:rPr>
          <w:rStyle w:val="FootnoteReference"/>
          <w:lang w:val="en-US"/>
        </w:rPr>
        <w:footnoteReference w:id="444"/>
      </w:r>
      <w:bookmarkEnd w:id="139"/>
    </w:p>
    <w:p w14:paraId="0E6E053B" w14:textId="3EBDAD12" w:rsidR="001C5180" w:rsidRPr="00954547" w:rsidRDefault="00AF0A78" w:rsidP="000365EC">
      <w:pPr>
        <w:pStyle w:val="Heading2"/>
        <w:numPr>
          <w:ilvl w:val="0"/>
          <w:numId w:val="18"/>
        </w:numPr>
        <w:tabs>
          <w:tab w:val="clear" w:pos="1134"/>
          <w:tab w:val="left" w:pos="567"/>
        </w:tabs>
        <w:autoSpaceDE w:val="0"/>
        <w:autoSpaceDN w:val="0"/>
        <w:adjustRightInd w:val="0"/>
        <w:ind w:left="1134" w:hanging="567"/>
        <w:jc w:val="both"/>
        <w:rPr>
          <w:lang w:val="en-US"/>
        </w:rPr>
      </w:pPr>
      <w:bookmarkStart w:id="140" w:name="_Toc106353937"/>
      <w:r w:rsidRPr="00954547">
        <w:rPr>
          <w:lang w:val="en-US"/>
        </w:rPr>
        <w:t>Guarantees of non-repetition</w:t>
      </w:r>
      <w:bookmarkEnd w:id="137"/>
      <w:bookmarkEnd w:id="140"/>
    </w:p>
    <w:p w14:paraId="56F89670" w14:textId="56ABB524" w:rsidR="005120F6" w:rsidRPr="00954547" w:rsidRDefault="005120F6" w:rsidP="005120F6">
      <w:pPr>
        <w:jc w:val="both"/>
        <w:rPr>
          <w:rFonts w:ascii="Verdana" w:hAnsi="Verdana"/>
          <w:sz w:val="20"/>
          <w:szCs w:val="20"/>
        </w:rPr>
      </w:pPr>
      <w:r w:rsidRPr="00954547">
        <w:rPr>
          <w:rFonts w:ascii="Verdana" w:hAnsi="Verdana"/>
          <w:sz w:val="20"/>
          <w:szCs w:val="20"/>
        </w:rPr>
        <w:t>2</w:t>
      </w:r>
      <w:r w:rsidR="00864781" w:rsidRPr="00954547">
        <w:rPr>
          <w:rFonts w:ascii="Verdana" w:hAnsi="Verdana"/>
          <w:sz w:val="20"/>
          <w:szCs w:val="20"/>
        </w:rPr>
        <w:t>82 (bis)</w:t>
      </w:r>
      <w:r w:rsidRPr="00954547">
        <w:rPr>
          <w:rFonts w:ascii="Verdana" w:hAnsi="Verdana"/>
          <w:sz w:val="20"/>
          <w:szCs w:val="20"/>
        </w:rPr>
        <w:t xml:space="preserve">. </w:t>
      </w:r>
      <w:r w:rsidR="00121031" w:rsidRPr="00954547">
        <w:rPr>
          <w:rFonts w:ascii="Verdana" w:hAnsi="Verdana"/>
          <w:sz w:val="20"/>
          <w:szCs w:val="20"/>
        </w:rPr>
        <w:t xml:space="preserve">Among the measures of non-repetition, the Court will order the State to </w:t>
      </w:r>
      <w:r w:rsidR="002C28CA" w:rsidRPr="00954547">
        <w:rPr>
          <w:rFonts w:ascii="Verdana" w:hAnsi="Verdana"/>
          <w:sz w:val="20"/>
          <w:szCs w:val="20"/>
        </w:rPr>
        <w:t>amend</w:t>
      </w:r>
      <w:r w:rsidR="00121031" w:rsidRPr="00954547">
        <w:rPr>
          <w:rFonts w:ascii="Verdana" w:hAnsi="Verdana"/>
          <w:sz w:val="20"/>
          <w:szCs w:val="20"/>
        </w:rPr>
        <w:t xml:space="preserve"> the law. Compliance with the measures ordered here</w:t>
      </w:r>
      <w:r w:rsidR="008C562E" w:rsidRPr="00954547">
        <w:rPr>
          <w:rFonts w:ascii="Verdana" w:hAnsi="Verdana"/>
          <w:sz w:val="20"/>
          <w:szCs w:val="20"/>
        </w:rPr>
        <w:t>in</w:t>
      </w:r>
      <w:r w:rsidR="00121031" w:rsidRPr="00954547">
        <w:rPr>
          <w:rFonts w:ascii="Verdana" w:hAnsi="Verdana"/>
          <w:sz w:val="20"/>
          <w:szCs w:val="20"/>
        </w:rPr>
        <w:t xml:space="preserve"> cannot be obstructed by use of the principle of legal reservation that undermines women’s rights. Therefore, the obligation to amend the law may be </w:t>
      </w:r>
      <w:r w:rsidR="008C562E" w:rsidRPr="00954547">
        <w:rPr>
          <w:rFonts w:ascii="Verdana" w:hAnsi="Verdana"/>
          <w:sz w:val="20"/>
          <w:szCs w:val="20"/>
        </w:rPr>
        <w:t>executed</w:t>
      </w:r>
      <w:r w:rsidR="00121031" w:rsidRPr="00954547">
        <w:rPr>
          <w:rFonts w:ascii="Verdana" w:hAnsi="Verdana"/>
          <w:sz w:val="20"/>
          <w:szCs w:val="20"/>
        </w:rPr>
        <w:t xml:space="preserve"> directly by the </w:t>
      </w:r>
      <w:r w:rsidR="00E63AAA" w:rsidRPr="00954547">
        <w:rPr>
          <w:rFonts w:ascii="Verdana" w:hAnsi="Verdana"/>
          <w:sz w:val="20"/>
          <w:szCs w:val="20"/>
        </w:rPr>
        <w:t xml:space="preserve">State’s </w:t>
      </w:r>
      <w:r w:rsidR="00121031" w:rsidRPr="00954547">
        <w:rPr>
          <w:rFonts w:ascii="Verdana" w:hAnsi="Verdana"/>
          <w:sz w:val="20"/>
          <w:szCs w:val="20"/>
        </w:rPr>
        <w:t>Executive Branch.</w:t>
      </w:r>
      <w:r w:rsidRPr="00954547">
        <w:rPr>
          <w:rStyle w:val="FootnoteReference"/>
          <w:rFonts w:ascii="Verdana" w:hAnsi="Verdana"/>
          <w:sz w:val="20"/>
          <w:szCs w:val="20"/>
        </w:rPr>
        <w:footnoteReference w:id="445"/>
      </w:r>
    </w:p>
    <w:p w14:paraId="2DCB57DD" w14:textId="21AB486C" w:rsidR="001C5180" w:rsidRPr="00954547" w:rsidRDefault="001C5180" w:rsidP="00386B24">
      <w:pPr>
        <w:pStyle w:val="Heading3"/>
        <w:tabs>
          <w:tab w:val="left" w:pos="567"/>
        </w:tabs>
        <w:jc w:val="both"/>
      </w:pPr>
      <w:bookmarkStart w:id="141" w:name="_Toc106353938"/>
      <w:r w:rsidRPr="00954547">
        <w:t xml:space="preserve">D.1 </w:t>
      </w:r>
      <w:r w:rsidR="00AF0A78" w:rsidRPr="00954547">
        <w:t xml:space="preserve">Regulation of medical professional </w:t>
      </w:r>
      <w:r w:rsidR="008C562E" w:rsidRPr="00954547">
        <w:t>secrecy</w:t>
      </w:r>
      <w:r w:rsidR="00AF0A78" w:rsidRPr="00954547">
        <w:t xml:space="preserve"> and its exceptions</w:t>
      </w:r>
      <w:r w:rsidR="00665B00" w:rsidRPr="00954547">
        <w:t>,</w:t>
      </w:r>
      <w:r w:rsidR="0078694F" w:rsidRPr="00954547">
        <w:t xml:space="preserve"> and </w:t>
      </w:r>
      <w:r w:rsidR="00AF0A78" w:rsidRPr="00954547">
        <w:t>adaptation of the medical protocols and guidelines for attending to</w:t>
      </w:r>
      <w:r w:rsidR="00B66AA2" w:rsidRPr="00954547">
        <w:t xml:space="preserve"> obstetric emergencies</w:t>
      </w:r>
      <w:bookmarkEnd w:id="141"/>
    </w:p>
    <w:p w14:paraId="6CF6924C" w14:textId="329F6170" w:rsidR="001C5180" w:rsidRPr="00954547" w:rsidRDefault="00E76B1A" w:rsidP="007F6419">
      <w:pPr>
        <w:pStyle w:val="Numberedparagraphs"/>
        <w:tabs>
          <w:tab w:val="clear" w:pos="720"/>
          <w:tab w:val="left" w:pos="567"/>
        </w:tabs>
        <w:rPr>
          <w:lang w:val="en-US" w:eastAsia="es-MX"/>
        </w:rPr>
      </w:pPr>
      <w:r w:rsidRPr="00954547">
        <w:rPr>
          <w:lang w:val="en-US" w:eastAsia="es-MX"/>
        </w:rPr>
        <w:t xml:space="preserve">The </w:t>
      </w:r>
      <w:r w:rsidRPr="00954547">
        <w:rPr>
          <w:b/>
          <w:bCs/>
          <w:i/>
          <w:iCs/>
          <w:lang w:val="en-US" w:eastAsia="es-MX"/>
        </w:rPr>
        <w:t>Commission</w:t>
      </w:r>
      <w:r w:rsidR="001C5180" w:rsidRPr="00954547">
        <w:rPr>
          <w:lang w:val="en-US" w:eastAsia="es-MX"/>
        </w:rPr>
        <w:t xml:space="preserve"> </w:t>
      </w:r>
      <w:r w:rsidR="00FF1AD8" w:rsidRPr="00954547">
        <w:rPr>
          <w:lang w:val="en-US" w:eastAsia="es-MX"/>
        </w:rPr>
        <w:t>asked the Court to order</w:t>
      </w:r>
      <w:r w:rsidR="00A94F95" w:rsidRPr="00954547">
        <w:rPr>
          <w:lang w:val="en-US" w:eastAsia="es-MX"/>
        </w:rPr>
        <w:t xml:space="preserve"> the State</w:t>
      </w:r>
      <w:r w:rsidR="001C5180" w:rsidRPr="00954547">
        <w:rPr>
          <w:lang w:val="en-US" w:eastAsia="es-MX"/>
        </w:rPr>
        <w:t xml:space="preserve"> “</w:t>
      </w:r>
      <w:r w:rsidR="007F6419" w:rsidRPr="00954547">
        <w:rPr>
          <w:lang w:val="en-US" w:eastAsia="es-MX"/>
        </w:rPr>
        <w:t xml:space="preserve">to </w:t>
      </w:r>
      <w:r w:rsidR="00FF1AD8" w:rsidRPr="00954547">
        <w:rPr>
          <w:lang w:val="en-US"/>
        </w:rPr>
        <w:t xml:space="preserve">ensure the legal certainty of professional medical </w:t>
      </w:r>
      <w:r w:rsidR="008C562E" w:rsidRPr="00954547">
        <w:rPr>
          <w:lang w:val="en-US"/>
        </w:rPr>
        <w:t>secrecy</w:t>
      </w:r>
      <w:r w:rsidR="00FF1AD8" w:rsidRPr="00954547">
        <w:rPr>
          <w:lang w:val="en-US"/>
        </w:rPr>
        <w:t xml:space="preserve"> </w:t>
      </w:r>
      <w:r w:rsidR="00F12A6A" w:rsidRPr="00954547">
        <w:rPr>
          <w:lang w:val="en-US"/>
        </w:rPr>
        <w:t>by</w:t>
      </w:r>
      <w:r w:rsidR="00FF1AD8" w:rsidRPr="00954547">
        <w:rPr>
          <w:lang w:val="en-US"/>
        </w:rPr>
        <w:t xml:space="preserve"> adequate regulation</w:t>
      </w:r>
      <w:r w:rsidR="007C401B" w:rsidRPr="00954547">
        <w:rPr>
          <w:lang w:val="en-US"/>
        </w:rPr>
        <w:t xml:space="preserve"> </w:t>
      </w:r>
      <w:r w:rsidR="00FF1AD8" w:rsidRPr="00954547">
        <w:rPr>
          <w:lang w:val="en-US"/>
        </w:rPr>
        <w:t>resul</w:t>
      </w:r>
      <w:r w:rsidR="008C562E" w:rsidRPr="00954547">
        <w:rPr>
          <w:lang w:val="en-US"/>
        </w:rPr>
        <w:t xml:space="preserve">ting from the due </w:t>
      </w:r>
      <w:r w:rsidR="00FF1AD8" w:rsidRPr="00954547">
        <w:rPr>
          <w:lang w:val="en-US"/>
        </w:rPr>
        <w:t>weigh</w:t>
      </w:r>
      <w:r w:rsidR="00F12A6A" w:rsidRPr="00954547">
        <w:rPr>
          <w:lang w:val="en-US"/>
        </w:rPr>
        <w:t>t</w:t>
      </w:r>
      <w:r w:rsidR="00FF1AD8" w:rsidRPr="00954547">
        <w:rPr>
          <w:lang w:val="en-US"/>
        </w:rPr>
        <w:t xml:space="preserve">ing </w:t>
      </w:r>
      <w:r w:rsidR="00F12A6A" w:rsidRPr="00954547">
        <w:rPr>
          <w:lang w:val="en-US"/>
        </w:rPr>
        <w:t xml:space="preserve">of </w:t>
      </w:r>
      <w:r w:rsidR="00FF1AD8" w:rsidRPr="00954547">
        <w:rPr>
          <w:lang w:val="en-US"/>
        </w:rPr>
        <w:t xml:space="preserve">the rights and interests </w:t>
      </w:r>
      <w:r w:rsidR="00F12A6A" w:rsidRPr="00954547">
        <w:rPr>
          <w:lang w:val="en-US"/>
        </w:rPr>
        <w:t>concerned</w:t>
      </w:r>
      <w:r w:rsidR="00FF1AD8" w:rsidRPr="00954547">
        <w:rPr>
          <w:lang w:val="en-US"/>
        </w:rPr>
        <w:t>, and to establish a protocol to</w:t>
      </w:r>
      <w:r w:rsidR="00F12A6A" w:rsidRPr="00954547">
        <w:rPr>
          <w:lang w:val="en-US"/>
        </w:rPr>
        <w:t xml:space="preserve"> ensure protection of</w:t>
      </w:r>
      <w:r w:rsidR="00FF1AD8" w:rsidRPr="00954547">
        <w:rPr>
          <w:lang w:val="en-US"/>
        </w:rPr>
        <w:t xml:space="preserve"> th</w:t>
      </w:r>
      <w:r w:rsidR="00F12A6A" w:rsidRPr="00954547">
        <w:rPr>
          <w:lang w:val="en-US"/>
        </w:rPr>
        <w:t>ose rights and interests</w:t>
      </w:r>
      <w:r w:rsidR="00FF1AD8" w:rsidRPr="00954547">
        <w:rPr>
          <w:lang w:val="en-US"/>
        </w:rPr>
        <w:t xml:space="preserve"> </w:t>
      </w:r>
      <w:r w:rsidR="00F12A6A" w:rsidRPr="00954547">
        <w:rPr>
          <w:lang w:val="en-US"/>
        </w:rPr>
        <w:t>by</w:t>
      </w:r>
      <w:r w:rsidR="00FF1AD8" w:rsidRPr="00954547">
        <w:rPr>
          <w:lang w:val="en-US"/>
        </w:rPr>
        <w:t xml:space="preserve"> medical staff in cases involving obstetric emergencies or abortion, that meets international standards and that establishes the grounds for exceptions in detail.</w:t>
      </w:r>
      <w:r w:rsidR="007F6419" w:rsidRPr="00954547">
        <w:rPr>
          <w:lang w:val="en-US" w:eastAsia="es-MX"/>
        </w:rPr>
        <w:t>”</w:t>
      </w:r>
      <w:r w:rsidR="001C5180" w:rsidRPr="00954547">
        <w:rPr>
          <w:lang w:val="en-US" w:eastAsia="es-MX"/>
        </w:rPr>
        <w:t xml:space="preserve"> </w:t>
      </w:r>
    </w:p>
    <w:p w14:paraId="4A5765B8" w14:textId="0E2DB64A" w:rsidR="001C5180" w:rsidRPr="00954547" w:rsidRDefault="00B8393C" w:rsidP="00386B24">
      <w:pPr>
        <w:pStyle w:val="Numberedparagraphs"/>
        <w:tabs>
          <w:tab w:val="clear" w:pos="720"/>
          <w:tab w:val="left" w:pos="567"/>
        </w:tabs>
        <w:rPr>
          <w:lang w:val="en-US" w:eastAsia="es-MX"/>
        </w:rPr>
      </w:pPr>
      <w:r w:rsidRPr="00954547">
        <w:rPr>
          <w:lang w:val="en-US" w:eastAsia="es-MX"/>
        </w:rPr>
        <w:t xml:space="preserve">The </w:t>
      </w:r>
      <w:r w:rsidR="006E0D5E" w:rsidRPr="00954547">
        <w:rPr>
          <w:b/>
          <w:bCs/>
          <w:i/>
          <w:iCs/>
          <w:lang w:val="en-US" w:eastAsia="es-MX"/>
        </w:rPr>
        <w:t>representatives</w:t>
      </w:r>
      <w:r w:rsidR="001C5180" w:rsidRPr="00954547">
        <w:rPr>
          <w:lang w:val="en-US" w:eastAsia="es-MX"/>
        </w:rPr>
        <w:t xml:space="preserve"> </w:t>
      </w:r>
      <w:r w:rsidR="007F6419" w:rsidRPr="00954547">
        <w:rPr>
          <w:lang w:val="en-US" w:eastAsia="es-MX"/>
        </w:rPr>
        <w:t>repeated</w:t>
      </w:r>
      <w:r w:rsidR="00607E12" w:rsidRPr="00954547">
        <w:rPr>
          <w:lang w:val="en-US" w:eastAsia="es-MX"/>
        </w:rPr>
        <w:t xml:space="preserve"> the </w:t>
      </w:r>
      <w:r w:rsidR="00E76B1A" w:rsidRPr="00954547">
        <w:rPr>
          <w:lang w:val="en-US" w:eastAsia="es-MX"/>
        </w:rPr>
        <w:t>Commission</w:t>
      </w:r>
      <w:r w:rsidR="007F6419" w:rsidRPr="00954547">
        <w:rPr>
          <w:lang w:val="en-US" w:eastAsia="es-MX"/>
        </w:rPr>
        <w:t>’s request</w:t>
      </w:r>
      <w:r w:rsidR="001C5180" w:rsidRPr="00954547">
        <w:rPr>
          <w:lang w:val="en-US" w:eastAsia="es-MX"/>
        </w:rPr>
        <w:t xml:space="preserve">, </w:t>
      </w:r>
      <w:r w:rsidR="007F6419" w:rsidRPr="00954547">
        <w:rPr>
          <w:lang w:val="en-US" w:eastAsia="es-MX"/>
        </w:rPr>
        <w:t>adding that the protocol should provide details of “the procedure for [revealing the medical secret] and a detailed list of the authorities with competence to request and to authorize this.”</w:t>
      </w:r>
    </w:p>
    <w:p w14:paraId="2089AA25" w14:textId="39629059" w:rsidR="00665B00" w:rsidRPr="00954547" w:rsidRDefault="00B8393C" w:rsidP="00386B24">
      <w:pPr>
        <w:pStyle w:val="Numberedparagraphs"/>
        <w:tabs>
          <w:tab w:val="left" w:pos="567"/>
        </w:tabs>
        <w:rPr>
          <w:lang w:val="en-US" w:eastAsia="es-MX"/>
        </w:rPr>
      </w:pPr>
      <w:r w:rsidRPr="00954547">
        <w:rPr>
          <w:lang w:val="en-US" w:eastAsia="es-MX"/>
        </w:rPr>
        <w:t xml:space="preserve">The </w:t>
      </w:r>
      <w:r w:rsidRPr="00954547">
        <w:rPr>
          <w:b/>
          <w:bCs/>
          <w:i/>
          <w:iCs/>
          <w:lang w:val="en-US" w:eastAsia="es-MX"/>
        </w:rPr>
        <w:t>State</w:t>
      </w:r>
      <w:r w:rsidR="00665B00" w:rsidRPr="00954547">
        <w:rPr>
          <w:lang w:val="en-US" w:eastAsia="es-MX"/>
        </w:rPr>
        <w:t xml:space="preserve"> </w:t>
      </w:r>
      <w:r w:rsidR="007F6419" w:rsidRPr="00954547">
        <w:rPr>
          <w:lang w:val="en-US" w:eastAsia="es-MX"/>
        </w:rPr>
        <w:t>did not comment on these requests but, together with it</w:t>
      </w:r>
      <w:r w:rsidR="007C401B" w:rsidRPr="00954547">
        <w:rPr>
          <w:lang w:val="en-US" w:eastAsia="es-MX"/>
        </w:rPr>
        <w:t>s</w:t>
      </w:r>
      <w:r w:rsidR="007F6419" w:rsidRPr="00954547">
        <w:rPr>
          <w:lang w:val="en-US" w:eastAsia="es-MX"/>
        </w:rPr>
        <w:t xml:space="preserve"> final written arguments, presented several clinical guidelines and also </w:t>
      </w:r>
      <w:r w:rsidR="007C401B" w:rsidRPr="00954547">
        <w:rPr>
          <w:lang w:val="en-US" w:eastAsia="es-MX"/>
        </w:rPr>
        <w:t xml:space="preserve">the </w:t>
      </w:r>
      <w:r w:rsidR="007F6419" w:rsidRPr="00954547">
        <w:rPr>
          <w:lang w:val="en-US" w:eastAsia="es-MX"/>
        </w:rPr>
        <w:t xml:space="preserve">guidelines of the Ministry of Health relating to obstetric </w:t>
      </w:r>
      <w:r w:rsidR="00057E46" w:rsidRPr="00954547">
        <w:rPr>
          <w:lang w:val="en-US" w:eastAsia="es-MX"/>
        </w:rPr>
        <w:t>care</w:t>
      </w:r>
      <w:r w:rsidR="007F6419" w:rsidRPr="00954547">
        <w:rPr>
          <w:lang w:val="en-US" w:eastAsia="es-MX"/>
        </w:rPr>
        <w:t>.</w:t>
      </w:r>
      <w:r w:rsidR="00665B00" w:rsidRPr="00954547">
        <w:rPr>
          <w:rStyle w:val="FootnoteReference"/>
          <w:lang w:val="en-US" w:eastAsia="es-MX"/>
        </w:rPr>
        <w:footnoteReference w:id="446"/>
      </w:r>
    </w:p>
    <w:p w14:paraId="1200DF8F" w14:textId="14ACEE00" w:rsidR="00A82004" w:rsidRPr="00954547" w:rsidRDefault="00E76B1A" w:rsidP="00A724B4">
      <w:pPr>
        <w:pStyle w:val="Numberedparagraphs"/>
        <w:tabs>
          <w:tab w:val="clear" w:pos="720"/>
          <w:tab w:val="num" w:pos="567"/>
        </w:tabs>
        <w:rPr>
          <w:lang w:val="en-US"/>
        </w:rPr>
      </w:pPr>
      <w:bookmarkStart w:id="142" w:name="_Ref86678742"/>
      <w:bookmarkStart w:id="143" w:name="_Ref86678876"/>
      <w:r w:rsidRPr="00954547">
        <w:rPr>
          <w:lang w:val="en-US" w:eastAsia="es-MX"/>
        </w:rPr>
        <w:t>The Court</w:t>
      </w:r>
      <w:r w:rsidR="00A82004" w:rsidRPr="00954547">
        <w:rPr>
          <w:lang w:val="en-US" w:eastAsia="es-MX"/>
        </w:rPr>
        <w:t xml:space="preserve"> rec</w:t>
      </w:r>
      <w:r w:rsidR="00B31C0D" w:rsidRPr="00954547">
        <w:rPr>
          <w:lang w:val="en-US" w:eastAsia="es-MX"/>
        </w:rPr>
        <w:t xml:space="preserve">alls that, in the instant case, after suffering an </w:t>
      </w:r>
      <w:r w:rsidR="00B31C0D" w:rsidRPr="00954547">
        <w:rPr>
          <w:lang w:val="en-US"/>
        </w:rPr>
        <w:t xml:space="preserve">obstetric emergency, Manuela was reported by her physician for the possible “perpetration of </w:t>
      </w:r>
      <w:r w:rsidR="00AB5D03" w:rsidRPr="00954547">
        <w:rPr>
          <w:lang w:val="en-US"/>
        </w:rPr>
        <w:t>a crime</w:t>
      </w:r>
      <w:r w:rsidR="00B31C0D" w:rsidRPr="00954547">
        <w:rPr>
          <w:lang w:val="en-US"/>
        </w:rPr>
        <w:t>.”</w:t>
      </w:r>
      <w:r w:rsidR="00B31C0D" w:rsidRPr="00954547">
        <w:rPr>
          <w:rStyle w:val="FootnoteReference"/>
          <w:sz w:val="18"/>
          <w:szCs w:val="18"/>
          <w:lang w:val="en-US"/>
        </w:rPr>
        <w:footnoteReference w:id="447"/>
      </w:r>
      <w:r w:rsidR="00B31C0D" w:rsidRPr="00954547">
        <w:rPr>
          <w:lang w:val="en-US"/>
        </w:rPr>
        <w:t xml:space="preserve"> Based on this report, Manuela was investigated for “the unlawful act of abortion.</w:t>
      </w:r>
      <w:r w:rsidR="00B31C0D" w:rsidRPr="00954547">
        <w:rPr>
          <w:rStyle w:val="FootnoteReference"/>
          <w:lang w:val="en-US"/>
        </w:rPr>
        <w:t>”</w:t>
      </w:r>
      <w:r w:rsidR="00B31C0D" w:rsidRPr="00954547">
        <w:rPr>
          <w:rStyle w:val="FootnoteReference"/>
          <w:lang w:val="en-US"/>
        </w:rPr>
        <w:footnoteReference w:id="448"/>
      </w:r>
      <w:r w:rsidR="00B31C0D" w:rsidRPr="00954547">
        <w:rPr>
          <w:lang w:val="en-US"/>
        </w:rPr>
        <w:t xml:space="preserve"> The laws of El Salvador regulate medical </w:t>
      </w:r>
      <w:r w:rsidR="00B31C0D" w:rsidRPr="00954547">
        <w:rPr>
          <w:lang w:val="en-US" w:eastAsia="es-MX"/>
        </w:rPr>
        <w:t xml:space="preserve">professional </w:t>
      </w:r>
      <w:r w:rsidR="00AB5D03" w:rsidRPr="00954547">
        <w:rPr>
          <w:lang w:val="en-US" w:eastAsia="es-MX"/>
        </w:rPr>
        <w:t>secrecy</w:t>
      </w:r>
      <w:r w:rsidR="00B31C0D" w:rsidRPr="00954547">
        <w:rPr>
          <w:lang w:val="en-US" w:eastAsia="es-MX"/>
        </w:rPr>
        <w:t xml:space="preserve"> ambiguously and, in practice, this has meant that, to avoid being sanctioned, medical personnel report women suspected of having committed the offense of abortion (</w:t>
      </w:r>
      <w:r w:rsidR="00B31C0D" w:rsidRPr="00954547">
        <w:rPr>
          <w:i/>
          <w:lang w:val="en-US" w:eastAsia="es-MX"/>
        </w:rPr>
        <w:t>supra</w:t>
      </w:r>
      <w:r w:rsidR="00B31C0D" w:rsidRPr="00954547">
        <w:rPr>
          <w:lang w:val="en-US" w:eastAsia="es-MX"/>
        </w:rPr>
        <w:t xml:space="preserve"> paras. </w:t>
      </w:r>
      <w:r w:rsidR="00B31C0D" w:rsidRPr="00954547">
        <w:rPr>
          <w:lang w:val="en-US" w:eastAsia="es-MX"/>
        </w:rPr>
        <w:fldChar w:fldCharType="begin"/>
      </w:r>
      <w:r w:rsidR="00B31C0D" w:rsidRPr="00954547">
        <w:rPr>
          <w:lang w:val="en-US" w:eastAsia="es-MX"/>
        </w:rPr>
        <w:instrText xml:space="preserve"> REF _Ref88034940 \r \h </w:instrText>
      </w:r>
      <w:r w:rsidR="00793F65" w:rsidRPr="00954547">
        <w:rPr>
          <w:lang w:val="en-US" w:eastAsia="es-MX"/>
        </w:rPr>
        <w:instrText xml:space="preserve"> \* MERGEFORMAT </w:instrText>
      </w:r>
      <w:r w:rsidR="00B31C0D" w:rsidRPr="00954547">
        <w:rPr>
          <w:lang w:val="en-US" w:eastAsia="es-MX"/>
        </w:rPr>
      </w:r>
      <w:r w:rsidR="00B31C0D" w:rsidRPr="00954547">
        <w:rPr>
          <w:lang w:val="en-US" w:eastAsia="es-MX"/>
        </w:rPr>
        <w:fldChar w:fldCharType="separate"/>
      </w:r>
      <w:r w:rsidR="000E4488" w:rsidRPr="00954547">
        <w:rPr>
          <w:lang w:val="en-US" w:eastAsia="es-MX"/>
        </w:rPr>
        <w:t>213</w:t>
      </w:r>
      <w:r w:rsidR="00B31C0D" w:rsidRPr="00954547">
        <w:rPr>
          <w:lang w:val="en-US" w:eastAsia="es-MX"/>
        </w:rPr>
        <w:fldChar w:fldCharType="end"/>
      </w:r>
      <w:r w:rsidR="00B31C0D" w:rsidRPr="00954547">
        <w:rPr>
          <w:lang w:val="en-US" w:eastAsia="es-MX"/>
        </w:rPr>
        <w:t xml:space="preserve"> to </w:t>
      </w:r>
      <w:r w:rsidR="00B31C0D" w:rsidRPr="00954547">
        <w:rPr>
          <w:lang w:val="en-US" w:eastAsia="es-MX"/>
        </w:rPr>
        <w:fldChar w:fldCharType="begin"/>
      </w:r>
      <w:r w:rsidR="00B31C0D" w:rsidRPr="00954547">
        <w:rPr>
          <w:lang w:val="en-US" w:eastAsia="es-MX"/>
        </w:rPr>
        <w:instrText xml:space="preserve"> REF _Ref88034942 \r \h </w:instrText>
      </w:r>
      <w:r w:rsidR="00793F65" w:rsidRPr="00954547">
        <w:rPr>
          <w:lang w:val="en-US" w:eastAsia="es-MX"/>
        </w:rPr>
        <w:instrText xml:space="preserve"> \* MERGEFORMAT </w:instrText>
      </w:r>
      <w:r w:rsidR="00B31C0D" w:rsidRPr="00954547">
        <w:rPr>
          <w:lang w:val="en-US" w:eastAsia="es-MX"/>
        </w:rPr>
      </w:r>
      <w:r w:rsidR="00B31C0D" w:rsidRPr="00954547">
        <w:rPr>
          <w:lang w:val="en-US" w:eastAsia="es-MX"/>
        </w:rPr>
        <w:fldChar w:fldCharType="separate"/>
      </w:r>
      <w:r w:rsidR="000E4488" w:rsidRPr="00954547">
        <w:rPr>
          <w:lang w:val="en-US" w:eastAsia="es-MX"/>
        </w:rPr>
        <w:t>216</w:t>
      </w:r>
      <w:r w:rsidR="00B31C0D" w:rsidRPr="00954547">
        <w:rPr>
          <w:lang w:val="en-US" w:eastAsia="es-MX"/>
        </w:rPr>
        <w:fldChar w:fldCharType="end"/>
      </w:r>
      <w:r w:rsidR="00B31C0D" w:rsidRPr="00954547">
        <w:rPr>
          <w:lang w:val="en-US" w:eastAsia="es-MX"/>
        </w:rPr>
        <w:t>). Moreover, the confidentiality of medical record</w:t>
      </w:r>
      <w:r w:rsidR="00AB5D03" w:rsidRPr="00954547">
        <w:rPr>
          <w:lang w:val="en-US" w:eastAsia="es-MX"/>
        </w:rPr>
        <w:t>s</w:t>
      </w:r>
      <w:r w:rsidR="00792796" w:rsidRPr="00954547">
        <w:rPr>
          <w:lang w:val="en-US" w:eastAsia="es-MX"/>
        </w:rPr>
        <w:t xml:space="preserve"> and the exceptional nature of </w:t>
      </w:r>
      <w:r w:rsidR="00AB5D03" w:rsidRPr="00954547">
        <w:rPr>
          <w:lang w:val="en-US" w:eastAsia="es-MX"/>
        </w:rPr>
        <w:t>their</w:t>
      </w:r>
      <w:r w:rsidR="00792796" w:rsidRPr="00954547">
        <w:rPr>
          <w:lang w:val="en-US" w:eastAsia="es-MX"/>
        </w:rPr>
        <w:t xml:space="preserve"> disclosure</w:t>
      </w:r>
      <w:r w:rsidR="00B31C0D" w:rsidRPr="00954547">
        <w:rPr>
          <w:lang w:val="en-US" w:eastAsia="es-MX"/>
        </w:rPr>
        <w:t xml:space="preserve"> is not regulated sufficiently</w:t>
      </w:r>
      <w:r w:rsidR="003C52E9" w:rsidRPr="00954547">
        <w:rPr>
          <w:lang w:val="en-US" w:eastAsia="es-MX"/>
        </w:rPr>
        <w:t xml:space="preserve"> (</w:t>
      </w:r>
      <w:r w:rsidR="003C52E9" w:rsidRPr="00954547">
        <w:rPr>
          <w:i/>
          <w:lang w:val="en-US" w:eastAsia="es-MX"/>
        </w:rPr>
        <w:t xml:space="preserve">supra </w:t>
      </w:r>
      <w:r w:rsidR="00B10E5A" w:rsidRPr="00954547">
        <w:rPr>
          <w:lang w:val="en-US" w:eastAsia="es-MX"/>
        </w:rPr>
        <w:t>para.</w:t>
      </w:r>
      <w:r w:rsidR="003C52E9" w:rsidRPr="00954547">
        <w:rPr>
          <w:lang w:val="en-US" w:eastAsia="es-MX"/>
        </w:rPr>
        <w:t xml:space="preserve"> </w:t>
      </w:r>
      <w:r w:rsidR="003C52E9" w:rsidRPr="00954547">
        <w:rPr>
          <w:lang w:val="en-US" w:eastAsia="es-MX"/>
        </w:rPr>
        <w:fldChar w:fldCharType="begin"/>
      </w:r>
      <w:r w:rsidR="003C52E9" w:rsidRPr="00954547">
        <w:rPr>
          <w:lang w:val="en-US" w:eastAsia="es-MX"/>
        </w:rPr>
        <w:instrText xml:space="preserve"> REF _Ref88035002 \r \h </w:instrText>
      </w:r>
      <w:r w:rsidR="00793F65" w:rsidRPr="00954547">
        <w:rPr>
          <w:lang w:val="en-US" w:eastAsia="es-MX"/>
        </w:rPr>
        <w:instrText xml:space="preserve"> \* MERGEFORMAT </w:instrText>
      </w:r>
      <w:r w:rsidR="003C52E9" w:rsidRPr="00954547">
        <w:rPr>
          <w:lang w:val="en-US" w:eastAsia="es-MX"/>
        </w:rPr>
      </w:r>
      <w:r w:rsidR="003C52E9" w:rsidRPr="00954547">
        <w:rPr>
          <w:lang w:val="en-US" w:eastAsia="es-MX"/>
        </w:rPr>
        <w:fldChar w:fldCharType="separate"/>
      </w:r>
      <w:r w:rsidR="000E4488" w:rsidRPr="00954547">
        <w:rPr>
          <w:lang w:val="en-US" w:eastAsia="es-MX"/>
        </w:rPr>
        <w:t>228</w:t>
      </w:r>
      <w:r w:rsidR="003C52E9" w:rsidRPr="00954547">
        <w:rPr>
          <w:lang w:val="en-US" w:eastAsia="es-MX"/>
        </w:rPr>
        <w:fldChar w:fldCharType="end"/>
      </w:r>
      <w:r w:rsidR="003C52E9" w:rsidRPr="00954547">
        <w:rPr>
          <w:lang w:val="en-US" w:eastAsia="es-MX"/>
        </w:rPr>
        <w:t>)</w:t>
      </w:r>
      <w:r w:rsidR="00A82004" w:rsidRPr="00954547">
        <w:rPr>
          <w:lang w:val="en-US" w:eastAsia="es-MX"/>
        </w:rPr>
        <w:t xml:space="preserve">. </w:t>
      </w:r>
      <w:r w:rsidR="00792796" w:rsidRPr="00954547">
        <w:rPr>
          <w:lang w:val="en-US" w:eastAsia="es-MX"/>
        </w:rPr>
        <w:t xml:space="preserve">Consequently, the Court deems </w:t>
      </w:r>
      <w:r w:rsidR="007C51C0" w:rsidRPr="00954547">
        <w:rPr>
          <w:lang w:val="en-US" w:eastAsia="es-MX"/>
        </w:rPr>
        <w:t xml:space="preserve">it </w:t>
      </w:r>
      <w:r w:rsidR="00792796" w:rsidRPr="00954547">
        <w:rPr>
          <w:lang w:val="en-US" w:eastAsia="es-MX"/>
        </w:rPr>
        <w:t xml:space="preserve">pertinent that the State adopt, within two years of </w:t>
      </w:r>
      <w:r w:rsidR="00A94F95" w:rsidRPr="00954547">
        <w:rPr>
          <w:lang w:val="en-US" w:eastAsia="es-MX"/>
        </w:rPr>
        <w:t>notification</w:t>
      </w:r>
      <w:r w:rsidR="00A82004" w:rsidRPr="00954547">
        <w:rPr>
          <w:lang w:val="en-US" w:eastAsia="es-MX"/>
        </w:rPr>
        <w:t xml:space="preserve"> </w:t>
      </w:r>
      <w:r w:rsidR="004B6621" w:rsidRPr="00954547">
        <w:rPr>
          <w:lang w:val="en-US" w:eastAsia="es-MX"/>
        </w:rPr>
        <w:t>of this judgment</w:t>
      </w:r>
      <w:r w:rsidR="00A82004" w:rsidRPr="00954547">
        <w:rPr>
          <w:lang w:val="en-US" w:eastAsia="es-MX"/>
        </w:rPr>
        <w:t xml:space="preserve">, </w:t>
      </w:r>
      <w:r w:rsidR="00792796" w:rsidRPr="00954547">
        <w:rPr>
          <w:lang w:val="en-US" w:eastAsia="es-MX"/>
        </w:rPr>
        <w:t xml:space="preserve">clear regulations on the scope </w:t>
      </w:r>
      <w:r w:rsidR="00674DA3" w:rsidRPr="00954547">
        <w:rPr>
          <w:lang w:val="en-US" w:eastAsia="es-MX"/>
        </w:rPr>
        <w:t xml:space="preserve">of </w:t>
      </w:r>
      <w:r w:rsidR="00792796" w:rsidRPr="00954547">
        <w:rPr>
          <w:lang w:val="en-US" w:eastAsia="es-MX"/>
        </w:rPr>
        <w:t xml:space="preserve">medical professional </w:t>
      </w:r>
      <w:r w:rsidR="007C51C0" w:rsidRPr="00954547">
        <w:rPr>
          <w:lang w:val="en-US" w:eastAsia="es-MX"/>
        </w:rPr>
        <w:t>secrec</w:t>
      </w:r>
      <w:r w:rsidR="00792796" w:rsidRPr="00954547">
        <w:rPr>
          <w:lang w:val="en-US" w:eastAsia="es-MX"/>
        </w:rPr>
        <w:t>y</w:t>
      </w:r>
      <w:r w:rsidR="00A82004" w:rsidRPr="00954547">
        <w:rPr>
          <w:lang w:val="en-US" w:eastAsia="es-MX"/>
        </w:rPr>
        <w:t xml:space="preserve">, </w:t>
      </w:r>
      <w:r w:rsidR="00792796" w:rsidRPr="00954547">
        <w:rPr>
          <w:lang w:val="en-US" w:eastAsia="es-MX"/>
        </w:rPr>
        <w:t>the protection of medical records, and the exceptions, pursuant to the standards described in this judgment (</w:t>
      </w:r>
      <w:r w:rsidR="00792796" w:rsidRPr="00954547">
        <w:rPr>
          <w:i/>
          <w:lang w:val="en-US" w:eastAsia="es-MX"/>
        </w:rPr>
        <w:t>supra</w:t>
      </w:r>
      <w:r w:rsidR="00792796" w:rsidRPr="00954547">
        <w:rPr>
          <w:lang w:val="en-US" w:eastAsia="es-MX"/>
        </w:rPr>
        <w:t xml:space="preserve"> paras. </w:t>
      </w:r>
      <w:r w:rsidR="00792796" w:rsidRPr="00954547">
        <w:rPr>
          <w:lang w:val="en-US" w:eastAsia="es-MX"/>
        </w:rPr>
        <w:fldChar w:fldCharType="begin"/>
      </w:r>
      <w:r w:rsidR="00792796" w:rsidRPr="00954547">
        <w:rPr>
          <w:lang w:val="en-US" w:eastAsia="es-MX"/>
        </w:rPr>
        <w:instrText xml:space="preserve"> REF _Ref88035037 \r \h </w:instrText>
      </w:r>
      <w:r w:rsidR="00793F65" w:rsidRPr="00954547">
        <w:rPr>
          <w:lang w:val="en-US" w:eastAsia="es-MX"/>
        </w:rPr>
        <w:instrText xml:space="preserve"> \* MERGEFORMAT </w:instrText>
      </w:r>
      <w:r w:rsidR="00792796" w:rsidRPr="00954547">
        <w:rPr>
          <w:lang w:val="en-US" w:eastAsia="es-MX"/>
        </w:rPr>
      </w:r>
      <w:r w:rsidR="00792796" w:rsidRPr="00954547">
        <w:rPr>
          <w:lang w:val="en-US" w:eastAsia="es-MX"/>
        </w:rPr>
        <w:fldChar w:fldCharType="separate"/>
      </w:r>
      <w:r w:rsidR="000E4488" w:rsidRPr="00954547">
        <w:rPr>
          <w:lang w:val="en-US" w:eastAsia="es-MX"/>
        </w:rPr>
        <w:t>211</w:t>
      </w:r>
      <w:r w:rsidR="00792796" w:rsidRPr="00954547">
        <w:rPr>
          <w:lang w:val="en-US" w:eastAsia="es-MX"/>
        </w:rPr>
        <w:fldChar w:fldCharType="end"/>
      </w:r>
      <w:r w:rsidR="00792796" w:rsidRPr="00954547">
        <w:rPr>
          <w:lang w:val="en-US" w:eastAsia="es-MX"/>
        </w:rPr>
        <w:t xml:space="preserve"> to </w:t>
      </w:r>
      <w:r w:rsidR="00792796" w:rsidRPr="00954547">
        <w:rPr>
          <w:lang w:val="en-US" w:eastAsia="es-MX"/>
        </w:rPr>
        <w:fldChar w:fldCharType="begin"/>
      </w:r>
      <w:r w:rsidR="00792796" w:rsidRPr="00954547">
        <w:rPr>
          <w:lang w:val="en-US" w:eastAsia="es-MX"/>
        </w:rPr>
        <w:instrText xml:space="preserve"> REF _Ref88035002 \r \h </w:instrText>
      </w:r>
      <w:r w:rsidR="00793F65" w:rsidRPr="00954547">
        <w:rPr>
          <w:lang w:val="en-US" w:eastAsia="es-MX"/>
        </w:rPr>
        <w:instrText xml:space="preserve"> \* MERGEFORMAT </w:instrText>
      </w:r>
      <w:r w:rsidR="00792796" w:rsidRPr="00954547">
        <w:rPr>
          <w:lang w:val="en-US" w:eastAsia="es-MX"/>
        </w:rPr>
      </w:r>
      <w:r w:rsidR="00792796" w:rsidRPr="00954547">
        <w:rPr>
          <w:lang w:val="en-US" w:eastAsia="es-MX"/>
        </w:rPr>
        <w:fldChar w:fldCharType="separate"/>
      </w:r>
      <w:r w:rsidR="000E4488" w:rsidRPr="00954547">
        <w:rPr>
          <w:lang w:val="en-US" w:eastAsia="es-MX"/>
        </w:rPr>
        <w:t>228</w:t>
      </w:r>
      <w:r w:rsidR="00792796" w:rsidRPr="00954547">
        <w:rPr>
          <w:lang w:val="en-US" w:eastAsia="es-MX"/>
        </w:rPr>
        <w:fldChar w:fldCharType="end"/>
      </w:r>
      <w:r w:rsidR="00792796" w:rsidRPr="00954547">
        <w:rPr>
          <w:lang w:val="en-US" w:eastAsia="es-MX"/>
        </w:rPr>
        <w:t xml:space="preserve">). These regulations should explicitly establish: (i) </w:t>
      </w:r>
      <w:r w:rsidR="007C51C0" w:rsidRPr="00954547">
        <w:rPr>
          <w:lang w:val="en-US" w:eastAsia="es-MX"/>
        </w:rPr>
        <w:t xml:space="preserve">that </w:t>
      </w:r>
      <w:r w:rsidR="00792796" w:rsidRPr="00954547">
        <w:rPr>
          <w:lang w:val="en-US" w:eastAsia="es-MX"/>
        </w:rPr>
        <w:t xml:space="preserve">medical and nursing staff do not have an obligation to report women who have received medical attention for possible abortions; (ii) </w:t>
      </w:r>
      <w:r w:rsidR="007C51C0" w:rsidRPr="00954547">
        <w:rPr>
          <w:lang w:val="en-US" w:eastAsia="es-MX"/>
        </w:rPr>
        <w:t xml:space="preserve">that, </w:t>
      </w:r>
      <w:r w:rsidR="00792796" w:rsidRPr="00954547">
        <w:rPr>
          <w:lang w:val="en-US" w:eastAsia="es-MX"/>
        </w:rPr>
        <w:t>in such case</w:t>
      </w:r>
      <w:r w:rsidR="007C51C0" w:rsidRPr="00954547">
        <w:rPr>
          <w:lang w:val="en-US" w:eastAsia="es-MX"/>
        </w:rPr>
        <w:t>s</w:t>
      </w:r>
      <w:r w:rsidR="00792796" w:rsidRPr="00954547">
        <w:rPr>
          <w:lang w:val="en-US" w:eastAsia="es-MX"/>
        </w:rPr>
        <w:t xml:space="preserve">, health personnel </w:t>
      </w:r>
      <w:r w:rsidR="007C51C0" w:rsidRPr="00954547">
        <w:rPr>
          <w:lang w:val="en-US" w:eastAsia="es-MX"/>
        </w:rPr>
        <w:t>must</w:t>
      </w:r>
      <w:r w:rsidR="00792796" w:rsidRPr="00954547">
        <w:rPr>
          <w:lang w:val="en-US" w:eastAsia="es-MX"/>
        </w:rPr>
        <w:t xml:space="preserve"> </w:t>
      </w:r>
      <w:r w:rsidR="007C51C0" w:rsidRPr="00954547">
        <w:rPr>
          <w:lang w:val="en-US" w:eastAsia="es-MX"/>
        </w:rPr>
        <w:t>observe</w:t>
      </w:r>
      <w:r w:rsidR="00792796" w:rsidRPr="00954547">
        <w:rPr>
          <w:lang w:val="en-US" w:eastAsia="es-MX"/>
        </w:rPr>
        <w:t xml:space="preserve"> </w:t>
      </w:r>
      <w:r w:rsidR="00792796" w:rsidRPr="00954547">
        <w:rPr>
          <w:lang w:val="en-US"/>
        </w:rPr>
        <w:t xml:space="preserve">medical professional </w:t>
      </w:r>
      <w:r w:rsidR="007C51C0" w:rsidRPr="00954547">
        <w:rPr>
          <w:lang w:val="en-US"/>
        </w:rPr>
        <w:t>secrecy</w:t>
      </w:r>
      <w:r w:rsidR="00792796" w:rsidRPr="00954547">
        <w:rPr>
          <w:lang w:val="en-US"/>
        </w:rPr>
        <w:t xml:space="preserve"> when questioned by the authorities; (iii) </w:t>
      </w:r>
      <w:r w:rsidR="007C51C0" w:rsidRPr="00954547">
        <w:rPr>
          <w:lang w:val="en-US"/>
        </w:rPr>
        <w:t xml:space="preserve">that </w:t>
      </w:r>
      <w:r w:rsidR="00792796" w:rsidRPr="00954547">
        <w:rPr>
          <w:lang w:val="en-US"/>
        </w:rPr>
        <w:t xml:space="preserve">the failure of health personnel to report such cases does not entail administrative, criminal or any other type of reprisal, and (iv) the </w:t>
      </w:r>
      <w:r w:rsidR="00A724B4" w:rsidRPr="00954547">
        <w:rPr>
          <w:lang w:val="en-US"/>
        </w:rPr>
        <w:t xml:space="preserve">situations in which medical records </w:t>
      </w:r>
      <w:r w:rsidR="007C51C0" w:rsidRPr="00954547">
        <w:rPr>
          <w:lang w:val="en-US"/>
        </w:rPr>
        <w:t>can</w:t>
      </w:r>
      <w:r w:rsidR="00A724B4" w:rsidRPr="00954547">
        <w:rPr>
          <w:lang w:val="en-US"/>
        </w:rPr>
        <w:t xml:space="preserve"> be disclosed, </w:t>
      </w:r>
      <w:r w:rsidR="008C7246" w:rsidRPr="00954547">
        <w:rPr>
          <w:lang w:val="en-US"/>
        </w:rPr>
        <w:t xml:space="preserve">and </w:t>
      </w:r>
      <w:r w:rsidR="00A724B4" w:rsidRPr="00954547">
        <w:rPr>
          <w:lang w:val="en-US"/>
        </w:rPr>
        <w:t xml:space="preserve">clear safeguards for the protection of this information and the way in which it may be disclosed, requiring that this </w:t>
      </w:r>
      <w:r w:rsidR="007C51C0" w:rsidRPr="00954547">
        <w:rPr>
          <w:lang w:val="en-US"/>
        </w:rPr>
        <w:t>only occurs</w:t>
      </w:r>
      <w:r w:rsidR="00A724B4" w:rsidRPr="00954547">
        <w:rPr>
          <w:lang w:val="en-US"/>
        </w:rPr>
        <w:t xml:space="preserve"> as </w:t>
      </w:r>
      <w:r w:rsidR="008C7246" w:rsidRPr="00954547">
        <w:rPr>
          <w:lang w:val="en-US"/>
        </w:rPr>
        <w:t>the</w:t>
      </w:r>
      <w:r w:rsidR="00A724B4" w:rsidRPr="00954547">
        <w:rPr>
          <w:lang w:val="en-US"/>
        </w:rPr>
        <w:t xml:space="preserve"> result of a reasoned order </w:t>
      </w:r>
      <w:r w:rsidR="008C7246" w:rsidRPr="00954547">
        <w:rPr>
          <w:lang w:val="en-US"/>
        </w:rPr>
        <w:t>from</w:t>
      </w:r>
      <w:r w:rsidR="00A724B4" w:rsidRPr="00954547">
        <w:rPr>
          <w:lang w:val="en-US"/>
        </w:rPr>
        <w:t xml:space="preserve"> a competen</w:t>
      </w:r>
      <w:r w:rsidR="008C7246" w:rsidRPr="00954547">
        <w:rPr>
          <w:lang w:val="en-US"/>
        </w:rPr>
        <w:t>t</w:t>
      </w:r>
      <w:r w:rsidR="00A724B4" w:rsidRPr="00954547">
        <w:rPr>
          <w:lang w:val="en-US"/>
        </w:rPr>
        <w:t xml:space="preserve"> authority, following which,</w:t>
      </w:r>
      <w:r w:rsidR="008C7246" w:rsidRPr="00954547">
        <w:rPr>
          <w:lang w:val="en-US"/>
        </w:rPr>
        <w:t xml:space="preserve"> only the part required</w:t>
      </w:r>
      <w:r w:rsidR="00A724B4" w:rsidRPr="00954547">
        <w:rPr>
          <w:lang w:val="en-US"/>
        </w:rPr>
        <w:t xml:space="preserve"> in the specific case</w:t>
      </w:r>
      <w:r w:rsidR="008C7246" w:rsidRPr="00954547">
        <w:rPr>
          <w:lang w:val="en-US"/>
        </w:rPr>
        <w:t xml:space="preserve"> may be disclosed</w:t>
      </w:r>
      <w:r w:rsidR="00A724B4" w:rsidRPr="00954547">
        <w:rPr>
          <w:lang w:val="en-US"/>
        </w:rPr>
        <w:t>. Until such regulations come into force, the Court finds it appropriate to order the State, as it has in other case</w:t>
      </w:r>
      <w:r w:rsidR="00A96D4D" w:rsidRPr="00954547">
        <w:rPr>
          <w:lang w:val="en-US"/>
        </w:rPr>
        <w:t>s</w:t>
      </w:r>
      <w:r w:rsidR="00A724B4" w:rsidRPr="00954547">
        <w:rPr>
          <w:lang w:val="en-US"/>
        </w:rPr>
        <w:t>,</w:t>
      </w:r>
      <w:r w:rsidR="00A82004" w:rsidRPr="00954547">
        <w:rPr>
          <w:rStyle w:val="FootnoteReference"/>
          <w:lang w:val="en-US" w:eastAsia="es-MX"/>
        </w:rPr>
        <w:footnoteReference w:id="449"/>
      </w:r>
      <w:r w:rsidR="00A724B4" w:rsidRPr="00954547">
        <w:rPr>
          <w:lang w:val="en-US" w:eastAsia="es-MX"/>
        </w:rPr>
        <w:t xml:space="preserve"> to refrain from applying the current laws concerning the obligation of health personnel to report possible cases of abortion</w:t>
      </w:r>
      <w:r w:rsidR="00A82004" w:rsidRPr="00954547">
        <w:rPr>
          <w:lang w:val="en-US" w:eastAsia="es-MX"/>
        </w:rPr>
        <w:t>.</w:t>
      </w:r>
      <w:bookmarkEnd w:id="142"/>
    </w:p>
    <w:p w14:paraId="36069F86" w14:textId="1C1E121A" w:rsidR="00665B00" w:rsidRPr="00954547" w:rsidRDefault="00A724B4" w:rsidP="00095D93">
      <w:pPr>
        <w:pStyle w:val="Numberedparagraphs"/>
        <w:tabs>
          <w:tab w:val="clear" w:pos="720"/>
          <w:tab w:val="left" w:pos="567"/>
        </w:tabs>
        <w:rPr>
          <w:lang w:val="en-US" w:eastAsia="es-MX"/>
        </w:rPr>
      </w:pPr>
      <w:bookmarkStart w:id="144" w:name="_Ref87983602"/>
      <w:r w:rsidRPr="00954547">
        <w:rPr>
          <w:lang w:val="en-US" w:eastAsia="es-MX"/>
        </w:rPr>
        <w:t xml:space="preserve">In addition, the Court notes that the clinical and technical guidelines provided by the State lack clear directives on medical professional </w:t>
      </w:r>
      <w:r w:rsidR="00A96D4D" w:rsidRPr="00954547">
        <w:rPr>
          <w:lang w:val="en-US" w:eastAsia="es-MX"/>
        </w:rPr>
        <w:t>secrecy</w:t>
      </w:r>
      <w:r w:rsidRPr="00954547">
        <w:rPr>
          <w:lang w:val="en-US" w:eastAsia="es-MX"/>
        </w:rPr>
        <w:t xml:space="preserve">. Consequently, and in light of the context in which the facts </w:t>
      </w:r>
      <w:r w:rsidR="005B0D1B" w:rsidRPr="00954547">
        <w:rPr>
          <w:lang w:val="en-US" w:eastAsia="es-MX"/>
        </w:rPr>
        <w:t xml:space="preserve">occurred, the Court finds it necessary that the State adopt, within one year of </w:t>
      </w:r>
      <w:r w:rsidR="00A94F95" w:rsidRPr="00954547">
        <w:rPr>
          <w:lang w:val="en-US" w:eastAsia="es-MX"/>
        </w:rPr>
        <w:t>notification</w:t>
      </w:r>
      <w:r w:rsidR="00A82004" w:rsidRPr="00954547">
        <w:rPr>
          <w:lang w:val="en-US" w:eastAsia="es-MX"/>
        </w:rPr>
        <w:t xml:space="preserve"> </w:t>
      </w:r>
      <w:r w:rsidR="004B6621" w:rsidRPr="00954547">
        <w:rPr>
          <w:lang w:val="en-US" w:eastAsia="es-MX"/>
        </w:rPr>
        <w:t>of this judgment</w:t>
      </w:r>
      <w:r w:rsidR="00A82004" w:rsidRPr="00954547">
        <w:rPr>
          <w:lang w:val="en-US" w:eastAsia="es-MX"/>
        </w:rPr>
        <w:t xml:space="preserve">, </w:t>
      </w:r>
      <w:r w:rsidR="005B0D1B" w:rsidRPr="00954547">
        <w:rPr>
          <w:lang w:val="en-US" w:eastAsia="es-MX"/>
        </w:rPr>
        <w:t xml:space="preserve">a protocol </w:t>
      </w:r>
      <w:r w:rsidR="00A32E57" w:rsidRPr="00954547">
        <w:rPr>
          <w:lang w:val="en-US" w:eastAsia="es-MX"/>
        </w:rPr>
        <w:t>on</w:t>
      </w:r>
      <w:r w:rsidR="005B0D1B" w:rsidRPr="00954547">
        <w:rPr>
          <w:lang w:val="en-US" w:eastAsia="es-MX"/>
        </w:rPr>
        <w:t xml:space="preserve"> attention </w:t>
      </w:r>
      <w:r w:rsidR="00A32E57" w:rsidRPr="00954547">
        <w:rPr>
          <w:lang w:val="en-US" w:eastAsia="es-MX"/>
        </w:rPr>
        <w:t>for</w:t>
      </w:r>
      <w:r w:rsidR="005B0D1B" w:rsidRPr="00954547">
        <w:rPr>
          <w:lang w:val="en-US" w:eastAsia="es-MX"/>
        </w:rPr>
        <w:t xml:space="preserve"> women who require urgent medical care </w:t>
      </w:r>
      <w:r w:rsidR="003F3C65" w:rsidRPr="00954547">
        <w:rPr>
          <w:lang w:val="en-US" w:eastAsia="es-MX"/>
        </w:rPr>
        <w:t>for</w:t>
      </w:r>
      <w:r w:rsidR="005B0D1B" w:rsidRPr="00954547">
        <w:rPr>
          <w:lang w:val="en-US" w:eastAsia="es-MX"/>
        </w:rPr>
        <w:t xml:space="preserve"> obstetric emergencies. The protocol must be addressed to all public and private health care personnel in El Salvador, establishing clear criteria to ensure that, when attending to these women: (i) the confidentiality</w:t>
      </w:r>
      <w:r w:rsidR="00A32E57" w:rsidRPr="00954547">
        <w:rPr>
          <w:lang w:val="en-US" w:eastAsia="es-MX"/>
        </w:rPr>
        <w:t xml:space="preserve"> is ensured</w:t>
      </w:r>
      <w:r w:rsidR="005B0D1B" w:rsidRPr="00954547">
        <w:rPr>
          <w:lang w:val="en-US" w:eastAsia="es-MX"/>
        </w:rPr>
        <w:t xml:space="preserve"> of the information to which the medical staff have access owing to their profession; (ii) the access to health services is not conditioned by the</w:t>
      </w:r>
      <w:r w:rsidR="00A32E57" w:rsidRPr="00954547">
        <w:rPr>
          <w:lang w:val="en-US" w:eastAsia="es-MX"/>
        </w:rPr>
        <w:t>ir</w:t>
      </w:r>
      <w:r w:rsidR="005B0D1B" w:rsidRPr="00954547">
        <w:rPr>
          <w:lang w:val="en-US" w:eastAsia="es-MX"/>
        </w:rPr>
        <w:t xml:space="preserve"> presumed perpetration of an offense or by the patients’ cooperation in criminal proceedings, and (iii) the health personnel refrain from questioning the patients in order to obtain confessions or to report them. When elaborating this protocol, the State must take into account</w:t>
      </w:r>
      <w:r w:rsidR="00095D93" w:rsidRPr="00954547">
        <w:rPr>
          <w:lang w:val="en-US" w:eastAsia="es-MX"/>
        </w:rPr>
        <w:t xml:space="preserve"> the criteria developed in this judgment and in the Court’s case law</w:t>
      </w:r>
      <w:r w:rsidR="00A32E57" w:rsidRPr="00954547">
        <w:rPr>
          <w:lang w:val="en-US"/>
        </w:rPr>
        <w:t>, and it</w:t>
      </w:r>
      <w:r w:rsidR="00095D93" w:rsidRPr="00954547">
        <w:rPr>
          <w:lang w:val="en-US"/>
        </w:rPr>
        <w:t xml:space="preserve"> should conform to the standards described in paragraphs </w:t>
      </w:r>
      <w:r w:rsidR="00883F03" w:rsidRPr="00954547">
        <w:rPr>
          <w:lang w:val="en-US" w:eastAsia="es-MX"/>
        </w:rPr>
        <w:fldChar w:fldCharType="begin"/>
      </w:r>
      <w:r w:rsidR="00883F03" w:rsidRPr="00954547">
        <w:rPr>
          <w:lang w:val="en-US" w:eastAsia="es-MX"/>
        </w:rPr>
        <w:instrText xml:space="preserve"> REF _Ref88035037 \r \h </w:instrText>
      </w:r>
      <w:r w:rsidR="00793F65" w:rsidRPr="00954547">
        <w:rPr>
          <w:lang w:val="en-US" w:eastAsia="es-MX"/>
        </w:rPr>
        <w:instrText xml:space="preserve"> \* MERGEFORMAT </w:instrText>
      </w:r>
      <w:r w:rsidR="00883F03" w:rsidRPr="00954547">
        <w:rPr>
          <w:lang w:val="en-US" w:eastAsia="es-MX"/>
        </w:rPr>
      </w:r>
      <w:r w:rsidR="00883F03" w:rsidRPr="00954547">
        <w:rPr>
          <w:lang w:val="en-US" w:eastAsia="es-MX"/>
        </w:rPr>
        <w:fldChar w:fldCharType="separate"/>
      </w:r>
      <w:r w:rsidR="000E4488" w:rsidRPr="00954547">
        <w:rPr>
          <w:lang w:val="en-US" w:eastAsia="es-MX"/>
        </w:rPr>
        <w:t>211</w:t>
      </w:r>
      <w:r w:rsidR="00883F03" w:rsidRPr="00954547">
        <w:rPr>
          <w:lang w:val="en-US" w:eastAsia="es-MX"/>
        </w:rPr>
        <w:fldChar w:fldCharType="end"/>
      </w:r>
      <w:r w:rsidR="00883F03" w:rsidRPr="00954547">
        <w:rPr>
          <w:lang w:val="en-US" w:eastAsia="es-MX"/>
        </w:rPr>
        <w:t xml:space="preserve"> </w:t>
      </w:r>
      <w:r w:rsidR="00095D93" w:rsidRPr="00954547">
        <w:rPr>
          <w:lang w:val="en-US" w:eastAsia="es-MX"/>
        </w:rPr>
        <w:t>to</w:t>
      </w:r>
      <w:r w:rsidR="00883F03" w:rsidRPr="00954547">
        <w:rPr>
          <w:lang w:val="en-US" w:eastAsia="es-MX"/>
        </w:rPr>
        <w:t xml:space="preserve"> </w:t>
      </w:r>
      <w:r w:rsidR="00883F03" w:rsidRPr="00954547">
        <w:rPr>
          <w:lang w:val="en-US" w:eastAsia="es-MX"/>
        </w:rPr>
        <w:fldChar w:fldCharType="begin"/>
      </w:r>
      <w:r w:rsidR="00883F03" w:rsidRPr="00954547">
        <w:rPr>
          <w:lang w:val="en-US" w:eastAsia="es-MX"/>
        </w:rPr>
        <w:instrText xml:space="preserve"> REF _Ref88035002 \r \h </w:instrText>
      </w:r>
      <w:r w:rsidR="00793F65" w:rsidRPr="00954547">
        <w:rPr>
          <w:lang w:val="en-US" w:eastAsia="es-MX"/>
        </w:rPr>
        <w:instrText xml:space="preserve"> \* MERGEFORMAT </w:instrText>
      </w:r>
      <w:r w:rsidR="00883F03" w:rsidRPr="00954547">
        <w:rPr>
          <w:lang w:val="en-US" w:eastAsia="es-MX"/>
        </w:rPr>
      </w:r>
      <w:r w:rsidR="00883F03" w:rsidRPr="00954547">
        <w:rPr>
          <w:lang w:val="en-US" w:eastAsia="es-MX"/>
        </w:rPr>
        <w:fldChar w:fldCharType="separate"/>
      </w:r>
      <w:r w:rsidR="000E4488" w:rsidRPr="00954547">
        <w:rPr>
          <w:lang w:val="en-US" w:eastAsia="es-MX"/>
        </w:rPr>
        <w:t>228</w:t>
      </w:r>
      <w:r w:rsidR="00883F03" w:rsidRPr="00954547">
        <w:rPr>
          <w:lang w:val="en-US" w:eastAsia="es-MX"/>
        </w:rPr>
        <w:fldChar w:fldCharType="end"/>
      </w:r>
      <w:r w:rsidR="00665B00" w:rsidRPr="00954547">
        <w:rPr>
          <w:lang w:val="en-US"/>
        </w:rPr>
        <w:t xml:space="preserve"> </w:t>
      </w:r>
      <w:r w:rsidR="004B6621" w:rsidRPr="00954547">
        <w:rPr>
          <w:lang w:val="en-US"/>
        </w:rPr>
        <w:t>of this judgment</w:t>
      </w:r>
      <w:r w:rsidR="00665B00" w:rsidRPr="00954547">
        <w:rPr>
          <w:lang w:val="en-US"/>
        </w:rPr>
        <w:t>.</w:t>
      </w:r>
      <w:bookmarkEnd w:id="143"/>
      <w:bookmarkEnd w:id="144"/>
      <w:r w:rsidR="0065593D" w:rsidRPr="00954547">
        <w:rPr>
          <w:lang w:val="en-US"/>
        </w:rPr>
        <w:t xml:space="preserve"> </w:t>
      </w:r>
    </w:p>
    <w:p w14:paraId="25EE1E91" w14:textId="00520F06" w:rsidR="001C5180" w:rsidRPr="00954547" w:rsidRDefault="001C5180" w:rsidP="00386B24">
      <w:pPr>
        <w:pStyle w:val="Heading3"/>
        <w:tabs>
          <w:tab w:val="left" w:pos="567"/>
        </w:tabs>
        <w:jc w:val="both"/>
      </w:pPr>
      <w:bookmarkStart w:id="145" w:name="_Toc106353939"/>
      <w:r w:rsidRPr="00954547">
        <w:t>D.</w:t>
      </w:r>
      <w:r w:rsidR="00BE6A9B" w:rsidRPr="00954547">
        <w:t>2</w:t>
      </w:r>
      <w:r w:rsidRPr="00954547">
        <w:t xml:space="preserve"> </w:t>
      </w:r>
      <w:r w:rsidRPr="00954547">
        <w:tab/>
      </w:r>
      <w:r w:rsidR="00746EAA" w:rsidRPr="00954547">
        <w:t>Adaptation of the regulation of the imposition of</w:t>
      </w:r>
      <w:r w:rsidR="00F6091D" w:rsidRPr="00954547">
        <w:t xml:space="preserve"> </w:t>
      </w:r>
      <w:r w:rsidR="00AD1DEC" w:rsidRPr="00954547">
        <w:t>pretrial detention</w:t>
      </w:r>
      <w:bookmarkEnd w:id="145"/>
      <w:r w:rsidRPr="00954547">
        <w:t xml:space="preserve"> </w:t>
      </w:r>
    </w:p>
    <w:p w14:paraId="271C6F2F" w14:textId="1DADF664" w:rsidR="00CC3FB9" w:rsidRPr="00954547" w:rsidRDefault="00E76B1A" w:rsidP="00C75A66">
      <w:pPr>
        <w:pStyle w:val="Numberedparagraphs"/>
        <w:tabs>
          <w:tab w:val="clear" w:pos="720"/>
          <w:tab w:val="left" w:pos="567"/>
        </w:tabs>
        <w:rPr>
          <w:b/>
          <w:lang w:val="en-US"/>
        </w:rPr>
      </w:pPr>
      <w:bookmarkStart w:id="146" w:name="_Ref86678895"/>
      <w:r w:rsidRPr="00954547">
        <w:rPr>
          <w:lang w:val="en-US"/>
        </w:rPr>
        <w:t xml:space="preserve">The </w:t>
      </w:r>
      <w:r w:rsidRPr="00954547">
        <w:rPr>
          <w:b/>
          <w:bCs/>
          <w:i/>
          <w:iCs/>
          <w:lang w:val="en-US"/>
        </w:rPr>
        <w:t>Commission</w:t>
      </w:r>
      <w:r w:rsidR="00A82004" w:rsidRPr="00954547">
        <w:rPr>
          <w:lang w:val="en-US"/>
        </w:rPr>
        <w:t xml:space="preserve"> </w:t>
      </w:r>
      <w:r w:rsidR="00C75A66" w:rsidRPr="00954547">
        <w:rPr>
          <w:lang w:val="en-US"/>
        </w:rPr>
        <w:t>asked the Court to order</w:t>
      </w:r>
      <w:r w:rsidR="00A82004" w:rsidRPr="00954547">
        <w:rPr>
          <w:lang w:val="en-US"/>
        </w:rPr>
        <w:t xml:space="preserve"> El Salvador</w:t>
      </w:r>
      <w:r w:rsidR="00A32E57" w:rsidRPr="00954547">
        <w:rPr>
          <w:lang w:val="en-US"/>
        </w:rPr>
        <w:t xml:space="preserve"> to</w:t>
      </w:r>
      <w:r w:rsidR="00A82004" w:rsidRPr="00954547">
        <w:rPr>
          <w:lang w:val="en-US"/>
        </w:rPr>
        <w:t xml:space="preserve"> “</w:t>
      </w:r>
      <w:r w:rsidR="00C75A66" w:rsidRPr="00954547">
        <w:rPr>
          <w:lang w:val="en-US"/>
        </w:rPr>
        <w:t>ensure that</w:t>
      </w:r>
      <w:r w:rsidR="00A32E57" w:rsidRPr="00954547">
        <w:rPr>
          <w:lang w:val="en-US"/>
        </w:rPr>
        <w:t>,</w:t>
      </w:r>
      <w:r w:rsidR="00C75A66" w:rsidRPr="00954547">
        <w:rPr>
          <w:lang w:val="en-US"/>
        </w:rPr>
        <w:t xml:space="preserve"> in both law and practice, the use of pretrial detention adheres to the standards described in [the Merits Report].” </w:t>
      </w:r>
      <w:r w:rsidR="00B8393C" w:rsidRPr="00954547">
        <w:rPr>
          <w:lang w:val="en-US"/>
        </w:rPr>
        <w:t xml:space="preserve">The </w:t>
      </w:r>
      <w:r w:rsidR="006E0D5E" w:rsidRPr="00954547">
        <w:rPr>
          <w:b/>
          <w:bCs/>
          <w:i/>
          <w:iCs/>
          <w:lang w:val="en-US"/>
        </w:rPr>
        <w:t>representatives</w:t>
      </w:r>
      <w:r w:rsidR="00A82004" w:rsidRPr="00954547">
        <w:rPr>
          <w:b/>
          <w:i/>
          <w:lang w:val="en-US"/>
        </w:rPr>
        <w:t xml:space="preserve"> </w:t>
      </w:r>
      <w:r w:rsidR="00C75A66" w:rsidRPr="00954547">
        <w:rPr>
          <w:lang w:val="en-US"/>
        </w:rPr>
        <w:t>re</w:t>
      </w:r>
      <w:r w:rsidR="00DF6560" w:rsidRPr="00954547">
        <w:rPr>
          <w:lang w:val="en-US"/>
        </w:rPr>
        <w:t>plicated</w:t>
      </w:r>
      <w:r w:rsidR="00607E12" w:rsidRPr="00954547">
        <w:rPr>
          <w:lang w:val="en-US"/>
        </w:rPr>
        <w:t xml:space="preserve"> the </w:t>
      </w:r>
      <w:r w:rsidRPr="00954547">
        <w:rPr>
          <w:lang w:val="en-US"/>
        </w:rPr>
        <w:t>Commission</w:t>
      </w:r>
      <w:r w:rsidR="00C75A66" w:rsidRPr="00954547">
        <w:rPr>
          <w:lang w:val="en-US"/>
        </w:rPr>
        <w:t>’s request</w:t>
      </w:r>
      <w:r w:rsidR="00A82004" w:rsidRPr="00954547">
        <w:rPr>
          <w:lang w:val="en-US"/>
        </w:rPr>
        <w:t xml:space="preserve">. </w:t>
      </w:r>
      <w:r w:rsidR="00B8393C" w:rsidRPr="00954547">
        <w:rPr>
          <w:lang w:val="en-US"/>
        </w:rPr>
        <w:t xml:space="preserve">The </w:t>
      </w:r>
      <w:r w:rsidR="00B8393C" w:rsidRPr="00954547">
        <w:rPr>
          <w:b/>
          <w:bCs/>
          <w:i/>
          <w:iCs/>
          <w:lang w:val="en-US"/>
        </w:rPr>
        <w:t>State</w:t>
      </w:r>
      <w:r w:rsidR="00A82004" w:rsidRPr="00954547">
        <w:rPr>
          <w:b/>
          <w:bCs/>
          <w:i/>
          <w:iCs/>
          <w:lang w:val="en-US"/>
        </w:rPr>
        <w:t xml:space="preserve"> </w:t>
      </w:r>
      <w:r w:rsidR="00CC3FB9" w:rsidRPr="00954547">
        <w:rPr>
          <w:lang w:val="en-US"/>
        </w:rPr>
        <w:t>referred to its internal regulations, indicating the situations in which the imposition of pretrial detention is appropriate, and provided information on the progress achieved regarding other precautionary measures that did not require deprivation of liberty, such as electronic monitoring.</w:t>
      </w:r>
    </w:p>
    <w:p w14:paraId="0A23A0E9" w14:textId="01739690" w:rsidR="001C5180" w:rsidRPr="00954547" w:rsidRDefault="00CC3FB9" w:rsidP="00CC3FB9">
      <w:pPr>
        <w:pStyle w:val="Numberedparagraphs"/>
        <w:tabs>
          <w:tab w:val="clear" w:pos="720"/>
          <w:tab w:val="left" w:pos="567"/>
        </w:tabs>
        <w:rPr>
          <w:lang w:val="en-US"/>
        </w:rPr>
      </w:pPr>
      <w:bookmarkStart w:id="147" w:name="_Ref87983639"/>
      <w:r w:rsidRPr="00954547">
        <w:rPr>
          <w:lang w:val="en-US"/>
        </w:rPr>
        <w:t xml:space="preserve">In this case, the Court </w:t>
      </w:r>
      <w:r w:rsidR="00DF6560" w:rsidRPr="00954547">
        <w:rPr>
          <w:lang w:val="en-US"/>
        </w:rPr>
        <w:t xml:space="preserve">has </w:t>
      </w:r>
      <w:r w:rsidRPr="00954547">
        <w:rPr>
          <w:lang w:val="en-US"/>
        </w:rPr>
        <w:t xml:space="preserve">verified that the imposition </w:t>
      </w:r>
      <w:r w:rsidR="00F6091D" w:rsidRPr="00954547">
        <w:rPr>
          <w:bdr w:val="none" w:sz="0" w:space="0" w:color="auto" w:frame="1"/>
          <w:lang w:val="en-US"/>
        </w:rPr>
        <w:t xml:space="preserve">of </w:t>
      </w:r>
      <w:r w:rsidR="00AD1DEC" w:rsidRPr="00954547">
        <w:rPr>
          <w:bdr w:val="none" w:sz="0" w:space="0" w:color="auto" w:frame="1"/>
          <w:lang w:val="en-US"/>
        </w:rPr>
        <w:t>pretrial detention</w:t>
      </w:r>
      <w:r w:rsidR="001C5180" w:rsidRPr="00954547">
        <w:rPr>
          <w:bdr w:val="none" w:sz="0" w:space="0" w:color="auto" w:frame="1"/>
          <w:lang w:val="en-US"/>
        </w:rPr>
        <w:t xml:space="preserve"> </w:t>
      </w:r>
      <w:r w:rsidRPr="00954547">
        <w:rPr>
          <w:bdr w:val="none" w:sz="0" w:space="0" w:color="auto" w:frame="1"/>
          <w:lang w:val="en-US"/>
        </w:rPr>
        <w:t xml:space="preserve">in the criminal proceedings against </w:t>
      </w:r>
      <w:r w:rsidR="00A82004" w:rsidRPr="00954547">
        <w:rPr>
          <w:bdr w:val="none" w:sz="0" w:space="0" w:color="auto" w:frame="1"/>
          <w:lang w:val="en-US"/>
        </w:rPr>
        <w:t>Manuela</w:t>
      </w:r>
      <w:r w:rsidR="001C5180" w:rsidRPr="00954547">
        <w:rPr>
          <w:bdr w:val="none" w:sz="0" w:space="0" w:color="auto" w:frame="1"/>
          <w:lang w:val="en-US"/>
        </w:rPr>
        <w:t xml:space="preserve"> </w:t>
      </w:r>
      <w:r w:rsidRPr="00954547">
        <w:rPr>
          <w:bdr w:val="none" w:sz="0" w:space="0" w:color="auto" w:frame="1"/>
          <w:lang w:val="en-US"/>
        </w:rPr>
        <w:t>was based on a regulation that contravened</w:t>
      </w:r>
      <w:r w:rsidR="001B31D5" w:rsidRPr="00954547">
        <w:rPr>
          <w:bdr w:val="none" w:sz="0" w:space="0" w:color="auto" w:frame="1"/>
          <w:lang w:val="en-US"/>
        </w:rPr>
        <w:t xml:space="preserve"> </w:t>
      </w:r>
      <w:r w:rsidR="005E0FD1" w:rsidRPr="00954547">
        <w:rPr>
          <w:bdr w:val="none" w:sz="0" w:space="0" w:color="auto" w:frame="1"/>
          <w:lang w:val="en-US"/>
        </w:rPr>
        <w:t>the American Convention</w:t>
      </w:r>
      <w:r w:rsidR="001B31D5" w:rsidRPr="00954547">
        <w:rPr>
          <w:bdr w:val="none" w:sz="0" w:space="0" w:color="auto" w:frame="1"/>
          <w:lang w:val="en-US"/>
        </w:rPr>
        <w:t xml:space="preserve"> (</w:t>
      </w:r>
      <w:r w:rsidR="001B31D5" w:rsidRPr="00954547">
        <w:rPr>
          <w:i/>
          <w:bdr w:val="none" w:sz="0" w:space="0" w:color="auto" w:frame="1"/>
          <w:lang w:val="en-US"/>
        </w:rPr>
        <w:t>supra</w:t>
      </w:r>
      <w:r w:rsidR="001C5180" w:rsidRPr="00954547">
        <w:rPr>
          <w:bdr w:val="none" w:sz="0" w:space="0" w:color="auto" w:frame="1"/>
          <w:lang w:val="en-US"/>
        </w:rPr>
        <w:t xml:space="preserve"> </w:t>
      </w:r>
      <w:r w:rsidR="00B10E5A" w:rsidRPr="00954547">
        <w:rPr>
          <w:bdr w:val="none" w:sz="0" w:space="0" w:color="auto" w:frame="1"/>
          <w:lang w:val="en-US"/>
        </w:rPr>
        <w:t>paras.</w:t>
      </w:r>
      <w:r w:rsidR="001C5180" w:rsidRPr="00954547">
        <w:rPr>
          <w:bdr w:val="none" w:sz="0" w:space="0" w:color="auto" w:frame="1"/>
          <w:lang w:val="en-US"/>
        </w:rPr>
        <w:t xml:space="preserve"> </w:t>
      </w:r>
      <w:r w:rsidR="002B248C" w:rsidRPr="00954547">
        <w:rPr>
          <w:bdr w:val="none" w:sz="0" w:space="0" w:color="auto" w:frame="1"/>
          <w:lang w:val="en-US"/>
        </w:rPr>
        <w:fldChar w:fldCharType="begin"/>
      </w:r>
      <w:r w:rsidR="002B248C" w:rsidRPr="00954547">
        <w:rPr>
          <w:bdr w:val="none" w:sz="0" w:space="0" w:color="auto" w:frame="1"/>
          <w:lang w:val="en-US"/>
        </w:rPr>
        <w:instrText xml:space="preserve"> REF _Ref88035326 \r \h </w:instrText>
      </w:r>
      <w:r w:rsidR="00793F65" w:rsidRPr="00954547">
        <w:rPr>
          <w:bdr w:val="none" w:sz="0" w:space="0" w:color="auto" w:frame="1"/>
          <w:lang w:val="en-US"/>
        </w:rPr>
        <w:instrText xml:space="preserve"> \* MERGEFORMAT </w:instrText>
      </w:r>
      <w:r w:rsidR="002B248C" w:rsidRPr="00954547">
        <w:rPr>
          <w:bdr w:val="none" w:sz="0" w:space="0" w:color="auto" w:frame="1"/>
          <w:lang w:val="en-US"/>
        </w:rPr>
      </w:r>
      <w:r w:rsidR="002B248C" w:rsidRPr="00954547">
        <w:rPr>
          <w:bdr w:val="none" w:sz="0" w:space="0" w:color="auto" w:frame="1"/>
          <w:lang w:val="en-US"/>
        </w:rPr>
        <w:fldChar w:fldCharType="separate"/>
      </w:r>
      <w:r w:rsidR="000E4488" w:rsidRPr="00954547">
        <w:rPr>
          <w:bdr w:val="none" w:sz="0" w:space="0" w:color="auto" w:frame="1"/>
          <w:lang w:val="en-US"/>
        </w:rPr>
        <w:t>103</w:t>
      </w:r>
      <w:r w:rsidR="002B248C" w:rsidRPr="00954547">
        <w:rPr>
          <w:bdr w:val="none" w:sz="0" w:space="0" w:color="auto" w:frame="1"/>
          <w:lang w:val="en-US"/>
        </w:rPr>
        <w:fldChar w:fldCharType="end"/>
      </w:r>
      <w:r w:rsidR="002B248C" w:rsidRPr="00954547">
        <w:rPr>
          <w:bdr w:val="none" w:sz="0" w:space="0" w:color="auto" w:frame="1"/>
          <w:lang w:val="en-US"/>
        </w:rPr>
        <w:t xml:space="preserve"> </w:t>
      </w:r>
      <w:r w:rsidRPr="00954547">
        <w:rPr>
          <w:bdr w:val="none" w:sz="0" w:space="0" w:color="auto" w:frame="1"/>
          <w:lang w:val="en-US"/>
        </w:rPr>
        <w:t>to</w:t>
      </w:r>
      <w:r w:rsidR="002B248C" w:rsidRPr="00954547">
        <w:rPr>
          <w:bdr w:val="none" w:sz="0" w:space="0" w:color="auto" w:frame="1"/>
          <w:lang w:val="en-US"/>
        </w:rPr>
        <w:t xml:space="preserve"> </w:t>
      </w:r>
      <w:r w:rsidR="002B248C" w:rsidRPr="00954547">
        <w:rPr>
          <w:bdr w:val="none" w:sz="0" w:space="0" w:color="auto" w:frame="1"/>
          <w:lang w:val="en-US"/>
        </w:rPr>
        <w:fldChar w:fldCharType="begin"/>
      </w:r>
      <w:r w:rsidR="002B248C" w:rsidRPr="00954547">
        <w:rPr>
          <w:bdr w:val="none" w:sz="0" w:space="0" w:color="auto" w:frame="1"/>
          <w:lang w:val="en-US"/>
        </w:rPr>
        <w:instrText xml:space="preserve"> REF _Ref86675594 \r \h </w:instrText>
      </w:r>
      <w:r w:rsidR="00793F65" w:rsidRPr="00954547">
        <w:rPr>
          <w:bdr w:val="none" w:sz="0" w:space="0" w:color="auto" w:frame="1"/>
          <w:lang w:val="en-US"/>
        </w:rPr>
        <w:instrText xml:space="preserve"> \* MERGEFORMAT </w:instrText>
      </w:r>
      <w:r w:rsidR="002B248C" w:rsidRPr="00954547">
        <w:rPr>
          <w:bdr w:val="none" w:sz="0" w:space="0" w:color="auto" w:frame="1"/>
          <w:lang w:val="en-US"/>
        </w:rPr>
      </w:r>
      <w:r w:rsidR="002B248C" w:rsidRPr="00954547">
        <w:rPr>
          <w:bdr w:val="none" w:sz="0" w:space="0" w:color="auto" w:frame="1"/>
          <w:lang w:val="en-US"/>
        </w:rPr>
        <w:fldChar w:fldCharType="separate"/>
      </w:r>
      <w:r w:rsidR="000E4488" w:rsidRPr="00954547">
        <w:rPr>
          <w:bdr w:val="none" w:sz="0" w:space="0" w:color="auto" w:frame="1"/>
          <w:lang w:val="en-US"/>
        </w:rPr>
        <w:t>112</w:t>
      </w:r>
      <w:r w:rsidR="002B248C" w:rsidRPr="00954547">
        <w:rPr>
          <w:bdr w:val="none" w:sz="0" w:space="0" w:color="auto" w:frame="1"/>
          <w:lang w:val="en-US"/>
        </w:rPr>
        <w:fldChar w:fldCharType="end"/>
      </w:r>
      <w:r w:rsidR="001C5180" w:rsidRPr="00954547">
        <w:rPr>
          <w:bdr w:val="none" w:sz="0" w:space="0" w:color="auto" w:frame="1"/>
          <w:lang w:val="en-US"/>
        </w:rPr>
        <w:t xml:space="preserve">). </w:t>
      </w:r>
      <w:r w:rsidRPr="00954547">
        <w:rPr>
          <w:bdr w:val="none" w:sz="0" w:space="0" w:color="auto" w:frame="1"/>
          <w:lang w:val="en-US"/>
        </w:rPr>
        <w:t>The Court notes that</w:t>
      </w:r>
      <w:r w:rsidR="001C5180" w:rsidRPr="00954547">
        <w:rPr>
          <w:lang w:val="en-US"/>
        </w:rPr>
        <w:t xml:space="preserve"> </w:t>
      </w:r>
      <w:r w:rsidR="00BA4784" w:rsidRPr="00954547">
        <w:rPr>
          <w:lang w:val="en-US"/>
        </w:rPr>
        <w:t xml:space="preserve">the </w:t>
      </w:r>
      <w:r w:rsidR="00DF6560" w:rsidRPr="00954547">
        <w:rPr>
          <w:lang w:val="en-US"/>
        </w:rPr>
        <w:t xml:space="preserve">current </w:t>
      </w:r>
      <w:r w:rsidRPr="00954547">
        <w:rPr>
          <w:lang w:val="en-US"/>
        </w:rPr>
        <w:t xml:space="preserve">Salvadoran </w:t>
      </w:r>
      <w:r w:rsidR="00BA4784" w:rsidRPr="00954547">
        <w:rPr>
          <w:lang w:val="en-US"/>
        </w:rPr>
        <w:t>Code of Criminal Procedure</w:t>
      </w:r>
      <w:r w:rsidRPr="00954547">
        <w:rPr>
          <w:lang w:val="en-US"/>
        </w:rPr>
        <w:t xml:space="preserve"> regulates the use of </w:t>
      </w:r>
      <w:r w:rsidR="00B54EAA" w:rsidRPr="00954547">
        <w:rPr>
          <w:lang w:val="en-US"/>
        </w:rPr>
        <w:t>pretrial detention</w:t>
      </w:r>
      <w:r w:rsidRPr="00954547">
        <w:rPr>
          <w:lang w:val="en-US"/>
        </w:rPr>
        <w:t xml:space="preserve"> in the same way.</w:t>
      </w:r>
      <w:r w:rsidR="001C5180" w:rsidRPr="00954547">
        <w:rPr>
          <w:rStyle w:val="FootnoteReference"/>
          <w:lang w:val="en-US"/>
        </w:rPr>
        <w:footnoteReference w:id="450"/>
      </w:r>
      <w:r w:rsidRPr="00954547">
        <w:rPr>
          <w:lang w:val="en-US"/>
        </w:rPr>
        <w:t xml:space="preserve"> Therefore, the Court considers that the State, within two years, should amend its procedural legislation in order to make it compatible with the standards for pretrial detention developed in the Court’s case law, as established in paragraphs </w:t>
      </w:r>
      <w:r w:rsidR="002B248C" w:rsidRPr="00954547">
        <w:rPr>
          <w:lang w:val="en-US"/>
        </w:rPr>
        <w:fldChar w:fldCharType="begin"/>
      </w:r>
      <w:r w:rsidR="002B248C" w:rsidRPr="00954547">
        <w:rPr>
          <w:lang w:val="en-US"/>
        </w:rPr>
        <w:instrText xml:space="preserve"> REF _Ref87971473 \r \h </w:instrText>
      </w:r>
      <w:r w:rsidR="00793F65" w:rsidRPr="00954547">
        <w:rPr>
          <w:lang w:val="en-US"/>
        </w:rPr>
        <w:instrText xml:space="preserve"> \* MERGEFORMAT </w:instrText>
      </w:r>
      <w:r w:rsidR="002B248C" w:rsidRPr="00954547">
        <w:rPr>
          <w:lang w:val="en-US"/>
        </w:rPr>
      </w:r>
      <w:r w:rsidR="002B248C" w:rsidRPr="00954547">
        <w:rPr>
          <w:lang w:val="en-US"/>
        </w:rPr>
        <w:fldChar w:fldCharType="separate"/>
      </w:r>
      <w:r w:rsidR="000E4488" w:rsidRPr="00954547">
        <w:rPr>
          <w:lang w:val="en-US"/>
        </w:rPr>
        <w:t>99</w:t>
      </w:r>
      <w:r w:rsidR="002B248C" w:rsidRPr="00954547">
        <w:rPr>
          <w:lang w:val="en-US"/>
        </w:rPr>
        <w:fldChar w:fldCharType="end"/>
      </w:r>
      <w:r w:rsidR="001C5180" w:rsidRPr="00954547">
        <w:rPr>
          <w:lang w:val="en-US"/>
        </w:rPr>
        <w:t xml:space="preserve"> </w:t>
      </w:r>
      <w:r w:rsidRPr="00954547">
        <w:rPr>
          <w:lang w:val="en-US"/>
        </w:rPr>
        <w:t>to</w:t>
      </w:r>
      <w:r w:rsidR="001C5180" w:rsidRPr="00954547">
        <w:rPr>
          <w:lang w:val="en-US"/>
        </w:rPr>
        <w:t xml:space="preserve"> </w:t>
      </w:r>
      <w:r w:rsidR="002B248C" w:rsidRPr="00954547">
        <w:rPr>
          <w:bdr w:val="none" w:sz="0" w:space="0" w:color="auto" w:frame="1"/>
          <w:lang w:val="en-US"/>
        </w:rPr>
        <w:fldChar w:fldCharType="begin"/>
      </w:r>
      <w:r w:rsidR="002B248C" w:rsidRPr="00954547">
        <w:rPr>
          <w:bdr w:val="none" w:sz="0" w:space="0" w:color="auto" w:frame="1"/>
          <w:lang w:val="en-US"/>
        </w:rPr>
        <w:instrText xml:space="preserve"> REF _Ref86675594 \r \h </w:instrText>
      </w:r>
      <w:r w:rsidR="00793F65" w:rsidRPr="00954547">
        <w:rPr>
          <w:bdr w:val="none" w:sz="0" w:space="0" w:color="auto" w:frame="1"/>
          <w:lang w:val="en-US"/>
        </w:rPr>
        <w:instrText xml:space="preserve"> \* MERGEFORMAT </w:instrText>
      </w:r>
      <w:r w:rsidR="002B248C" w:rsidRPr="00954547">
        <w:rPr>
          <w:bdr w:val="none" w:sz="0" w:space="0" w:color="auto" w:frame="1"/>
          <w:lang w:val="en-US"/>
        </w:rPr>
      </w:r>
      <w:r w:rsidR="002B248C" w:rsidRPr="00954547">
        <w:rPr>
          <w:bdr w:val="none" w:sz="0" w:space="0" w:color="auto" w:frame="1"/>
          <w:lang w:val="en-US"/>
        </w:rPr>
        <w:fldChar w:fldCharType="separate"/>
      </w:r>
      <w:r w:rsidR="000E4488" w:rsidRPr="00954547">
        <w:rPr>
          <w:bdr w:val="none" w:sz="0" w:space="0" w:color="auto" w:frame="1"/>
          <w:lang w:val="en-US"/>
        </w:rPr>
        <w:t>112</w:t>
      </w:r>
      <w:r w:rsidR="002B248C" w:rsidRPr="00954547">
        <w:rPr>
          <w:bdr w:val="none" w:sz="0" w:space="0" w:color="auto" w:frame="1"/>
          <w:lang w:val="en-US"/>
        </w:rPr>
        <w:fldChar w:fldCharType="end"/>
      </w:r>
      <w:r w:rsidR="001C5180" w:rsidRPr="00954547">
        <w:rPr>
          <w:lang w:val="en-US"/>
        </w:rPr>
        <w:t xml:space="preserve"> </w:t>
      </w:r>
      <w:r w:rsidR="004B6621" w:rsidRPr="00954547">
        <w:rPr>
          <w:lang w:val="en-US"/>
        </w:rPr>
        <w:t>of this judgment</w:t>
      </w:r>
      <w:r w:rsidR="001C5180" w:rsidRPr="00954547">
        <w:rPr>
          <w:lang w:val="en-US"/>
        </w:rPr>
        <w:t>.</w:t>
      </w:r>
      <w:bookmarkEnd w:id="146"/>
      <w:bookmarkEnd w:id="147"/>
    </w:p>
    <w:p w14:paraId="66C4C1CC" w14:textId="048FDFB2" w:rsidR="002423D1" w:rsidRPr="00954547" w:rsidRDefault="002423D1" w:rsidP="002B248C">
      <w:pPr>
        <w:pStyle w:val="Heading3"/>
        <w:tabs>
          <w:tab w:val="left" w:pos="567"/>
        </w:tabs>
      </w:pPr>
      <w:bookmarkStart w:id="148" w:name="_Toc74298482"/>
      <w:bookmarkStart w:id="149" w:name="_Toc106353940"/>
      <w:bookmarkStart w:id="150" w:name="_Toc74298484"/>
      <w:r w:rsidRPr="00954547">
        <w:t xml:space="preserve">D.3 </w:t>
      </w:r>
      <w:r w:rsidR="002B248C" w:rsidRPr="00954547">
        <w:tab/>
      </w:r>
      <w:bookmarkEnd w:id="148"/>
      <w:r w:rsidR="00746EAA" w:rsidRPr="00954547">
        <w:t>Awareness-raising and training for public officials</w:t>
      </w:r>
      <w:bookmarkEnd w:id="149"/>
    </w:p>
    <w:p w14:paraId="79A3AA4A" w14:textId="65B14195" w:rsidR="002D66E0" w:rsidRPr="00954547" w:rsidRDefault="00E76B1A" w:rsidP="002423D1">
      <w:pPr>
        <w:pStyle w:val="Numberedparagraphs"/>
        <w:tabs>
          <w:tab w:val="clear" w:pos="720"/>
          <w:tab w:val="left" w:pos="567"/>
        </w:tabs>
        <w:rPr>
          <w:lang w:val="en-US"/>
        </w:rPr>
      </w:pPr>
      <w:r w:rsidRPr="00954547">
        <w:rPr>
          <w:lang w:val="en-US"/>
        </w:rPr>
        <w:t xml:space="preserve">The </w:t>
      </w:r>
      <w:r w:rsidRPr="00954547">
        <w:rPr>
          <w:b/>
          <w:bCs/>
          <w:i/>
          <w:iCs/>
          <w:lang w:val="en-US"/>
        </w:rPr>
        <w:t>Commission</w:t>
      </w:r>
      <w:r w:rsidR="002423D1" w:rsidRPr="00954547">
        <w:rPr>
          <w:lang w:val="en-US"/>
        </w:rPr>
        <w:t xml:space="preserve"> </w:t>
      </w:r>
      <w:r w:rsidR="002D66E0" w:rsidRPr="00954547">
        <w:rPr>
          <w:lang w:val="en-US"/>
        </w:rPr>
        <w:t>asked</w:t>
      </w:r>
      <w:r w:rsidR="002423D1" w:rsidRPr="00954547">
        <w:rPr>
          <w:lang w:val="en-US"/>
        </w:rPr>
        <w:t xml:space="preserve"> </w:t>
      </w:r>
      <w:r w:rsidRPr="00954547">
        <w:rPr>
          <w:lang w:val="en-US"/>
        </w:rPr>
        <w:t>the Court</w:t>
      </w:r>
      <w:r w:rsidR="002423D1" w:rsidRPr="00954547">
        <w:rPr>
          <w:lang w:val="en-US"/>
        </w:rPr>
        <w:t xml:space="preserve"> </w:t>
      </w:r>
      <w:r w:rsidR="002D66E0" w:rsidRPr="00954547">
        <w:rPr>
          <w:lang w:val="en-US"/>
        </w:rPr>
        <w:t>to order</w:t>
      </w:r>
      <w:r w:rsidR="00A94F95" w:rsidRPr="00954547">
        <w:rPr>
          <w:lang w:val="en-US"/>
        </w:rPr>
        <w:t xml:space="preserve"> the State</w:t>
      </w:r>
      <w:r w:rsidR="00DF6560" w:rsidRPr="00954547">
        <w:rPr>
          <w:lang w:val="en-US"/>
        </w:rPr>
        <w:t xml:space="preserve"> to</w:t>
      </w:r>
      <w:r w:rsidR="002423D1" w:rsidRPr="00954547">
        <w:rPr>
          <w:lang w:val="en-US"/>
        </w:rPr>
        <w:t xml:space="preserve"> “</w:t>
      </w:r>
      <w:r w:rsidR="002D66E0" w:rsidRPr="00954547">
        <w:rPr>
          <w:lang w:val="en-US"/>
        </w:rPr>
        <w:t>conduct proper training of public defenders, prosecutors, judges, and other judicial officials aimed at eliminating the use of discriminatory stereotypes on the role of women, taking into account their negative impact on criminal investigations and the assessment of evidence, as well as on criminal responsibility in judicial decisions” and</w:t>
      </w:r>
      <w:r w:rsidR="00DF6560" w:rsidRPr="00954547">
        <w:rPr>
          <w:lang w:val="en-US"/>
        </w:rPr>
        <w:t xml:space="preserve"> to</w:t>
      </w:r>
      <w:r w:rsidR="002D66E0" w:rsidRPr="00954547">
        <w:rPr>
          <w:lang w:val="en-US"/>
        </w:rPr>
        <w:t xml:space="preserve"> “review and adjust discriminatory institutional practices in criminal investigations and within the healthcare sector.” It also asked that</w:t>
      </w:r>
      <w:r w:rsidR="005A2C85" w:rsidRPr="00954547">
        <w:rPr>
          <w:lang w:val="en-US"/>
        </w:rPr>
        <w:t xml:space="preserve"> the State</w:t>
      </w:r>
      <w:r w:rsidR="002D66E0" w:rsidRPr="00954547">
        <w:rPr>
          <w:lang w:val="en-US"/>
        </w:rPr>
        <w:t xml:space="preserve"> </w:t>
      </w:r>
      <w:r w:rsidR="00DF6560" w:rsidRPr="00954547">
        <w:rPr>
          <w:lang w:val="en-US"/>
        </w:rPr>
        <w:t xml:space="preserve">reinforce </w:t>
      </w:r>
      <w:r w:rsidR="005A2C85" w:rsidRPr="00954547">
        <w:rPr>
          <w:lang w:val="en-US"/>
        </w:rPr>
        <w:t xml:space="preserve">“the full effectiveness of public defense, particularly in cases involving the possible imposition of severe punishments, including disciplinary measures </w:t>
      </w:r>
      <w:r w:rsidR="00F076CB" w:rsidRPr="00954547">
        <w:rPr>
          <w:lang w:val="en-US"/>
        </w:rPr>
        <w:t>ensuring</w:t>
      </w:r>
      <w:r w:rsidR="005A2C85" w:rsidRPr="00954547">
        <w:rPr>
          <w:lang w:val="en-US"/>
        </w:rPr>
        <w:t xml:space="preserve"> accountability for acts or omissions that constitute manifest negligence.”</w:t>
      </w:r>
    </w:p>
    <w:p w14:paraId="5A48CB1A" w14:textId="01D81040" w:rsidR="005A2C85" w:rsidRPr="00954547" w:rsidRDefault="00B8393C" w:rsidP="002423D1">
      <w:pPr>
        <w:pStyle w:val="Numberedparagraphs"/>
        <w:tabs>
          <w:tab w:val="left" w:pos="567"/>
        </w:tabs>
        <w:rPr>
          <w:rFonts w:cs="Times New Roman"/>
          <w:lang w:val="en-US"/>
        </w:rPr>
      </w:pPr>
      <w:r w:rsidRPr="00954547">
        <w:rPr>
          <w:rFonts w:cs="Times New Roman"/>
          <w:lang w:val="en-US"/>
        </w:rPr>
        <w:t xml:space="preserve">The </w:t>
      </w:r>
      <w:r w:rsidR="006E0D5E" w:rsidRPr="00954547">
        <w:rPr>
          <w:rFonts w:cs="Times New Roman"/>
          <w:b/>
          <w:bCs/>
          <w:i/>
          <w:iCs/>
          <w:lang w:val="en-US"/>
        </w:rPr>
        <w:t>representatives</w:t>
      </w:r>
      <w:r w:rsidR="002423D1" w:rsidRPr="00954547">
        <w:rPr>
          <w:rFonts w:cs="Times New Roman"/>
          <w:b/>
          <w:bCs/>
          <w:i/>
          <w:iCs/>
          <w:lang w:val="en-US"/>
        </w:rPr>
        <w:t xml:space="preserve"> </w:t>
      </w:r>
      <w:r w:rsidR="005A2C85" w:rsidRPr="00954547">
        <w:rPr>
          <w:lang w:val="en-US"/>
        </w:rPr>
        <w:t>asked that the State</w:t>
      </w:r>
      <w:r w:rsidR="002423D1" w:rsidRPr="00954547">
        <w:rPr>
          <w:lang w:val="en-US"/>
        </w:rPr>
        <w:t xml:space="preserve"> “</w:t>
      </w:r>
      <w:r w:rsidR="005A2C85" w:rsidRPr="00954547">
        <w:rPr>
          <w:lang w:val="en-US"/>
        </w:rPr>
        <w:t xml:space="preserve">provide training to eliminate the use of discriminatory stereotypes </w:t>
      </w:r>
      <w:r w:rsidR="009A7D8B" w:rsidRPr="00954547">
        <w:rPr>
          <w:lang w:val="en-US"/>
        </w:rPr>
        <w:t>concerning</w:t>
      </w:r>
      <w:r w:rsidR="005A2C85" w:rsidRPr="00954547">
        <w:rPr>
          <w:lang w:val="en-US"/>
        </w:rPr>
        <w:t xml:space="preserve"> the role of women taking into account their negative impact in criminal investigations and in the assessment of evidence and criminal responsibility in judicial decisions,” and also “permanent education and training programs for all professionals who work in health institutions, the police and the judiciary, on the appropriate treatment </w:t>
      </w:r>
      <w:r w:rsidR="009A7D8B" w:rsidRPr="00954547">
        <w:rPr>
          <w:lang w:val="en-US"/>
        </w:rPr>
        <w:t>of</w:t>
      </w:r>
      <w:r w:rsidR="005A2C85" w:rsidRPr="00954547">
        <w:rPr>
          <w:lang w:val="en-US"/>
        </w:rPr>
        <w:t xml:space="preserve"> obstetric emergencies, professional secre</w:t>
      </w:r>
      <w:r w:rsidR="009A7D8B" w:rsidRPr="00954547">
        <w:rPr>
          <w:lang w:val="en-US"/>
        </w:rPr>
        <w:t>cy</w:t>
      </w:r>
      <w:r w:rsidR="005A2C85" w:rsidRPr="00954547">
        <w:rPr>
          <w:lang w:val="en-US"/>
        </w:rPr>
        <w:t xml:space="preserve">, pregnancy, gender, human rights, and the prevention of torture.” They asked that this training be provided: “(i) in </w:t>
      </w:r>
      <w:r w:rsidR="00F076CB" w:rsidRPr="00954547">
        <w:rPr>
          <w:lang w:val="en-US"/>
        </w:rPr>
        <w:t xml:space="preserve">the university careers of medicine, nursing, law, psychology and social work; (ii) to the health personnel throughout the country; (iii) to forensic physicians, and (iv) to agents of justice, including public defenders, through the corresponding judicial academy.” Similarly, they asked the Court to order the State “to </w:t>
      </w:r>
      <w:r w:rsidR="009A7D8B" w:rsidRPr="00954547">
        <w:rPr>
          <w:lang w:val="en-US"/>
        </w:rPr>
        <w:t>reinforce</w:t>
      </w:r>
      <w:r w:rsidR="00F076CB" w:rsidRPr="00954547">
        <w:rPr>
          <w:lang w:val="en-US"/>
        </w:rPr>
        <w:t xml:space="preserve"> the full effectiveness of public defenders,</w:t>
      </w:r>
      <w:r w:rsidR="009A7D8B" w:rsidRPr="00954547">
        <w:rPr>
          <w:lang w:val="en-US"/>
        </w:rPr>
        <w:t xml:space="preserve"> </w:t>
      </w:r>
      <w:r w:rsidR="00F076CB" w:rsidRPr="00954547">
        <w:rPr>
          <w:lang w:val="en-US"/>
        </w:rPr>
        <w:t>particularly in cases that involve the possible imposition of severe punishments, including disciplinary measures ensuring accountability for acts or omissions that constitute manifest negligence.”</w:t>
      </w:r>
    </w:p>
    <w:p w14:paraId="20EC0A91" w14:textId="5383E639" w:rsidR="00FA12C9" w:rsidRPr="00954547" w:rsidRDefault="00B8393C" w:rsidP="00FA12C9">
      <w:pPr>
        <w:pStyle w:val="Numberedparagraphs"/>
        <w:tabs>
          <w:tab w:val="clear" w:pos="720"/>
          <w:tab w:val="left" w:pos="567"/>
        </w:tabs>
        <w:rPr>
          <w:b/>
          <w:lang w:val="en-US"/>
        </w:rPr>
      </w:pPr>
      <w:r w:rsidRPr="00954547">
        <w:rPr>
          <w:lang w:val="en-US"/>
        </w:rPr>
        <w:t xml:space="preserve">The </w:t>
      </w:r>
      <w:r w:rsidRPr="00954547">
        <w:rPr>
          <w:b/>
          <w:bCs/>
          <w:i/>
          <w:iCs/>
          <w:lang w:val="en-US"/>
        </w:rPr>
        <w:t>State</w:t>
      </w:r>
      <w:r w:rsidR="002423D1" w:rsidRPr="00954547">
        <w:rPr>
          <w:b/>
          <w:i/>
          <w:lang w:val="en-US"/>
        </w:rPr>
        <w:t xml:space="preserve"> </w:t>
      </w:r>
      <w:r w:rsidR="00F076CB" w:rsidRPr="00954547">
        <w:rPr>
          <w:lang w:val="en-US"/>
        </w:rPr>
        <w:t>indicated its intention</w:t>
      </w:r>
      <w:r w:rsidR="00FA12C9" w:rsidRPr="00954547">
        <w:rPr>
          <w:lang w:val="en-US"/>
        </w:rPr>
        <w:t xml:space="preserve"> </w:t>
      </w:r>
      <w:r w:rsidR="00F076CB" w:rsidRPr="00954547">
        <w:rPr>
          <w:lang w:val="en-US"/>
        </w:rPr>
        <w:t xml:space="preserve">of advancing </w:t>
      </w:r>
      <w:r w:rsidR="00FA12C9" w:rsidRPr="00954547">
        <w:rPr>
          <w:lang w:val="en-US"/>
        </w:rPr>
        <w:t>towards “measures relating to the permanent education and training of public officials and employees.” It also advised that it had “developed a permanent training program to eliminate discriminatory stereotypes concerning the role of women addressed, in particular, at enhancing the knowledge, capabilities</w:t>
      </w:r>
      <w:r w:rsidR="009A7D8B" w:rsidRPr="00954547">
        <w:rPr>
          <w:lang w:val="en-US"/>
        </w:rPr>
        <w:t xml:space="preserve"> and competences</w:t>
      </w:r>
      <w:r w:rsidR="00FA12C9" w:rsidRPr="00954547">
        <w:rPr>
          <w:lang w:val="en-US"/>
        </w:rPr>
        <w:t xml:space="preserve"> of public servants, including public defenders, prosecutors, judges</w:t>
      </w:r>
      <w:r w:rsidR="00FA12C9" w:rsidRPr="00954547">
        <w:rPr>
          <w:b/>
          <w:lang w:val="en-US"/>
        </w:rPr>
        <w:t xml:space="preserve"> </w:t>
      </w:r>
      <w:r w:rsidR="0078694F" w:rsidRPr="00954547">
        <w:rPr>
          <w:lang w:val="en-US"/>
        </w:rPr>
        <w:t xml:space="preserve">and </w:t>
      </w:r>
      <w:r w:rsidR="00FA12C9" w:rsidRPr="00954547">
        <w:rPr>
          <w:lang w:val="en-US"/>
        </w:rPr>
        <w:t xml:space="preserve">other judicial officials, as well as of auxiliary organs of the administration of justice.” Thus, for example, the State was working “on the implementation of specialized technical training for the exercise of a professional defense in cases of the interruption of the gestation of the fetus”; it was developing “a specialized training program on human rights, addressed, above all, </w:t>
      </w:r>
      <w:r w:rsidR="00D755C9" w:rsidRPr="00954547">
        <w:rPr>
          <w:lang w:val="en-US"/>
        </w:rPr>
        <w:t xml:space="preserve">at judges and judicial agents,” and the Prosecutor General had ordered the inclusion or strengthening of components in the training program for auxiliary prosecutors on “the elimination of discriminatory stereotypes </w:t>
      </w:r>
      <w:r w:rsidR="009A7D8B" w:rsidRPr="00954547">
        <w:rPr>
          <w:lang w:val="en-US"/>
        </w:rPr>
        <w:t>concerning</w:t>
      </w:r>
      <w:r w:rsidR="00D755C9" w:rsidRPr="00954547">
        <w:rPr>
          <w:lang w:val="en-US"/>
        </w:rPr>
        <w:t xml:space="preserve"> the role of women and their negative impact on criminal investigations and the assessment of the evidence.” In the area of health care, “women facing obstetric problems are attended based, above all, on the procedures established in the [health] manuals and guidelines</w:t>
      </w:r>
      <w:r w:rsidR="00F829A4" w:rsidRPr="00954547">
        <w:rPr>
          <w:lang w:val="en-US"/>
        </w:rPr>
        <w:t>.</w:t>
      </w:r>
      <w:r w:rsidR="00D755C9" w:rsidRPr="00954547">
        <w:rPr>
          <w:lang w:val="en-US"/>
        </w:rPr>
        <w:t>”</w:t>
      </w:r>
      <w:r w:rsidR="00F829A4" w:rsidRPr="00954547">
        <w:rPr>
          <w:lang w:val="en-US"/>
        </w:rPr>
        <w:t xml:space="preserve"> It also indicated that, in order to reinforce the professional capacity of public defenders, the Attorney General “had imparted training sessions that contribute to improving the role of the defense in complex cases and </w:t>
      </w:r>
      <w:r w:rsidR="0019344C" w:rsidRPr="00954547">
        <w:rPr>
          <w:lang w:val="en-US"/>
        </w:rPr>
        <w:t xml:space="preserve">to </w:t>
      </w:r>
      <w:r w:rsidR="00F829A4" w:rsidRPr="00954547">
        <w:rPr>
          <w:lang w:val="en-US"/>
        </w:rPr>
        <w:t>compliance with the mandate of filing pertinent remedies at each procedural stage.”</w:t>
      </w:r>
    </w:p>
    <w:p w14:paraId="1C64E409" w14:textId="15B39AF5" w:rsidR="002423D1" w:rsidRPr="00954547" w:rsidRDefault="00E76B1A" w:rsidP="002E0F71">
      <w:pPr>
        <w:pStyle w:val="Numberedparagraphs"/>
        <w:tabs>
          <w:tab w:val="left" w:pos="567"/>
        </w:tabs>
        <w:rPr>
          <w:lang w:val="en-US"/>
        </w:rPr>
      </w:pPr>
      <w:bookmarkStart w:id="151" w:name="_Ref86678915"/>
      <w:r w:rsidRPr="00954547">
        <w:rPr>
          <w:lang w:val="en-US"/>
        </w:rPr>
        <w:t>The Court</w:t>
      </w:r>
      <w:r w:rsidR="002423D1" w:rsidRPr="00954547">
        <w:rPr>
          <w:lang w:val="en-US"/>
        </w:rPr>
        <w:t xml:space="preserve"> reco</w:t>
      </w:r>
      <w:r w:rsidR="00F829A4" w:rsidRPr="00954547">
        <w:rPr>
          <w:lang w:val="en-US"/>
        </w:rPr>
        <w:t>gnizes the important progress that the State has made in training its public officials in the area of human rights, the use of stereotypes against women subject to criminal prosecution, and medical attention for obstetric emergencies. Nevertheless, in this case, the Court considers it necessary for the State to adopt, within one year, an awareness-raising and training program for both judicial officials and also the health personnel of the</w:t>
      </w:r>
      <w:bookmarkStart w:id="152" w:name="_Ref72330427"/>
      <w:r w:rsidR="00F829A4" w:rsidRPr="00954547">
        <w:rPr>
          <w:lang w:val="en-US"/>
        </w:rPr>
        <w:t xml:space="preserve"> </w:t>
      </w:r>
      <w:r w:rsidR="004361C8" w:rsidRPr="00954547">
        <w:rPr>
          <w:lang w:val="en-US"/>
        </w:rPr>
        <w:t>Rosales National Hospital</w:t>
      </w:r>
      <w:r w:rsidR="002423D1" w:rsidRPr="00954547">
        <w:rPr>
          <w:lang w:val="en-US"/>
        </w:rPr>
        <w:t xml:space="preserve">. </w:t>
      </w:r>
      <w:r w:rsidR="00F829A4" w:rsidRPr="00954547">
        <w:rPr>
          <w:lang w:val="en-US"/>
        </w:rPr>
        <w:t xml:space="preserve">In the case of the former, the State must adopt permanent education and training programs for judicial officials who intervene in criminal proceedings </w:t>
      </w:r>
      <w:r w:rsidR="002E0F71" w:rsidRPr="00954547">
        <w:rPr>
          <w:lang w:val="en-US"/>
        </w:rPr>
        <w:t xml:space="preserve">against women accused of abortion or infanticide, including public defenders, on the standards developed by the Court in this case in relation to the discriminatory nature of the use of presumptions and gender stereotypes in the investigation and criminal prosecution of women accused of such offenses; the credibility and weight given to </w:t>
      </w:r>
      <w:r w:rsidR="00715E76" w:rsidRPr="00954547">
        <w:rPr>
          <w:lang w:val="en-US"/>
        </w:rPr>
        <w:t>women’s voices</w:t>
      </w:r>
      <w:r w:rsidR="002E0F71" w:rsidRPr="00954547">
        <w:rPr>
          <w:lang w:val="en-US"/>
        </w:rPr>
        <w:t xml:space="preserve">, arguments and testimony, as parties and witnesses, and the effect of the inflexible </w:t>
      </w:r>
      <w:r w:rsidR="00715E76" w:rsidRPr="00954547">
        <w:rPr>
          <w:lang w:val="en-US"/>
        </w:rPr>
        <w:t>standards</w:t>
      </w:r>
      <w:r w:rsidR="002E0F71" w:rsidRPr="00954547">
        <w:rPr>
          <w:lang w:val="en-US"/>
        </w:rPr>
        <w:t xml:space="preserve"> (stereotypes) </w:t>
      </w:r>
      <w:r w:rsidR="00715E76" w:rsidRPr="00954547">
        <w:rPr>
          <w:lang w:val="en-US"/>
        </w:rPr>
        <w:t xml:space="preserve">often developed by </w:t>
      </w:r>
      <w:r w:rsidR="002E0F71" w:rsidRPr="00954547">
        <w:rPr>
          <w:lang w:val="en-US"/>
        </w:rPr>
        <w:t xml:space="preserve">judges and prosecutors </w:t>
      </w:r>
      <w:r w:rsidR="00715E76" w:rsidRPr="00954547">
        <w:rPr>
          <w:lang w:val="en-US"/>
        </w:rPr>
        <w:t>for</w:t>
      </w:r>
      <w:r w:rsidR="002E0F71" w:rsidRPr="00954547">
        <w:rPr>
          <w:lang w:val="en-US"/>
        </w:rPr>
        <w:t xml:space="preserve"> what they consider to be appropriate </w:t>
      </w:r>
      <w:r w:rsidR="00715E76" w:rsidRPr="00954547">
        <w:rPr>
          <w:lang w:val="en-US"/>
        </w:rPr>
        <w:t xml:space="preserve">behavior </w:t>
      </w:r>
      <w:r w:rsidR="002E0F71" w:rsidRPr="00954547">
        <w:rPr>
          <w:lang w:val="en-US"/>
        </w:rPr>
        <w:t>for women.</w:t>
      </w:r>
      <w:r w:rsidR="00A82004" w:rsidRPr="00954547">
        <w:rPr>
          <w:rStyle w:val="FootnoteReference"/>
          <w:lang w:val="en-US"/>
        </w:rPr>
        <w:footnoteReference w:id="451"/>
      </w:r>
      <w:r w:rsidR="002E0F71" w:rsidRPr="00954547">
        <w:rPr>
          <w:lang w:val="en-US"/>
        </w:rPr>
        <w:t xml:space="preserve"> In addition, it must explain the restriction</w:t>
      </w:r>
      <w:r w:rsidR="00715E76" w:rsidRPr="00954547">
        <w:rPr>
          <w:lang w:val="en-US"/>
        </w:rPr>
        <w:t>s</w:t>
      </w:r>
      <w:r w:rsidR="002E0F71" w:rsidRPr="00954547">
        <w:rPr>
          <w:lang w:val="en-US"/>
        </w:rPr>
        <w:t xml:space="preserve"> to the use of handcuffs or other similar devices on women who are about to give birth, during the delivery, or in the period immediately after this, or who have suffered </w:t>
      </w:r>
      <w:r w:rsidR="009E6B43" w:rsidRPr="00954547">
        <w:rPr>
          <w:lang w:val="en-US"/>
        </w:rPr>
        <w:t>obstetric emergencies</w:t>
      </w:r>
      <w:r w:rsidR="002423D1" w:rsidRPr="00954547">
        <w:rPr>
          <w:lang w:val="en-US"/>
        </w:rPr>
        <w:t xml:space="preserve">, </w:t>
      </w:r>
      <w:r w:rsidR="002E0F71" w:rsidRPr="00954547">
        <w:rPr>
          <w:lang w:val="en-US"/>
        </w:rPr>
        <w:t xml:space="preserve">pursuant to the standards developed in paragraphs </w:t>
      </w:r>
      <w:r w:rsidR="00E200F0" w:rsidRPr="00954547">
        <w:rPr>
          <w:lang w:val="en-US" w:eastAsia="es-MX"/>
        </w:rPr>
        <w:fldChar w:fldCharType="begin"/>
      </w:r>
      <w:r w:rsidR="00E200F0" w:rsidRPr="00954547">
        <w:rPr>
          <w:lang w:val="en-US" w:eastAsia="es-MX"/>
        </w:rPr>
        <w:instrText xml:space="preserve"> REF _Ref88035631 \r \h </w:instrText>
      </w:r>
      <w:r w:rsidR="00793F65" w:rsidRPr="00954547">
        <w:rPr>
          <w:lang w:val="en-US" w:eastAsia="es-MX"/>
        </w:rPr>
        <w:instrText xml:space="preserve"> \* MERGEFORMAT </w:instrText>
      </w:r>
      <w:r w:rsidR="00E200F0" w:rsidRPr="00954547">
        <w:rPr>
          <w:lang w:val="en-US" w:eastAsia="es-MX"/>
        </w:rPr>
      </w:r>
      <w:r w:rsidR="00E200F0" w:rsidRPr="00954547">
        <w:rPr>
          <w:lang w:val="en-US" w:eastAsia="es-MX"/>
        </w:rPr>
        <w:fldChar w:fldCharType="separate"/>
      </w:r>
      <w:r w:rsidR="000E4488" w:rsidRPr="00954547">
        <w:rPr>
          <w:lang w:val="en-US" w:eastAsia="es-MX"/>
        </w:rPr>
        <w:t>198</w:t>
      </w:r>
      <w:r w:rsidR="00E200F0" w:rsidRPr="00954547">
        <w:rPr>
          <w:lang w:val="en-US" w:eastAsia="es-MX"/>
        </w:rPr>
        <w:fldChar w:fldCharType="end"/>
      </w:r>
      <w:r w:rsidR="00E200F0" w:rsidRPr="00954547">
        <w:rPr>
          <w:lang w:val="en-US" w:eastAsia="es-MX"/>
        </w:rPr>
        <w:t xml:space="preserve"> </w:t>
      </w:r>
      <w:r w:rsidR="002E0F71" w:rsidRPr="00954547">
        <w:rPr>
          <w:lang w:val="en-US" w:eastAsia="es-MX"/>
        </w:rPr>
        <w:t>to</w:t>
      </w:r>
      <w:r w:rsidR="00E200F0" w:rsidRPr="00954547">
        <w:rPr>
          <w:lang w:val="en-US" w:eastAsia="es-MX"/>
        </w:rPr>
        <w:t xml:space="preserve"> </w:t>
      </w:r>
      <w:r w:rsidR="00E200F0" w:rsidRPr="00954547">
        <w:rPr>
          <w:lang w:val="en-US" w:eastAsia="es-MX"/>
        </w:rPr>
        <w:fldChar w:fldCharType="begin"/>
      </w:r>
      <w:r w:rsidR="00E200F0" w:rsidRPr="00954547">
        <w:rPr>
          <w:lang w:val="en-US" w:eastAsia="es-MX"/>
        </w:rPr>
        <w:instrText xml:space="preserve"> REF _Ref88035632 \r \h </w:instrText>
      </w:r>
      <w:r w:rsidR="00793F65" w:rsidRPr="00954547">
        <w:rPr>
          <w:lang w:val="en-US" w:eastAsia="es-MX"/>
        </w:rPr>
        <w:instrText xml:space="preserve"> \* MERGEFORMAT </w:instrText>
      </w:r>
      <w:r w:rsidR="00E200F0" w:rsidRPr="00954547">
        <w:rPr>
          <w:lang w:val="en-US" w:eastAsia="es-MX"/>
        </w:rPr>
      </w:r>
      <w:r w:rsidR="00E200F0" w:rsidRPr="00954547">
        <w:rPr>
          <w:lang w:val="en-US" w:eastAsia="es-MX"/>
        </w:rPr>
        <w:fldChar w:fldCharType="separate"/>
      </w:r>
      <w:r w:rsidR="000E4488" w:rsidRPr="00954547">
        <w:rPr>
          <w:lang w:val="en-US" w:eastAsia="es-MX"/>
        </w:rPr>
        <w:t>200</w:t>
      </w:r>
      <w:r w:rsidR="00E200F0" w:rsidRPr="00954547">
        <w:rPr>
          <w:lang w:val="en-US" w:eastAsia="es-MX"/>
        </w:rPr>
        <w:fldChar w:fldCharType="end"/>
      </w:r>
      <w:r w:rsidR="002423D1" w:rsidRPr="00954547">
        <w:rPr>
          <w:lang w:val="en-US" w:eastAsia="es-MX"/>
        </w:rPr>
        <w:t xml:space="preserve"> </w:t>
      </w:r>
      <w:r w:rsidR="004B6621" w:rsidRPr="00954547">
        <w:rPr>
          <w:lang w:val="en-US" w:eastAsia="es-MX"/>
        </w:rPr>
        <w:t>of this judgment</w:t>
      </w:r>
      <w:r w:rsidR="002423D1" w:rsidRPr="00954547">
        <w:rPr>
          <w:lang w:val="en-US" w:eastAsia="es-MX"/>
        </w:rPr>
        <w:t>.</w:t>
      </w:r>
      <w:bookmarkEnd w:id="151"/>
    </w:p>
    <w:p w14:paraId="5F03F933" w14:textId="5C4DB7CB" w:rsidR="00E14F84" w:rsidRPr="00954547" w:rsidRDefault="002E0F71" w:rsidP="002E0F71">
      <w:pPr>
        <w:pStyle w:val="Numberedparagraphs"/>
        <w:tabs>
          <w:tab w:val="clear" w:pos="720"/>
          <w:tab w:val="left" w:pos="567"/>
        </w:tabs>
        <w:rPr>
          <w:lang w:val="en-US" w:eastAsia="es-MX"/>
        </w:rPr>
      </w:pPr>
      <w:bookmarkStart w:id="153" w:name="_Ref86678918"/>
      <w:r w:rsidRPr="00954547">
        <w:rPr>
          <w:lang w:val="en-US" w:eastAsia="es-MX"/>
        </w:rPr>
        <w:t xml:space="preserve">In the case of health personnel, the Court deems it pertinent to order the State to design and implement, within the same time frame, a training course on </w:t>
      </w:r>
      <w:r w:rsidR="00792796" w:rsidRPr="00954547">
        <w:rPr>
          <w:lang w:val="en-US" w:eastAsia="es-MX"/>
        </w:rPr>
        <w:t xml:space="preserve">medical professional </w:t>
      </w:r>
      <w:r w:rsidR="00715E76" w:rsidRPr="00954547">
        <w:rPr>
          <w:lang w:val="en-US" w:eastAsia="es-MX"/>
        </w:rPr>
        <w:t xml:space="preserve">secrecy </w:t>
      </w:r>
      <w:r w:rsidR="000405F4" w:rsidRPr="00954547">
        <w:rPr>
          <w:lang w:val="en-US" w:eastAsia="es-MX"/>
        </w:rPr>
        <w:t xml:space="preserve">for the nursing and medical staff of the </w:t>
      </w:r>
      <w:r w:rsidR="004361C8" w:rsidRPr="00954547">
        <w:rPr>
          <w:lang w:val="en-US"/>
        </w:rPr>
        <w:t>Rosales National Hospital</w:t>
      </w:r>
      <w:r w:rsidR="002423D1" w:rsidRPr="00954547">
        <w:rPr>
          <w:lang w:val="en-US"/>
        </w:rPr>
        <w:t xml:space="preserve">, </w:t>
      </w:r>
      <w:r w:rsidR="00715E76" w:rsidRPr="00954547">
        <w:rPr>
          <w:lang w:val="en-US"/>
        </w:rPr>
        <w:t>based on</w:t>
      </w:r>
      <w:r w:rsidR="000405F4" w:rsidRPr="00954547">
        <w:rPr>
          <w:lang w:val="en-US"/>
        </w:rPr>
        <w:t xml:space="preserve"> the standards developed in </w:t>
      </w:r>
      <w:r w:rsidR="009A0FBE" w:rsidRPr="00954547">
        <w:rPr>
          <w:lang w:val="en-US" w:eastAsia="es-MX"/>
        </w:rPr>
        <w:t>this judgment</w:t>
      </w:r>
      <w:r w:rsidR="00E200F0" w:rsidRPr="00954547">
        <w:rPr>
          <w:lang w:val="en-US" w:eastAsia="es-MX"/>
        </w:rPr>
        <w:t xml:space="preserve"> </w:t>
      </w:r>
      <w:r w:rsidR="000405F4" w:rsidRPr="00954547">
        <w:rPr>
          <w:lang w:val="en-US" w:eastAsia="es-MX"/>
        </w:rPr>
        <w:t xml:space="preserve">concerning the scope </w:t>
      </w:r>
      <w:r w:rsidR="00674DA3" w:rsidRPr="00954547">
        <w:rPr>
          <w:lang w:val="en-US" w:eastAsia="es-MX"/>
        </w:rPr>
        <w:t xml:space="preserve">of </w:t>
      </w:r>
      <w:r w:rsidR="00792796" w:rsidRPr="00954547">
        <w:rPr>
          <w:lang w:val="en-US" w:eastAsia="es-MX"/>
        </w:rPr>
        <w:t xml:space="preserve">medical professional </w:t>
      </w:r>
      <w:r w:rsidR="00E3265A" w:rsidRPr="00954547">
        <w:rPr>
          <w:lang w:val="en-US" w:eastAsia="es-MX"/>
        </w:rPr>
        <w:t>secrecy and</w:t>
      </w:r>
      <w:r w:rsidR="00E200F0" w:rsidRPr="00954547">
        <w:rPr>
          <w:lang w:val="en-US" w:eastAsia="es-MX"/>
        </w:rPr>
        <w:t xml:space="preserve"> </w:t>
      </w:r>
      <w:r w:rsidR="000405F4" w:rsidRPr="00954547">
        <w:rPr>
          <w:lang w:val="en-US" w:eastAsia="es-MX"/>
        </w:rPr>
        <w:t xml:space="preserve">its exceptions, and </w:t>
      </w:r>
      <w:r w:rsidR="00E3265A" w:rsidRPr="00954547">
        <w:rPr>
          <w:lang w:val="en-US" w:eastAsia="es-MX"/>
        </w:rPr>
        <w:t xml:space="preserve">on </w:t>
      </w:r>
      <w:r w:rsidR="000405F4" w:rsidRPr="00954547">
        <w:rPr>
          <w:lang w:val="en-US" w:eastAsia="es-MX"/>
        </w:rPr>
        <w:t xml:space="preserve">gender stereotypes, as well as on the protocol ordered by this Court for the attention of women who require urgent medical care for </w:t>
      </w:r>
      <w:r w:rsidR="009E6B43" w:rsidRPr="00954547">
        <w:rPr>
          <w:lang w:val="en-US" w:eastAsia="es-MX"/>
        </w:rPr>
        <w:t>obstetric emergencies</w:t>
      </w:r>
      <w:r w:rsidR="002423D1" w:rsidRPr="00954547">
        <w:rPr>
          <w:lang w:val="en-US" w:eastAsia="es-MX"/>
        </w:rPr>
        <w:t xml:space="preserve"> </w:t>
      </w:r>
      <w:bookmarkEnd w:id="153"/>
      <w:r w:rsidR="00E200F0" w:rsidRPr="00954547">
        <w:rPr>
          <w:lang w:val="en-US" w:eastAsia="es-MX"/>
        </w:rPr>
        <w:t>(</w:t>
      </w:r>
      <w:r w:rsidR="00E200F0" w:rsidRPr="00954547">
        <w:rPr>
          <w:i/>
          <w:lang w:val="en-US" w:eastAsia="es-MX"/>
        </w:rPr>
        <w:t xml:space="preserve">supra </w:t>
      </w:r>
      <w:r w:rsidR="00B10E5A" w:rsidRPr="00954547">
        <w:rPr>
          <w:lang w:val="en-US" w:eastAsia="es-MX"/>
        </w:rPr>
        <w:t>para.</w:t>
      </w:r>
      <w:r w:rsidR="00E200F0" w:rsidRPr="00954547">
        <w:rPr>
          <w:lang w:val="en-US" w:eastAsia="es-MX"/>
        </w:rPr>
        <w:t xml:space="preserve"> </w:t>
      </w:r>
      <w:r w:rsidR="00E200F0" w:rsidRPr="00954547">
        <w:rPr>
          <w:lang w:val="en-US"/>
        </w:rPr>
        <w:fldChar w:fldCharType="begin"/>
      </w:r>
      <w:r w:rsidR="00E200F0" w:rsidRPr="00954547">
        <w:rPr>
          <w:lang w:val="en-US"/>
        </w:rPr>
        <w:instrText xml:space="preserve"> REF _Ref87983602 \r \h </w:instrText>
      </w:r>
      <w:r w:rsidR="00793F65" w:rsidRPr="00954547">
        <w:rPr>
          <w:lang w:val="en-US"/>
        </w:rPr>
        <w:instrText xml:space="preserve"> \* MERGEFORMAT </w:instrText>
      </w:r>
      <w:r w:rsidR="00E200F0" w:rsidRPr="00954547">
        <w:rPr>
          <w:lang w:val="en-US"/>
        </w:rPr>
      </w:r>
      <w:r w:rsidR="00E200F0" w:rsidRPr="00954547">
        <w:rPr>
          <w:lang w:val="en-US"/>
        </w:rPr>
        <w:fldChar w:fldCharType="separate"/>
      </w:r>
      <w:r w:rsidR="000E4488" w:rsidRPr="00954547">
        <w:rPr>
          <w:lang w:val="en-US"/>
        </w:rPr>
        <w:t>287</w:t>
      </w:r>
      <w:r w:rsidR="00E200F0" w:rsidRPr="00954547">
        <w:rPr>
          <w:lang w:val="en-US"/>
        </w:rPr>
        <w:fldChar w:fldCharType="end"/>
      </w:r>
      <w:r w:rsidR="00E200F0" w:rsidRPr="00954547">
        <w:rPr>
          <w:lang w:val="en-US"/>
        </w:rPr>
        <w:t>).</w:t>
      </w:r>
    </w:p>
    <w:p w14:paraId="199BE459" w14:textId="6C2D5CE1" w:rsidR="00743496" w:rsidRPr="00954547" w:rsidRDefault="00743496" w:rsidP="00FD6CE9">
      <w:pPr>
        <w:pStyle w:val="Heading3"/>
        <w:tabs>
          <w:tab w:val="left" w:pos="567"/>
        </w:tabs>
        <w:jc w:val="both"/>
      </w:pPr>
      <w:bookmarkStart w:id="154" w:name="_Toc106353941"/>
      <w:r w:rsidRPr="00954547">
        <w:t xml:space="preserve">D.4 </w:t>
      </w:r>
      <w:r w:rsidR="00FD6CE9" w:rsidRPr="00954547">
        <w:tab/>
      </w:r>
      <w:r w:rsidR="006C1D51" w:rsidRPr="00954547">
        <w:t>Adaptation of the criminal dosimetry for infanticide</w:t>
      </w:r>
      <w:bookmarkEnd w:id="154"/>
      <w:r w:rsidRPr="00954547">
        <w:t xml:space="preserve"> </w:t>
      </w:r>
    </w:p>
    <w:p w14:paraId="35B4207B" w14:textId="741574FF" w:rsidR="00743496" w:rsidRPr="00954547" w:rsidRDefault="000405F4" w:rsidP="00DE7D90">
      <w:pPr>
        <w:pStyle w:val="Numberedparagraphs"/>
        <w:tabs>
          <w:tab w:val="clear" w:pos="720"/>
          <w:tab w:val="num" w:pos="567"/>
        </w:tabs>
        <w:rPr>
          <w:lang w:val="en-US"/>
        </w:rPr>
      </w:pPr>
      <w:bookmarkStart w:id="155" w:name="_Ref86678938"/>
      <w:r w:rsidRPr="00954547">
        <w:rPr>
          <w:lang w:val="en-US"/>
        </w:rPr>
        <w:t xml:space="preserve">In the instant case, </w:t>
      </w:r>
      <w:r w:rsidR="00E76B1A" w:rsidRPr="00954547">
        <w:rPr>
          <w:lang w:val="en-US"/>
        </w:rPr>
        <w:t>the Court</w:t>
      </w:r>
      <w:r w:rsidR="00743496" w:rsidRPr="00954547">
        <w:rPr>
          <w:lang w:val="en-US"/>
        </w:rPr>
        <w:t xml:space="preserve"> </w:t>
      </w:r>
      <w:r w:rsidR="006072F1" w:rsidRPr="00954547">
        <w:rPr>
          <w:lang w:val="en-US"/>
        </w:rPr>
        <w:t xml:space="preserve">has verified that the imposition on Manuela of a sentence of 30 years’ imprisonment was based on a regulation that </w:t>
      </w:r>
      <w:r w:rsidR="00E3265A" w:rsidRPr="00954547">
        <w:rPr>
          <w:lang w:val="en-US"/>
        </w:rPr>
        <w:t>failed to take into account the</w:t>
      </w:r>
      <w:r w:rsidR="006072F1" w:rsidRPr="00954547">
        <w:rPr>
          <w:lang w:val="en-US"/>
        </w:rPr>
        <w:t xml:space="preserve"> particular situation of women during the perinatal period, and this is contrary to </w:t>
      </w:r>
      <w:r w:rsidR="005E0FD1" w:rsidRPr="00954547">
        <w:rPr>
          <w:bdr w:val="none" w:sz="0" w:space="0" w:color="auto" w:frame="1"/>
          <w:lang w:val="en-US"/>
        </w:rPr>
        <w:t>the American Convention</w:t>
      </w:r>
      <w:r w:rsidR="0027615F" w:rsidRPr="00954547">
        <w:rPr>
          <w:bdr w:val="none" w:sz="0" w:space="0" w:color="auto" w:frame="1"/>
          <w:lang w:val="en-US"/>
        </w:rPr>
        <w:t>.</w:t>
      </w:r>
      <w:r w:rsidR="008E2DE6" w:rsidRPr="00954547">
        <w:rPr>
          <w:bdr w:val="none" w:sz="0" w:space="0" w:color="auto" w:frame="1"/>
          <w:lang w:val="en-US"/>
        </w:rPr>
        <w:t xml:space="preserve"> </w:t>
      </w:r>
      <w:r w:rsidR="006072F1" w:rsidRPr="00954547">
        <w:rPr>
          <w:lang w:val="en-US"/>
        </w:rPr>
        <w:t>Therefore</w:t>
      </w:r>
      <w:r w:rsidR="008E2DE6" w:rsidRPr="00954547">
        <w:rPr>
          <w:lang w:val="en-US"/>
        </w:rPr>
        <w:t xml:space="preserve">, </w:t>
      </w:r>
      <w:r w:rsidR="00E76B1A" w:rsidRPr="00954547">
        <w:rPr>
          <w:lang w:val="en-US"/>
        </w:rPr>
        <w:t>the Court</w:t>
      </w:r>
      <w:r w:rsidR="008E2DE6" w:rsidRPr="00954547">
        <w:rPr>
          <w:lang w:val="en-US"/>
        </w:rPr>
        <w:t xml:space="preserve"> consider</w:t>
      </w:r>
      <w:r w:rsidR="006072F1" w:rsidRPr="00954547">
        <w:rPr>
          <w:lang w:val="en-US"/>
        </w:rPr>
        <w:t>s that</w:t>
      </w:r>
      <w:r w:rsidR="008E2DE6" w:rsidRPr="00954547">
        <w:rPr>
          <w:lang w:val="en-US"/>
        </w:rPr>
        <w:t xml:space="preserve"> </w:t>
      </w:r>
      <w:r w:rsidR="00B8393C" w:rsidRPr="00954547">
        <w:rPr>
          <w:lang w:val="en-US"/>
        </w:rPr>
        <w:t>the State</w:t>
      </w:r>
      <w:r w:rsidR="008E2DE6" w:rsidRPr="00954547">
        <w:rPr>
          <w:lang w:val="en-US"/>
        </w:rPr>
        <w:t xml:space="preserve"> </w:t>
      </w:r>
      <w:r w:rsidR="006072F1" w:rsidRPr="00954547">
        <w:rPr>
          <w:lang w:val="en-US"/>
        </w:rPr>
        <w:t xml:space="preserve">must, within two years, amend its criminal laws in order to make them compatible with the standards concerning the proportionality of the punishment in this type of case, as established in paragraphs </w:t>
      </w:r>
      <w:r w:rsidR="00D10EE1" w:rsidRPr="00954547">
        <w:rPr>
          <w:bdr w:val="none" w:sz="0" w:space="0" w:color="auto" w:frame="1"/>
          <w:lang w:val="en-US"/>
        </w:rPr>
        <w:fldChar w:fldCharType="begin"/>
      </w:r>
      <w:r w:rsidR="00D10EE1" w:rsidRPr="00954547">
        <w:rPr>
          <w:bdr w:val="none" w:sz="0" w:space="0" w:color="auto" w:frame="1"/>
          <w:lang w:val="en-US"/>
        </w:rPr>
        <w:instrText xml:space="preserve"> REF _Ref88042438 \r \h </w:instrText>
      </w:r>
      <w:r w:rsidR="00793F65" w:rsidRPr="00954547">
        <w:rPr>
          <w:bdr w:val="none" w:sz="0" w:space="0" w:color="auto" w:frame="1"/>
          <w:lang w:val="en-US"/>
        </w:rPr>
        <w:instrText xml:space="preserve"> \* MERGEFORMAT </w:instrText>
      </w:r>
      <w:r w:rsidR="00D10EE1" w:rsidRPr="00954547">
        <w:rPr>
          <w:bdr w:val="none" w:sz="0" w:space="0" w:color="auto" w:frame="1"/>
          <w:lang w:val="en-US"/>
        </w:rPr>
      </w:r>
      <w:r w:rsidR="00D10EE1" w:rsidRPr="00954547">
        <w:rPr>
          <w:bdr w:val="none" w:sz="0" w:space="0" w:color="auto" w:frame="1"/>
          <w:lang w:val="en-US"/>
        </w:rPr>
        <w:fldChar w:fldCharType="separate"/>
      </w:r>
      <w:r w:rsidR="000E4488" w:rsidRPr="00954547">
        <w:rPr>
          <w:bdr w:val="none" w:sz="0" w:space="0" w:color="auto" w:frame="1"/>
          <w:lang w:val="en-US"/>
        </w:rPr>
        <w:t>161</w:t>
      </w:r>
      <w:r w:rsidR="00D10EE1" w:rsidRPr="00954547">
        <w:rPr>
          <w:bdr w:val="none" w:sz="0" w:space="0" w:color="auto" w:frame="1"/>
          <w:lang w:val="en-US"/>
        </w:rPr>
        <w:fldChar w:fldCharType="end"/>
      </w:r>
      <w:r w:rsidR="00D10EE1" w:rsidRPr="00954547">
        <w:rPr>
          <w:bdr w:val="none" w:sz="0" w:space="0" w:color="auto" w:frame="1"/>
          <w:lang w:val="en-US"/>
        </w:rPr>
        <w:t xml:space="preserve"> </w:t>
      </w:r>
      <w:r w:rsidR="006072F1" w:rsidRPr="00954547">
        <w:rPr>
          <w:bdr w:val="none" w:sz="0" w:space="0" w:color="auto" w:frame="1"/>
          <w:lang w:val="en-US"/>
        </w:rPr>
        <w:t>to</w:t>
      </w:r>
      <w:r w:rsidR="00D10EE1" w:rsidRPr="00954547">
        <w:rPr>
          <w:bdr w:val="none" w:sz="0" w:space="0" w:color="auto" w:frame="1"/>
          <w:lang w:val="en-US"/>
        </w:rPr>
        <w:t xml:space="preserve"> </w:t>
      </w:r>
      <w:r w:rsidR="00D10EE1" w:rsidRPr="00954547">
        <w:rPr>
          <w:bdr w:val="none" w:sz="0" w:space="0" w:color="auto" w:frame="1"/>
          <w:lang w:val="en-US"/>
        </w:rPr>
        <w:fldChar w:fldCharType="begin"/>
      </w:r>
      <w:r w:rsidR="00D10EE1" w:rsidRPr="00954547">
        <w:rPr>
          <w:bdr w:val="none" w:sz="0" w:space="0" w:color="auto" w:frame="1"/>
          <w:lang w:val="en-US"/>
        </w:rPr>
        <w:instrText xml:space="preserve"> REF _Ref88042441 \r \h </w:instrText>
      </w:r>
      <w:r w:rsidR="00793F65" w:rsidRPr="00954547">
        <w:rPr>
          <w:bdr w:val="none" w:sz="0" w:space="0" w:color="auto" w:frame="1"/>
          <w:lang w:val="en-US"/>
        </w:rPr>
        <w:instrText xml:space="preserve"> \* MERGEFORMAT </w:instrText>
      </w:r>
      <w:r w:rsidR="00D10EE1" w:rsidRPr="00954547">
        <w:rPr>
          <w:bdr w:val="none" w:sz="0" w:space="0" w:color="auto" w:frame="1"/>
          <w:lang w:val="en-US"/>
        </w:rPr>
      </w:r>
      <w:r w:rsidR="00D10EE1" w:rsidRPr="00954547">
        <w:rPr>
          <w:bdr w:val="none" w:sz="0" w:space="0" w:color="auto" w:frame="1"/>
          <w:lang w:val="en-US"/>
        </w:rPr>
        <w:fldChar w:fldCharType="separate"/>
      </w:r>
      <w:r w:rsidR="000E4488" w:rsidRPr="00954547">
        <w:rPr>
          <w:bdr w:val="none" w:sz="0" w:space="0" w:color="auto" w:frame="1"/>
          <w:lang w:val="en-US"/>
        </w:rPr>
        <w:t>172</w:t>
      </w:r>
      <w:r w:rsidR="00D10EE1" w:rsidRPr="00954547">
        <w:rPr>
          <w:bdr w:val="none" w:sz="0" w:space="0" w:color="auto" w:frame="1"/>
          <w:lang w:val="en-US"/>
        </w:rPr>
        <w:fldChar w:fldCharType="end"/>
      </w:r>
      <w:r w:rsidR="00D10EE1" w:rsidRPr="00954547">
        <w:rPr>
          <w:bdr w:val="none" w:sz="0" w:space="0" w:color="auto" w:frame="1"/>
          <w:lang w:val="en-US"/>
        </w:rPr>
        <w:t xml:space="preserve"> </w:t>
      </w:r>
      <w:r w:rsidR="004B6621" w:rsidRPr="00954547">
        <w:rPr>
          <w:lang w:val="en-US"/>
        </w:rPr>
        <w:t>of this judgment</w:t>
      </w:r>
      <w:bookmarkEnd w:id="155"/>
      <w:r w:rsidR="00D10EE1" w:rsidRPr="00954547">
        <w:rPr>
          <w:lang w:val="en-US"/>
        </w:rPr>
        <w:t xml:space="preserve">. </w:t>
      </w:r>
      <w:r w:rsidR="006072F1" w:rsidRPr="00954547">
        <w:rPr>
          <w:lang w:val="en-US"/>
        </w:rPr>
        <w:t>While this amendment is being made, the Court recalls that state authorities and, in particular, judges have the obligation to apply a control of conventionality in their decisions.</w:t>
      </w:r>
    </w:p>
    <w:p w14:paraId="6974F049" w14:textId="19425C22" w:rsidR="00740099" w:rsidRPr="00954547" w:rsidRDefault="00740099" w:rsidP="00FD6CE9">
      <w:pPr>
        <w:pStyle w:val="Heading3"/>
        <w:tabs>
          <w:tab w:val="left" w:pos="567"/>
        </w:tabs>
        <w:jc w:val="both"/>
      </w:pPr>
      <w:bookmarkStart w:id="156" w:name="_Toc106353942"/>
      <w:r w:rsidRPr="00954547">
        <w:t xml:space="preserve">D.5 </w:t>
      </w:r>
      <w:r w:rsidR="00FD6CE9" w:rsidRPr="00954547">
        <w:tab/>
      </w:r>
      <w:r w:rsidR="006C1D51" w:rsidRPr="00954547">
        <w:t>Sexual and reproductive education program</w:t>
      </w:r>
      <w:bookmarkEnd w:id="156"/>
      <w:r w:rsidRPr="00954547">
        <w:t xml:space="preserve"> </w:t>
      </w:r>
    </w:p>
    <w:p w14:paraId="0A41730F" w14:textId="1F351FFB" w:rsidR="00740099" w:rsidRPr="00954547" w:rsidRDefault="00E76B1A" w:rsidP="00624C6B">
      <w:pPr>
        <w:pStyle w:val="Numberedparagraphs"/>
        <w:tabs>
          <w:tab w:val="left" w:pos="567"/>
        </w:tabs>
        <w:rPr>
          <w:lang w:val="en-US"/>
        </w:rPr>
      </w:pPr>
      <w:r w:rsidRPr="00954547">
        <w:rPr>
          <w:lang w:val="en-US"/>
        </w:rPr>
        <w:t xml:space="preserve">The </w:t>
      </w:r>
      <w:r w:rsidRPr="00954547">
        <w:rPr>
          <w:b/>
          <w:bCs/>
          <w:i/>
          <w:iCs/>
          <w:lang w:val="en-US"/>
        </w:rPr>
        <w:t>Commission</w:t>
      </w:r>
      <w:r w:rsidR="00740099" w:rsidRPr="00954547">
        <w:rPr>
          <w:lang w:val="en-US"/>
        </w:rPr>
        <w:t xml:space="preserve"> </w:t>
      </w:r>
      <w:r w:rsidR="006072F1" w:rsidRPr="00954547">
        <w:rPr>
          <w:lang w:val="en-US"/>
        </w:rPr>
        <w:t>asked th</w:t>
      </w:r>
      <w:r w:rsidR="006574CC" w:rsidRPr="00954547">
        <w:rPr>
          <w:lang w:val="en-US"/>
        </w:rPr>
        <w:t>a</w:t>
      </w:r>
      <w:r w:rsidR="006072F1" w:rsidRPr="00954547">
        <w:rPr>
          <w:lang w:val="en-US"/>
        </w:rPr>
        <w:t xml:space="preserve">t the Court order the </w:t>
      </w:r>
      <w:r w:rsidR="00A94F95" w:rsidRPr="00954547">
        <w:rPr>
          <w:lang w:val="en-US"/>
        </w:rPr>
        <w:t>State</w:t>
      </w:r>
      <w:r w:rsidR="006574CC" w:rsidRPr="00954547">
        <w:rPr>
          <w:lang w:val="en-US"/>
        </w:rPr>
        <w:t xml:space="preserve"> to</w:t>
      </w:r>
      <w:r w:rsidR="00740099" w:rsidRPr="00954547">
        <w:rPr>
          <w:lang w:val="en-US"/>
        </w:rPr>
        <w:t xml:space="preserve"> “</w:t>
      </w:r>
      <w:r w:rsidR="006574CC" w:rsidRPr="00954547">
        <w:rPr>
          <w:lang w:val="en-US"/>
        </w:rPr>
        <w:t>establish effective mechanisms to inform women at the local level, particularly poor women living in rural areas, of their rights with regard to sexual and reproductive health.” In addition,</w:t>
      </w:r>
      <w:r w:rsidR="00740099" w:rsidRPr="00954547">
        <w:rPr>
          <w:lang w:val="en-US"/>
        </w:rPr>
        <w:t xml:space="preserve"> </w:t>
      </w:r>
      <w:r w:rsidR="00B8393C" w:rsidRPr="00954547">
        <w:rPr>
          <w:lang w:val="en-US"/>
        </w:rPr>
        <w:t xml:space="preserve">the </w:t>
      </w:r>
      <w:r w:rsidR="006574CC" w:rsidRPr="00954547">
        <w:rPr>
          <w:b/>
          <w:bCs/>
          <w:i/>
          <w:iCs/>
          <w:lang w:val="en-US"/>
        </w:rPr>
        <w:t>re</w:t>
      </w:r>
      <w:r w:rsidR="006E0D5E" w:rsidRPr="00954547">
        <w:rPr>
          <w:b/>
          <w:bCs/>
          <w:i/>
          <w:iCs/>
          <w:lang w:val="en-US"/>
        </w:rPr>
        <w:t>presentatives</w:t>
      </w:r>
      <w:r w:rsidR="00740099" w:rsidRPr="00954547">
        <w:rPr>
          <w:b/>
          <w:i/>
          <w:lang w:val="en-US"/>
        </w:rPr>
        <w:t xml:space="preserve"> </w:t>
      </w:r>
      <w:r w:rsidR="006574CC" w:rsidRPr="00954547">
        <w:rPr>
          <w:lang w:val="en-US"/>
        </w:rPr>
        <w:t xml:space="preserve">requested that the State organize information campaigns on </w:t>
      </w:r>
      <w:r w:rsidR="00674DA3" w:rsidRPr="00954547">
        <w:rPr>
          <w:lang w:val="en-US"/>
        </w:rPr>
        <w:t>sexual and reproductive health</w:t>
      </w:r>
      <w:r w:rsidR="00740099" w:rsidRPr="00954547">
        <w:rPr>
          <w:lang w:val="en-US"/>
        </w:rPr>
        <w:t xml:space="preserve">. </w:t>
      </w:r>
      <w:r w:rsidR="006574CC" w:rsidRPr="00954547">
        <w:rPr>
          <w:lang w:val="en-US"/>
        </w:rPr>
        <w:t>T</w:t>
      </w:r>
      <w:r w:rsidR="00B8393C" w:rsidRPr="00954547">
        <w:rPr>
          <w:lang w:val="en-US"/>
        </w:rPr>
        <w:t xml:space="preserve">he </w:t>
      </w:r>
      <w:r w:rsidR="00B8393C" w:rsidRPr="00954547">
        <w:rPr>
          <w:b/>
          <w:bCs/>
          <w:i/>
          <w:iCs/>
          <w:lang w:val="en-US"/>
        </w:rPr>
        <w:t>State</w:t>
      </w:r>
      <w:r w:rsidR="00740099" w:rsidRPr="00954547">
        <w:rPr>
          <w:b/>
          <w:i/>
          <w:lang w:val="en-US"/>
        </w:rPr>
        <w:t xml:space="preserve"> </w:t>
      </w:r>
      <w:r w:rsidR="00740099" w:rsidRPr="00954547">
        <w:rPr>
          <w:lang w:val="en-US"/>
        </w:rPr>
        <w:t>indic</w:t>
      </w:r>
      <w:r w:rsidR="006574CC" w:rsidRPr="00954547">
        <w:rPr>
          <w:lang w:val="en-US"/>
        </w:rPr>
        <w:t>ated that th</w:t>
      </w:r>
      <w:r w:rsidR="00C10269" w:rsidRPr="00954547">
        <w:rPr>
          <w:lang w:val="en-US"/>
        </w:rPr>
        <w:t>e</w:t>
      </w:r>
      <w:r w:rsidR="006574CC" w:rsidRPr="00954547">
        <w:rPr>
          <w:lang w:val="en-US"/>
        </w:rPr>
        <w:t xml:space="preserve"> Salvador Institute for the Advancement of Women had undertaken actions “to </w:t>
      </w:r>
      <w:r w:rsidR="00CC21CD" w:rsidRPr="00954547">
        <w:rPr>
          <w:lang w:val="en-US"/>
        </w:rPr>
        <w:t xml:space="preserve">increase the information </w:t>
      </w:r>
      <w:r w:rsidR="00F315F8" w:rsidRPr="00954547">
        <w:rPr>
          <w:lang w:val="en-US"/>
        </w:rPr>
        <w:t xml:space="preserve">on their rights available to women </w:t>
      </w:r>
      <w:r w:rsidR="00CC21CD" w:rsidRPr="00954547">
        <w:rPr>
          <w:lang w:val="en-US"/>
        </w:rPr>
        <w:t xml:space="preserve">at the local level through the Municipal Committees </w:t>
      </w:r>
      <w:r w:rsidR="003D7A2F" w:rsidRPr="00954547">
        <w:rPr>
          <w:lang w:val="en-US"/>
        </w:rPr>
        <w:t xml:space="preserve">for the </w:t>
      </w:r>
      <w:r w:rsidR="00CC21CD" w:rsidRPr="00954547">
        <w:rPr>
          <w:lang w:val="en-US"/>
        </w:rPr>
        <w:t>Prevention Of Violence</w:t>
      </w:r>
      <w:r w:rsidR="003D7A2F" w:rsidRPr="00954547">
        <w:rPr>
          <w:lang w:val="en-US"/>
        </w:rPr>
        <w:t xml:space="preserve">, mobile </w:t>
      </w:r>
      <w:r w:rsidR="00C10269" w:rsidRPr="00954547">
        <w:rPr>
          <w:lang w:val="en-US"/>
        </w:rPr>
        <w:t xml:space="preserve">information units, </w:t>
      </w:r>
      <w:r w:rsidR="003D7A2F" w:rsidRPr="00954547">
        <w:rPr>
          <w:lang w:val="en-US"/>
        </w:rPr>
        <w:t>awareness-raising campaigns, advisory co</w:t>
      </w:r>
      <w:r w:rsidR="00F315F8" w:rsidRPr="00954547">
        <w:rPr>
          <w:lang w:val="en-US"/>
        </w:rPr>
        <w:t>mmittee</w:t>
      </w:r>
      <w:r w:rsidR="003D7A2F" w:rsidRPr="00954547">
        <w:rPr>
          <w:lang w:val="en-US"/>
        </w:rPr>
        <w:t xml:space="preserve">s, and </w:t>
      </w:r>
      <w:r w:rsidR="00C10269" w:rsidRPr="00954547">
        <w:rPr>
          <w:lang w:val="en-US"/>
        </w:rPr>
        <w:t>the Social Comptroller’s Office.</w:t>
      </w:r>
      <w:r w:rsidR="00624C6B" w:rsidRPr="00954547">
        <w:rPr>
          <w:lang w:val="en-US"/>
        </w:rPr>
        <w:t xml:space="preserve"> Also, </w:t>
      </w:r>
      <w:r w:rsidR="00F315F8" w:rsidRPr="00954547">
        <w:rPr>
          <w:lang w:val="en-US"/>
        </w:rPr>
        <w:t>by</w:t>
      </w:r>
      <w:r w:rsidR="00624C6B" w:rsidRPr="00954547">
        <w:rPr>
          <w:lang w:val="en-US"/>
        </w:rPr>
        <w:t xml:space="preserve"> the elaboration of municipal plans for equality and prevention of violence against women, and the National Intersectoral Strategy to Prevent Child and Adolescent Pregnancies.</w:t>
      </w:r>
      <w:r w:rsidR="00740099" w:rsidRPr="00954547">
        <w:rPr>
          <w:lang w:val="en-US"/>
        </w:rPr>
        <w:t xml:space="preserve">” </w:t>
      </w:r>
    </w:p>
    <w:p w14:paraId="17246724" w14:textId="08CA7E4E" w:rsidR="004C28D7" w:rsidRPr="00954547" w:rsidRDefault="00624C6B" w:rsidP="00FA0F22">
      <w:pPr>
        <w:pStyle w:val="Numberedparagraphs"/>
        <w:tabs>
          <w:tab w:val="clear" w:pos="720"/>
          <w:tab w:val="left" w:pos="567"/>
        </w:tabs>
        <w:rPr>
          <w:lang w:val="en-US"/>
        </w:rPr>
      </w:pPr>
      <w:bookmarkStart w:id="157" w:name="_Ref86673513"/>
      <w:r w:rsidRPr="00954547">
        <w:rPr>
          <w:lang w:val="en-US"/>
        </w:rPr>
        <w:t xml:space="preserve">The Court appreciates the efforts made by the State to provide training </w:t>
      </w:r>
      <w:r w:rsidR="00F315F8" w:rsidRPr="00954547">
        <w:rPr>
          <w:lang w:val="en-US"/>
        </w:rPr>
        <w:t>in this regard</w:t>
      </w:r>
      <w:r w:rsidRPr="00954547">
        <w:rPr>
          <w:lang w:val="en-US"/>
        </w:rPr>
        <w:t xml:space="preserve">. However, it </w:t>
      </w:r>
      <w:r w:rsidR="00F315F8" w:rsidRPr="00954547">
        <w:rPr>
          <w:lang w:val="en-US"/>
        </w:rPr>
        <w:t>finds</w:t>
      </w:r>
      <w:r w:rsidRPr="00954547">
        <w:rPr>
          <w:lang w:val="en-US"/>
        </w:rPr>
        <w:t xml:space="preserve"> it pertinent to order that, within two years, the State design and implement, within the school curriculum,</w:t>
      </w:r>
      <w:r w:rsidR="00FA0F22" w:rsidRPr="00954547">
        <w:rPr>
          <w:lang w:val="en-US"/>
        </w:rPr>
        <w:t xml:space="preserve"> special content </w:t>
      </w:r>
      <w:r w:rsidR="00FA040B" w:rsidRPr="00954547">
        <w:rPr>
          <w:lang w:val="en-US"/>
        </w:rPr>
        <w:t>“</w:t>
      </w:r>
      <w:r w:rsidR="00FA0F22" w:rsidRPr="00954547">
        <w:rPr>
          <w:lang w:val="en-US"/>
        </w:rPr>
        <w:t>on sexuality and reproduction that is comprehensive, non-discriminatory, evidence-based</w:t>
      </w:r>
      <w:r w:rsidR="00FA040B" w:rsidRPr="00954547">
        <w:rPr>
          <w:lang w:val="en-US"/>
        </w:rPr>
        <w:t>,</w:t>
      </w:r>
      <w:r w:rsidR="00FA0F22" w:rsidRPr="00954547">
        <w:rPr>
          <w:lang w:val="en-US"/>
        </w:rPr>
        <w:t xml:space="preserve"> scientifically </w:t>
      </w:r>
      <w:r w:rsidR="00FA040B" w:rsidRPr="00954547">
        <w:rPr>
          <w:lang w:val="en-US"/>
        </w:rPr>
        <w:t>accurate and</w:t>
      </w:r>
      <w:r w:rsidR="00FA0F22" w:rsidRPr="00954547">
        <w:rPr>
          <w:lang w:val="en-US"/>
        </w:rPr>
        <w:t xml:space="preserve"> age-appropriate,</w:t>
      </w:r>
      <w:r w:rsidR="00FA040B" w:rsidRPr="00954547">
        <w:rPr>
          <w:lang w:val="en-US"/>
        </w:rPr>
        <w:t xml:space="preserve"> [... and] that take[s] into account the evolving capacities of children and adolescents.”</w:t>
      </w:r>
      <w:r w:rsidR="004C28D7" w:rsidRPr="00954547">
        <w:rPr>
          <w:rStyle w:val="FootnoteReference"/>
          <w:lang w:val="en-US"/>
        </w:rPr>
        <w:footnoteReference w:id="452"/>
      </w:r>
      <w:r w:rsidR="00FA0F22" w:rsidRPr="00954547">
        <w:rPr>
          <w:lang w:val="en-US"/>
        </w:rPr>
        <w:t xml:space="preserve"> During the first year after </w:t>
      </w:r>
      <w:bookmarkEnd w:id="157"/>
      <w:r w:rsidR="00A94F95" w:rsidRPr="00954547">
        <w:rPr>
          <w:lang w:val="en-US"/>
        </w:rPr>
        <w:t>notification</w:t>
      </w:r>
      <w:r w:rsidR="00555414" w:rsidRPr="00954547">
        <w:rPr>
          <w:lang w:val="en-US"/>
        </w:rPr>
        <w:t xml:space="preserve"> </w:t>
      </w:r>
      <w:r w:rsidR="004B6621" w:rsidRPr="00954547">
        <w:rPr>
          <w:lang w:val="en-US"/>
        </w:rPr>
        <w:t>of this judgment</w:t>
      </w:r>
      <w:r w:rsidR="00555414" w:rsidRPr="00954547">
        <w:rPr>
          <w:lang w:val="en-US"/>
        </w:rPr>
        <w:t xml:space="preserve">, </w:t>
      </w:r>
      <w:r w:rsidR="00B8393C" w:rsidRPr="00954547">
        <w:rPr>
          <w:lang w:val="en-US"/>
        </w:rPr>
        <w:t>the State</w:t>
      </w:r>
      <w:r w:rsidR="00FA0F22" w:rsidRPr="00954547">
        <w:rPr>
          <w:lang w:val="en-US"/>
        </w:rPr>
        <w:t xml:space="preserve"> must report on the progress made in the design and implementation of this measure.</w:t>
      </w:r>
    </w:p>
    <w:p w14:paraId="2022148F" w14:textId="262575FF" w:rsidR="00914668" w:rsidRPr="00954547" w:rsidRDefault="00914668" w:rsidP="00FD6CE9">
      <w:pPr>
        <w:pStyle w:val="Heading3"/>
        <w:tabs>
          <w:tab w:val="left" w:pos="567"/>
        </w:tabs>
        <w:jc w:val="both"/>
      </w:pPr>
      <w:bookmarkStart w:id="158" w:name="_Toc106353943"/>
      <w:r w:rsidRPr="00954547">
        <w:t xml:space="preserve">D.6 </w:t>
      </w:r>
      <w:r w:rsidRPr="00954547">
        <w:tab/>
      </w:r>
      <w:r w:rsidR="006C1D51" w:rsidRPr="00954547">
        <w:t>Attention in cases of</w:t>
      </w:r>
      <w:r w:rsidRPr="00954547">
        <w:t xml:space="preserve"> </w:t>
      </w:r>
      <w:r w:rsidR="009E6B43" w:rsidRPr="00954547">
        <w:t>obstetric emergencies</w:t>
      </w:r>
      <w:bookmarkEnd w:id="158"/>
      <w:r w:rsidRPr="00954547">
        <w:t xml:space="preserve"> </w:t>
      </w:r>
    </w:p>
    <w:p w14:paraId="00762302" w14:textId="1A7585E3" w:rsidR="00914668" w:rsidRPr="00954547" w:rsidRDefault="00E76B1A" w:rsidP="00914668">
      <w:pPr>
        <w:pStyle w:val="Numberedparagraphs"/>
        <w:rPr>
          <w:rFonts w:eastAsiaTheme="minorHAnsi"/>
          <w:lang w:val="en-US"/>
        </w:rPr>
      </w:pPr>
      <w:r w:rsidRPr="00954547">
        <w:rPr>
          <w:lang w:val="en-US"/>
        </w:rPr>
        <w:t xml:space="preserve">The </w:t>
      </w:r>
      <w:r w:rsidRPr="00954547">
        <w:rPr>
          <w:b/>
          <w:bCs/>
          <w:i/>
          <w:iCs/>
          <w:lang w:val="en-US"/>
        </w:rPr>
        <w:t>Commission</w:t>
      </w:r>
      <w:r w:rsidR="00914668" w:rsidRPr="00954547">
        <w:rPr>
          <w:b/>
          <w:bCs/>
          <w:i/>
          <w:iCs/>
          <w:lang w:val="en-US"/>
        </w:rPr>
        <w:t xml:space="preserve"> </w:t>
      </w:r>
      <w:r w:rsidR="00914668" w:rsidRPr="00954547">
        <w:rPr>
          <w:lang w:val="en-US"/>
        </w:rPr>
        <w:t>recom</w:t>
      </w:r>
      <w:r w:rsidR="00FA0F22" w:rsidRPr="00954547">
        <w:rPr>
          <w:lang w:val="en-US"/>
        </w:rPr>
        <w:t>mended</w:t>
      </w:r>
      <w:r w:rsidR="00914668" w:rsidRPr="00954547">
        <w:rPr>
          <w:lang w:val="en-US"/>
        </w:rPr>
        <w:t xml:space="preserve"> “re</w:t>
      </w:r>
      <w:r w:rsidR="00FA0F22" w:rsidRPr="00954547">
        <w:rPr>
          <w:lang w:val="en-US"/>
        </w:rPr>
        <w:t>vi</w:t>
      </w:r>
      <w:r w:rsidR="00FA040B" w:rsidRPr="00954547">
        <w:rPr>
          <w:lang w:val="en-US"/>
        </w:rPr>
        <w:t>ew</w:t>
      </w:r>
      <w:r w:rsidR="00FA0F22" w:rsidRPr="00954547">
        <w:rPr>
          <w:lang w:val="en-US"/>
        </w:rPr>
        <w:t xml:space="preserve"> and adapt discriminatory institutional practices within the […] health sector.</w:t>
      </w:r>
      <w:r w:rsidR="00914668" w:rsidRPr="00954547">
        <w:rPr>
          <w:lang w:val="en-US"/>
        </w:rPr>
        <w:t xml:space="preserve">” </w:t>
      </w:r>
      <w:r w:rsidR="00B8393C" w:rsidRPr="00954547">
        <w:rPr>
          <w:lang w:val="en-US"/>
        </w:rPr>
        <w:t xml:space="preserve">The </w:t>
      </w:r>
      <w:r w:rsidR="006E0D5E" w:rsidRPr="00954547">
        <w:rPr>
          <w:b/>
          <w:bCs/>
          <w:i/>
          <w:iCs/>
          <w:lang w:val="en-US"/>
        </w:rPr>
        <w:t>representative</w:t>
      </w:r>
      <w:r w:rsidR="006E0D5E" w:rsidRPr="00954547">
        <w:rPr>
          <w:lang w:val="en-US"/>
        </w:rPr>
        <w:t>s</w:t>
      </w:r>
      <w:r w:rsidR="00914668" w:rsidRPr="00954547">
        <w:rPr>
          <w:lang w:val="en-US"/>
        </w:rPr>
        <w:t xml:space="preserve"> </w:t>
      </w:r>
      <w:r w:rsidR="000C5B86" w:rsidRPr="00954547">
        <w:rPr>
          <w:lang w:val="en-US"/>
        </w:rPr>
        <w:t>asked that the State</w:t>
      </w:r>
      <w:r w:rsidR="00914668" w:rsidRPr="00954547">
        <w:rPr>
          <w:lang w:val="en-US"/>
        </w:rPr>
        <w:t xml:space="preserve"> “</w:t>
      </w:r>
      <w:r w:rsidR="000C5B86" w:rsidRPr="00954547">
        <w:rPr>
          <w:lang w:val="en-US"/>
        </w:rPr>
        <w:t xml:space="preserve">adopt health protocols that ensure comprehensive health care (including for </w:t>
      </w:r>
      <w:r w:rsidR="00674DA3" w:rsidRPr="00954547">
        <w:rPr>
          <w:lang w:val="en-US"/>
        </w:rPr>
        <w:t>sexual and reproductive health</w:t>
      </w:r>
      <w:r w:rsidR="00914668" w:rsidRPr="00954547">
        <w:rPr>
          <w:lang w:val="en-US"/>
        </w:rPr>
        <w:t xml:space="preserve">) </w:t>
      </w:r>
      <w:r w:rsidR="00946514" w:rsidRPr="00954547">
        <w:rPr>
          <w:lang w:val="en-US"/>
        </w:rPr>
        <w:t>for</w:t>
      </w:r>
      <w:r w:rsidR="000C5B86" w:rsidRPr="00954547">
        <w:rPr>
          <w:lang w:val="en-US"/>
        </w:rPr>
        <w:t xml:space="preserve"> girls and women </w:t>
      </w:r>
      <w:r w:rsidR="00015F7C" w:rsidRPr="00954547">
        <w:rPr>
          <w:lang w:val="en-US"/>
        </w:rPr>
        <w:t>in El Salvador</w:t>
      </w:r>
      <w:r w:rsidR="00914668" w:rsidRPr="00954547">
        <w:rPr>
          <w:lang w:val="en-US"/>
        </w:rPr>
        <w:t xml:space="preserve">, </w:t>
      </w:r>
      <w:r w:rsidR="000C5B86" w:rsidRPr="00954547">
        <w:rPr>
          <w:lang w:val="en-US"/>
        </w:rPr>
        <w:t>in keeping with the highest international human rights standards.”</w:t>
      </w:r>
    </w:p>
    <w:p w14:paraId="7B801CF2" w14:textId="7C933D95" w:rsidR="0065593D" w:rsidRPr="00954547" w:rsidRDefault="000C5B86" w:rsidP="000C5B86">
      <w:pPr>
        <w:pStyle w:val="Numberedparagraphs"/>
        <w:rPr>
          <w:rFonts w:eastAsiaTheme="minorHAnsi"/>
          <w:lang w:val="en-US"/>
        </w:rPr>
      </w:pPr>
      <w:bookmarkStart w:id="159" w:name="_Ref86674344"/>
      <w:r w:rsidRPr="00954547">
        <w:rPr>
          <w:lang w:val="en-US"/>
        </w:rPr>
        <w:t xml:space="preserve">The Court notes that </w:t>
      </w:r>
      <w:r w:rsidR="00B8393C" w:rsidRPr="00954547">
        <w:rPr>
          <w:lang w:val="en-US"/>
        </w:rPr>
        <w:t>the State</w:t>
      </w:r>
      <w:r w:rsidR="00746D89" w:rsidRPr="00954547">
        <w:rPr>
          <w:lang w:val="en-US"/>
        </w:rPr>
        <w:t xml:space="preserve"> </w:t>
      </w:r>
      <w:r w:rsidRPr="00954547">
        <w:rPr>
          <w:lang w:val="en-US"/>
        </w:rPr>
        <w:t xml:space="preserve">possesses various </w:t>
      </w:r>
      <w:r w:rsidR="00946514" w:rsidRPr="00954547">
        <w:rPr>
          <w:lang w:val="en-US"/>
        </w:rPr>
        <w:t xml:space="preserve">Ministry of Health </w:t>
      </w:r>
      <w:r w:rsidRPr="00954547">
        <w:rPr>
          <w:lang w:val="en-US"/>
        </w:rPr>
        <w:t>manuals and guidelines concerning obstetric care.</w:t>
      </w:r>
      <w:r w:rsidR="00746D89" w:rsidRPr="00954547">
        <w:rPr>
          <w:rStyle w:val="FootnoteReference"/>
          <w:lang w:val="en-US" w:eastAsia="es-MX"/>
        </w:rPr>
        <w:footnoteReference w:id="453"/>
      </w:r>
      <w:r w:rsidRPr="00954547">
        <w:rPr>
          <w:lang w:val="en-US" w:eastAsia="es-MX"/>
        </w:rPr>
        <w:t xml:space="preserve"> However, it </w:t>
      </w:r>
      <w:r w:rsidR="00946514" w:rsidRPr="00954547">
        <w:rPr>
          <w:lang w:val="en-US" w:eastAsia="es-MX"/>
        </w:rPr>
        <w:t>finds it necessary</w:t>
      </w:r>
      <w:r w:rsidRPr="00954547">
        <w:rPr>
          <w:lang w:val="en-US" w:eastAsia="es-MX"/>
        </w:rPr>
        <w:t xml:space="preserve"> </w:t>
      </w:r>
      <w:r w:rsidR="00946514" w:rsidRPr="00954547">
        <w:rPr>
          <w:lang w:val="en-US" w:eastAsia="es-MX"/>
        </w:rPr>
        <w:t xml:space="preserve">to </w:t>
      </w:r>
      <w:r w:rsidRPr="00954547">
        <w:rPr>
          <w:lang w:val="en-US" w:eastAsia="es-MX"/>
        </w:rPr>
        <w:t>order the State to take</w:t>
      </w:r>
      <w:r w:rsidR="00946514" w:rsidRPr="00954547">
        <w:rPr>
          <w:lang w:val="en-US" w:eastAsia="es-MX"/>
        </w:rPr>
        <w:t xml:space="preserve"> forthwith</w:t>
      </w:r>
      <w:r w:rsidRPr="00954547">
        <w:rPr>
          <w:lang w:val="en-US" w:eastAsia="es-MX"/>
        </w:rPr>
        <w:t xml:space="preserve"> the </w:t>
      </w:r>
      <w:r w:rsidR="00946514" w:rsidRPr="00954547">
        <w:rPr>
          <w:lang w:val="en-US" w:eastAsia="es-MX"/>
        </w:rPr>
        <w:t>measures required</w:t>
      </w:r>
      <w:r w:rsidRPr="00954547">
        <w:rPr>
          <w:lang w:val="en-US" w:eastAsia="es-MX"/>
        </w:rPr>
        <w:t xml:space="preserve"> to ensure comprehensive medical attention for women who suffer</w:t>
      </w:r>
      <w:r w:rsidRPr="00954547">
        <w:rPr>
          <w:rFonts w:eastAsiaTheme="minorHAnsi"/>
          <w:lang w:val="en-US"/>
        </w:rPr>
        <w:t xml:space="preserve"> </w:t>
      </w:r>
      <w:r w:rsidR="009E6B43" w:rsidRPr="00954547">
        <w:rPr>
          <w:lang w:val="en-US"/>
        </w:rPr>
        <w:t>obstetric emergencies</w:t>
      </w:r>
      <w:r w:rsidR="00A97904" w:rsidRPr="00954547">
        <w:rPr>
          <w:lang w:val="en-US"/>
        </w:rPr>
        <w:t>.</w:t>
      </w:r>
      <w:r w:rsidR="0065593D" w:rsidRPr="00954547">
        <w:rPr>
          <w:lang w:val="en-US" w:eastAsia="es-MX"/>
        </w:rPr>
        <w:t xml:space="preserve"> </w:t>
      </w:r>
      <w:r w:rsidR="00E76B1A" w:rsidRPr="00954547">
        <w:rPr>
          <w:lang w:val="en-US" w:eastAsia="es-MX"/>
        </w:rPr>
        <w:t>The Court</w:t>
      </w:r>
      <w:r w:rsidR="006E4522" w:rsidRPr="00954547">
        <w:rPr>
          <w:lang w:val="en-US" w:eastAsia="es-MX"/>
        </w:rPr>
        <w:t xml:space="preserve"> </w:t>
      </w:r>
      <w:r w:rsidRPr="00954547">
        <w:rPr>
          <w:lang w:val="en-US" w:eastAsia="es-MX"/>
        </w:rPr>
        <w:t>will monitor compliance with this measure for three years.</w:t>
      </w:r>
    </w:p>
    <w:p w14:paraId="0A71A9EB" w14:textId="2D2F547F" w:rsidR="001C5180" w:rsidRPr="00954547" w:rsidRDefault="00D30512" w:rsidP="000365EC">
      <w:pPr>
        <w:pStyle w:val="Heading2"/>
        <w:numPr>
          <w:ilvl w:val="0"/>
          <w:numId w:val="18"/>
        </w:numPr>
        <w:tabs>
          <w:tab w:val="clear" w:pos="1134"/>
          <w:tab w:val="left" w:pos="567"/>
        </w:tabs>
        <w:autoSpaceDE w:val="0"/>
        <w:autoSpaceDN w:val="0"/>
        <w:adjustRightInd w:val="0"/>
        <w:ind w:left="1134" w:hanging="567"/>
        <w:jc w:val="both"/>
        <w:rPr>
          <w:lang w:val="en-US"/>
        </w:rPr>
      </w:pPr>
      <w:bookmarkStart w:id="160" w:name="_Toc106353944"/>
      <w:bookmarkEnd w:id="152"/>
      <w:bookmarkEnd w:id="159"/>
      <w:r w:rsidRPr="00954547">
        <w:rPr>
          <w:lang w:val="en-US"/>
        </w:rPr>
        <w:t>Compensation</w:t>
      </w:r>
      <w:bookmarkEnd w:id="131"/>
      <w:bookmarkEnd w:id="132"/>
      <w:bookmarkEnd w:id="150"/>
      <w:bookmarkEnd w:id="160"/>
    </w:p>
    <w:p w14:paraId="45905CBC" w14:textId="509D65A2" w:rsidR="001C5180" w:rsidRPr="00954547" w:rsidRDefault="00E76B1A" w:rsidP="00F64874">
      <w:pPr>
        <w:pStyle w:val="Numberedparagraphs"/>
        <w:tabs>
          <w:tab w:val="clear" w:pos="720"/>
          <w:tab w:val="left" w:pos="567"/>
        </w:tabs>
        <w:rPr>
          <w:lang w:val="en-US"/>
        </w:rPr>
      </w:pPr>
      <w:bookmarkStart w:id="161" w:name="_Toc74298485"/>
      <w:bookmarkStart w:id="162" w:name="_Toc192592"/>
      <w:bookmarkStart w:id="163" w:name="_Toc32394191"/>
      <w:bookmarkStart w:id="164" w:name="_Toc36823514"/>
      <w:bookmarkStart w:id="165" w:name="_Toc44332541"/>
      <w:r w:rsidRPr="00954547">
        <w:rPr>
          <w:lang w:val="en-US"/>
        </w:rPr>
        <w:t xml:space="preserve">The </w:t>
      </w:r>
      <w:r w:rsidRPr="00954547">
        <w:rPr>
          <w:b/>
          <w:bCs/>
          <w:i/>
          <w:iCs/>
          <w:lang w:val="en-US"/>
        </w:rPr>
        <w:t>Commission</w:t>
      </w:r>
      <w:r w:rsidR="001C5180" w:rsidRPr="00954547">
        <w:rPr>
          <w:lang w:val="en-US"/>
        </w:rPr>
        <w:t xml:space="preserve"> </w:t>
      </w:r>
      <w:r w:rsidR="000C5B86" w:rsidRPr="00954547">
        <w:rPr>
          <w:lang w:val="en-US"/>
        </w:rPr>
        <w:t>indicated that</w:t>
      </w:r>
      <w:r w:rsidR="001C5180" w:rsidRPr="00954547">
        <w:rPr>
          <w:lang w:val="en-US"/>
        </w:rPr>
        <w:t xml:space="preserve"> </w:t>
      </w:r>
      <w:r w:rsidR="00B8393C" w:rsidRPr="00954547">
        <w:rPr>
          <w:lang w:val="en-US"/>
        </w:rPr>
        <w:t>the State</w:t>
      </w:r>
      <w:r w:rsidR="001C5180" w:rsidRPr="00954547">
        <w:rPr>
          <w:lang w:val="en-US"/>
        </w:rPr>
        <w:t xml:space="preserve"> </w:t>
      </w:r>
      <w:r w:rsidR="000C5B86" w:rsidRPr="00954547">
        <w:rPr>
          <w:lang w:val="en-US"/>
        </w:rPr>
        <w:t>should</w:t>
      </w:r>
      <w:r w:rsidR="001C5180" w:rsidRPr="00954547">
        <w:rPr>
          <w:lang w:val="en-US"/>
        </w:rPr>
        <w:t xml:space="preserve"> “</w:t>
      </w:r>
      <w:r w:rsidR="000C5B86" w:rsidRPr="00954547">
        <w:rPr>
          <w:lang w:val="en-US"/>
        </w:rPr>
        <w:t xml:space="preserve">adopt measures to provide financial compensation and satisfaction for the non-pecuniary damage. </w:t>
      </w:r>
      <w:r w:rsidR="00F64874" w:rsidRPr="00954547">
        <w:rPr>
          <w:lang w:val="en-US"/>
        </w:rPr>
        <w:t xml:space="preserve">Taking Manuela’s death into account, these measures should be implemented in favor of </w:t>
      </w:r>
      <w:r w:rsidR="00155644" w:rsidRPr="00954547">
        <w:rPr>
          <w:lang w:val="en-US"/>
        </w:rPr>
        <w:t>her family unit</w:t>
      </w:r>
      <w:r w:rsidR="00F64874" w:rsidRPr="00954547">
        <w:rPr>
          <w:lang w:val="en-US"/>
        </w:rPr>
        <w:t>.</w:t>
      </w:r>
      <w:r w:rsidR="001C5180" w:rsidRPr="00954547">
        <w:rPr>
          <w:lang w:val="en-US"/>
        </w:rPr>
        <w:t xml:space="preserve">” </w:t>
      </w:r>
    </w:p>
    <w:p w14:paraId="4E427342" w14:textId="570CB461" w:rsidR="001C5180" w:rsidRPr="00954547" w:rsidRDefault="001C5180" w:rsidP="00386B24">
      <w:pPr>
        <w:pStyle w:val="Heading3"/>
        <w:tabs>
          <w:tab w:val="left" w:pos="567"/>
        </w:tabs>
      </w:pPr>
      <w:bookmarkStart w:id="166" w:name="_Toc106353945"/>
      <w:r w:rsidRPr="00954547">
        <w:t xml:space="preserve">E.1 </w:t>
      </w:r>
      <w:r w:rsidR="00D30512" w:rsidRPr="00954547">
        <w:t>Pecuniary damage</w:t>
      </w:r>
      <w:bookmarkEnd w:id="161"/>
      <w:bookmarkEnd w:id="166"/>
    </w:p>
    <w:p w14:paraId="3162EDC3" w14:textId="7605A2F8" w:rsidR="00D465AE" w:rsidRPr="00954547" w:rsidRDefault="00B8393C" w:rsidP="00DF1E10">
      <w:pPr>
        <w:pStyle w:val="Numberedparagraphs"/>
        <w:tabs>
          <w:tab w:val="clear" w:pos="720"/>
          <w:tab w:val="left" w:pos="567"/>
        </w:tabs>
        <w:rPr>
          <w:lang w:val="en-US"/>
        </w:rPr>
      </w:pPr>
      <w:r w:rsidRPr="00954547">
        <w:rPr>
          <w:lang w:val="en-US"/>
        </w:rPr>
        <w:t xml:space="preserve">The </w:t>
      </w:r>
      <w:r w:rsidR="006E0D5E" w:rsidRPr="00954547">
        <w:rPr>
          <w:b/>
          <w:bCs/>
          <w:i/>
          <w:iCs/>
          <w:lang w:val="en-US"/>
        </w:rPr>
        <w:t>representatives</w:t>
      </w:r>
      <w:r w:rsidR="00D465AE" w:rsidRPr="00954547">
        <w:rPr>
          <w:b/>
          <w:bCs/>
          <w:i/>
          <w:iCs/>
          <w:lang w:val="en-US"/>
        </w:rPr>
        <w:t xml:space="preserve"> </w:t>
      </w:r>
      <w:r w:rsidR="00F64874" w:rsidRPr="00954547">
        <w:rPr>
          <w:lang w:val="en-US"/>
        </w:rPr>
        <w:t>asked</w:t>
      </w:r>
      <w:r w:rsidR="00D465AE" w:rsidRPr="00954547">
        <w:rPr>
          <w:lang w:val="en-US"/>
        </w:rPr>
        <w:t xml:space="preserve"> </w:t>
      </w:r>
      <w:r w:rsidR="00E76B1A" w:rsidRPr="00954547">
        <w:rPr>
          <w:lang w:val="en-US"/>
        </w:rPr>
        <w:t>the Court</w:t>
      </w:r>
      <w:r w:rsidR="00D465AE" w:rsidRPr="00954547">
        <w:rPr>
          <w:lang w:val="en-US"/>
        </w:rPr>
        <w:t xml:space="preserve"> </w:t>
      </w:r>
      <w:r w:rsidR="00F64874" w:rsidRPr="00954547">
        <w:rPr>
          <w:lang w:val="en-US"/>
        </w:rPr>
        <w:t>to establish the sum of US$200,000</w:t>
      </w:r>
      <w:r w:rsidR="00C47598" w:rsidRPr="00954547">
        <w:rPr>
          <w:lang w:val="en-US"/>
        </w:rPr>
        <w:t>.00</w:t>
      </w:r>
      <w:r w:rsidR="00F64874" w:rsidRPr="00954547">
        <w:rPr>
          <w:lang w:val="en-US"/>
        </w:rPr>
        <w:t xml:space="preserve"> as </w:t>
      </w:r>
      <w:r w:rsidR="00397B5B" w:rsidRPr="00954547">
        <w:rPr>
          <w:lang w:val="en-US"/>
        </w:rPr>
        <w:t>consequential damage</w:t>
      </w:r>
      <w:r w:rsidR="00F64874" w:rsidRPr="00954547">
        <w:rPr>
          <w:lang w:val="en-US"/>
        </w:rPr>
        <w:t xml:space="preserve">, to be distributed among the members of Manuela’s family, arguing that the Court should take into account: (i) the elevated cost of </w:t>
      </w:r>
      <w:r w:rsidR="00D87204" w:rsidRPr="00954547">
        <w:rPr>
          <w:lang w:val="en-US"/>
        </w:rPr>
        <w:t xml:space="preserve">the </w:t>
      </w:r>
      <w:r w:rsidR="00F64874" w:rsidRPr="00954547">
        <w:rPr>
          <w:lang w:val="en-US"/>
        </w:rPr>
        <w:t xml:space="preserve">transportation, board and lodging </w:t>
      </w:r>
      <w:r w:rsidR="00D87204" w:rsidRPr="00954547">
        <w:rPr>
          <w:lang w:val="en-US"/>
        </w:rPr>
        <w:t xml:space="preserve">for the family members to </w:t>
      </w:r>
      <w:r w:rsidR="00F64874" w:rsidRPr="00954547">
        <w:rPr>
          <w:lang w:val="en-US"/>
        </w:rPr>
        <w:t xml:space="preserve">visit her in the hospital and, subsequently, in prison; (ii) the expenses </w:t>
      </w:r>
      <w:r w:rsidR="00DF1E10" w:rsidRPr="00954547">
        <w:rPr>
          <w:lang w:val="en-US"/>
        </w:rPr>
        <w:t>relating to Manuela’s burial; (iii) the fact that the family members had actively sought to obtain justice and to establish the truth of what happened, which mean</w:t>
      </w:r>
      <w:r w:rsidR="00D87204" w:rsidRPr="00954547">
        <w:rPr>
          <w:lang w:val="en-US"/>
        </w:rPr>
        <w:t>t</w:t>
      </w:r>
      <w:r w:rsidR="00DF1E10" w:rsidRPr="00954547">
        <w:rPr>
          <w:lang w:val="en-US"/>
        </w:rPr>
        <w:t xml:space="preserve"> that they had to abandon their daily occupations. The representatives indicated that, </w:t>
      </w:r>
      <w:r w:rsidR="00D87204" w:rsidRPr="00954547">
        <w:rPr>
          <w:lang w:val="en-US"/>
        </w:rPr>
        <w:t>given that</w:t>
      </w:r>
      <w:r w:rsidR="00DF1E10" w:rsidRPr="00954547">
        <w:rPr>
          <w:lang w:val="en-US"/>
        </w:rPr>
        <w:t xml:space="preserve"> nine years ha</w:t>
      </w:r>
      <w:r w:rsidR="00D87204" w:rsidRPr="00954547">
        <w:rPr>
          <w:lang w:val="en-US"/>
        </w:rPr>
        <w:t>d</w:t>
      </w:r>
      <w:r w:rsidR="00DF1E10" w:rsidRPr="00954547">
        <w:rPr>
          <w:lang w:val="en-US"/>
        </w:rPr>
        <w:t xml:space="preserve"> passed since the events occurred, the family d</w:t>
      </w:r>
      <w:r w:rsidR="00D87204" w:rsidRPr="00954547">
        <w:rPr>
          <w:lang w:val="en-US"/>
        </w:rPr>
        <w:t>id</w:t>
      </w:r>
      <w:r w:rsidR="00DF1E10" w:rsidRPr="00954547">
        <w:rPr>
          <w:lang w:val="en-US"/>
        </w:rPr>
        <w:t xml:space="preserve"> not have the vouchers for such expenses; therefore, they asked the Court to establish an amount, based on equity. In the case of loss of earnings, they asked for “the payment of US$92,060.00 in </w:t>
      </w:r>
      <w:r w:rsidR="00D465AE" w:rsidRPr="00954547">
        <w:rPr>
          <w:lang w:val="en-US"/>
        </w:rPr>
        <w:t xml:space="preserve">favor </w:t>
      </w:r>
      <w:r w:rsidR="00BC7072" w:rsidRPr="00954547">
        <w:rPr>
          <w:lang w:val="en-US"/>
        </w:rPr>
        <w:t>of</w:t>
      </w:r>
      <w:r w:rsidR="00D87204" w:rsidRPr="00954547">
        <w:rPr>
          <w:lang w:val="en-US"/>
        </w:rPr>
        <w:t xml:space="preserve"> the members of</w:t>
      </w:r>
      <w:r w:rsidR="00BC7072" w:rsidRPr="00954547">
        <w:rPr>
          <w:lang w:val="en-US"/>
        </w:rPr>
        <w:t xml:space="preserve"> </w:t>
      </w:r>
      <w:r w:rsidR="00DF1E10" w:rsidRPr="00954547">
        <w:rPr>
          <w:lang w:val="en-US"/>
        </w:rPr>
        <w:t xml:space="preserve">Manuela’s </w:t>
      </w:r>
      <w:r w:rsidR="00BC7072" w:rsidRPr="00954547">
        <w:rPr>
          <w:lang w:val="en-US"/>
        </w:rPr>
        <w:t>family</w:t>
      </w:r>
      <w:r w:rsidR="00DF1E10" w:rsidRPr="00954547">
        <w:rPr>
          <w:lang w:val="en-US"/>
        </w:rPr>
        <w:t xml:space="preserve"> as a result of the loss of earnings corresponding to the life that Manuela would have had if she had not died for causes attributable </w:t>
      </w:r>
      <w:r w:rsidR="00A94F95" w:rsidRPr="00954547">
        <w:rPr>
          <w:lang w:val="en-US"/>
        </w:rPr>
        <w:t>to the State</w:t>
      </w:r>
      <w:r w:rsidR="00DF1E10" w:rsidRPr="00954547">
        <w:rPr>
          <w:lang w:val="en-US"/>
        </w:rPr>
        <w:t>.</w:t>
      </w:r>
      <w:r w:rsidR="00D465AE" w:rsidRPr="00954547">
        <w:rPr>
          <w:lang w:val="en-US"/>
        </w:rPr>
        <w:t>”</w:t>
      </w:r>
      <w:r w:rsidR="00DF1E10" w:rsidRPr="00954547">
        <w:rPr>
          <w:lang w:val="en-US"/>
        </w:rPr>
        <w:t xml:space="preserve"> To calculate this amount, they indicated that </w:t>
      </w:r>
      <w:r w:rsidR="00D465AE" w:rsidRPr="00954547">
        <w:rPr>
          <w:lang w:val="en-US"/>
        </w:rPr>
        <w:t>“</w:t>
      </w:r>
      <w:r w:rsidR="00397B5B" w:rsidRPr="00954547">
        <w:rPr>
          <w:lang w:val="en-US"/>
        </w:rPr>
        <w:t xml:space="preserve">life expectancy was </w:t>
      </w:r>
      <w:r w:rsidR="00D465AE" w:rsidRPr="00954547">
        <w:rPr>
          <w:lang w:val="en-US"/>
        </w:rPr>
        <w:t xml:space="preserve">71 </w:t>
      </w:r>
      <w:r w:rsidR="00397B5B" w:rsidRPr="00954547">
        <w:rPr>
          <w:lang w:val="en-US"/>
        </w:rPr>
        <w:t>years to</w:t>
      </w:r>
      <w:r w:rsidR="00D465AE" w:rsidRPr="00954547">
        <w:rPr>
          <w:lang w:val="en-US"/>
        </w:rPr>
        <w:t xml:space="preserve"> 2010”</w:t>
      </w:r>
      <w:r w:rsidR="0078694F" w:rsidRPr="00954547">
        <w:rPr>
          <w:lang w:val="en-US"/>
        </w:rPr>
        <w:t xml:space="preserve"> and </w:t>
      </w:r>
      <w:r w:rsidR="00397B5B" w:rsidRPr="00954547">
        <w:rPr>
          <w:lang w:val="en-US"/>
        </w:rPr>
        <w:t>the minimum wage was</w:t>
      </w:r>
      <w:r w:rsidR="00D465AE" w:rsidRPr="00954547">
        <w:rPr>
          <w:lang w:val="en-US"/>
        </w:rPr>
        <w:t xml:space="preserve"> “</w:t>
      </w:r>
      <w:r w:rsidR="00D30512" w:rsidRPr="00954547">
        <w:rPr>
          <w:lang w:val="en-US"/>
        </w:rPr>
        <w:t>US$</w:t>
      </w:r>
      <w:r w:rsidR="00D465AE" w:rsidRPr="00954547">
        <w:rPr>
          <w:lang w:val="en-US"/>
        </w:rPr>
        <w:t>224.81</w:t>
      </w:r>
      <w:r w:rsidR="00397B5B" w:rsidRPr="00954547">
        <w:rPr>
          <w:lang w:val="en-US"/>
        </w:rPr>
        <w:t>.</w:t>
      </w:r>
      <w:r w:rsidR="00D465AE" w:rsidRPr="00954547">
        <w:rPr>
          <w:lang w:val="en-US"/>
        </w:rPr>
        <w:t xml:space="preserve">” </w:t>
      </w:r>
    </w:p>
    <w:p w14:paraId="09C2D988" w14:textId="085669D4" w:rsidR="00972998" w:rsidRPr="00954547" w:rsidRDefault="00B8393C" w:rsidP="00BC180B">
      <w:pPr>
        <w:pStyle w:val="Numberedparagraphs"/>
        <w:rPr>
          <w:lang w:val="en-US"/>
        </w:rPr>
      </w:pPr>
      <w:r w:rsidRPr="00954547">
        <w:rPr>
          <w:lang w:val="en-US"/>
        </w:rPr>
        <w:t xml:space="preserve">The </w:t>
      </w:r>
      <w:r w:rsidRPr="00954547">
        <w:rPr>
          <w:b/>
          <w:bCs/>
          <w:i/>
          <w:iCs/>
          <w:lang w:val="en-US"/>
        </w:rPr>
        <w:t>State</w:t>
      </w:r>
      <w:r w:rsidR="00BC180B" w:rsidRPr="00954547">
        <w:rPr>
          <w:b/>
          <w:bCs/>
          <w:i/>
          <w:iCs/>
          <w:lang w:val="en-US"/>
        </w:rPr>
        <w:t xml:space="preserve"> </w:t>
      </w:r>
      <w:r w:rsidR="00DF1E10" w:rsidRPr="00954547">
        <w:rPr>
          <w:lang w:val="en-US"/>
        </w:rPr>
        <w:t>requested, with regard to the</w:t>
      </w:r>
      <w:r w:rsidR="00BC180B" w:rsidRPr="00954547">
        <w:rPr>
          <w:lang w:val="en-US"/>
        </w:rPr>
        <w:t xml:space="preserve"> </w:t>
      </w:r>
      <w:r w:rsidR="00397B5B" w:rsidRPr="00954547">
        <w:rPr>
          <w:lang w:val="en-US"/>
        </w:rPr>
        <w:t>consequential damage</w:t>
      </w:r>
      <w:r w:rsidR="00DF1E10" w:rsidRPr="00954547">
        <w:rPr>
          <w:lang w:val="en-US"/>
        </w:rPr>
        <w:t>:</w:t>
      </w:r>
      <w:r w:rsidR="00BC180B" w:rsidRPr="00954547">
        <w:rPr>
          <w:lang w:val="en-US"/>
        </w:rPr>
        <w:t xml:space="preserve"> </w:t>
      </w:r>
      <w:r w:rsidR="00DF1E10" w:rsidRPr="00954547">
        <w:rPr>
          <w:lang w:val="en-US"/>
        </w:rPr>
        <w:t>(</w:t>
      </w:r>
      <w:r w:rsidR="00BC180B" w:rsidRPr="00954547">
        <w:rPr>
          <w:lang w:val="en-US"/>
        </w:rPr>
        <w:t>1) “</w:t>
      </w:r>
      <w:r w:rsidR="00972998" w:rsidRPr="00954547">
        <w:rPr>
          <w:lang w:val="en-US"/>
        </w:rPr>
        <w:t xml:space="preserve">verification of the costs that may already be reflected for this concept in the </w:t>
      </w:r>
      <w:r w:rsidR="00D87204" w:rsidRPr="00954547">
        <w:rPr>
          <w:lang w:val="en-US"/>
        </w:rPr>
        <w:t>items</w:t>
      </w:r>
      <w:r w:rsidR="00972998" w:rsidRPr="00954547">
        <w:rPr>
          <w:lang w:val="en-US"/>
        </w:rPr>
        <w:t xml:space="preserve"> corresponding to costs and expenses,</w:t>
      </w:r>
      <w:r w:rsidR="00BC180B" w:rsidRPr="00954547">
        <w:rPr>
          <w:lang w:val="en-US"/>
        </w:rPr>
        <w:t>”</w:t>
      </w:r>
      <w:r w:rsidR="0078694F" w:rsidRPr="00954547">
        <w:rPr>
          <w:lang w:val="en-US"/>
        </w:rPr>
        <w:t xml:space="preserve"> and </w:t>
      </w:r>
      <w:r w:rsidR="00972998" w:rsidRPr="00954547">
        <w:rPr>
          <w:lang w:val="en-US"/>
        </w:rPr>
        <w:t>(</w:t>
      </w:r>
      <w:r w:rsidR="00BC180B" w:rsidRPr="00954547">
        <w:rPr>
          <w:lang w:val="en-US"/>
        </w:rPr>
        <w:t xml:space="preserve">2) </w:t>
      </w:r>
      <w:r w:rsidR="00972998" w:rsidRPr="00954547">
        <w:rPr>
          <w:lang w:val="en-US"/>
        </w:rPr>
        <w:t>that</w:t>
      </w:r>
      <w:r w:rsidR="00BC180B" w:rsidRPr="00954547">
        <w:rPr>
          <w:lang w:val="en-US"/>
        </w:rPr>
        <w:t xml:space="preserve"> “</w:t>
      </w:r>
      <w:r w:rsidR="00972998" w:rsidRPr="00954547">
        <w:rPr>
          <w:lang w:val="en-US"/>
        </w:rPr>
        <w:t>a reasonable amount should be assessed</w:t>
      </w:r>
      <w:r w:rsidR="00D87204" w:rsidRPr="00954547">
        <w:rPr>
          <w:lang w:val="en-US"/>
        </w:rPr>
        <w:t xml:space="preserve"> for compensation</w:t>
      </w:r>
      <w:r w:rsidR="00972998" w:rsidRPr="00954547">
        <w:rPr>
          <w:lang w:val="en-US"/>
        </w:rPr>
        <w:t>,” because “there was no relationship between the possible financial capacity of Manuela’s family and the costs incurred.” Regarding loss of earnings, the State indicated that “Manuela worked in subsistence agricultur</w:t>
      </w:r>
      <w:r w:rsidR="00C47598" w:rsidRPr="00954547">
        <w:rPr>
          <w:lang w:val="en-US"/>
        </w:rPr>
        <w:t>al</w:t>
      </w:r>
      <w:r w:rsidR="00972998" w:rsidRPr="00954547">
        <w:rPr>
          <w:lang w:val="en-US"/>
        </w:rPr>
        <w:t xml:space="preserve"> production and also in the informal sector and this did not guarantee a permanent income.” Therefore, the State argued that the measures of reparation should not be “appreciably disproportionate to the extent of the damage, or the </w:t>
      </w:r>
      <w:r w:rsidR="00DB2FDE" w:rsidRPr="00954547">
        <w:rPr>
          <w:lang w:val="en-US"/>
        </w:rPr>
        <w:t>nature of the act or omission that was attributed to it”; consequently, “when the measures requested are disproportionate, the result can only be that they are determined to be inadmissible, without this in any way affecting the duty to redress the harm caused.”</w:t>
      </w:r>
    </w:p>
    <w:p w14:paraId="2EF68154" w14:textId="06F69006" w:rsidR="001C5180" w:rsidRPr="00954547" w:rsidRDefault="00DB2FDE" w:rsidP="00386B24">
      <w:pPr>
        <w:pStyle w:val="Numberedparagraphs"/>
        <w:tabs>
          <w:tab w:val="clear" w:pos="720"/>
          <w:tab w:val="left" w:pos="567"/>
        </w:tabs>
        <w:rPr>
          <w:lang w:val="en-US"/>
        </w:rPr>
      </w:pPr>
      <w:r w:rsidRPr="00954547">
        <w:rPr>
          <w:lang w:val="en-US"/>
        </w:rPr>
        <w:t>In its case law, this Court has developed the concept that p</w:t>
      </w:r>
      <w:r w:rsidR="00D30512" w:rsidRPr="00954547">
        <w:rPr>
          <w:lang w:val="en-US"/>
        </w:rPr>
        <w:t>ecuniary damage</w:t>
      </w:r>
      <w:r w:rsidR="001C5180" w:rsidRPr="00954547">
        <w:rPr>
          <w:lang w:val="en-US"/>
        </w:rPr>
        <w:t xml:space="preserve"> sup</w:t>
      </w:r>
      <w:r w:rsidRPr="00954547">
        <w:rPr>
          <w:lang w:val="en-US"/>
        </w:rPr>
        <w:t>poses the loss of, or detriment to, the income of the victims, the expenses incurred owing to the facts, and the consequences of a pecuniary nature that have a causal nexus with the facts of the case.</w:t>
      </w:r>
      <w:r w:rsidR="001C5180" w:rsidRPr="00954547">
        <w:rPr>
          <w:rStyle w:val="FootnoteReference"/>
          <w:lang w:val="en-US"/>
        </w:rPr>
        <w:footnoteReference w:id="454"/>
      </w:r>
      <w:bookmarkStart w:id="167" w:name="_Ref525053004"/>
    </w:p>
    <w:p w14:paraId="27501485" w14:textId="1DF82CC0" w:rsidR="004C28D7" w:rsidRPr="00954547" w:rsidRDefault="00E76B1A" w:rsidP="005D6C07">
      <w:pPr>
        <w:pStyle w:val="Numberedparagraphs"/>
        <w:tabs>
          <w:tab w:val="clear" w:pos="720"/>
          <w:tab w:val="left" w:pos="567"/>
        </w:tabs>
        <w:rPr>
          <w:lang w:val="en-US"/>
        </w:rPr>
      </w:pPr>
      <w:bookmarkStart w:id="168" w:name="_Ref86683888"/>
      <w:bookmarkStart w:id="169" w:name="_Ref72330517"/>
      <w:bookmarkStart w:id="170" w:name="_Toc74298486"/>
      <w:bookmarkEnd w:id="167"/>
      <w:r w:rsidRPr="00954547">
        <w:rPr>
          <w:lang w:val="en-US"/>
        </w:rPr>
        <w:t>The Court</w:t>
      </w:r>
      <w:r w:rsidR="00DB2FDE" w:rsidRPr="00954547">
        <w:rPr>
          <w:lang w:val="en-US"/>
        </w:rPr>
        <w:t xml:space="preserve"> notes that, even though no expense vouchers were provided, it can be presumed that Manuela’s family incurred different expenses owing to </w:t>
      </w:r>
      <w:r w:rsidR="005D6C07" w:rsidRPr="00954547">
        <w:rPr>
          <w:lang w:val="en-US"/>
        </w:rPr>
        <w:t xml:space="preserve">the </w:t>
      </w:r>
      <w:r w:rsidR="00C47598" w:rsidRPr="00954547">
        <w:rPr>
          <w:lang w:val="en-US"/>
        </w:rPr>
        <w:t>her detention and</w:t>
      </w:r>
      <w:r w:rsidR="005D6C07" w:rsidRPr="00954547">
        <w:rPr>
          <w:lang w:val="en-US"/>
        </w:rPr>
        <w:t xml:space="preserve"> hospitalization, and the actions taken in the search for justice. Therefore, the Court finds it reasonable to establish the sum of </w:t>
      </w:r>
      <w:r w:rsidR="00D30512" w:rsidRPr="00954547">
        <w:rPr>
          <w:lang w:val="en-US"/>
        </w:rPr>
        <w:t>US$</w:t>
      </w:r>
      <w:r w:rsidR="004C28D7" w:rsidRPr="00954547">
        <w:rPr>
          <w:lang w:val="en-US"/>
        </w:rPr>
        <w:t>20</w:t>
      </w:r>
      <w:r w:rsidR="009A0FBE" w:rsidRPr="00954547">
        <w:rPr>
          <w:lang w:val="en-US"/>
        </w:rPr>
        <w:t>,000.00</w:t>
      </w:r>
      <w:r w:rsidR="004C28D7" w:rsidRPr="00954547">
        <w:rPr>
          <w:lang w:val="en-US"/>
        </w:rPr>
        <w:t xml:space="preserve"> (</w:t>
      </w:r>
      <w:r w:rsidR="00397B5B" w:rsidRPr="00954547">
        <w:rPr>
          <w:lang w:val="en-US"/>
        </w:rPr>
        <w:t>twenty thousand United States dollars</w:t>
      </w:r>
      <w:r w:rsidR="004C28D7" w:rsidRPr="00954547">
        <w:rPr>
          <w:lang w:val="en-US"/>
        </w:rPr>
        <w:t xml:space="preserve">), </w:t>
      </w:r>
      <w:r w:rsidR="005D6C07" w:rsidRPr="00954547">
        <w:rPr>
          <w:lang w:val="en-US"/>
        </w:rPr>
        <w:t xml:space="preserve">as compensation for </w:t>
      </w:r>
      <w:r w:rsidR="00397B5B" w:rsidRPr="00954547">
        <w:rPr>
          <w:lang w:val="en-US"/>
        </w:rPr>
        <w:t>consequential damage</w:t>
      </w:r>
      <w:r w:rsidR="004C28D7" w:rsidRPr="00954547">
        <w:rPr>
          <w:lang w:val="en-US"/>
        </w:rPr>
        <w:t xml:space="preserve">, </w:t>
      </w:r>
      <w:r w:rsidR="005D6C07" w:rsidRPr="00954547">
        <w:rPr>
          <w:lang w:val="en-US"/>
        </w:rPr>
        <w:t xml:space="preserve">and this must be delivered in equal parts to Manuela’s parents, with each one receiving </w:t>
      </w:r>
      <w:r w:rsidR="00D30512" w:rsidRPr="00954547">
        <w:rPr>
          <w:lang w:val="en-US"/>
        </w:rPr>
        <w:t>US$</w:t>
      </w:r>
      <w:r w:rsidR="004C28D7" w:rsidRPr="00954547">
        <w:rPr>
          <w:lang w:val="en-US"/>
        </w:rPr>
        <w:t>10</w:t>
      </w:r>
      <w:r w:rsidR="009A0FBE" w:rsidRPr="00954547">
        <w:rPr>
          <w:lang w:val="en-US"/>
        </w:rPr>
        <w:t>,000.00</w:t>
      </w:r>
      <w:r w:rsidR="004C28D7" w:rsidRPr="00954547">
        <w:rPr>
          <w:lang w:val="en-US"/>
        </w:rPr>
        <w:t xml:space="preserve"> (</w:t>
      </w:r>
      <w:r w:rsidR="00397B5B" w:rsidRPr="00954547">
        <w:rPr>
          <w:lang w:val="en-US"/>
        </w:rPr>
        <w:t>ten thousand United States dollars</w:t>
      </w:r>
      <w:r w:rsidR="004C28D7" w:rsidRPr="00954547">
        <w:rPr>
          <w:lang w:val="en-US"/>
        </w:rPr>
        <w:t>)</w:t>
      </w:r>
      <w:bookmarkEnd w:id="168"/>
      <w:r w:rsidR="00C47598" w:rsidRPr="00954547">
        <w:rPr>
          <w:lang w:val="en-US"/>
        </w:rPr>
        <w:t>.</w:t>
      </w:r>
    </w:p>
    <w:p w14:paraId="462FEF75" w14:textId="1D3BE7D3" w:rsidR="004C28D7" w:rsidRPr="00954547" w:rsidRDefault="005D6C07" w:rsidP="004C28D7">
      <w:pPr>
        <w:pStyle w:val="Numberedparagraphs"/>
        <w:tabs>
          <w:tab w:val="clear" w:pos="720"/>
          <w:tab w:val="left" w:pos="567"/>
        </w:tabs>
        <w:rPr>
          <w:lang w:val="en-US"/>
        </w:rPr>
      </w:pPr>
      <w:bookmarkStart w:id="171" w:name="_Ref86683889"/>
      <w:bookmarkEnd w:id="169"/>
      <w:r w:rsidRPr="00954547">
        <w:rPr>
          <w:lang w:val="en-US"/>
        </w:rPr>
        <w:t xml:space="preserve">In addition, since it has been determined that the </w:t>
      </w:r>
      <w:r w:rsidR="00C47598" w:rsidRPr="00954547">
        <w:rPr>
          <w:lang w:val="en-US"/>
        </w:rPr>
        <w:t>sentence</w:t>
      </w:r>
      <w:r w:rsidRPr="00954547">
        <w:rPr>
          <w:lang w:val="en-US"/>
        </w:rPr>
        <w:t xml:space="preserve"> and subsequent death of Manuela constituted violations of </w:t>
      </w:r>
      <w:r w:rsidR="005E0FD1" w:rsidRPr="00954547">
        <w:rPr>
          <w:lang w:val="en-US"/>
        </w:rPr>
        <w:t>the American Convention</w:t>
      </w:r>
      <w:r w:rsidR="00D465AE" w:rsidRPr="00954547">
        <w:rPr>
          <w:lang w:val="en-US"/>
        </w:rPr>
        <w:t xml:space="preserve">, </w:t>
      </w:r>
      <w:r w:rsidRPr="00954547">
        <w:rPr>
          <w:lang w:val="en-US"/>
        </w:rPr>
        <w:t>it is possible to apply the criteria concerning compensation for Manuela’s loss of earnings, which covers the earnings that she would have received during her probable life</w:t>
      </w:r>
      <w:r w:rsidR="00C47598" w:rsidRPr="00954547">
        <w:rPr>
          <w:lang w:val="en-US"/>
        </w:rPr>
        <w:t xml:space="preserve"> time</w:t>
      </w:r>
      <w:r w:rsidRPr="00954547">
        <w:rPr>
          <w:lang w:val="en-US"/>
        </w:rPr>
        <w:t xml:space="preserve">. Consequently, the Court finds it reasonable to establish the sum of </w:t>
      </w:r>
      <w:r w:rsidR="00D30512" w:rsidRPr="00954547">
        <w:rPr>
          <w:lang w:val="en-US"/>
        </w:rPr>
        <w:t>US$</w:t>
      </w:r>
      <w:r w:rsidR="00D465AE" w:rsidRPr="00954547">
        <w:rPr>
          <w:lang w:val="en-US"/>
        </w:rPr>
        <w:t>60</w:t>
      </w:r>
      <w:r w:rsidR="009A0FBE" w:rsidRPr="00954547">
        <w:rPr>
          <w:lang w:val="en-US"/>
        </w:rPr>
        <w:t>,000.00</w:t>
      </w:r>
      <w:r w:rsidR="00D465AE" w:rsidRPr="00954547">
        <w:rPr>
          <w:lang w:val="en-US"/>
        </w:rPr>
        <w:t xml:space="preserve"> (s</w:t>
      </w:r>
      <w:r w:rsidRPr="00954547">
        <w:rPr>
          <w:lang w:val="en-US"/>
        </w:rPr>
        <w:t>ixty</w:t>
      </w:r>
      <w:r w:rsidR="00D465AE" w:rsidRPr="00954547">
        <w:rPr>
          <w:lang w:val="en-US"/>
        </w:rPr>
        <w:t xml:space="preserve"> </w:t>
      </w:r>
      <w:r w:rsidR="009A0FBE" w:rsidRPr="00954547">
        <w:rPr>
          <w:lang w:val="en-US"/>
        </w:rPr>
        <w:t>thousand United States dollars</w:t>
      </w:r>
      <w:r w:rsidR="00D465AE" w:rsidRPr="00954547">
        <w:rPr>
          <w:lang w:val="en-US"/>
        </w:rPr>
        <w:t xml:space="preserve">), </w:t>
      </w:r>
      <w:r w:rsidRPr="00954547">
        <w:rPr>
          <w:lang w:val="en-US"/>
        </w:rPr>
        <w:t>as compensation for p</w:t>
      </w:r>
      <w:r w:rsidR="00D30512" w:rsidRPr="00954547">
        <w:rPr>
          <w:lang w:val="en-US"/>
        </w:rPr>
        <w:t>ecuniary damage</w:t>
      </w:r>
      <w:r w:rsidR="00D465AE" w:rsidRPr="00954547">
        <w:rPr>
          <w:lang w:val="en-US"/>
        </w:rPr>
        <w:t xml:space="preserve">, </w:t>
      </w:r>
      <w:r w:rsidR="0092414B" w:rsidRPr="00954547">
        <w:rPr>
          <w:lang w:val="en-US"/>
        </w:rPr>
        <w:t xml:space="preserve">which must be delivered to Manuela’s sons, with her elder son receiving </w:t>
      </w:r>
      <w:r w:rsidR="00D30512" w:rsidRPr="00954547">
        <w:rPr>
          <w:lang w:val="en-US"/>
        </w:rPr>
        <w:t>US$</w:t>
      </w:r>
      <w:r w:rsidR="00D465AE" w:rsidRPr="00954547">
        <w:rPr>
          <w:lang w:val="en-US"/>
        </w:rPr>
        <w:t>30</w:t>
      </w:r>
      <w:r w:rsidR="009A0FBE" w:rsidRPr="00954547">
        <w:rPr>
          <w:lang w:val="en-US"/>
        </w:rPr>
        <w:t>,000.00</w:t>
      </w:r>
      <w:r w:rsidR="00D465AE" w:rsidRPr="00954547">
        <w:rPr>
          <w:lang w:val="en-US"/>
        </w:rPr>
        <w:t xml:space="preserve"> (</w:t>
      </w:r>
      <w:r w:rsidR="00397B5B" w:rsidRPr="00954547">
        <w:rPr>
          <w:lang w:val="en-US"/>
        </w:rPr>
        <w:t>thirty thousand United States dollars</w:t>
      </w:r>
      <w:r w:rsidR="00D465AE" w:rsidRPr="00954547">
        <w:rPr>
          <w:lang w:val="en-US"/>
        </w:rPr>
        <w:t xml:space="preserve">) </w:t>
      </w:r>
      <w:r w:rsidR="0092414B" w:rsidRPr="00954547">
        <w:rPr>
          <w:lang w:val="en-US"/>
        </w:rPr>
        <w:t xml:space="preserve">and her younger son </w:t>
      </w:r>
      <w:r w:rsidR="00D465AE" w:rsidRPr="00954547">
        <w:rPr>
          <w:lang w:val="en-US"/>
        </w:rPr>
        <w:t xml:space="preserve"> </w:t>
      </w:r>
      <w:r w:rsidR="00D30512" w:rsidRPr="00954547">
        <w:rPr>
          <w:lang w:val="en-US"/>
        </w:rPr>
        <w:t>US$</w:t>
      </w:r>
      <w:r w:rsidR="00D465AE" w:rsidRPr="00954547">
        <w:rPr>
          <w:lang w:val="en-US"/>
        </w:rPr>
        <w:t>30</w:t>
      </w:r>
      <w:r w:rsidR="009A0FBE" w:rsidRPr="00954547">
        <w:rPr>
          <w:lang w:val="en-US"/>
        </w:rPr>
        <w:t>,000.00</w:t>
      </w:r>
      <w:r w:rsidR="00D465AE" w:rsidRPr="00954547">
        <w:rPr>
          <w:lang w:val="en-US"/>
        </w:rPr>
        <w:t xml:space="preserve"> (</w:t>
      </w:r>
      <w:r w:rsidR="00397B5B" w:rsidRPr="00954547">
        <w:rPr>
          <w:lang w:val="en-US"/>
        </w:rPr>
        <w:t>thirty thousand United States dollars</w:t>
      </w:r>
      <w:r w:rsidR="00D465AE" w:rsidRPr="00954547">
        <w:rPr>
          <w:lang w:val="en-US"/>
        </w:rPr>
        <w:t>)</w:t>
      </w:r>
      <w:bookmarkEnd w:id="171"/>
      <w:r w:rsidR="0092414B" w:rsidRPr="00954547">
        <w:rPr>
          <w:lang w:val="en-US"/>
        </w:rPr>
        <w:t>.</w:t>
      </w:r>
    </w:p>
    <w:p w14:paraId="51793F01" w14:textId="19979726" w:rsidR="001C5180" w:rsidRPr="00954547" w:rsidRDefault="005A7F49" w:rsidP="002369AF">
      <w:pPr>
        <w:pStyle w:val="Heading3"/>
      </w:pPr>
      <w:r w:rsidRPr="00954547">
        <w:tab/>
      </w:r>
      <w:bookmarkStart w:id="172" w:name="_Toc106353946"/>
      <w:r w:rsidR="001C5180" w:rsidRPr="00954547">
        <w:t xml:space="preserve">E.2 </w:t>
      </w:r>
      <w:r w:rsidR="00D30512" w:rsidRPr="00954547">
        <w:t>Non-pecuniary damage</w:t>
      </w:r>
      <w:bookmarkEnd w:id="170"/>
      <w:bookmarkEnd w:id="172"/>
    </w:p>
    <w:bookmarkEnd w:id="162"/>
    <w:bookmarkEnd w:id="163"/>
    <w:bookmarkEnd w:id="164"/>
    <w:bookmarkEnd w:id="165"/>
    <w:p w14:paraId="5907791F" w14:textId="7A4601DC" w:rsidR="001C5180" w:rsidRPr="00954547" w:rsidRDefault="00B8393C" w:rsidP="0092414B">
      <w:pPr>
        <w:pStyle w:val="Numberedparagraphs"/>
        <w:tabs>
          <w:tab w:val="clear" w:pos="720"/>
          <w:tab w:val="left" w:pos="567"/>
        </w:tabs>
        <w:rPr>
          <w:b/>
          <w:lang w:val="en-US"/>
        </w:rPr>
      </w:pPr>
      <w:r w:rsidRPr="00954547">
        <w:rPr>
          <w:lang w:val="en-US"/>
        </w:rPr>
        <w:t xml:space="preserve">The </w:t>
      </w:r>
      <w:r w:rsidR="006E0D5E" w:rsidRPr="00954547">
        <w:rPr>
          <w:b/>
          <w:bCs/>
          <w:i/>
          <w:iCs/>
          <w:lang w:val="en-US"/>
        </w:rPr>
        <w:t>representatives</w:t>
      </w:r>
      <w:r w:rsidR="00D465AE" w:rsidRPr="00954547">
        <w:rPr>
          <w:lang w:val="en-US"/>
        </w:rPr>
        <w:t xml:space="preserve"> </w:t>
      </w:r>
      <w:r w:rsidR="0092414B" w:rsidRPr="00954547">
        <w:rPr>
          <w:lang w:val="en-US"/>
        </w:rPr>
        <w:t xml:space="preserve">requested payment of “US$100,000.00 for the concept of </w:t>
      </w:r>
      <w:r w:rsidR="00D30512" w:rsidRPr="00954547">
        <w:rPr>
          <w:lang w:val="en-US"/>
        </w:rPr>
        <w:t>non-pecuniary damage</w:t>
      </w:r>
      <w:r w:rsidR="0092414B" w:rsidRPr="00954547">
        <w:rPr>
          <w:lang w:val="en-US"/>
        </w:rPr>
        <w:t>, to be distributed in equal parts” between Manuela’s mother, father and two sons. In addition, they requested payment of US$30,000.00 for each of the victims</w:t>
      </w:r>
      <w:r w:rsidR="00D465AE" w:rsidRPr="00954547">
        <w:rPr>
          <w:lang w:val="en-US"/>
        </w:rPr>
        <w:t xml:space="preserve">. </w:t>
      </w:r>
      <w:r w:rsidRPr="00954547">
        <w:rPr>
          <w:lang w:val="en-US"/>
        </w:rPr>
        <w:t xml:space="preserve">The </w:t>
      </w:r>
      <w:r w:rsidRPr="00954547">
        <w:rPr>
          <w:b/>
          <w:bCs/>
          <w:i/>
          <w:iCs/>
          <w:lang w:val="en-US"/>
        </w:rPr>
        <w:t>State</w:t>
      </w:r>
      <w:r w:rsidR="001C5180" w:rsidRPr="00954547">
        <w:rPr>
          <w:lang w:val="en-US"/>
        </w:rPr>
        <w:t xml:space="preserve"> </w:t>
      </w:r>
      <w:r w:rsidR="0092414B" w:rsidRPr="00954547">
        <w:rPr>
          <w:lang w:val="en-US"/>
        </w:rPr>
        <w:t>did not comment on this request.</w:t>
      </w:r>
      <w:r w:rsidR="001C5180" w:rsidRPr="00954547">
        <w:rPr>
          <w:lang w:val="en-US"/>
        </w:rPr>
        <w:t xml:space="preserve"> </w:t>
      </w:r>
    </w:p>
    <w:p w14:paraId="0EBE8B68" w14:textId="24EDF3ED" w:rsidR="001C5180" w:rsidRPr="00954547" w:rsidRDefault="0092414B" w:rsidP="00386B24">
      <w:pPr>
        <w:pStyle w:val="Numberedparagraphs"/>
        <w:tabs>
          <w:tab w:val="left" w:pos="567"/>
        </w:tabs>
        <w:rPr>
          <w:lang w:val="en-US"/>
        </w:rPr>
      </w:pPr>
      <w:bookmarkStart w:id="173" w:name="_Toc44332543"/>
      <w:r w:rsidRPr="00954547">
        <w:rPr>
          <w:lang w:val="en-US"/>
        </w:rPr>
        <w:t>In its case law, this Court has devel</w:t>
      </w:r>
      <w:r w:rsidR="00FC1096" w:rsidRPr="00954547">
        <w:rPr>
          <w:lang w:val="en-US"/>
        </w:rPr>
        <w:t>o</w:t>
      </w:r>
      <w:r w:rsidRPr="00954547">
        <w:rPr>
          <w:lang w:val="en-US"/>
        </w:rPr>
        <w:t xml:space="preserve">ped the concept of </w:t>
      </w:r>
      <w:r w:rsidR="00D30512" w:rsidRPr="00954547">
        <w:rPr>
          <w:lang w:val="en-US"/>
        </w:rPr>
        <w:t>non-pecuniary damage</w:t>
      </w:r>
      <w:r w:rsidR="001C5180" w:rsidRPr="00954547">
        <w:rPr>
          <w:lang w:val="en-US"/>
        </w:rPr>
        <w:t>,</w:t>
      </w:r>
      <w:r w:rsidR="0078694F" w:rsidRPr="00954547">
        <w:rPr>
          <w:lang w:val="en-US"/>
        </w:rPr>
        <w:t xml:space="preserve"> and </w:t>
      </w:r>
      <w:r w:rsidR="001C5180" w:rsidRPr="00954547">
        <w:rPr>
          <w:lang w:val="en-US"/>
        </w:rPr>
        <w:t>ha</w:t>
      </w:r>
      <w:r w:rsidRPr="00954547">
        <w:rPr>
          <w:lang w:val="en-US"/>
        </w:rPr>
        <w:t xml:space="preserve">s established that this may include both the suffering and affliction caused to the direct victim and his </w:t>
      </w:r>
      <w:r w:rsidR="00C413D4" w:rsidRPr="00954547">
        <w:rPr>
          <w:lang w:val="en-US"/>
        </w:rPr>
        <w:t>close</w:t>
      </w:r>
      <w:r w:rsidRPr="00954547">
        <w:rPr>
          <w:lang w:val="en-US"/>
        </w:rPr>
        <w:t xml:space="preserve"> family, and also the impairment of values of great significance to the individual, and also the alterations of a non-pecuniary nature in the living conditions of the victims or their families.</w:t>
      </w:r>
      <w:r w:rsidR="001C5180" w:rsidRPr="00954547">
        <w:rPr>
          <w:rStyle w:val="FootnoteReference"/>
          <w:lang w:val="en-US"/>
        </w:rPr>
        <w:footnoteReference w:id="455"/>
      </w:r>
    </w:p>
    <w:p w14:paraId="3EF6D2E6" w14:textId="62246867" w:rsidR="001C5180" w:rsidRPr="00954547" w:rsidRDefault="00DF6738" w:rsidP="00DF6738">
      <w:pPr>
        <w:pStyle w:val="Numberedparagraphs"/>
        <w:tabs>
          <w:tab w:val="left" w:pos="567"/>
        </w:tabs>
        <w:rPr>
          <w:lang w:val="en-US"/>
        </w:rPr>
      </w:pPr>
      <w:r w:rsidRPr="00954547">
        <w:rPr>
          <w:lang w:val="en-US"/>
        </w:rPr>
        <w:t xml:space="preserve">Considering the circumstances of this case, the violations committed, the different levels of suffering caused and experienced, the time that has passed, the denial of justice, the change in the living conditions of some family members, the proven violations of the </w:t>
      </w:r>
      <w:r w:rsidR="00144817" w:rsidRPr="00954547">
        <w:rPr>
          <w:lang w:val="en-US"/>
        </w:rPr>
        <w:t>personal integrity</w:t>
      </w:r>
      <w:r w:rsidR="001C5180" w:rsidRPr="00954547">
        <w:rPr>
          <w:lang w:val="en-US"/>
        </w:rPr>
        <w:t xml:space="preserve"> </w:t>
      </w:r>
      <w:r w:rsidR="00BC7072" w:rsidRPr="00954547">
        <w:rPr>
          <w:lang w:val="en-US"/>
        </w:rPr>
        <w:t xml:space="preserve">of the </w:t>
      </w:r>
      <w:r w:rsidRPr="00954547">
        <w:rPr>
          <w:lang w:val="en-US"/>
        </w:rPr>
        <w:t xml:space="preserve">victim’s </w:t>
      </w:r>
      <w:r w:rsidR="00BC7072" w:rsidRPr="00954547">
        <w:rPr>
          <w:lang w:val="en-US"/>
        </w:rPr>
        <w:t>family members</w:t>
      </w:r>
      <w:r w:rsidR="001C5180" w:rsidRPr="00954547">
        <w:rPr>
          <w:lang w:val="en-US"/>
        </w:rPr>
        <w:t xml:space="preserve"> </w:t>
      </w:r>
      <w:r w:rsidRPr="00954547">
        <w:rPr>
          <w:lang w:val="en-US"/>
        </w:rPr>
        <w:t xml:space="preserve">and the other consequences of a non-pecuniary nature that they </w:t>
      </w:r>
      <w:r w:rsidR="00C413D4" w:rsidRPr="00954547">
        <w:rPr>
          <w:lang w:val="en-US"/>
        </w:rPr>
        <w:t xml:space="preserve">have </w:t>
      </w:r>
      <w:r w:rsidRPr="00954547">
        <w:rPr>
          <w:lang w:val="en-US"/>
        </w:rPr>
        <w:t>e</w:t>
      </w:r>
      <w:r w:rsidR="00C413D4" w:rsidRPr="00954547">
        <w:rPr>
          <w:lang w:val="en-US"/>
        </w:rPr>
        <w:t>xperienced</w:t>
      </w:r>
      <w:r w:rsidRPr="00954547">
        <w:rPr>
          <w:lang w:val="en-US"/>
        </w:rPr>
        <w:t>, the Court will now establish compensation</w:t>
      </w:r>
      <w:r w:rsidR="001C5180" w:rsidRPr="00954547">
        <w:rPr>
          <w:lang w:val="en-US"/>
        </w:rPr>
        <w:t xml:space="preserve"> </w:t>
      </w:r>
      <w:r w:rsidRPr="00954547">
        <w:rPr>
          <w:lang w:val="en-US"/>
        </w:rPr>
        <w:t>f</w:t>
      </w:r>
      <w:r w:rsidR="001C5180" w:rsidRPr="00954547">
        <w:rPr>
          <w:lang w:val="en-US"/>
        </w:rPr>
        <w:t xml:space="preserve">or </w:t>
      </w:r>
      <w:r w:rsidR="00D30512" w:rsidRPr="00954547">
        <w:rPr>
          <w:lang w:val="en-US"/>
        </w:rPr>
        <w:t>non-pecuniary damage</w:t>
      </w:r>
      <w:r w:rsidR="001C5180" w:rsidRPr="00954547">
        <w:rPr>
          <w:lang w:val="en-US"/>
        </w:rPr>
        <w:t xml:space="preserve"> </w:t>
      </w:r>
      <w:r w:rsidR="009A0FBE" w:rsidRPr="00954547">
        <w:rPr>
          <w:lang w:val="en-US"/>
        </w:rPr>
        <w:t>in favor of</w:t>
      </w:r>
      <w:r w:rsidRPr="00954547">
        <w:rPr>
          <w:lang w:val="en-US"/>
        </w:rPr>
        <w:t xml:space="preserve"> the victims.</w:t>
      </w:r>
    </w:p>
    <w:p w14:paraId="13892AF2" w14:textId="3739DCCA" w:rsidR="00D465AE" w:rsidRPr="00954547" w:rsidRDefault="00DF6738" w:rsidP="0055687B">
      <w:pPr>
        <w:pStyle w:val="Numberedparagraphs"/>
        <w:tabs>
          <w:tab w:val="left" w:pos="567"/>
        </w:tabs>
        <w:rPr>
          <w:lang w:val="en-US"/>
        </w:rPr>
      </w:pPr>
      <w:bookmarkStart w:id="174" w:name="_Ref524880799"/>
      <w:bookmarkStart w:id="175" w:name="_Ref72330530"/>
      <w:bookmarkStart w:id="176" w:name="_Ref86680875"/>
      <w:bookmarkStart w:id="177" w:name="_Ref524880801"/>
      <w:bookmarkStart w:id="178" w:name="_Ref72330540"/>
      <w:bookmarkStart w:id="179" w:name="_Ref86680877"/>
      <w:r w:rsidRPr="00954547">
        <w:rPr>
          <w:lang w:val="en-US"/>
        </w:rPr>
        <w:t xml:space="preserve">First, the Court considers that </w:t>
      </w:r>
      <w:r w:rsidR="0055687B" w:rsidRPr="00954547">
        <w:rPr>
          <w:lang w:val="en-US"/>
        </w:rPr>
        <w:t xml:space="preserve">it is evident that </w:t>
      </w:r>
      <w:r w:rsidR="00C413D4" w:rsidRPr="00954547">
        <w:rPr>
          <w:lang w:val="en-US"/>
        </w:rPr>
        <w:t xml:space="preserve">the </w:t>
      </w:r>
      <w:r w:rsidRPr="00954547">
        <w:rPr>
          <w:lang w:val="en-US"/>
        </w:rPr>
        <w:t xml:space="preserve">circumstances surrounding Manuela’s incarceration, criminal prosecution and lack of medical treatment that led to her death, </w:t>
      </w:r>
      <w:r w:rsidR="0055687B" w:rsidRPr="00954547">
        <w:rPr>
          <w:lang w:val="en-US"/>
        </w:rPr>
        <w:t xml:space="preserve">caused </w:t>
      </w:r>
      <w:r w:rsidR="00C413D4" w:rsidRPr="00954547">
        <w:rPr>
          <w:lang w:val="en-US"/>
        </w:rPr>
        <w:t xml:space="preserve">fear and </w:t>
      </w:r>
      <w:r w:rsidR="0055687B" w:rsidRPr="00954547">
        <w:rPr>
          <w:lang w:val="en-US"/>
        </w:rPr>
        <w:t xml:space="preserve">profound suffering. On this basis, the Court considers that Manuela should be compensated for </w:t>
      </w:r>
      <w:r w:rsidR="00D30512" w:rsidRPr="00954547">
        <w:rPr>
          <w:lang w:val="en-US"/>
        </w:rPr>
        <w:t>non-pecuniary damage</w:t>
      </w:r>
      <w:r w:rsidR="0078694F" w:rsidRPr="00954547">
        <w:rPr>
          <w:lang w:val="en-US"/>
        </w:rPr>
        <w:t xml:space="preserve"> and </w:t>
      </w:r>
      <w:r w:rsidR="0055687B" w:rsidRPr="00954547">
        <w:rPr>
          <w:lang w:val="en-US"/>
        </w:rPr>
        <w:t xml:space="preserve">finds that a payment of </w:t>
      </w:r>
      <w:r w:rsidR="00D30512" w:rsidRPr="00954547">
        <w:rPr>
          <w:lang w:val="en-US"/>
        </w:rPr>
        <w:t>US$</w:t>
      </w:r>
      <w:r w:rsidR="00D465AE" w:rsidRPr="00954547">
        <w:rPr>
          <w:lang w:val="en-US"/>
        </w:rPr>
        <w:t>100</w:t>
      </w:r>
      <w:r w:rsidR="009A0FBE" w:rsidRPr="00954547">
        <w:rPr>
          <w:lang w:val="en-US"/>
        </w:rPr>
        <w:t>,000.00</w:t>
      </w:r>
      <w:r w:rsidR="00D465AE" w:rsidRPr="00954547">
        <w:rPr>
          <w:lang w:val="en-US"/>
        </w:rPr>
        <w:t xml:space="preserve"> (</w:t>
      </w:r>
      <w:r w:rsidR="0055687B" w:rsidRPr="00954547">
        <w:rPr>
          <w:lang w:val="en-US"/>
        </w:rPr>
        <w:t>one hundred</w:t>
      </w:r>
      <w:r w:rsidR="00D465AE" w:rsidRPr="00954547">
        <w:rPr>
          <w:lang w:val="en-US"/>
        </w:rPr>
        <w:t xml:space="preserve"> </w:t>
      </w:r>
      <w:r w:rsidR="009A0FBE" w:rsidRPr="00954547">
        <w:rPr>
          <w:lang w:val="en-US"/>
        </w:rPr>
        <w:t>thousand United States dollars</w:t>
      </w:r>
      <w:r w:rsidR="00D465AE" w:rsidRPr="00954547">
        <w:rPr>
          <w:lang w:val="en-US"/>
        </w:rPr>
        <w:t>)</w:t>
      </w:r>
      <w:r w:rsidR="0055687B" w:rsidRPr="00954547">
        <w:rPr>
          <w:lang w:val="en-US"/>
        </w:rPr>
        <w:t xml:space="preserve"> is reasonable</w:t>
      </w:r>
      <w:r w:rsidR="00D465AE" w:rsidRPr="00954547">
        <w:rPr>
          <w:lang w:val="en-US"/>
        </w:rPr>
        <w:t xml:space="preserve">. </w:t>
      </w:r>
      <w:bookmarkEnd w:id="174"/>
      <w:bookmarkEnd w:id="175"/>
      <w:r w:rsidR="00D465AE" w:rsidRPr="00954547">
        <w:rPr>
          <w:lang w:val="en-US"/>
        </w:rPr>
        <w:t>T</w:t>
      </w:r>
      <w:r w:rsidR="0055687B" w:rsidRPr="00954547">
        <w:rPr>
          <w:lang w:val="en-US"/>
        </w:rPr>
        <w:t xml:space="preserve">aking into account the effects that those facts have had on the life of Manuela’s </w:t>
      </w:r>
      <w:r w:rsidR="00BC7072" w:rsidRPr="00954547">
        <w:rPr>
          <w:lang w:val="en-US"/>
        </w:rPr>
        <w:t>family members</w:t>
      </w:r>
      <w:r w:rsidR="0078694F" w:rsidRPr="00954547">
        <w:rPr>
          <w:lang w:val="en-US"/>
        </w:rPr>
        <w:t xml:space="preserve"> and</w:t>
      </w:r>
      <w:r w:rsidR="0055687B" w:rsidRPr="00954547">
        <w:rPr>
          <w:lang w:val="en-US"/>
        </w:rPr>
        <w:t xml:space="preserve">, especially, her sons, this sum must be divided as follows: </w:t>
      </w:r>
      <w:r w:rsidR="00D30512" w:rsidRPr="00954547">
        <w:rPr>
          <w:lang w:val="en-US"/>
        </w:rPr>
        <w:t>US$</w:t>
      </w:r>
      <w:r w:rsidR="00D465AE" w:rsidRPr="00954547">
        <w:rPr>
          <w:lang w:val="en-US"/>
        </w:rPr>
        <w:t>30</w:t>
      </w:r>
      <w:r w:rsidR="009A0FBE" w:rsidRPr="00954547">
        <w:rPr>
          <w:lang w:val="en-US"/>
        </w:rPr>
        <w:t>,000.00</w:t>
      </w:r>
      <w:r w:rsidR="00D465AE" w:rsidRPr="00954547">
        <w:rPr>
          <w:lang w:val="en-US"/>
        </w:rPr>
        <w:t xml:space="preserve"> (</w:t>
      </w:r>
      <w:r w:rsidR="00397B5B" w:rsidRPr="00954547">
        <w:rPr>
          <w:lang w:val="en-US"/>
        </w:rPr>
        <w:t>thirty thousand United States dollars</w:t>
      </w:r>
      <w:r w:rsidR="00D465AE" w:rsidRPr="00954547">
        <w:rPr>
          <w:lang w:val="en-US"/>
        </w:rPr>
        <w:t>)</w:t>
      </w:r>
      <w:r w:rsidR="0055687B" w:rsidRPr="00954547">
        <w:rPr>
          <w:lang w:val="en-US"/>
        </w:rPr>
        <w:t xml:space="preserve"> to Manuela’s elder son</w:t>
      </w:r>
      <w:r w:rsidR="00D465AE" w:rsidRPr="00954547">
        <w:rPr>
          <w:lang w:val="en-US"/>
        </w:rPr>
        <w:t xml:space="preserve">; </w:t>
      </w:r>
      <w:r w:rsidR="00D30512" w:rsidRPr="00954547">
        <w:rPr>
          <w:lang w:val="en-US"/>
        </w:rPr>
        <w:t>US$</w:t>
      </w:r>
      <w:r w:rsidR="00D465AE" w:rsidRPr="00954547">
        <w:rPr>
          <w:lang w:val="en-US"/>
        </w:rPr>
        <w:t>30</w:t>
      </w:r>
      <w:r w:rsidR="009A0FBE" w:rsidRPr="00954547">
        <w:rPr>
          <w:lang w:val="en-US"/>
        </w:rPr>
        <w:t>,000.00</w:t>
      </w:r>
      <w:r w:rsidR="00D465AE" w:rsidRPr="00954547">
        <w:rPr>
          <w:lang w:val="en-US"/>
        </w:rPr>
        <w:t xml:space="preserve"> (</w:t>
      </w:r>
      <w:r w:rsidR="00397B5B" w:rsidRPr="00954547">
        <w:rPr>
          <w:lang w:val="en-US"/>
        </w:rPr>
        <w:t>thirty thousand United States dollars</w:t>
      </w:r>
      <w:r w:rsidR="00D465AE" w:rsidRPr="00954547">
        <w:rPr>
          <w:lang w:val="en-US"/>
        </w:rPr>
        <w:t xml:space="preserve">) </w:t>
      </w:r>
      <w:r w:rsidR="0055687B" w:rsidRPr="00954547">
        <w:rPr>
          <w:lang w:val="en-US"/>
        </w:rPr>
        <w:t>to Manuela’s younger son</w:t>
      </w:r>
      <w:r w:rsidR="00D465AE" w:rsidRPr="00954547">
        <w:rPr>
          <w:lang w:val="en-US"/>
        </w:rPr>
        <w:t xml:space="preserve">; </w:t>
      </w:r>
      <w:r w:rsidR="00D30512" w:rsidRPr="00954547">
        <w:rPr>
          <w:lang w:val="en-US"/>
        </w:rPr>
        <w:t>US$</w:t>
      </w:r>
      <w:r w:rsidR="00D465AE" w:rsidRPr="00954547">
        <w:rPr>
          <w:lang w:val="en-US"/>
        </w:rPr>
        <w:t>20</w:t>
      </w:r>
      <w:r w:rsidR="009A0FBE" w:rsidRPr="00954547">
        <w:rPr>
          <w:lang w:val="en-US"/>
        </w:rPr>
        <w:t>,000.00</w:t>
      </w:r>
      <w:r w:rsidR="00D465AE" w:rsidRPr="00954547">
        <w:rPr>
          <w:lang w:val="en-US"/>
        </w:rPr>
        <w:t xml:space="preserve"> (</w:t>
      </w:r>
      <w:r w:rsidR="00397B5B" w:rsidRPr="00954547">
        <w:rPr>
          <w:lang w:val="en-US"/>
        </w:rPr>
        <w:t>twenty thousand United States dollars</w:t>
      </w:r>
      <w:r w:rsidR="00D465AE" w:rsidRPr="00954547">
        <w:rPr>
          <w:lang w:val="en-US"/>
        </w:rPr>
        <w:t xml:space="preserve">) </w:t>
      </w:r>
      <w:r w:rsidR="0055687B" w:rsidRPr="00954547">
        <w:rPr>
          <w:lang w:val="en-US"/>
        </w:rPr>
        <w:t xml:space="preserve">to </w:t>
      </w:r>
      <w:r w:rsidR="00FF2DDD" w:rsidRPr="00954547">
        <w:rPr>
          <w:lang w:val="en-US"/>
        </w:rPr>
        <w:t>Manuela’s mother</w:t>
      </w:r>
      <w:r w:rsidR="00D465AE" w:rsidRPr="00954547">
        <w:rPr>
          <w:lang w:val="en-US"/>
        </w:rPr>
        <w:t>,</w:t>
      </w:r>
      <w:r w:rsidR="0078694F" w:rsidRPr="00954547">
        <w:rPr>
          <w:lang w:val="en-US"/>
        </w:rPr>
        <w:t xml:space="preserve"> and </w:t>
      </w:r>
      <w:r w:rsidR="00D30512" w:rsidRPr="00954547">
        <w:rPr>
          <w:lang w:val="en-US"/>
        </w:rPr>
        <w:t>US$</w:t>
      </w:r>
      <w:r w:rsidR="00D465AE" w:rsidRPr="00954547">
        <w:rPr>
          <w:lang w:val="en-US"/>
        </w:rPr>
        <w:t>20</w:t>
      </w:r>
      <w:r w:rsidR="009A0FBE" w:rsidRPr="00954547">
        <w:rPr>
          <w:lang w:val="en-US"/>
        </w:rPr>
        <w:t>,000.00</w:t>
      </w:r>
      <w:r w:rsidR="00D465AE" w:rsidRPr="00954547">
        <w:rPr>
          <w:lang w:val="en-US"/>
        </w:rPr>
        <w:t xml:space="preserve"> (</w:t>
      </w:r>
      <w:r w:rsidR="00397B5B" w:rsidRPr="00954547">
        <w:rPr>
          <w:lang w:val="en-US"/>
        </w:rPr>
        <w:t>twenty thousand United States dollars</w:t>
      </w:r>
      <w:r w:rsidR="00D465AE" w:rsidRPr="00954547">
        <w:rPr>
          <w:lang w:val="en-US"/>
        </w:rPr>
        <w:t xml:space="preserve">) </w:t>
      </w:r>
      <w:bookmarkEnd w:id="176"/>
      <w:r w:rsidR="0055687B" w:rsidRPr="00954547">
        <w:rPr>
          <w:lang w:val="en-US"/>
        </w:rPr>
        <w:t>to Manuela’s father.</w:t>
      </w:r>
    </w:p>
    <w:p w14:paraId="292B4866" w14:textId="67E521FB" w:rsidR="00D465AE" w:rsidRPr="00954547" w:rsidRDefault="0055687B" w:rsidP="00D465AE">
      <w:pPr>
        <w:pStyle w:val="Numberedparagraphs"/>
        <w:tabs>
          <w:tab w:val="left" w:pos="567"/>
        </w:tabs>
        <w:rPr>
          <w:lang w:val="en-US"/>
        </w:rPr>
      </w:pPr>
      <w:bookmarkStart w:id="180" w:name="_Ref87983685"/>
      <w:bookmarkStart w:id="181" w:name="_Toc74298487"/>
      <w:bookmarkEnd w:id="177"/>
      <w:bookmarkEnd w:id="178"/>
      <w:bookmarkEnd w:id="179"/>
      <w:r w:rsidRPr="00954547">
        <w:rPr>
          <w:lang w:val="en-US"/>
        </w:rPr>
        <w:t>Second, the Court considers that the li</w:t>
      </w:r>
      <w:r w:rsidR="0011796E" w:rsidRPr="00954547">
        <w:rPr>
          <w:lang w:val="en-US"/>
        </w:rPr>
        <w:t xml:space="preserve">ves of the members of Manuela’s </w:t>
      </w:r>
      <w:r w:rsidR="00BC7072" w:rsidRPr="00954547">
        <w:rPr>
          <w:lang w:val="en-US"/>
        </w:rPr>
        <w:t>family</w:t>
      </w:r>
      <w:r w:rsidR="0011796E" w:rsidRPr="00954547">
        <w:rPr>
          <w:lang w:val="en-US"/>
        </w:rPr>
        <w:t xml:space="preserve"> were affected as a result of what happened to the victim and </w:t>
      </w:r>
      <w:r w:rsidR="00C413D4" w:rsidRPr="00954547">
        <w:rPr>
          <w:lang w:val="en-US"/>
        </w:rPr>
        <w:t xml:space="preserve">they </w:t>
      </w:r>
      <w:r w:rsidR="0011796E" w:rsidRPr="00954547">
        <w:rPr>
          <w:lang w:val="en-US"/>
        </w:rPr>
        <w:t xml:space="preserve">have experienced great suffering </w:t>
      </w:r>
      <w:r w:rsidR="00C413D4" w:rsidRPr="00954547">
        <w:rPr>
          <w:lang w:val="en-US"/>
        </w:rPr>
        <w:t>which</w:t>
      </w:r>
      <w:r w:rsidR="0011796E" w:rsidRPr="00954547">
        <w:rPr>
          <w:lang w:val="en-US"/>
        </w:rPr>
        <w:t xml:space="preserve"> has had repercussions on their life projects. Consequently, the Court finds it reasonable to establish the sum of</w:t>
      </w:r>
      <w:r w:rsidR="00D465AE" w:rsidRPr="00954547">
        <w:rPr>
          <w:lang w:val="en-US"/>
        </w:rPr>
        <w:t xml:space="preserve"> </w:t>
      </w:r>
      <w:r w:rsidR="00D30512" w:rsidRPr="00954547">
        <w:rPr>
          <w:lang w:val="en-US"/>
        </w:rPr>
        <w:t>US$</w:t>
      </w:r>
      <w:r w:rsidR="00D465AE" w:rsidRPr="00954547">
        <w:rPr>
          <w:lang w:val="en-US"/>
        </w:rPr>
        <w:t>40</w:t>
      </w:r>
      <w:r w:rsidR="009A0FBE" w:rsidRPr="00954547">
        <w:rPr>
          <w:lang w:val="en-US"/>
        </w:rPr>
        <w:t>,000.00</w:t>
      </w:r>
      <w:r w:rsidR="00D465AE" w:rsidRPr="00954547">
        <w:rPr>
          <w:lang w:val="en-US"/>
        </w:rPr>
        <w:t xml:space="preserve"> (</w:t>
      </w:r>
      <w:r w:rsidR="00397B5B" w:rsidRPr="00954547">
        <w:rPr>
          <w:lang w:val="en-US"/>
        </w:rPr>
        <w:t>forty thousand United States dollars</w:t>
      </w:r>
      <w:r w:rsidR="00D465AE" w:rsidRPr="00954547">
        <w:rPr>
          <w:lang w:val="en-US"/>
        </w:rPr>
        <w:t xml:space="preserve">) </w:t>
      </w:r>
      <w:r w:rsidR="0011796E" w:rsidRPr="00954547">
        <w:rPr>
          <w:lang w:val="en-US"/>
        </w:rPr>
        <w:t xml:space="preserve">in favor </w:t>
      </w:r>
      <w:r w:rsidR="00BC7072" w:rsidRPr="00954547">
        <w:rPr>
          <w:lang w:val="en-US"/>
        </w:rPr>
        <w:t>of the members</w:t>
      </w:r>
      <w:r w:rsidR="00D465AE" w:rsidRPr="00954547">
        <w:rPr>
          <w:lang w:val="en-US"/>
        </w:rPr>
        <w:t xml:space="preserve"> </w:t>
      </w:r>
      <w:r w:rsidR="0011796E" w:rsidRPr="00954547">
        <w:rPr>
          <w:lang w:val="en-US"/>
        </w:rPr>
        <w:t>of</w:t>
      </w:r>
      <w:r w:rsidR="00D465AE" w:rsidRPr="00954547">
        <w:rPr>
          <w:lang w:val="en-US"/>
        </w:rPr>
        <w:t xml:space="preserve"> Manuela</w:t>
      </w:r>
      <w:r w:rsidR="0011796E" w:rsidRPr="00954547">
        <w:rPr>
          <w:lang w:val="en-US"/>
        </w:rPr>
        <w:t>’s family for non-pecuniary damage</w:t>
      </w:r>
      <w:r w:rsidR="00D465AE" w:rsidRPr="00954547">
        <w:rPr>
          <w:lang w:val="en-US"/>
        </w:rPr>
        <w:t xml:space="preserve">. </w:t>
      </w:r>
      <w:r w:rsidR="0011796E" w:rsidRPr="00954547">
        <w:rPr>
          <w:lang w:val="en-US"/>
        </w:rPr>
        <w:t>This compensation must be delivered as follows: (</w:t>
      </w:r>
      <w:r w:rsidR="00D465AE" w:rsidRPr="00954547">
        <w:rPr>
          <w:lang w:val="en-US"/>
        </w:rPr>
        <w:t>i) U</w:t>
      </w:r>
      <w:r w:rsidR="00397B5B" w:rsidRPr="00954547">
        <w:rPr>
          <w:lang w:val="en-US"/>
        </w:rPr>
        <w:t>S</w:t>
      </w:r>
      <w:r w:rsidR="006C2091" w:rsidRPr="00954547">
        <w:rPr>
          <w:lang w:val="en-US"/>
        </w:rPr>
        <w:t>$</w:t>
      </w:r>
      <w:r w:rsidR="00D465AE" w:rsidRPr="00954547">
        <w:rPr>
          <w:lang w:val="en-US"/>
        </w:rPr>
        <w:t>10</w:t>
      </w:r>
      <w:r w:rsidR="009A0FBE" w:rsidRPr="00954547">
        <w:rPr>
          <w:lang w:val="en-US"/>
        </w:rPr>
        <w:t>,000.00</w:t>
      </w:r>
      <w:r w:rsidR="00D465AE" w:rsidRPr="00954547">
        <w:rPr>
          <w:lang w:val="en-US"/>
        </w:rPr>
        <w:t xml:space="preserve"> (</w:t>
      </w:r>
      <w:r w:rsidR="00397B5B" w:rsidRPr="00954547">
        <w:rPr>
          <w:lang w:val="en-US"/>
        </w:rPr>
        <w:t>ten thousand United States dollars</w:t>
      </w:r>
      <w:r w:rsidR="00D465AE" w:rsidRPr="00954547">
        <w:rPr>
          <w:lang w:val="en-US"/>
        </w:rPr>
        <w:t xml:space="preserve">) </w:t>
      </w:r>
      <w:r w:rsidR="009A0FBE" w:rsidRPr="00954547">
        <w:rPr>
          <w:lang w:val="en-US"/>
        </w:rPr>
        <w:t>in favor of</w:t>
      </w:r>
      <w:r w:rsidR="00D465AE" w:rsidRPr="00954547">
        <w:rPr>
          <w:lang w:val="en-US"/>
        </w:rPr>
        <w:t xml:space="preserve"> </w:t>
      </w:r>
      <w:r w:rsidR="00FF2DDD" w:rsidRPr="00954547">
        <w:rPr>
          <w:lang w:val="en-US"/>
        </w:rPr>
        <w:t>Manuela’s mother</w:t>
      </w:r>
      <w:r w:rsidR="00D465AE" w:rsidRPr="00954547">
        <w:rPr>
          <w:lang w:val="en-US"/>
        </w:rPr>
        <w:t xml:space="preserve">; </w:t>
      </w:r>
      <w:r w:rsidR="0011796E" w:rsidRPr="00954547">
        <w:rPr>
          <w:lang w:val="en-US"/>
        </w:rPr>
        <w:t>(</w:t>
      </w:r>
      <w:r w:rsidR="00D465AE" w:rsidRPr="00954547">
        <w:rPr>
          <w:lang w:val="en-US"/>
        </w:rPr>
        <w:t xml:space="preserve">ii) </w:t>
      </w:r>
      <w:r w:rsidR="00D30512" w:rsidRPr="00954547">
        <w:rPr>
          <w:lang w:val="en-US"/>
        </w:rPr>
        <w:t>US$</w:t>
      </w:r>
      <w:r w:rsidR="006C2091" w:rsidRPr="00954547">
        <w:rPr>
          <w:lang w:val="en-US"/>
        </w:rPr>
        <w:t>1</w:t>
      </w:r>
      <w:r w:rsidR="00D465AE" w:rsidRPr="00954547">
        <w:rPr>
          <w:lang w:val="en-US"/>
        </w:rPr>
        <w:t>0</w:t>
      </w:r>
      <w:r w:rsidR="009A0FBE" w:rsidRPr="00954547">
        <w:rPr>
          <w:lang w:val="en-US"/>
        </w:rPr>
        <w:t>,000.00</w:t>
      </w:r>
      <w:r w:rsidR="00D465AE" w:rsidRPr="00954547">
        <w:rPr>
          <w:lang w:val="en-US"/>
        </w:rPr>
        <w:t xml:space="preserve"> (</w:t>
      </w:r>
      <w:r w:rsidR="00397B5B" w:rsidRPr="00954547">
        <w:rPr>
          <w:lang w:val="en-US"/>
        </w:rPr>
        <w:t>ten thousand United States dollars</w:t>
      </w:r>
      <w:r w:rsidR="00296C8F" w:rsidRPr="00954547">
        <w:rPr>
          <w:lang w:val="en-US"/>
        </w:rPr>
        <w:t xml:space="preserve">) </w:t>
      </w:r>
      <w:r w:rsidR="0011796E" w:rsidRPr="00954547">
        <w:rPr>
          <w:lang w:val="en-US"/>
        </w:rPr>
        <w:t>in</w:t>
      </w:r>
      <w:r w:rsidR="00D465AE" w:rsidRPr="00954547">
        <w:rPr>
          <w:lang w:val="en-US"/>
        </w:rPr>
        <w:t xml:space="preserve"> favor </w:t>
      </w:r>
      <w:r w:rsidR="00B002CD" w:rsidRPr="00954547">
        <w:rPr>
          <w:lang w:val="en-US"/>
        </w:rPr>
        <w:t>of Manuela</w:t>
      </w:r>
      <w:r w:rsidR="00FF2DDD" w:rsidRPr="00954547">
        <w:rPr>
          <w:lang w:val="en-US"/>
        </w:rPr>
        <w:t>’s father</w:t>
      </w:r>
      <w:r w:rsidR="00D465AE" w:rsidRPr="00954547">
        <w:rPr>
          <w:lang w:val="en-US"/>
        </w:rPr>
        <w:t>,</w:t>
      </w:r>
      <w:r w:rsidR="0078694F" w:rsidRPr="00954547">
        <w:rPr>
          <w:lang w:val="en-US"/>
        </w:rPr>
        <w:t xml:space="preserve"> and </w:t>
      </w:r>
      <w:r w:rsidR="0011796E" w:rsidRPr="00954547">
        <w:rPr>
          <w:lang w:val="en-US"/>
        </w:rPr>
        <w:t>(</w:t>
      </w:r>
      <w:r w:rsidR="00D465AE" w:rsidRPr="00954547">
        <w:rPr>
          <w:lang w:val="en-US"/>
        </w:rPr>
        <w:t>iii)</w:t>
      </w:r>
      <w:r w:rsidR="0011796E" w:rsidRPr="00954547">
        <w:rPr>
          <w:lang w:val="en-US"/>
        </w:rPr>
        <w:t xml:space="preserve"> </w:t>
      </w:r>
      <w:r w:rsidR="00D30512" w:rsidRPr="00954547">
        <w:rPr>
          <w:lang w:val="en-US"/>
        </w:rPr>
        <w:t>US$</w:t>
      </w:r>
      <w:r w:rsidR="00D465AE" w:rsidRPr="00954547">
        <w:rPr>
          <w:lang w:val="en-US"/>
        </w:rPr>
        <w:t>10</w:t>
      </w:r>
      <w:r w:rsidR="009A0FBE" w:rsidRPr="00954547">
        <w:rPr>
          <w:lang w:val="en-US"/>
        </w:rPr>
        <w:t>,000.00</w:t>
      </w:r>
      <w:r w:rsidR="00D465AE" w:rsidRPr="00954547">
        <w:rPr>
          <w:lang w:val="en-US"/>
        </w:rPr>
        <w:t xml:space="preserve"> (</w:t>
      </w:r>
      <w:r w:rsidR="00397B5B" w:rsidRPr="00954547">
        <w:rPr>
          <w:lang w:val="en-US"/>
        </w:rPr>
        <w:t>ten thousand United States dollars</w:t>
      </w:r>
      <w:r w:rsidR="004B724F" w:rsidRPr="00954547">
        <w:rPr>
          <w:lang w:val="en-US"/>
        </w:rPr>
        <w:t xml:space="preserve">) </w:t>
      </w:r>
      <w:r w:rsidR="009A0FBE" w:rsidRPr="00954547">
        <w:rPr>
          <w:lang w:val="en-US"/>
        </w:rPr>
        <w:t>in favor of</w:t>
      </w:r>
      <w:r w:rsidR="00D465AE" w:rsidRPr="00954547">
        <w:rPr>
          <w:lang w:val="en-US"/>
        </w:rPr>
        <w:t xml:space="preserve"> </w:t>
      </w:r>
      <w:r w:rsidR="0011796E" w:rsidRPr="00954547">
        <w:rPr>
          <w:lang w:val="en-US"/>
        </w:rPr>
        <w:t xml:space="preserve">each of </w:t>
      </w:r>
      <w:r w:rsidR="00D465AE" w:rsidRPr="00954547">
        <w:rPr>
          <w:lang w:val="en-US"/>
        </w:rPr>
        <w:t>Manuela</w:t>
      </w:r>
      <w:r w:rsidR="0011796E" w:rsidRPr="00954547">
        <w:rPr>
          <w:lang w:val="en-US"/>
        </w:rPr>
        <w:t>’s sons</w:t>
      </w:r>
      <w:r w:rsidR="00D465AE" w:rsidRPr="00954547">
        <w:rPr>
          <w:lang w:val="en-US"/>
        </w:rPr>
        <w:t>.</w:t>
      </w:r>
      <w:bookmarkEnd w:id="180"/>
    </w:p>
    <w:p w14:paraId="582D31AE" w14:textId="102F8F92" w:rsidR="001C5180" w:rsidRPr="00954547" w:rsidRDefault="009A0FBE" w:rsidP="000365EC">
      <w:pPr>
        <w:pStyle w:val="Heading2"/>
        <w:numPr>
          <w:ilvl w:val="0"/>
          <w:numId w:val="18"/>
        </w:numPr>
        <w:tabs>
          <w:tab w:val="clear" w:pos="1134"/>
          <w:tab w:val="left" w:pos="567"/>
        </w:tabs>
        <w:autoSpaceDE w:val="0"/>
        <w:autoSpaceDN w:val="0"/>
        <w:adjustRightInd w:val="0"/>
        <w:ind w:left="1134" w:hanging="567"/>
        <w:jc w:val="both"/>
        <w:rPr>
          <w:lang w:val="en-US"/>
        </w:rPr>
      </w:pPr>
      <w:bookmarkStart w:id="182" w:name="_Toc106353947"/>
      <w:r w:rsidRPr="00954547">
        <w:rPr>
          <w:lang w:val="en-US"/>
        </w:rPr>
        <w:t>Other measures requested</w:t>
      </w:r>
      <w:bookmarkEnd w:id="173"/>
      <w:bookmarkEnd w:id="181"/>
      <w:bookmarkEnd w:id="182"/>
    </w:p>
    <w:p w14:paraId="72B179C4" w14:textId="07E18FF3" w:rsidR="00E57913" w:rsidRPr="00954547" w:rsidRDefault="00E76B1A" w:rsidP="00E57913">
      <w:pPr>
        <w:pStyle w:val="Numberedparagraphs"/>
        <w:tabs>
          <w:tab w:val="clear" w:pos="720"/>
          <w:tab w:val="left" w:pos="567"/>
        </w:tabs>
        <w:rPr>
          <w:b/>
          <w:bCs/>
          <w:lang w:val="en-US"/>
        </w:rPr>
      </w:pPr>
      <w:bookmarkStart w:id="183" w:name="_Toc44332544"/>
      <w:r w:rsidRPr="00954547">
        <w:rPr>
          <w:lang w:val="en-US"/>
        </w:rPr>
        <w:t xml:space="preserve">The </w:t>
      </w:r>
      <w:r w:rsidRPr="00954547">
        <w:rPr>
          <w:b/>
          <w:bCs/>
          <w:i/>
          <w:iCs/>
          <w:lang w:val="en-US"/>
        </w:rPr>
        <w:t>Commission</w:t>
      </w:r>
      <w:r w:rsidR="001C5180" w:rsidRPr="00954547">
        <w:rPr>
          <w:lang w:val="en-US"/>
        </w:rPr>
        <w:t xml:space="preserve"> </w:t>
      </w:r>
      <w:r w:rsidR="0011796E" w:rsidRPr="00954547">
        <w:rPr>
          <w:lang w:val="en-US"/>
        </w:rPr>
        <w:t>asked</w:t>
      </w:r>
      <w:r w:rsidR="001C5180" w:rsidRPr="00954547">
        <w:rPr>
          <w:lang w:val="en-US"/>
        </w:rPr>
        <w:t xml:space="preserve"> </w:t>
      </w:r>
      <w:r w:rsidRPr="00954547">
        <w:rPr>
          <w:lang w:val="en-US"/>
        </w:rPr>
        <w:t>the Court</w:t>
      </w:r>
      <w:r w:rsidR="001C5180" w:rsidRPr="00954547">
        <w:rPr>
          <w:lang w:val="en-US"/>
        </w:rPr>
        <w:t xml:space="preserve"> </w:t>
      </w:r>
      <w:r w:rsidR="0011796E" w:rsidRPr="00954547">
        <w:rPr>
          <w:lang w:val="en-US"/>
        </w:rPr>
        <w:t>to order</w:t>
      </w:r>
      <w:r w:rsidR="001C5180" w:rsidRPr="00954547">
        <w:rPr>
          <w:lang w:val="en-US"/>
        </w:rPr>
        <w:t xml:space="preserve"> El Salvador</w:t>
      </w:r>
      <w:r w:rsidR="00E57913" w:rsidRPr="00954547">
        <w:rPr>
          <w:lang w:val="en-US"/>
        </w:rPr>
        <w:t xml:space="preserve"> to</w:t>
      </w:r>
      <w:r w:rsidR="00F14805" w:rsidRPr="00954547">
        <w:rPr>
          <w:lang w:val="en-US"/>
        </w:rPr>
        <w:t xml:space="preserve">: </w:t>
      </w:r>
      <w:r w:rsidR="0011796E" w:rsidRPr="00954547">
        <w:rPr>
          <w:lang w:val="en-US"/>
        </w:rPr>
        <w:t>(</w:t>
      </w:r>
      <w:r w:rsidR="001C5180" w:rsidRPr="00954547">
        <w:rPr>
          <w:lang w:val="en-US"/>
        </w:rPr>
        <w:t>i)</w:t>
      </w:r>
      <w:r w:rsidR="00E57913" w:rsidRPr="00954547">
        <w:rPr>
          <w:lang w:val="en-US"/>
        </w:rPr>
        <w:t xml:space="preserve"> </w:t>
      </w:r>
      <w:r w:rsidR="0011796E" w:rsidRPr="00954547">
        <w:rPr>
          <w:lang w:val="en-US"/>
        </w:rPr>
        <w:t xml:space="preserve">investigate </w:t>
      </w:r>
      <w:r w:rsidR="00E57913" w:rsidRPr="00954547">
        <w:rPr>
          <w:lang w:val="en-US"/>
        </w:rPr>
        <w:t xml:space="preserve">the </w:t>
      </w:r>
      <w:r w:rsidR="0011796E" w:rsidRPr="00954547">
        <w:rPr>
          <w:lang w:val="en-US"/>
        </w:rPr>
        <w:t>administrative, disciplinary or other responsibilities derived from the human rights violations declared in th</w:t>
      </w:r>
      <w:r w:rsidR="00E57913" w:rsidRPr="00954547">
        <w:rPr>
          <w:lang w:val="en-US"/>
        </w:rPr>
        <w:t>e Merits R</w:t>
      </w:r>
      <w:r w:rsidR="0011796E" w:rsidRPr="00954547">
        <w:rPr>
          <w:lang w:val="en-US"/>
        </w:rPr>
        <w:t>eport</w:t>
      </w:r>
      <w:r w:rsidR="00E57913" w:rsidRPr="00954547">
        <w:rPr>
          <w:lang w:val="en-US"/>
        </w:rPr>
        <w:t>; (ii)</w:t>
      </w:r>
      <w:r w:rsidR="00E57913" w:rsidRPr="00954547">
        <w:rPr>
          <w:b/>
          <w:bCs/>
          <w:lang w:val="en-US"/>
        </w:rPr>
        <w:t xml:space="preserve"> </w:t>
      </w:r>
      <w:r w:rsidR="00E57913" w:rsidRPr="00954547">
        <w:rPr>
          <w:lang w:val="en-US"/>
        </w:rPr>
        <w:t xml:space="preserve">ensure that the concept of </w:t>
      </w:r>
      <w:r w:rsidR="00E57913" w:rsidRPr="00954547">
        <w:rPr>
          <w:i/>
          <w:iCs/>
          <w:lang w:val="en-US"/>
        </w:rPr>
        <w:t xml:space="preserve">in flagrante delicto </w:t>
      </w:r>
      <w:r w:rsidR="00E57913" w:rsidRPr="00954547">
        <w:rPr>
          <w:lang w:val="en-US"/>
        </w:rPr>
        <w:t>is applied pursuant to the standards described in the Merits Report, and (iii) “ensure that under the regulations and in practice, individuals convicted of a crime can appeal to a higher authority for a comprehensively review of the guilty verdict.”</w:t>
      </w:r>
    </w:p>
    <w:p w14:paraId="4E489622" w14:textId="3ED78781" w:rsidR="00FD62C7" w:rsidRPr="00954547" w:rsidRDefault="00B8393C" w:rsidP="00FD62C7">
      <w:pPr>
        <w:pStyle w:val="Numberedparagraphs"/>
        <w:tabs>
          <w:tab w:val="clear" w:pos="720"/>
          <w:tab w:val="left" w:pos="567"/>
        </w:tabs>
        <w:rPr>
          <w:b/>
          <w:bCs/>
          <w:lang w:val="en-US"/>
        </w:rPr>
      </w:pPr>
      <w:r w:rsidRPr="00954547">
        <w:rPr>
          <w:lang w:val="en-US"/>
        </w:rPr>
        <w:t xml:space="preserve">The </w:t>
      </w:r>
      <w:r w:rsidR="006E0D5E" w:rsidRPr="00954547">
        <w:rPr>
          <w:b/>
          <w:bCs/>
          <w:i/>
          <w:iCs/>
          <w:lang w:val="en-US"/>
        </w:rPr>
        <w:t>representatives</w:t>
      </w:r>
      <w:r w:rsidR="00D465AE" w:rsidRPr="00954547">
        <w:rPr>
          <w:lang w:val="en-US"/>
        </w:rPr>
        <w:t xml:space="preserve"> </w:t>
      </w:r>
      <w:r w:rsidR="00E57913" w:rsidRPr="00954547">
        <w:rPr>
          <w:lang w:val="en-US"/>
        </w:rPr>
        <w:t>asked</w:t>
      </w:r>
      <w:r w:rsidR="00D465AE" w:rsidRPr="00954547">
        <w:rPr>
          <w:lang w:val="en-US"/>
        </w:rPr>
        <w:t xml:space="preserve">: </w:t>
      </w:r>
      <w:r w:rsidR="00F315B9" w:rsidRPr="00954547">
        <w:rPr>
          <w:lang w:val="en-US"/>
        </w:rPr>
        <w:t>(</w:t>
      </w:r>
      <w:r w:rsidR="00D465AE" w:rsidRPr="00954547">
        <w:rPr>
          <w:lang w:val="en-US"/>
        </w:rPr>
        <w:t xml:space="preserve">i) </w:t>
      </w:r>
      <w:r w:rsidR="00307EF4" w:rsidRPr="00954547">
        <w:rPr>
          <w:lang w:val="en-US"/>
        </w:rPr>
        <w:t xml:space="preserve">that </w:t>
      </w:r>
      <w:r w:rsidR="00E57913" w:rsidRPr="00954547">
        <w:rPr>
          <w:lang w:val="en-US"/>
        </w:rPr>
        <w:t xml:space="preserve">Manuela’s </w:t>
      </w:r>
      <w:r w:rsidR="00F315B9" w:rsidRPr="00954547">
        <w:rPr>
          <w:lang w:val="en-US"/>
        </w:rPr>
        <w:t>e</w:t>
      </w:r>
      <w:r w:rsidR="00E57913" w:rsidRPr="00954547">
        <w:rPr>
          <w:lang w:val="en-US"/>
        </w:rPr>
        <w:t>lder son be provided with “specialized attention and therapy to help him overcome the consequences of the meningitis he suffered, during which he did not receive medical treatment owing to</w:t>
      </w:r>
      <w:r w:rsidR="00C413D4" w:rsidRPr="00954547">
        <w:rPr>
          <w:lang w:val="en-US"/>
        </w:rPr>
        <w:t xml:space="preserve"> a</w:t>
      </w:r>
      <w:r w:rsidR="00E57913" w:rsidRPr="00954547">
        <w:rPr>
          <w:lang w:val="en-US"/>
        </w:rPr>
        <w:t xml:space="preserve"> lack of resources,” and</w:t>
      </w:r>
      <w:r w:rsidR="00307EF4" w:rsidRPr="00954547">
        <w:rPr>
          <w:lang w:val="en-US"/>
        </w:rPr>
        <w:t xml:space="preserve"> given</w:t>
      </w:r>
      <w:r w:rsidR="00E57913" w:rsidRPr="00954547">
        <w:rPr>
          <w:lang w:val="en-US"/>
        </w:rPr>
        <w:t xml:space="preserve"> </w:t>
      </w:r>
      <w:r w:rsidR="00F315B9" w:rsidRPr="00954547">
        <w:rPr>
          <w:lang w:val="en-US"/>
        </w:rPr>
        <w:t xml:space="preserve">“access to an entrepreneurship program or granted a specific sum of money to establish a business or seed capital to develop a productive project”; (ii) </w:t>
      </w:r>
      <w:r w:rsidR="00307EF4" w:rsidRPr="00954547">
        <w:rPr>
          <w:lang w:val="en-US"/>
        </w:rPr>
        <w:t xml:space="preserve">that </w:t>
      </w:r>
      <w:r w:rsidR="00F315B9" w:rsidRPr="00954547">
        <w:rPr>
          <w:lang w:val="en-US"/>
        </w:rPr>
        <w:t xml:space="preserve">Manuela’s younger son be provided with a laptop computer to be able to apply the knowledge acquired in the technical field </w:t>
      </w:r>
      <w:r w:rsidR="00307EF4" w:rsidRPr="00954547">
        <w:rPr>
          <w:lang w:val="en-US"/>
        </w:rPr>
        <w:t xml:space="preserve">in which </w:t>
      </w:r>
      <w:r w:rsidR="00F315B9" w:rsidRPr="00954547">
        <w:rPr>
          <w:lang w:val="en-US"/>
        </w:rPr>
        <w:t>he is interested,” “a guaranteed position in one of the Government’s institutions in accordance with his professional profile of systems engineer and computer technician” or else “access to a</w:t>
      </w:r>
      <w:r w:rsidR="00CE3E22" w:rsidRPr="00954547">
        <w:rPr>
          <w:lang w:val="en-US"/>
        </w:rPr>
        <w:t xml:space="preserve">n entrepreneurship program or granted a specific sum of money to establish a business or seed capital to develop a productive project”; </w:t>
      </w:r>
      <w:r w:rsidR="00307EF4" w:rsidRPr="00954547">
        <w:rPr>
          <w:lang w:val="en-US"/>
        </w:rPr>
        <w:t xml:space="preserve">and that the State </w:t>
      </w:r>
      <w:r w:rsidR="00CE3E22" w:rsidRPr="00954547">
        <w:rPr>
          <w:lang w:val="en-US"/>
        </w:rPr>
        <w:t xml:space="preserve">(iii) </w:t>
      </w:r>
      <w:r w:rsidR="00307EF4" w:rsidRPr="00954547">
        <w:rPr>
          <w:lang w:val="en-US"/>
        </w:rPr>
        <w:t xml:space="preserve">ensure </w:t>
      </w:r>
      <w:r w:rsidR="00CE3E22" w:rsidRPr="00954547">
        <w:rPr>
          <w:lang w:val="en-US"/>
        </w:rPr>
        <w:t xml:space="preserve">Manuela’s parents access to social security, retroactive to 2008, and particularly, that their retirement pensions and funeral expenses are covered; (iv) </w:t>
      </w:r>
      <w:r w:rsidR="00307EF4" w:rsidRPr="00954547">
        <w:rPr>
          <w:lang w:val="en-US"/>
        </w:rPr>
        <w:t>ensure</w:t>
      </w:r>
      <w:r w:rsidR="00CE3E22" w:rsidRPr="00954547">
        <w:rPr>
          <w:lang w:val="en-US"/>
        </w:rPr>
        <w:t xml:space="preserve"> the victims</w:t>
      </w:r>
      <w:r w:rsidR="00307EF4" w:rsidRPr="00954547">
        <w:rPr>
          <w:lang w:val="en-US"/>
        </w:rPr>
        <w:t xml:space="preserve"> have</w:t>
      </w:r>
      <w:r w:rsidR="00CE3E22" w:rsidRPr="00954547">
        <w:rPr>
          <w:lang w:val="en-US"/>
        </w:rPr>
        <w:t xml:space="preserve"> decent housing; (v) grant Manuela’s parents a plot of land apt for agriculture near their current dwelling; (vi) designate a ward in the maternity or oncology unit of the Rosales National Hospital, with the name </w:t>
      </w:r>
      <w:r w:rsidR="00307EF4" w:rsidRPr="00954547">
        <w:rPr>
          <w:lang w:val="en-US"/>
        </w:rPr>
        <w:t>“</w:t>
      </w:r>
      <w:r w:rsidR="00CE3E22" w:rsidRPr="00954547">
        <w:rPr>
          <w:lang w:val="en-US"/>
        </w:rPr>
        <w:t xml:space="preserve">Manuela”; (vii) </w:t>
      </w:r>
      <w:r w:rsidR="00FD62C7" w:rsidRPr="00954547">
        <w:rPr>
          <w:lang w:val="en-US"/>
        </w:rPr>
        <w:t xml:space="preserve">erect “a monument as a permanent public tribute in memory of the victims of criminalization due to obstetric emergencies”; (viii) regulate </w:t>
      </w:r>
      <w:r w:rsidR="00FD62C7" w:rsidRPr="00954547">
        <w:rPr>
          <w:i/>
          <w:iCs/>
          <w:lang w:val="en-US"/>
        </w:rPr>
        <w:t>in flagrante delicto</w:t>
      </w:r>
      <w:r w:rsidR="00FD62C7" w:rsidRPr="00954547">
        <w:rPr>
          <w:lang w:val="en-US"/>
        </w:rPr>
        <w:t xml:space="preserve"> in keeping with the standards of the inter-American system; (ix) adopt the necessary measures to generate a quantitative and qualitative report on the magnitude of the </w:t>
      </w:r>
      <w:r w:rsidR="00DD50D1" w:rsidRPr="00954547">
        <w:rPr>
          <w:lang w:val="en-US"/>
        </w:rPr>
        <w:t>criminalization</w:t>
      </w:r>
      <w:r w:rsidR="00D465AE" w:rsidRPr="00954547">
        <w:rPr>
          <w:lang w:val="en-US"/>
        </w:rPr>
        <w:t xml:space="preserve"> </w:t>
      </w:r>
      <w:r w:rsidR="00FD62C7" w:rsidRPr="00954547">
        <w:rPr>
          <w:lang w:val="en-US"/>
        </w:rPr>
        <w:t>of</w:t>
      </w:r>
      <w:r w:rsidR="00D465AE" w:rsidRPr="00954547">
        <w:rPr>
          <w:lang w:val="en-US"/>
        </w:rPr>
        <w:t xml:space="preserve"> </w:t>
      </w:r>
      <w:r w:rsidR="009E6B43" w:rsidRPr="00954547">
        <w:rPr>
          <w:lang w:val="en-US"/>
        </w:rPr>
        <w:t>obstetric emergencies</w:t>
      </w:r>
      <w:r w:rsidR="00D465AE" w:rsidRPr="00954547">
        <w:rPr>
          <w:lang w:val="en-US"/>
        </w:rPr>
        <w:t xml:space="preserve"> </w:t>
      </w:r>
      <w:r w:rsidR="00015F7C" w:rsidRPr="00954547">
        <w:rPr>
          <w:lang w:val="en-US"/>
        </w:rPr>
        <w:t>in El Salvador</w:t>
      </w:r>
      <w:r w:rsidR="00D465AE" w:rsidRPr="00954547">
        <w:rPr>
          <w:lang w:val="en-US"/>
        </w:rPr>
        <w:t>, as</w:t>
      </w:r>
      <w:r w:rsidR="00FD62C7" w:rsidRPr="00954547">
        <w:rPr>
          <w:lang w:val="en-US"/>
        </w:rPr>
        <w:t xml:space="preserve"> well </w:t>
      </w:r>
      <w:r w:rsidR="007C0A8C" w:rsidRPr="00954547">
        <w:rPr>
          <w:lang w:val="en-US"/>
        </w:rPr>
        <w:t>a</w:t>
      </w:r>
      <w:r w:rsidR="00FD62C7" w:rsidRPr="00954547">
        <w:rPr>
          <w:lang w:val="en-US"/>
        </w:rPr>
        <w:t>s to identify short-, medium- and long-term measures</w:t>
      </w:r>
      <w:r w:rsidR="007C0A8C" w:rsidRPr="00954547">
        <w:rPr>
          <w:lang w:val="en-US"/>
        </w:rPr>
        <w:t xml:space="preserve"> to eliminate the existence of such cases, make adequate reparation to the victims, and ensure that there will be no new prosecutions; (x) review the sentences of women criminally punished for obstetric emergencies, and (xi) regulate “the remedy of appeal appropriately so that it abides by inter-American standards and guarantees that those sentenced in second instance have access to a comprehensive review of the guilty verdict</w:t>
      </w:r>
      <w:r w:rsidR="00C53900" w:rsidRPr="00954547">
        <w:rPr>
          <w:lang w:val="en-US"/>
        </w:rPr>
        <w:t xml:space="preserve"> by a judgment ordering a new trial or an acquittal</w:t>
      </w:r>
      <w:r w:rsidR="007C0A8C" w:rsidRPr="00954547">
        <w:rPr>
          <w:lang w:val="en-US"/>
        </w:rPr>
        <w:t>.”</w:t>
      </w:r>
    </w:p>
    <w:p w14:paraId="65D6D38D" w14:textId="714EAAF2" w:rsidR="00D465AE" w:rsidRPr="00954547" w:rsidRDefault="00B8393C" w:rsidP="00B41C28">
      <w:pPr>
        <w:pStyle w:val="Numberedparagraphs"/>
        <w:tabs>
          <w:tab w:val="clear" w:pos="720"/>
          <w:tab w:val="left" w:pos="567"/>
        </w:tabs>
        <w:rPr>
          <w:b/>
          <w:bCs/>
          <w:lang w:val="en-US"/>
        </w:rPr>
      </w:pPr>
      <w:r w:rsidRPr="00954547">
        <w:rPr>
          <w:lang w:val="en-US"/>
        </w:rPr>
        <w:t xml:space="preserve">The </w:t>
      </w:r>
      <w:r w:rsidRPr="00954547">
        <w:rPr>
          <w:b/>
          <w:bCs/>
          <w:i/>
          <w:iCs/>
          <w:lang w:val="en-US"/>
        </w:rPr>
        <w:t>State</w:t>
      </w:r>
      <w:r w:rsidR="00D465AE" w:rsidRPr="00954547">
        <w:rPr>
          <w:b/>
          <w:bCs/>
          <w:i/>
          <w:iCs/>
          <w:lang w:val="en-US"/>
        </w:rPr>
        <w:t xml:space="preserve"> </w:t>
      </w:r>
      <w:r w:rsidR="007C0A8C" w:rsidRPr="00954547">
        <w:rPr>
          <w:lang w:val="en-US"/>
        </w:rPr>
        <w:t>advised that it was investigating</w:t>
      </w:r>
      <w:r w:rsidR="00B41C28" w:rsidRPr="00954547">
        <w:rPr>
          <w:lang w:val="en-US"/>
        </w:rPr>
        <w:t>,</w:t>
      </w:r>
      <w:r w:rsidR="007C0A8C" w:rsidRPr="00954547">
        <w:rPr>
          <w:lang w:val="en-US"/>
        </w:rPr>
        <w:t xml:space="preserve"> “</w:t>
      </w:r>
      <w:r w:rsidR="00B41C28" w:rsidRPr="00954547">
        <w:rPr>
          <w:lang w:val="en-US"/>
        </w:rPr>
        <w:t xml:space="preserve">through the prosecution service, </w:t>
      </w:r>
      <w:r w:rsidR="007C0A8C" w:rsidRPr="00954547">
        <w:rPr>
          <w:lang w:val="en-US"/>
        </w:rPr>
        <w:t>the act</w:t>
      </w:r>
      <w:r w:rsidR="00B41C28" w:rsidRPr="00954547">
        <w:rPr>
          <w:lang w:val="en-US"/>
        </w:rPr>
        <w:t>ions of the public defender in order to determine the administrative, disciplinary or other responsibilities, and the appropriate measures to take.” El Salvador did not refer to the other requests made by</w:t>
      </w:r>
      <w:r w:rsidR="00D465AE" w:rsidRPr="00954547">
        <w:rPr>
          <w:lang w:val="en-US"/>
        </w:rPr>
        <w:t xml:space="preserve"> </w:t>
      </w:r>
      <w:r w:rsidR="00E76B1A" w:rsidRPr="00954547">
        <w:rPr>
          <w:lang w:val="en-US"/>
        </w:rPr>
        <w:t>the Commission</w:t>
      </w:r>
      <w:r w:rsidR="0078694F" w:rsidRPr="00954547">
        <w:rPr>
          <w:lang w:val="en-US"/>
        </w:rPr>
        <w:t xml:space="preserve"> and </w:t>
      </w:r>
      <w:r w:rsidRPr="00954547">
        <w:rPr>
          <w:lang w:val="en-US"/>
        </w:rPr>
        <w:t xml:space="preserve">the </w:t>
      </w:r>
      <w:r w:rsidR="006E0D5E" w:rsidRPr="00954547">
        <w:rPr>
          <w:lang w:val="en-US"/>
        </w:rPr>
        <w:t>representatives</w:t>
      </w:r>
      <w:r w:rsidR="00D465AE" w:rsidRPr="00954547">
        <w:rPr>
          <w:lang w:val="en-US"/>
        </w:rPr>
        <w:t>.</w:t>
      </w:r>
    </w:p>
    <w:p w14:paraId="01ACE3E8" w14:textId="01A1E8CE" w:rsidR="001C5180" w:rsidRPr="00954547" w:rsidRDefault="00E76B1A" w:rsidP="00386B24">
      <w:pPr>
        <w:pStyle w:val="Numberedparagraphs"/>
        <w:tabs>
          <w:tab w:val="clear" w:pos="720"/>
          <w:tab w:val="left" w:pos="567"/>
        </w:tabs>
        <w:rPr>
          <w:b/>
          <w:color w:val="auto"/>
          <w:lang w:val="en-US"/>
        </w:rPr>
      </w:pPr>
      <w:r w:rsidRPr="00954547">
        <w:rPr>
          <w:lang w:val="en-US"/>
        </w:rPr>
        <w:t>The Court</w:t>
      </w:r>
      <w:r w:rsidR="001C5180" w:rsidRPr="00954547">
        <w:rPr>
          <w:lang w:val="en-US"/>
        </w:rPr>
        <w:t xml:space="preserve"> </w:t>
      </w:r>
      <w:r w:rsidR="00B41C28" w:rsidRPr="00954547">
        <w:rPr>
          <w:lang w:val="en-US"/>
        </w:rPr>
        <w:t xml:space="preserve">finds that the delivery </w:t>
      </w:r>
      <w:r w:rsidR="004B6621" w:rsidRPr="00954547">
        <w:rPr>
          <w:lang w:val="en-US"/>
        </w:rPr>
        <w:t>of this judgment</w:t>
      </w:r>
      <w:r w:rsidR="0078694F" w:rsidRPr="00954547">
        <w:rPr>
          <w:lang w:val="en-US"/>
        </w:rPr>
        <w:t xml:space="preserve"> and </w:t>
      </w:r>
      <w:r w:rsidR="00B41C28" w:rsidRPr="00954547">
        <w:rPr>
          <w:lang w:val="en-US"/>
        </w:rPr>
        <w:t>the reparations ordered in this chapter are sufficient and adequate to redress the violations suffered by the victims; therefore, it does not find it necessary to order the preceding measures.</w:t>
      </w:r>
    </w:p>
    <w:p w14:paraId="60AFDD39" w14:textId="53EF7F56" w:rsidR="001C5180" w:rsidRPr="00954547" w:rsidRDefault="005D2781" w:rsidP="000365EC">
      <w:pPr>
        <w:pStyle w:val="Heading2"/>
        <w:numPr>
          <w:ilvl w:val="0"/>
          <w:numId w:val="18"/>
        </w:numPr>
        <w:tabs>
          <w:tab w:val="clear" w:pos="1134"/>
          <w:tab w:val="left" w:pos="567"/>
        </w:tabs>
        <w:autoSpaceDE w:val="0"/>
        <w:autoSpaceDN w:val="0"/>
        <w:adjustRightInd w:val="0"/>
        <w:ind w:left="1134" w:hanging="567"/>
        <w:jc w:val="both"/>
        <w:rPr>
          <w:lang w:val="en-US"/>
        </w:rPr>
      </w:pPr>
      <w:bookmarkStart w:id="184" w:name="_Toc106353948"/>
      <w:r w:rsidRPr="00954547">
        <w:rPr>
          <w:lang w:val="en-US"/>
        </w:rPr>
        <w:t>Costs and expenses</w:t>
      </w:r>
      <w:bookmarkEnd w:id="183"/>
      <w:bookmarkEnd w:id="184"/>
    </w:p>
    <w:p w14:paraId="0C819FBE" w14:textId="26BCB268" w:rsidR="001B3FBF" w:rsidRPr="00954547" w:rsidRDefault="00B8393C" w:rsidP="001B3FBF">
      <w:pPr>
        <w:pStyle w:val="Numberedparagraphs"/>
        <w:rPr>
          <w:lang w:val="en-US"/>
        </w:rPr>
      </w:pPr>
      <w:bookmarkStart w:id="185" w:name="_Ref43209309"/>
      <w:bookmarkStart w:id="186" w:name="_Toc36823518"/>
      <w:bookmarkStart w:id="187" w:name="_Toc44332545"/>
      <w:bookmarkStart w:id="188" w:name="_Toc32394196"/>
      <w:bookmarkStart w:id="189" w:name="_Toc36823519"/>
      <w:bookmarkStart w:id="190" w:name="_Toc44332546"/>
      <w:bookmarkStart w:id="191" w:name="_Toc74298490"/>
      <w:r w:rsidRPr="00954547">
        <w:rPr>
          <w:lang w:val="en-US"/>
        </w:rPr>
        <w:t xml:space="preserve">The </w:t>
      </w:r>
      <w:r w:rsidR="006E0D5E" w:rsidRPr="00954547">
        <w:rPr>
          <w:b/>
          <w:bCs/>
          <w:i/>
          <w:iCs/>
          <w:lang w:val="en-US"/>
        </w:rPr>
        <w:t>representatives</w:t>
      </w:r>
      <w:r w:rsidR="001B3FBF" w:rsidRPr="00954547">
        <w:rPr>
          <w:b/>
          <w:i/>
          <w:lang w:val="en-US"/>
        </w:rPr>
        <w:t xml:space="preserve"> </w:t>
      </w:r>
      <w:r w:rsidR="009A0FBE" w:rsidRPr="00954547">
        <w:rPr>
          <w:lang w:val="en-US"/>
        </w:rPr>
        <w:t xml:space="preserve">requested the reimbursement of </w:t>
      </w:r>
      <w:r w:rsidR="005D2781" w:rsidRPr="00954547">
        <w:rPr>
          <w:lang w:val="en-US"/>
        </w:rPr>
        <w:t>costs and expenses</w:t>
      </w:r>
      <w:r w:rsidR="001B3FBF" w:rsidRPr="00954547">
        <w:rPr>
          <w:lang w:val="en-US"/>
        </w:rPr>
        <w:t xml:space="preserve"> correspondi</w:t>
      </w:r>
      <w:r w:rsidR="009A0FBE" w:rsidRPr="00954547">
        <w:rPr>
          <w:lang w:val="en-US"/>
        </w:rPr>
        <w:t xml:space="preserve">ng to </w:t>
      </w:r>
      <w:r w:rsidR="00C53900" w:rsidRPr="00954547">
        <w:rPr>
          <w:lang w:val="en-US"/>
        </w:rPr>
        <w:t xml:space="preserve">disbursements for </w:t>
      </w:r>
      <w:r w:rsidR="009A0FBE" w:rsidRPr="00954547">
        <w:rPr>
          <w:lang w:val="en-US"/>
        </w:rPr>
        <w:t xml:space="preserve">several days of board and lodging and transportation to assist </w:t>
      </w:r>
      <w:r w:rsidR="00607E12" w:rsidRPr="00954547">
        <w:rPr>
          <w:lang w:val="en-US"/>
        </w:rPr>
        <w:t>the presumed victims</w:t>
      </w:r>
      <w:r w:rsidR="0078694F" w:rsidRPr="00954547">
        <w:rPr>
          <w:lang w:val="en-US"/>
        </w:rPr>
        <w:t xml:space="preserve"> and </w:t>
      </w:r>
      <w:r w:rsidR="009A0FBE" w:rsidRPr="00954547">
        <w:rPr>
          <w:lang w:val="en-US"/>
        </w:rPr>
        <w:t>to develop arguments prior to the presentation of the</w:t>
      </w:r>
      <w:r w:rsidR="001B3FBF" w:rsidRPr="00954547">
        <w:rPr>
          <w:lang w:val="en-US"/>
        </w:rPr>
        <w:t xml:space="preserve"> </w:t>
      </w:r>
      <w:r w:rsidR="006E0D5E" w:rsidRPr="00954547">
        <w:rPr>
          <w:lang w:val="en-US"/>
        </w:rPr>
        <w:t>pleadings and motions brief</w:t>
      </w:r>
      <w:r w:rsidR="001B3FBF" w:rsidRPr="00954547">
        <w:rPr>
          <w:lang w:val="en-US"/>
        </w:rPr>
        <w:t xml:space="preserve">, </w:t>
      </w:r>
      <w:r w:rsidR="009A0FBE" w:rsidRPr="00954547">
        <w:rPr>
          <w:lang w:val="en-US"/>
        </w:rPr>
        <w:t>amounting to</w:t>
      </w:r>
      <w:r w:rsidR="001B3FBF" w:rsidRPr="00954547">
        <w:rPr>
          <w:lang w:val="en-US"/>
        </w:rPr>
        <w:t xml:space="preserve"> </w:t>
      </w:r>
      <w:r w:rsidR="00D30512" w:rsidRPr="00954547">
        <w:rPr>
          <w:lang w:val="en-US"/>
        </w:rPr>
        <w:t>US$</w:t>
      </w:r>
      <w:r w:rsidR="001B3FBF" w:rsidRPr="00954547">
        <w:rPr>
          <w:lang w:val="en-US"/>
        </w:rPr>
        <w:t>11</w:t>
      </w:r>
      <w:r w:rsidR="009A0FBE" w:rsidRPr="00954547">
        <w:rPr>
          <w:lang w:val="en-US"/>
        </w:rPr>
        <w:t>,</w:t>
      </w:r>
      <w:r w:rsidR="001B3FBF" w:rsidRPr="00954547">
        <w:rPr>
          <w:lang w:val="en-US"/>
        </w:rPr>
        <w:t xml:space="preserve">087.01 </w:t>
      </w:r>
      <w:r w:rsidR="009A0FBE" w:rsidRPr="00954547">
        <w:rPr>
          <w:lang w:val="en-US"/>
        </w:rPr>
        <w:t>for the</w:t>
      </w:r>
      <w:r w:rsidR="00F632DF" w:rsidRPr="00954547">
        <w:rPr>
          <w:lang w:val="en-US"/>
        </w:rPr>
        <w:t xml:space="preserve"> Salvadoran Asociación Colectiva de Mujeres para el Desarrollo Local, also known as the Colectiva Feminista para el Desarrollo Local</w:t>
      </w:r>
      <w:r w:rsidR="00B41C28" w:rsidRPr="00954547">
        <w:rPr>
          <w:lang w:val="en-US"/>
        </w:rPr>
        <w:t>,</w:t>
      </w:r>
      <w:r w:rsidR="0078694F" w:rsidRPr="00954547">
        <w:rPr>
          <w:lang w:val="en-US"/>
        </w:rPr>
        <w:t xml:space="preserve"> and </w:t>
      </w:r>
      <w:r w:rsidR="00D30512" w:rsidRPr="00954547">
        <w:rPr>
          <w:lang w:val="en-US"/>
        </w:rPr>
        <w:t>US$</w:t>
      </w:r>
      <w:r w:rsidR="001B3FBF" w:rsidRPr="00954547">
        <w:rPr>
          <w:lang w:val="en-US"/>
        </w:rPr>
        <w:t xml:space="preserve">54,638.67 </w:t>
      </w:r>
      <w:r w:rsidR="009A0FBE" w:rsidRPr="00954547">
        <w:rPr>
          <w:lang w:val="en-US"/>
        </w:rPr>
        <w:t>for the</w:t>
      </w:r>
      <w:r w:rsidR="001B3FBF" w:rsidRPr="00954547">
        <w:rPr>
          <w:lang w:val="en-US"/>
        </w:rPr>
        <w:t xml:space="preserve"> </w:t>
      </w:r>
      <w:r w:rsidR="00C90D62" w:rsidRPr="00954547">
        <w:rPr>
          <w:lang w:val="en-US"/>
        </w:rPr>
        <w:t>Center for Reproductive Rights</w:t>
      </w:r>
      <w:r w:rsidR="001B3FBF" w:rsidRPr="00954547">
        <w:rPr>
          <w:lang w:val="en-US"/>
        </w:rPr>
        <w:t xml:space="preserve">. </w:t>
      </w:r>
      <w:r w:rsidR="009A0FBE" w:rsidRPr="00954547">
        <w:rPr>
          <w:lang w:val="en-US"/>
        </w:rPr>
        <w:t>Regarding the sum requested for the</w:t>
      </w:r>
      <w:r w:rsidR="001B3FBF" w:rsidRPr="00954547">
        <w:rPr>
          <w:lang w:val="en-US"/>
        </w:rPr>
        <w:t xml:space="preserve"> </w:t>
      </w:r>
      <w:r w:rsidR="00C90D62" w:rsidRPr="00954547">
        <w:rPr>
          <w:lang w:val="en-US"/>
        </w:rPr>
        <w:t>Center for Reproductive Rights</w:t>
      </w:r>
      <w:r w:rsidR="001B3FBF" w:rsidRPr="00954547">
        <w:rPr>
          <w:lang w:val="en-US"/>
        </w:rPr>
        <w:t xml:space="preserve">, </w:t>
      </w:r>
      <w:r w:rsidRPr="00954547">
        <w:rPr>
          <w:lang w:val="en-US"/>
        </w:rPr>
        <w:t xml:space="preserve">the </w:t>
      </w:r>
      <w:r w:rsidR="006E0D5E" w:rsidRPr="00954547">
        <w:rPr>
          <w:lang w:val="en-US"/>
        </w:rPr>
        <w:t>representatives</w:t>
      </w:r>
      <w:r w:rsidR="001B3FBF" w:rsidRPr="00954547">
        <w:rPr>
          <w:lang w:val="en-US"/>
        </w:rPr>
        <w:t xml:space="preserve"> </w:t>
      </w:r>
      <w:r w:rsidR="009A0FBE" w:rsidRPr="00954547">
        <w:rPr>
          <w:lang w:val="en-US"/>
        </w:rPr>
        <w:t>indicated that</w:t>
      </w:r>
      <w:r w:rsidR="001B3FBF" w:rsidRPr="00954547">
        <w:rPr>
          <w:lang w:val="en-US"/>
        </w:rPr>
        <w:t xml:space="preserve"> “[</w:t>
      </w:r>
      <w:r w:rsidR="00B41C28" w:rsidRPr="00954547">
        <w:rPr>
          <w:lang w:val="en-US"/>
        </w:rPr>
        <w:t>o</w:t>
      </w:r>
      <w:r w:rsidR="00C53900" w:rsidRPr="00954547">
        <w:rPr>
          <w:lang w:val="en-US"/>
        </w:rPr>
        <w:t>]</w:t>
      </w:r>
      <w:r w:rsidR="00B41C28" w:rsidRPr="00954547">
        <w:rPr>
          <w:lang w:val="en-US"/>
        </w:rPr>
        <w:t>ther undocumented expenses exist and it is requested that they are calculated, in equity,</w:t>
      </w:r>
      <w:r w:rsidR="001B3FBF" w:rsidRPr="00954547">
        <w:rPr>
          <w:lang w:val="en-US"/>
        </w:rPr>
        <w:t xml:space="preserve">” </w:t>
      </w:r>
      <w:r w:rsidR="00C53900" w:rsidRPr="00954547">
        <w:rPr>
          <w:lang w:val="en-US"/>
        </w:rPr>
        <w:t xml:space="preserve">at </w:t>
      </w:r>
      <w:r w:rsidR="00D30512" w:rsidRPr="00954547">
        <w:rPr>
          <w:lang w:val="en-US"/>
        </w:rPr>
        <w:t>US$</w:t>
      </w:r>
      <w:r w:rsidR="001B3FBF" w:rsidRPr="00954547">
        <w:rPr>
          <w:lang w:val="en-US"/>
        </w:rPr>
        <w:t>29</w:t>
      </w:r>
      <w:r w:rsidR="009A0FBE" w:rsidRPr="00954547">
        <w:rPr>
          <w:lang w:val="en-US"/>
        </w:rPr>
        <w:t>,</w:t>
      </w:r>
      <w:r w:rsidR="001B3FBF" w:rsidRPr="00954547">
        <w:rPr>
          <w:lang w:val="en-US"/>
        </w:rPr>
        <w:t>241</w:t>
      </w:r>
      <w:r w:rsidR="009A0FBE" w:rsidRPr="00954547">
        <w:rPr>
          <w:lang w:val="en-US"/>
        </w:rPr>
        <w:t>.</w:t>
      </w:r>
      <w:r w:rsidR="001B3FBF" w:rsidRPr="00954547">
        <w:rPr>
          <w:lang w:val="en-US"/>
        </w:rPr>
        <w:t xml:space="preserve">24. </w:t>
      </w:r>
      <w:r w:rsidR="00140D18" w:rsidRPr="00954547">
        <w:rPr>
          <w:lang w:val="en-US"/>
        </w:rPr>
        <w:t xml:space="preserve">In their final written arguments, they requested the additional payment of </w:t>
      </w:r>
      <w:r w:rsidR="00D30512" w:rsidRPr="00954547">
        <w:rPr>
          <w:lang w:val="en-US"/>
        </w:rPr>
        <w:t>US$</w:t>
      </w:r>
      <w:r w:rsidR="00A17F8C" w:rsidRPr="00954547">
        <w:rPr>
          <w:lang w:val="en-US"/>
        </w:rPr>
        <w:t>4</w:t>
      </w:r>
      <w:r w:rsidR="009A0FBE" w:rsidRPr="00954547">
        <w:rPr>
          <w:lang w:val="en-US"/>
        </w:rPr>
        <w:t>,</w:t>
      </w:r>
      <w:r w:rsidR="00A17F8C" w:rsidRPr="00954547">
        <w:rPr>
          <w:lang w:val="en-US"/>
        </w:rPr>
        <w:t>1</w:t>
      </w:r>
      <w:r w:rsidR="001B3FBF" w:rsidRPr="00954547">
        <w:rPr>
          <w:lang w:val="en-US"/>
        </w:rPr>
        <w:t>80</w:t>
      </w:r>
      <w:r w:rsidR="009A0FBE" w:rsidRPr="00954547">
        <w:rPr>
          <w:lang w:val="en-US"/>
        </w:rPr>
        <w:t>.</w:t>
      </w:r>
      <w:r w:rsidR="001B3FBF" w:rsidRPr="00954547">
        <w:rPr>
          <w:lang w:val="en-US"/>
        </w:rPr>
        <w:t xml:space="preserve">71 </w:t>
      </w:r>
      <w:r w:rsidR="009A0FBE" w:rsidRPr="00954547">
        <w:rPr>
          <w:lang w:val="en-US"/>
        </w:rPr>
        <w:t>in favor of</w:t>
      </w:r>
      <w:r w:rsidR="001B3FBF" w:rsidRPr="00954547">
        <w:rPr>
          <w:lang w:val="en-US"/>
        </w:rPr>
        <w:t xml:space="preserve"> </w:t>
      </w:r>
      <w:r w:rsidR="00140D18" w:rsidRPr="00954547">
        <w:rPr>
          <w:lang w:val="en-US"/>
        </w:rPr>
        <w:t>the</w:t>
      </w:r>
      <w:r w:rsidR="001B3FBF" w:rsidRPr="00954547">
        <w:rPr>
          <w:lang w:val="en-US"/>
        </w:rPr>
        <w:t xml:space="preserve"> </w:t>
      </w:r>
      <w:r w:rsidR="00F632DF" w:rsidRPr="00954547">
        <w:rPr>
          <w:lang w:val="en-US"/>
        </w:rPr>
        <w:t xml:space="preserve">Asociación Colectiva de Mujeres para el Desarrollo Local, also known as the Colectiva Feminista para el Desarrollo Local </w:t>
      </w:r>
      <w:r w:rsidR="0078694F" w:rsidRPr="00954547">
        <w:rPr>
          <w:lang w:val="en-US"/>
        </w:rPr>
        <w:t xml:space="preserve">and </w:t>
      </w:r>
      <w:r w:rsidR="00D30512" w:rsidRPr="00954547">
        <w:rPr>
          <w:lang w:val="en-US"/>
        </w:rPr>
        <w:t>US$</w:t>
      </w:r>
      <w:r w:rsidR="001B3FBF" w:rsidRPr="00954547">
        <w:rPr>
          <w:lang w:val="en-US"/>
        </w:rPr>
        <w:t xml:space="preserve">6,182.07 </w:t>
      </w:r>
      <w:r w:rsidR="009A0FBE" w:rsidRPr="00954547">
        <w:rPr>
          <w:lang w:val="en-US"/>
        </w:rPr>
        <w:t xml:space="preserve">in favor of the </w:t>
      </w:r>
      <w:r w:rsidR="00C90D62" w:rsidRPr="00954547">
        <w:rPr>
          <w:lang w:val="en-US"/>
        </w:rPr>
        <w:t>Center for Reproductive Rights</w:t>
      </w:r>
      <w:r w:rsidR="001B3FBF" w:rsidRPr="00954547">
        <w:rPr>
          <w:lang w:val="en-US"/>
        </w:rPr>
        <w:t xml:space="preserve">. </w:t>
      </w:r>
      <w:r w:rsidR="009A0FBE" w:rsidRPr="00954547">
        <w:rPr>
          <w:lang w:val="en-US"/>
        </w:rPr>
        <w:t xml:space="preserve">In total, they asked for the payment of </w:t>
      </w:r>
      <w:r w:rsidR="00D30512" w:rsidRPr="00954547">
        <w:rPr>
          <w:lang w:val="en-US"/>
        </w:rPr>
        <w:t>US$</w:t>
      </w:r>
      <w:r w:rsidR="001B3FBF" w:rsidRPr="00954547">
        <w:rPr>
          <w:lang w:val="en-US"/>
        </w:rPr>
        <w:t>1</w:t>
      </w:r>
      <w:r w:rsidR="005903D2" w:rsidRPr="00954547">
        <w:rPr>
          <w:lang w:val="en-US"/>
        </w:rPr>
        <w:t>5</w:t>
      </w:r>
      <w:r w:rsidR="009A0FBE" w:rsidRPr="00954547">
        <w:rPr>
          <w:lang w:val="en-US"/>
        </w:rPr>
        <w:t>,</w:t>
      </w:r>
      <w:r w:rsidR="005903D2" w:rsidRPr="00954547">
        <w:rPr>
          <w:lang w:val="en-US"/>
        </w:rPr>
        <w:t>2</w:t>
      </w:r>
      <w:r w:rsidR="001B3FBF" w:rsidRPr="00954547">
        <w:rPr>
          <w:lang w:val="en-US"/>
        </w:rPr>
        <w:t xml:space="preserve">67.72 </w:t>
      </w:r>
      <w:r w:rsidR="00C53900" w:rsidRPr="00954547">
        <w:rPr>
          <w:lang w:val="en-US"/>
        </w:rPr>
        <w:t>for</w:t>
      </w:r>
      <w:r w:rsidR="009A0FBE" w:rsidRPr="00954547">
        <w:rPr>
          <w:lang w:val="en-US"/>
        </w:rPr>
        <w:t xml:space="preserve"> the</w:t>
      </w:r>
      <w:r w:rsidR="001B3FBF" w:rsidRPr="00954547">
        <w:rPr>
          <w:lang w:val="en-US"/>
        </w:rPr>
        <w:t xml:space="preserve"> </w:t>
      </w:r>
      <w:r w:rsidR="00F632DF" w:rsidRPr="00954547">
        <w:rPr>
          <w:lang w:val="en-US"/>
        </w:rPr>
        <w:t xml:space="preserve">Asociación Colectiva de Mujeres para el Desarrollo Local, also known as the Colectiva Feminista para el Desarrollo Local </w:t>
      </w:r>
      <w:r w:rsidR="0078694F" w:rsidRPr="00954547">
        <w:rPr>
          <w:lang w:val="en-US"/>
        </w:rPr>
        <w:t xml:space="preserve">and </w:t>
      </w:r>
      <w:r w:rsidR="00D30512" w:rsidRPr="00954547">
        <w:rPr>
          <w:lang w:val="en-US"/>
        </w:rPr>
        <w:t>US$</w:t>
      </w:r>
      <w:r w:rsidR="001B3FBF" w:rsidRPr="00954547">
        <w:rPr>
          <w:lang w:val="en-US"/>
        </w:rPr>
        <w:t>60</w:t>
      </w:r>
      <w:r w:rsidR="009A0FBE" w:rsidRPr="00954547">
        <w:rPr>
          <w:lang w:val="en-US"/>
        </w:rPr>
        <w:t>,</w:t>
      </w:r>
      <w:r w:rsidR="001B3FBF" w:rsidRPr="00954547">
        <w:rPr>
          <w:lang w:val="en-US"/>
        </w:rPr>
        <w:t xml:space="preserve">820.74 </w:t>
      </w:r>
      <w:r w:rsidR="00C53900" w:rsidRPr="00954547">
        <w:rPr>
          <w:lang w:val="en-US"/>
        </w:rPr>
        <w:t>for</w:t>
      </w:r>
      <w:r w:rsidR="009A0FBE" w:rsidRPr="00954547">
        <w:rPr>
          <w:lang w:val="en-US"/>
        </w:rPr>
        <w:t xml:space="preserve"> the </w:t>
      </w:r>
      <w:r w:rsidR="00C90D62" w:rsidRPr="00954547">
        <w:rPr>
          <w:lang w:val="en-US"/>
        </w:rPr>
        <w:t>Center for Reproductive Rights</w:t>
      </w:r>
      <w:r w:rsidR="001B3FBF" w:rsidRPr="00954547">
        <w:rPr>
          <w:lang w:val="en-US"/>
        </w:rPr>
        <w:t xml:space="preserve">. </w:t>
      </w:r>
    </w:p>
    <w:p w14:paraId="63D9F99D" w14:textId="3B47DF18" w:rsidR="001B3FBF" w:rsidRPr="00954547" w:rsidRDefault="001B3FBF" w:rsidP="00140D18">
      <w:pPr>
        <w:pStyle w:val="Numberedparagraphs"/>
        <w:tabs>
          <w:tab w:val="left" w:pos="567"/>
        </w:tabs>
        <w:rPr>
          <w:lang w:val="en-US"/>
        </w:rPr>
      </w:pPr>
      <w:r w:rsidRPr="00954547">
        <w:rPr>
          <w:lang w:val="en-US"/>
        </w:rPr>
        <w:t xml:space="preserve"> </w:t>
      </w:r>
      <w:r w:rsidR="00B8393C" w:rsidRPr="00954547">
        <w:rPr>
          <w:lang w:val="en-US"/>
        </w:rPr>
        <w:t xml:space="preserve">The </w:t>
      </w:r>
      <w:r w:rsidR="00B8393C" w:rsidRPr="00954547">
        <w:rPr>
          <w:b/>
          <w:bCs/>
          <w:i/>
          <w:iCs/>
          <w:lang w:val="en-US"/>
        </w:rPr>
        <w:t>State</w:t>
      </w:r>
      <w:r w:rsidRPr="00954547">
        <w:rPr>
          <w:b/>
          <w:i/>
          <w:lang w:val="en-US"/>
        </w:rPr>
        <w:t xml:space="preserve"> </w:t>
      </w:r>
      <w:r w:rsidR="00140D18" w:rsidRPr="00954547">
        <w:rPr>
          <w:lang w:val="en-US"/>
        </w:rPr>
        <w:t xml:space="preserve">underscored that the expense vouchers provided by </w:t>
      </w:r>
      <w:bookmarkStart w:id="192" w:name="_Ref532988410"/>
      <w:bookmarkEnd w:id="185"/>
      <w:r w:rsidR="005C1103">
        <w:rPr>
          <w:lang w:val="en-US"/>
        </w:rPr>
        <w:t xml:space="preserve">the </w:t>
      </w:r>
      <w:r w:rsidR="00F632DF" w:rsidRPr="005C1103">
        <w:rPr>
          <w:i/>
          <w:iCs/>
          <w:lang w:val="en-US"/>
        </w:rPr>
        <w:t xml:space="preserve">Colectiva Feminista para el Desarrollo Local </w:t>
      </w:r>
      <w:r w:rsidR="0045739A">
        <w:rPr>
          <w:lang w:val="en-US"/>
        </w:rPr>
        <w:t>of El Salvador c</w:t>
      </w:r>
      <w:r w:rsidRPr="00954547">
        <w:rPr>
          <w:lang w:val="en-US"/>
        </w:rPr>
        <w:t>orrespond</w:t>
      </w:r>
      <w:r w:rsidR="00140D18" w:rsidRPr="00954547">
        <w:rPr>
          <w:lang w:val="en-US"/>
        </w:rPr>
        <w:t xml:space="preserve">ed to “expenses that have been charged to cooperation projects, whose funds are non-reimbursable.” Regarding the </w:t>
      </w:r>
      <w:r w:rsidR="00C90D62" w:rsidRPr="00954547">
        <w:rPr>
          <w:lang w:val="en-US"/>
        </w:rPr>
        <w:t>Center for Reproductive Rights</w:t>
      </w:r>
      <w:r w:rsidRPr="00954547">
        <w:rPr>
          <w:lang w:val="en-US"/>
        </w:rPr>
        <w:t xml:space="preserve">, </w:t>
      </w:r>
      <w:r w:rsidR="00B8393C" w:rsidRPr="00954547">
        <w:rPr>
          <w:lang w:val="en-US"/>
        </w:rPr>
        <w:t>the State</w:t>
      </w:r>
      <w:r w:rsidRPr="00954547">
        <w:rPr>
          <w:lang w:val="en-US"/>
        </w:rPr>
        <w:t xml:space="preserve"> </w:t>
      </w:r>
      <w:r w:rsidR="00140D18" w:rsidRPr="00954547">
        <w:rPr>
          <w:lang w:val="en-US"/>
        </w:rPr>
        <w:t>indicated that</w:t>
      </w:r>
      <w:r w:rsidRPr="00954547">
        <w:rPr>
          <w:lang w:val="en-US"/>
        </w:rPr>
        <w:t xml:space="preserve"> “</w:t>
      </w:r>
      <w:r w:rsidR="00140D18" w:rsidRPr="00954547">
        <w:rPr>
          <w:lang w:val="en-US"/>
        </w:rPr>
        <w:t>the expenses reported correspond only to the item of air fares and travel without proving that this was specifically related to the case.” Therefore, it asked the Court to determine the expenses that were clearly related to and “incurred exclusively for the purpose of this case and that are sufficiently authenticated.”</w:t>
      </w:r>
    </w:p>
    <w:p w14:paraId="3C681750" w14:textId="623B9568" w:rsidR="00D465AE" w:rsidRPr="00954547" w:rsidRDefault="00E76B1A" w:rsidP="00BF4845">
      <w:pPr>
        <w:pStyle w:val="Numberedparagraphs"/>
        <w:tabs>
          <w:tab w:val="left" w:pos="567"/>
        </w:tabs>
        <w:rPr>
          <w:lang w:val="en-US"/>
        </w:rPr>
      </w:pPr>
      <w:bookmarkStart w:id="193" w:name="_Ref72330582"/>
      <w:bookmarkEnd w:id="192"/>
      <w:r w:rsidRPr="00954547">
        <w:rPr>
          <w:lang w:val="en-US"/>
        </w:rPr>
        <w:t>The Court</w:t>
      </w:r>
      <w:r w:rsidR="00D465AE" w:rsidRPr="00954547">
        <w:rPr>
          <w:lang w:val="en-US"/>
        </w:rPr>
        <w:t xml:space="preserve"> reitera</w:t>
      </w:r>
      <w:r w:rsidR="00140D18" w:rsidRPr="00954547">
        <w:rPr>
          <w:lang w:val="en-US"/>
        </w:rPr>
        <w:t>tes that, according to its case law,</w:t>
      </w:r>
      <w:r w:rsidR="00D465AE" w:rsidRPr="00954547">
        <w:rPr>
          <w:vertAlign w:val="superscript"/>
          <w:lang w:val="en-US"/>
        </w:rPr>
        <w:footnoteReference w:id="456"/>
      </w:r>
      <w:r w:rsidR="00D465AE" w:rsidRPr="00954547">
        <w:rPr>
          <w:lang w:val="en-US"/>
        </w:rPr>
        <w:t xml:space="preserve"> </w:t>
      </w:r>
      <w:r w:rsidR="005D2781" w:rsidRPr="00954547">
        <w:rPr>
          <w:lang w:val="en-US"/>
        </w:rPr>
        <w:t>costs and expenses</w:t>
      </w:r>
      <w:r w:rsidR="00D465AE" w:rsidRPr="00954547">
        <w:rPr>
          <w:lang w:val="en-US"/>
        </w:rPr>
        <w:t xml:space="preserve"> </w:t>
      </w:r>
      <w:r w:rsidR="00140D18" w:rsidRPr="00954547">
        <w:rPr>
          <w:lang w:val="en-US"/>
        </w:rPr>
        <w:t xml:space="preserve">form part of the concept of reparation, because the actions taken by the victims in order to obtain justice, at both the internal and the international level, entail disbursements that should be compensated when the international responsibility of the State has been declared in a judgment. Regarding reimbursement of costs and expenses, the Court </w:t>
      </w:r>
      <w:r w:rsidR="009603DC" w:rsidRPr="00954547">
        <w:rPr>
          <w:lang w:val="en-US"/>
        </w:rPr>
        <w:t>must</w:t>
      </w:r>
      <w:r w:rsidR="00140D18" w:rsidRPr="00954547">
        <w:rPr>
          <w:lang w:val="en-US"/>
        </w:rPr>
        <w:t xml:space="preserve"> prudently assess their scope, which includes the expenses incurred before the authorities of the </w:t>
      </w:r>
      <w:r w:rsidR="009603DC" w:rsidRPr="00954547">
        <w:rPr>
          <w:lang w:val="en-US"/>
        </w:rPr>
        <w:t>domestic</w:t>
      </w:r>
      <w:r w:rsidR="00140D18" w:rsidRPr="00954547">
        <w:rPr>
          <w:lang w:val="en-US"/>
        </w:rPr>
        <w:t>l jurisdiction</w:t>
      </w:r>
      <w:r w:rsidR="00BF4845" w:rsidRPr="00954547">
        <w:rPr>
          <w:lang w:val="en-US"/>
        </w:rPr>
        <w:t xml:space="preserve">, and also those incurred during the proceedings before the inter-American system, taking into account the circumstances of the specific case and the nature of the international jurisdiction for the protection of human rights. This assessment may be made based on the principle of equity and taking into account the expenses indicated by the parties provided that the </w:t>
      </w:r>
      <w:r w:rsidR="00BF4845" w:rsidRPr="00954547">
        <w:rPr>
          <w:i/>
          <w:iCs/>
          <w:lang w:val="en-US"/>
        </w:rPr>
        <w:t>quantum</w:t>
      </w:r>
      <w:r w:rsidR="00BF4845" w:rsidRPr="00954547">
        <w:rPr>
          <w:lang w:val="en-US"/>
        </w:rPr>
        <w:t xml:space="preserve"> is reasonable.</w:t>
      </w:r>
      <w:r w:rsidR="00D465AE" w:rsidRPr="00954547">
        <w:rPr>
          <w:vertAlign w:val="superscript"/>
          <w:lang w:val="en-US"/>
        </w:rPr>
        <w:footnoteReference w:id="457"/>
      </w:r>
    </w:p>
    <w:p w14:paraId="005322D8" w14:textId="6695FE0C" w:rsidR="00D465AE" w:rsidRPr="00954547" w:rsidRDefault="00BF4845" w:rsidP="00BF4845">
      <w:pPr>
        <w:pStyle w:val="Numberedparagraphs"/>
        <w:tabs>
          <w:tab w:val="left" w:pos="567"/>
        </w:tabs>
        <w:rPr>
          <w:lang w:val="en-US"/>
        </w:rPr>
      </w:pPr>
      <w:r w:rsidRPr="00954547">
        <w:rPr>
          <w:lang w:val="en-US"/>
        </w:rPr>
        <w:t>This Court has indicated that “the claims of the victims or their representatives for costs and expenses, and the evidence supporting them, must be presented to the Court at the first procedural moment granted to them</w:t>
      </w:r>
      <w:r w:rsidR="009603DC" w:rsidRPr="00954547">
        <w:rPr>
          <w:lang w:val="en-US"/>
        </w:rPr>
        <w:t>,</w:t>
      </w:r>
      <w:r w:rsidRPr="00954547">
        <w:rPr>
          <w:lang w:val="en-US"/>
        </w:rPr>
        <w:t xml:space="preserve"> that is, in the pleadings and motions brief, without prejudice to those claims being updated subsequently, in keeping with the new costs and expenses incurred due to the proceedings before this Court.</w:t>
      </w:r>
      <w:r w:rsidR="00D465AE" w:rsidRPr="00954547">
        <w:rPr>
          <w:lang w:val="en-US"/>
        </w:rPr>
        <w:t>”</w:t>
      </w:r>
      <w:r w:rsidR="00D465AE" w:rsidRPr="00954547">
        <w:rPr>
          <w:vertAlign w:val="superscript"/>
          <w:lang w:val="en-US"/>
        </w:rPr>
        <w:footnoteReference w:id="458"/>
      </w:r>
      <w:r w:rsidRPr="00954547">
        <w:rPr>
          <w:lang w:val="en-US"/>
        </w:rPr>
        <w:t xml:space="preserve"> In addition, the Court reiterates that it is not sufficient merely to forward probative documents; rather, the parties are required to include arguments that relates the evidence to the fact that it is considered to represent and that, in the case of alleged financial disbursements, the items and their justification </w:t>
      </w:r>
      <w:r w:rsidR="009603DC" w:rsidRPr="00954547">
        <w:rPr>
          <w:lang w:val="en-US"/>
        </w:rPr>
        <w:t>are</w:t>
      </w:r>
      <w:r w:rsidRPr="00954547">
        <w:rPr>
          <w:lang w:val="en-US"/>
        </w:rPr>
        <w:t xml:space="preserve"> clearly established.</w:t>
      </w:r>
      <w:r w:rsidR="00D465AE" w:rsidRPr="00954547">
        <w:rPr>
          <w:vertAlign w:val="superscript"/>
          <w:lang w:val="en-US"/>
        </w:rPr>
        <w:footnoteReference w:id="459"/>
      </w:r>
      <w:bookmarkStart w:id="194" w:name="_Ref36651082"/>
      <w:bookmarkStart w:id="195" w:name="_Ref33110670"/>
    </w:p>
    <w:p w14:paraId="3049347A" w14:textId="49471CE0" w:rsidR="001B3FBF" w:rsidRPr="00954547" w:rsidRDefault="00D465AE" w:rsidP="00137EE9">
      <w:pPr>
        <w:pStyle w:val="Numberedparagraphs"/>
        <w:tabs>
          <w:tab w:val="left" w:pos="567"/>
        </w:tabs>
        <w:rPr>
          <w:lang w:val="en-US"/>
        </w:rPr>
      </w:pPr>
      <w:bookmarkStart w:id="196" w:name="_Ref88048340"/>
      <w:bookmarkEnd w:id="194"/>
      <w:bookmarkEnd w:id="195"/>
      <w:r w:rsidRPr="00954547">
        <w:rPr>
          <w:lang w:val="en-US"/>
        </w:rPr>
        <w:t>T</w:t>
      </w:r>
      <w:r w:rsidR="00137EE9" w:rsidRPr="00954547">
        <w:rPr>
          <w:lang w:val="en-US"/>
        </w:rPr>
        <w:t xml:space="preserve">aking into account the sum requested by </w:t>
      </w:r>
      <w:r w:rsidR="00B8393C" w:rsidRPr="00954547">
        <w:rPr>
          <w:lang w:val="en-US"/>
        </w:rPr>
        <w:t xml:space="preserve">the </w:t>
      </w:r>
      <w:r w:rsidR="006E0D5E" w:rsidRPr="00954547">
        <w:rPr>
          <w:lang w:val="en-US"/>
        </w:rPr>
        <w:t>representatives</w:t>
      </w:r>
      <w:r w:rsidR="0078694F" w:rsidRPr="00954547">
        <w:rPr>
          <w:lang w:val="en-US"/>
        </w:rPr>
        <w:t xml:space="preserve"> and </w:t>
      </w:r>
      <w:r w:rsidR="00137EE9" w:rsidRPr="00954547">
        <w:rPr>
          <w:lang w:val="en-US"/>
        </w:rPr>
        <w:t xml:space="preserve">the expense vouchers presented, the Court decides to establish, in equity, the payment of: a total of </w:t>
      </w:r>
      <w:r w:rsidR="00D30512" w:rsidRPr="00954547">
        <w:rPr>
          <w:lang w:val="en-US"/>
        </w:rPr>
        <w:t>US$</w:t>
      </w:r>
      <w:r w:rsidRPr="00954547">
        <w:rPr>
          <w:lang w:val="en-US"/>
        </w:rPr>
        <w:t>14</w:t>
      </w:r>
      <w:r w:rsidR="00137EE9" w:rsidRPr="00954547">
        <w:rPr>
          <w:lang w:val="en-US"/>
        </w:rPr>
        <w:t>,</w:t>
      </w:r>
      <w:r w:rsidR="005C57FF" w:rsidRPr="00954547">
        <w:rPr>
          <w:lang w:val="en-US"/>
        </w:rPr>
        <w:t>500</w:t>
      </w:r>
      <w:r w:rsidR="00137EE9" w:rsidRPr="00954547">
        <w:rPr>
          <w:lang w:val="en-US"/>
        </w:rPr>
        <w:t>.</w:t>
      </w:r>
      <w:r w:rsidR="00647739" w:rsidRPr="00954547">
        <w:rPr>
          <w:lang w:val="en-US"/>
        </w:rPr>
        <w:t>00</w:t>
      </w:r>
      <w:r w:rsidRPr="00954547">
        <w:rPr>
          <w:lang w:val="en-US"/>
        </w:rPr>
        <w:t xml:space="preserve"> (</w:t>
      </w:r>
      <w:r w:rsidR="00137EE9" w:rsidRPr="00954547">
        <w:rPr>
          <w:lang w:val="en-US"/>
        </w:rPr>
        <w:t>fourteen thousand five hundred</w:t>
      </w:r>
      <w:r w:rsidRPr="00954547">
        <w:rPr>
          <w:lang w:val="en-US"/>
        </w:rPr>
        <w:t xml:space="preserve"> </w:t>
      </w:r>
      <w:r w:rsidR="009A0FBE" w:rsidRPr="00954547">
        <w:rPr>
          <w:lang w:val="en-US"/>
        </w:rPr>
        <w:t>United States dollars</w:t>
      </w:r>
      <w:r w:rsidRPr="00954547">
        <w:rPr>
          <w:lang w:val="en-US"/>
        </w:rPr>
        <w:t xml:space="preserve">) </w:t>
      </w:r>
      <w:r w:rsidR="00137EE9" w:rsidRPr="00954547">
        <w:rPr>
          <w:lang w:val="en-US"/>
        </w:rPr>
        <w:t>for</w:t>
      </w:r>
      <w:r w:rsidRPr="00954547">
        <w:rPr>
          <w:lang w:val="en-US"/>
        </w:rPr>
        <w:t xml:space="preserve"> </w:t>
      </w:r>
      <w:r w:rsidR="005D2781" w:rsidRPr="00954547">
        <w:rPr>
          <w:lang w:val="en-US"/>
        </w:rPr>
        <w:t>costs and expenses</w:t>
      </w:r>
      <w:r w:rsidRPr="00954547">
        <w:rPr>
          <w:lang w:val="en-US"/>
        </w:rPr>
        <w:t xml:space="preserve"> </w:t>
      </w:r>
      <w:r w:rsidR="009A0FBE" w:rsidRPr="00954547">
        <w:rPr>
          <w:lang w:val="en-US"/>
        </w:rPr>
        <w:t>in favor of</w:t>
      </w:r>
      <w:r w:rsidRPr="00954547">
        <w:rPr>
          <w:lang w:val="en-US"/>
        </w:rPr>
        <w:t xml:space="preserve"> </w:t>
      </w:r>
      <w:r w:rsidR="00137EE9" w:rsidRPr="00954547">
        <w:rPr>
          <w:lang w:val="en-US"/>
        </w:rPr>
        <w:t xml:space="preserve">the </w:t>
      </w:r>
      <w:r w:rsidR="00F632DF" w:rsidRPr="00954547">
        <w:rPr>
          <w:lang w:val="en-US"/>
        </w:rPr>
        <w:t xml:space="preserve">Asociación Colectiva de Mujeres para el Desarrollo Local, also known as the Colectiva Feminista para el Desarrollo Local and </w:t>
      </w:r>
      <w:r w:rsidR="00137EE9" w:rsidRPr="00954547">
        <w:rPr>
          <w:lang w:val="en-US"/>
        </w:rPr>
        <w:t>a total of</w:t>
      </w:r>
      <w:r w:rsidRPr="00954547">
        <w:rPr>
          <w:lang w:val="en-US"/>
        </w:rPr>
        <w:t xml:space="preserve"> </w:t>
      </w:r>
      <w:r w:rsidR="00D30512" w:rsidRPr="00954547">
        <w:rPr>
          <w:lang w:val="en-US"/>
        </w:rPr>
        <w:t>US$</w:t>
      </w:r>
      <w:r w:rsidRPr="00954547">
        <w:rPr>
          <w:lang w:val="en-US"/>
        </w:rPr>
        <w:t>33</w:t>
      </w:r>
      <w:r w:rsidR="009A0FBE" w:rsidRPr="00954547">
        <w:rPr>
          <w:lang w:val="en-US"/>
        </w:rPr>
        <w:t>,000.00</w:t>
      </w:r>
      <w:r w:rsidRPr="00954547">
        <w:rPr>
          <w:lang w:val="en-US"/>
        </w:rPr>
        <w:t xml:space="preserve"> (</w:t>
      </w:r>
      <w:r w:rsidR="00137EE9" w:rsidRPr="00954547">
        <w:rPr>
          <w:lang w:val="en-US"/>
        </w:rPr>
        <w:t xml:space="preserve">thirty three </w:t>
      </w:r>
      <w:r w:rsidR="009A0FBE" w:rsidRPr="00954547">
        <w:rPr>
          <w:lang w:val="en-US"/>
        </w:rPr>
        <w:t>thousand United States dollars</w:t>
      </w:r>
      <w:r w:rsidRPr="00954547">
        <w:rPr>
          <w:lang w:val="en-US"/>
        </w:rPr>
        <w:t xml:space="preserve">) </w:t>
      </w:r>
      <w:r w:rsidR="00137EE9" w:rsidRPr="00954547">
        <w:rPr>
          <w:lang w:val="en-US"/>
        </w:rPr>
        <w:t>for</w:t>
      </w:r>
      <w:r w:rsidRPr="00954547">
        <w:rPr>
          <w:lang w:val="en-US"/>
        </w:rPr>
        <w:t xml:space="preserve"> </w:t>
      </w:r>
      <w:r w:rsidR="005D2781" w:rsidRPr="00954547">
        <w:rPr>
          <w:lang w:val="en-US"/>
        </w:rPr>
        <w:t>costs and expenses</w:t>
      </w:r>
      <w:r w:rsidRPr="00954547">
        <w:rPr>
          <w:lang w:val="en-US"/>
        </w:rPr>
        <w:t xml:space="preserve"> </w:t>
      </w:r>
      <w:r w:rsidR="009A0FBE" w:rsidRPr="00954547">
        <w:rPr>
          <w:lang w:val="en-US"/>
        </w:rPr>
        <w:t xml:space="preserve">in favor of the </w:t>
      </w:r>
      <w:r w:rsidR="00C90D62" w:rsidRPr="00954547">
        <w:rPr>
          <w:lang w:val="en-US"/>
        </w:rPr>
        <w:t>Center for Reproductive Rights</w:t>
      </w:r>
      <w:r w:rsidRPr="00954547">
        <w:rPr>
          <w:lang w:val="en-US"/>
        </w:rPr>
        <w:t xml:space="preserve">. </w:t>
      </w:r>
      <w:r w:rsidR="00137EE9" w:rsidRPr="00954547">
        <w:rPr>
          <w:lang w:val="en-US"/>
        </w:rPr>
        <w:t xml:space="preserve">These sums must be delivered directly to the said organisations. During the stage of monitoring compliance with </w:t>
      </w:r>
      <w:r w:rsidR="004B6621" w:rsidRPr="00954547">
        <w:rPr>
          <w:rFonts w:cs="Verdana"/>
          <w:lang w:val="en-US"/>
        </w:rPr>
        <w:t>this judgment</w:t>
      </w:r>
      <w:r w:rsidRPr="00954547">
        <w:rPr>
          <w:rFonts w:cs="Verdana"/>
          <w:lang w:val="en-US"/>
        </w:rPr>
        <w:t xml:space="preserve">, </w:t>
      </w:r>
      <w:r w:rsidR="00E76B1A" w:rsidRPr="00954547">
        <w:rPr>
          <w:rFonts w:cs="Verdana"/>
          <w:lang w:val="en-US"/>
        </w:rPr>
        <w:t>the Court</w:t>
      </w:r>
      <w:r w:rsidRPr="00954547">
        <w:rPr>
          <w:rFonts w:cs="Verdana"/>
          <w:lang w:val="en-US"/>
        </w:rPr>
        <w:t xml:space="preserve"> </w:t>
      </w:r>
      <w:r w:rsidR="00137EE9" w:rsidRPr="00954547">
        <w:rPr>
          <w:rFonts w:cs="Verdana"/>
          <w:lang w:val="en-US"/>
        </w:rPr>
        <w:t>may establish that the State reimburse the victims or their representatives any reasonable expenses incurred at that procedural stage.</w:t>
      </w:r>
      <w:bookmarkEnd w:id="186"/>
      <w:bookmarkEnd w:id="187"/>
      <w:bookmarkEnd w:id="193"/>
      <w:r w:rsidRPr="00954547">
        <w:rPr>
          <w:rStyle w:val="FootnoteReference"/>
          <w:lang w:val="en-US"/>
        </w:rPr>
        <w:footnoteReference w:id="460"/>
      </w:r>
      <w:bookmarkEnd w:id="196"/>
    </w:p>
    <w:p w14:paraId="23B39B68" w14:textId="1CAB0D1C" w:rsidR="001C5180" w:rsidRPr="00954547" w:rsidRDefault="009A0FBE" w:rsidP="000365EC">
      <w:pPr>
        <w:pStyle w:val="Heading2"/>
        <w:numPr>
          <w:ilvl w:val="0"/>
          <w:numId w:val="18"/>
        </w:numPr>
        <w:rPr>
          <w:lang w:val="en-US"/>
        </w:rPr>
      </w:pPr>
      <w:bookmarkStart w:id="197" w:name="_Toc106353949"/>
      <w:r w:rsidRPr="00954547">
        <w:rPr>
          <w:lang w:val="en-US"/>
        </w:rPr>
        <w:t>Method of compliance with the payments ordered</w:t>
      </w:r>
      <w:bookmarkStart w:id="198" w:name="_Ref469940428"/>
      <w:bookmarkEnd w:id="188"/>
      <w:bookmarkEnd w:id="189"/>
      <w:bookmarkEnd w:id="190"/>
      <w:bookmarkEnd w:id="191"/>
      <w:bookmarkEnd w:id="197"/>
    </w:p>
    <w:p w14:paraId="3C5DAD76" w14:textId="1CC43A34" w:rsidR="001C5180" w:rsidRPr="00954547" w:rsidRDefault="00B8393C" w:rsidP="00386B24">
      <w:pPr>
        <w:pStyle w:val="Numberedparagraphs"/>
        <w:tabs>
          <w:tab w:val="clear" w:pos="720"/>
          <w:tab w:val="left" w:pos="567"/>
        </w:tabs>
        <w:rPr>
          <w:rFonts w:cs="Times"/>
          <w:lang w:val="en-US" w:eastAsia="es-CR"/>
        </w:rPr>
      </w:pPr>
      <w:bookmarkStart w:id="199" w:name="_Ref43209330"/>
      <w:bookmarkEnd w:id="198"/>
      <w:r w:rsidRPr="00954547">
        <w:rPr>
          <w:lang w:val="en-US"/>
        </w:rPr>
        <w:t>The State</w:t>
      </w:r>
      <w:r w:rsidR="001C5180" w:rsidRPr="00954547">
        <w:rPr>
          <w:lang w:val="en-US"/>
        </w:rPr>
        <w:t xml:space="preserve"> </w:t>
      </w:r>
      <w:r w:rsidR="009A0FBE" w:rsidRPr="00954547">
        <w:rPr>
          <w:lang w:val="en-US"/>
        </w:rPr>
        <w:t>shall make the payment</w:t>
      </w:r>
      <w:r w:rsidR="009603DC" w:rsidRPr="00954547">
        <w:rPr>
          <w:lang w:val="en-US"/>
        </w:rPr>
        <w:t>s of</w:t>
      </w:r>
      <w:r w:rsidR="009A0FBE" w:rsidRPr="00954547">
        <w:rPr>
          <w:lang w:val="en-US"/>
        </w:rPr>
        <w:t xml:space="preserve"> the compensation for p</w:t>
      </w:r>
      <w:r w:rsidR="00D30512" w:rsidRPr="00954547">
        <w:rPr>
          <w:lang w:val="en-US"/>
        </w:rPr>
        <w:t xml:space="preserve">ecuniary </w:t>
      </w:r>
      <w:r w:rsidR="009A0FBE" w:rsidRPr="00954547">
        <w:rPr>
          <w:lang w:val="en-US"/>
        </w:rPr>
        <w:t xml:space="preserve">and non-pecuniary </w:t>
      </w:r>
      <w:r w:rsidR="00D30512" w:rsidRPr="00954547">
        <w:rPr>
          <w:lang w:val="en-US"/>
        </w:rPr>
        <w:t>damage</w:t>
      </w:r>
      <w:r w:rsidR="001C5180" w:rsidRPr="00954547">
        <w:rPr>
          <w:lang w:val="en-US"/>
        </w:rPr>
        <w:t xml:space="preserve">, </w:t>
      </w:r>
      <w:r w:rsidR="009A0FBE" w:rsidRPr="00954547">
        <w:rPr>
          <w:lang w:val="en-US"/>
        </w:rPr>
        <w:t xml:space="preserve">and to reimburse </w:t>
      </w:r>
      <w:r w:rsidR="005D2781" w:rsidRPr="00954547">
        <w:rPr>
          <w:lang w:val="en-US"/>
        </w:rPr>
        <w:t>costs and expenses</w:t>
      </w:r>
      <w:r w:rsidR="001C5180" w:rsidRPr="00954547">
        <w:rPr>
          <w:lang w:val="en-US"/>
        </w:rPr>
        <w:t xml:space="preserve"> establ</w:t>
      </w:r>
      <w:r w:rsidR="009A0FBE" w:rsidRPr="00954547">
        <w:rPr>
          <w:lang w:val="en-US"/>
        </w:rPr>
        <w:t>ished in this judgment</w:t>
      </w:r>
      <w:r w:rsidR="001C5180" w:rsidRPr="00954547">
        <w:rPr>
          <w:lang w:val="en-US"/>
        </w:rPr>
        <w:t xml:space="preserve"> direct</w:t>
      </w:r>
      <w:r w:rsidR="009A0FBE" w:rsidRPr="00954547">
        <w:rPr>
          <w:lang w:val="en-US"/>
        </w:rPr>
        <w:t>ly to the persons and organization</w:t>
      </w:r>
      <w:r w:rsidR="00940014" w:rsidRPr="00954547">
        <w:rPr>
          <w:lang w:val="en-US"/>
        </w:rPr>
        <w:t>s</w:t>
      </w:r>
      <w:r w:rsidR="009A0FBE" w:rsidRPr="00954547">
        <w:rPr>
          <w:lang w:val="en-US"/>
        </w:rPr>
        <w:t xml:space="preserve"> indicated herein, within one year of</w:t>
      </w:r>
      <w:r w:rsidR="001C5180" w:rsidRPr="00954547">
        <w:rPr>
          <w:lang w:val="en-US"/>
        </w:rPr>
        <w:t xml:space="preserve"> </w:t>
      </w:r>
      <w:r w:rsidR="00A94F95" w:rsidRPr="00954547">
        <w:rPr>
          <w:lang w:val="en-US"/>
        </w:rPr>
        <w:t>notification</w:t>
      </w:r>
      <w:r w:rsidR="001C5180" w:rsidRPr="00954547">
        <w:rPr>
          <w:lang w:val="en-US"/>
        </w:rPr>
        <w:t xml:space="preserve"> </w:t>
      </w:r>
      <w:r w:rsidR="004B6621" w:rsidRPr="00954547">
        <w:rPr>
          <w:lang w:val="en-US"/>
        </w:rPr>
        <w:t>of this judgment</w:t>
      </w:r>
      <w:r w:rsidR="001C5180" w:rsidRPr="00954547">
        <w:rPr>
          <w:lang w:val="en-US"/>
        </w:rPr>
        <w:t xml:space="preserve">, </w:t>
      </w:r>
      <w:r w:rsidR="00940014" w:rsidRPr="00954547">
        <w:rPr>
          <w:lang w:val="en-US"/>
        </w:rPr>
        <w:t>without prejudice to making the complete payment earlier, and in keeping with the following paragraphs.</w:t>
      </w:r>
      <w:bookmarkEnd w:id="199"/>
    </w:p>
    <w:p w14:paraId="70D4690C" w14:textId="149D38F2" w:rsidR="001C5180" w:rsidRPr="00954547" w:rsidRDefault="00940014" w:rsidP="00386B24">
      <w:pPr>
        <w:pStyle w:val="Numberedparagraphs"/>
        <w:tabs>
          <w:tab w:val="clear" w:pos="720"/>
          <w:tab w:val="left" w:pos="567"/>
        </w:tabs>
        <w:rPr>
          <w:rFonts w:cs="Times"/>
          <w:lang w:val="en-US" w:eastAsia="es-CR"/>
        </w:rPr>
      </w:pPr>
      <w:r w:rsidRPr="00954547">
        <w:rPr>
          <w:lang w:val="en-US"/>
        </w:rPr>
        <w:t xml:space="preserve">If any of the beneficiaries is deceased or dies before they receive the respective sum, this shall be delivered directly to their heirs, pursuant to the applicable domestic law. </w:t>
      </w:r>
    </w:p>
    <w:p w14:paraId="1FCEE1C1" w14:textId="3602F953" w:rsidR="001C5180" w:rsidRPr="00954547" w:rsidRDefault="00B8393C" w:rsidP="00386B24">
      <w:pPr>
        <w:pStyle w:val="Numberedparagraphs"/>
        <w:tabs>
          <w:tab w:val="clear" w:pos="720"/>
          <w:tab w:val="left" w:pos="567"/>
        </w:tabs>
        <w:rPr>
          <w:rFonts w:cs="Times"/>
          <w:lang w:val="en-US" w:eastAsia="es-CR"/>
        </w:rPr>
      </w:pPr>
      <w:r w:rsidRPr="00954547">
        <w:rPr>
          <w:lang w:val="en-US"/>
        </w:rPr>
        <w:t>The State</w:t>
      </w:r>
      <w:r w:rsidR="001C5180" w:rsidRPr="00954547">
        <w:rPr>
          <w:lang w:val="en-US"/>
        </w:rPr>
        <w:t xml:space="preserve"> </w:t>
      </w:r>
      <w:r w:rsidR="00940014" w:rsidRPr="00954547">
        <w:rPr>
          <w:lang w:val="en-US"/>
        </w:rPr>
        <w:t>shall comply with its pecuniary obligations by payment in</w:t>
      </w:r>
      <w:r w:rsidR="001C5180" w:rsidRPr="00954547">
        <w:rPr>
          <w:lang w:val="en-US"/>
        </w:rPr>
        <w:t xml:space="preserve"> </w:t>
      </w:r>
      <w:r w:rsidR="009A0FBE" w:rsidRPr="00954547">
        <w:rPr>
          <w:lang w:val="en-US"/>
        </w:rPr>
        <w:t>United States dollars</w:t>
      </w:r>
      <w:r w:rsidR="001C5180" w:rsidRPr="00954547">
        <w:rPr>
          <w:lang w:val="en-US"/>
        </w:rPr>
        <w:t>.</w:t>
      </w:r>
    </w:p>
    <w:p w14:paraId="5EB76E45" w14:textId="04F7CD29" w:rsidR="001C5180" w:rsidRPr="00954547" w:rsidRDefault="00940014" w:rsidP="00386B24">
      <w:pPr>
        <w:pStyle w:val="Numberedparagraphs"/>
        <w:tabs>
          <w:tab w:val="clear" w:pos="720"/>
          <w:tab w:val="left" w:pos="567"/>
        </w:tabs>
        <w:rPr>
          <w:rFonts w:cs="Times"/>
          <w:lang w:val="en-US" w:eastAsia="es-CR"/>
        </w:rPr>
      </w:pPr>
      <w:r w:rsidRPr="00954547">
        <w:rPr>
          <w:lang w:val="en-US"/>
        </w:rPr>
        <w:t xml:space="preserve">If, for causes that can be attributed to the beneficiaries, it </w:t>
      </w:r>
      <w:r w:rsidR="009603DC" w:rsidRPr="00954547">
        <w:rPr>
          <w:lang w:val="en-US"/>
        </w:rPr>
        <w:t>is</w:t>
      </w:r>
      <w:r w:rsidRPr="00954547">
        <w:rPr>
          <w:lang w:val="en-US"/>
        </w:rPr>
        <w:t xml:space="preserve"> not possible to pay the amount</w:t>
      </w:r>
      <w:r w:rsidR="00CB66AB" w:rsidRPr="00954547">
        <w:rPr>
          <w:lang w:val="en-US"/>
        </w:rPr>
        <w:t>s</w:t>
      </w:r>
      <w:r w:rsidRPr="00954547">
        <w:rPr>
          <w:lang w:val="en-US"/>
        </w:rPr>
        <w:t xml:space="preserve"> established within the indicated time</w:t>
      </w:r>
      <w:r w:rsidR="009603DC" w:rsidRPr="00954547">
        <w:rPr>
          <w:lang w:val="en-US"/>
        </w:rPr>
        <w:t xml:space="preserve"> </w:t>
      </w:r>
      <w:r w:rsidRPr="00954547">
        <w:rPr>
          <w:lang w:val="en-US"/>
        </w:rPr>
        <w:t xml:space="preserve">frame, the State shall deposit such amounts in their favor in a deposit account or certificate in a solvent Salvadoran financial institution, in </w:t>
      </w:r>
      <w:r w:rsidR="009A0FBE" w:rsidRPr="00954547">
        <w:rPr>
          <w:lang w:val="en-US"/>
        </w:rPr>
        <w:t>United States dollars</w:t>
      </w:r>
      <w:r w:rsidR="001C5180" w:rsidRPr="00954547">
        <w:rPr>
          <w:lang w:val="en-US"/>
        </w:rPr>
        <w:t>,</w:t>
      </w:r>
      <w:r w:rsidR="0078694F" w:rsidRPr="00954547">
        <w:rPr>
          <w:lang w:val="en-US"/>
        </w:rPr>
        <w:t xml:space="preserve"> and </w:t>
      </w:r>
      <w:r w:rsidRPr="00954547">
        <w:rPr>
          <w:lang w:val="en-US"/>
        </w:rPr>
        <w:t>in the most favorable financial conditions permitted by banking law and practice. If the corresponding amount is not claimed, when ten years have passed, the sum shall be returned to the State with the interest accrued.</w:t>
      </w:r>
      <w:r w:rsidR="001C5180" w:rsidRPr="00954547">
        <w:rPr>
          <w:lang w:val="en-US"/>
        </w:rPr>
        <w:t xml:space="preserve"> </w:t>
      </w:r>
    </w:p>
    <w:p w14:paraId="3E0E4002" w14:textId="65BCE69B" w:rsidR="001C5180" w:rsidRPr="00954547" w:rsidRDefault="00940014" w:rsidP="00386B24">
      <w:pPr>
        <w:pStyle w:val="Numberedparagraphs"/>
        <w:tabs>
          <w:tab w:val="clear" w:pos="720"/>
          <w:tab w:val="left" w:pos="567"/>
        </w:tabs>
        <w:rPr>
          <w:rFonts w:cs="Times"/>
          <w:lang w:val="en-US" w:eastAsia="es-CR"/>
        </w:rPr>
      </w:pPr>
      <w:r w:rsidRPr="00954547">
        <w:rPr>
          <w:lang w:val="en-US"/>
        </w:rPr>
        <w:t xml:space="preserve">The amounts allocated </w:t>
      </w:r>
      <w:r w:rsidR="009A0FBE" w:rsidRPr="00954547">
        <w:rPr>
          <w:lang w:val="en-US"/>
        </w:rPr>
        <w:t>in this judgment</w:t>
      </w:r>
      <w:r w:rsidR="001C5180" w:rsidRPr="00954547">
        <w:rPr>
          <w:lang w:val="en-US"/>
        </w:rPr>
        <w:t xml:space="preserve"> </w:t>
      </w:r>
      <w:r w:rsidRPr="00954547">
        <w:rPr>
          <w:lang w:val="en-US"/>
        </w:rPr>
        <w:t xml:space="preserve">as measures of reparation for damage and to reimburse </w:t>
      </w:r>
      <w:r w:rsidR="005D2781" w:rsidRPr="00954547">
        <w:rPr>
          <w:lang w:val="en-US"/>
        </w:rPr>
        <w:t>costs and expenses</w:t>
      </w:r>
      <w:r w:rsidR="001C5180" w:rsidRPr="00954547">
        <w:rPr>
          <w:lang w:val="en-US"/>
        </w:rPr>
        <w:t xml:space="preserve"> </w:t>
      </w:r>
      <w:r w:rsidRPr="00954547">
        <w:rPr>
          <w:lang w:val="en-US"/>
        </w:rPr>
        <w:t>shall be delivered in full, without any deductions derived from possible taxes or charges</w:t>
      </w:r>
      <w:r w:rsidR="001C5180" w:rsidRPr="00954547">
        <w:rPr>
          <w:lang w:val="en-US"/>
        </w:rPr>
        <w:t xml:space="preserve">. </w:t>
      </w:r>
      <w:bookmarkStart w:id="200" w:name="_Ref43209332"/>
    </w:p>
    <w:p w14:paraId="0EEC7E50" w14:textId="3C9682EB" w:rsidR="00BC180B" w:rsidRPr="00954547" w:rsidRDefault="00940014" w:rsidP="00BC180B">
      <w:pPr>
        <w:pStyle w:val="Numberedparagraphs"/>
        <w:tabs>
          <w:tab w:val="clear" w:pos="720"/>
          <w:tab w:val="num" w:pos="567"/>
        </w:tabs>
        <w:rPr>
          <w:rFonts w:cs="Times"/>
          <w:lang w:val="en-US" w:eastAsia="es-CR"/>
        </w:rPr>
      </w:pPr>
      <w:bookmarkStart w:id="201" w:name="_Ref86680953"/>
      <w:r w:rsidRPr="00954547">
        <w:rPr>
          <w:lang w:val="en-US"/>
        </w:rPr>
        <w:t xml:space="preserve">If the State should incur in arrears, it shall pay interest on the amount owed corresponding to banking interest on arrears </w:t>
      </w:r>
      <w:r w:rsidR="00015F7C" w:rsidRPr="00954547">
        <w:rPr>
          <w:lang w:val="en-US"/>
        </w:rPr>
        <w:t>in El Salvador</w:t>
      </w:r>
      <w:r w:rsidR="00BC180B" w:rsidRPr="00954547">
        <w:rPr>
          <w:lang w:val="en-US"/>
        </w:rPr>
        <w:t>.</w:t>
      </w:r>
      <w:bookmarkEnd w:id="201"/>
    </w:p>
    <w:p w14:paraId="40E7DFE4" w14:textId="56C35464" w:rsidR="001A44D9" w:rsidRPr="00954547" w:rsidRDefault="001A44D9" w:rsidP="001A44D9">
      <w:pPr>
        <w:pStyle w:val="Heading1"/>
        <w:rPr>
          <w:rFonts w:cs="Times"/>
          <w:lang w:eastAsia="es-CR"/>
        </w:rPr>
      </w:pPr>
      <w:bookmarkStart w:id="202" w:name="_Toc106353950"/>
      <w:r w:rsidRPr="00954547">
        <w:t>X</w:t>
      </w:r>
      <w:r w:rsidRPr="00954547">
        <w:br/>
      </w:r>
      <w:r w:rsidR="00041C12" w:rsidRPr="00954547">
        <w:t>OPERATIVE PARAGRAPHS</w:t>
      </w:r>
      <w:bookmarkEnd w:id="202"/>
    </w:p>
    <w:p w14:paraId="2A3AF3D3" w14:textId="1752062A" w:rsidR="001A44D9" w:rsidRPr="00954547" w:rsidRDefault="00F6091D" w:rsidP="00BC180B">
      <w:pPr>
        <w:pStyle w:val="Numberedparagraphs"/>
        <w:tabs>
          <w:tab w:val="clear" w:pos="720"/>
          <w:tab w:val="num" w:pos="567"/>
        </w:tabs>
        <w:rPr>
          <w:rFonts w:cs="Times"/>
          <w:lang w:val="en-US" w:eastAsia="es-CR"/>
        </w:rPr>
      </w:pPr>
      <w:r w:rsidRPr="00954547">
        <w:rPr>
          <w:lang w:val="en-US"/>
        </w:rPr>
        <w:t>Therefore</w:t>
      </w:r>
      <w:r w:rsidR="001A44D9" w:rsidRPr="00954547">
        <w:rPr>
          <w:lang w:val="en-US"/>
        </w:rPr>
        <w:t xml:space="preserve">, </w:t>
      </w:r>
    </w:p>
    <w:p w14:paraId="19E12A9A" w14:textId="0ADB75F1" w:rsidR="001A44D9" w:rsidRPr="00954547" w:rsidRDefault="00E76B1A" w:rsidP="001A44D9">
      <w:pPr>
        <w:pStyle w:val="Numberedparagraphs"/>
        <w:numPr>
          <w:ilvl w:val="0"/>
          <w:numId w:val="0"/>
        </w:numPr>
        <w:rPr>
          <w:b/>
          <w:lang w:val="en-US"/>
        </w:rPr>
      </w:pPr>
      <w:r w:rsidRPr="00954547">
        <w:rPr>
          <w:b/>
          <w:lang w:val="en-US"/>
        </w:rPr>
        <w:t>THE COURT</w:t>
      </w:r>
      <w:r w:rsidR="001A44D9" w:rsidRPr="00954547">
        <w:rPr>
          <w:b/>
          <w:lang w:val="en-US"/>
        </w:rPr>
        <w:t xml:space="preserve"> </w:t>
      </w:r>
    </w:p>
    <w:p w14:paraId="1AA8BC76" w14:textId="40C33BB8" w:rsidR="001A44D9" w:rsidRPr="00954547" w:rsidRDefault="001A44D9" w:rsidP="001A44D9">
      <w:pPr>
        <w:pStyle w:val="Numberedparagraphs"/>
        <w:numPr>
          <w:ilvl w:val="0"/>
          <w:numId w:val="0"/>
        </w:numPr>
        <w:rPr>
          <w:b/>
          <w:lang w:val="en-US"/>
        </w:rPr>
      </w:pPr>
      <w:r w:rsidRPr="00954547">
        <w:rPr>
          <w:b/>
          <w:lang w:val="en-US"/>
        </w:rPr>
        <w:t>DECIDE</w:t>
      </w:r>
      <w:r w:rsidR="00F6091D" w:rsidRPr="00954547">
        <w:rPr>
          <w:b/>
          <w:lang w:val="en-US"/>
        </w:rPr>
        <w:t>S</w:t>
      </w:r>
      <w:r w:rsidRPr="00954547">
        <w:rPr>
          <w:b/>
          <w:lang w:val="en-US"/>
        </w:rPr>
        <w:t>,</w:t>
      </w:r>
    </w:p>
    <w:p w14:paraId="74FB9B1A" w14:textId="49D3B9FB" w:rsidR="001A44D9" w:rsidRPr="00954547" w:rsidRDefault="00F6091D" w:rsidP="001A44D9">
      <w:pPr>
        <w:pStyle w:val="Numberedparagraphs"/>
        <w:numPr>
          <w:ilvl w:val="0"/>
          <w:numId w:val="0"/>
        </w:numPr>
        <w:rPr>
          <w:lang w:val="en-US"/>
        </w:rPr>
      </w:pPr>
      <w:r w:rsidRPr="00954547">
        <w:rPr>
          <w:lang w:val="en-US"/>
        </w:rPr>
        <w:t>Unanimously</w:t>
      </w:r>
      <w:r w:rsidR="001A44D9" w:rsidRPr="00954547">
        <w:rPr>
          <w:lang w:val="en-US"/>
        </w:rPr>
        <w:t>:</w:t>
      </w:r>
    </w:p>
    <w:p w14:paraId="29DE172A" w14:textId="67AA1493" w:rsidR="00886D47" w:rsidRPr="00954547" w:rsidRDefault="00F6091D" w:rsidP="000365EC">
      <w:pPr>
        <w:pStyle w:val="Numberedparagraphs"/>
        <w:numPr>
          <w:ilvl w:val="0"/>
          <w:numId w:val="21"/>
        </w:numPr>
        <w:tabs>
          <w:tab w:val="left" w:pos="567"/>
        </w:tabs>
        <w:ind w:left="0" w:firstLine="0"/>
        <w:rPr>
          <w:lang w:val="en-US"/>
        </w:rPr>
      </w:pPr>
      <w:r w:rsidRPr="00954547">
        <w:rPr>
          <w:lang w:val="en-US"/>
        </w:rPr>
        <w:t>To reject the</w:t>
      </w:r>
      <w:r w:rsidR="00886D47" w:rsidRPr="00954547">
        <w:rPr>
          <w:lang w:val="en-US"/>
        </w:rPr>
        <w:t xml:space="preserve"> </w:t>
      </w:r>
      <w:r w:rsidR="00A70DC4" w:rsidRPr="00954547">
        <w:rPr>
          <w:lang w:val="en-US"/>
        </w:rPr>
        <w:t>preliminary objection</w:t>
      </w:r>
      <w:r w:rsidR="00886D47" w:rsidRPr="00954547">
        <w:rPr>
          <w:lang w:val="en-US"/>
        </w:rPr>
        <w:t xml:space="preserve"> </w:t>
      </w:r>
      <w:r w:rsidRPr="00954547">
        <w:rPr>
          <w:lang w:val="en-US"/>
        </w:rPr>
        <w:t>concerning the</w:t>
      </w:r>
      <w:r w:rsidR="00886D47" w:rsidRPr="00954547">
        <w:rPr>
          <w:lang w:val="en-US"/>
        </w:rPr>
        <w:t xml:space="preserve"> </w:t>
      </w:r>
      <w:r w:rsidRPr="00954547">
        <w:rPr>
          <w:lang w:val="en-US"/>
        </w:rPr>
        <w:t>a</w:t>
      </w:r>
      <w:r w:rsidR="003A0C7A" w:rsidRPr="00954547">
        <w:rPr>
          <w:lang w:val="en-US"/>
        </w:rPr>
        <w:t>lleged time-barred presentation of the petition</w:t>
      </w:r>
      <w:r w:rsidR="00886D47" w:rsidRPr="00954547">
        <w:rPr>
          <w:lang w:val="en-US"/>
        </w:rPr>
        <w:t xml:space="preserve">, </w:t>
      </w:r>
      <w:r w:rsidRPr="00954547">
        <w:rPr>
          <w:lang w:val="en-US"/>
        </w:rPr>
        <w:t>pursuant to paragraphs</w:t>
      </w:r>
      <w:r w:rsidR="00886D47" w:rsidRPr="00954547">
        <w:rPr>
          <w:lang w:val="en-US"/>
        </w:rPr>
        <w:t xml:space="preserve"> </w:t>
      </w:r>
      <w:r w:rsidR="00207056" w:rsidRPr="00954547">
        <w:rPr>
          <w:lang w:val="en-US"/>
        </w:rPr>
        <w:fldChar w:fldCharType="begin"/>
      </w:r>
      <w:r w:rsidR="00207056" w:rsidRPr="00954547">
        <w:rPr>
          <w:lang w:val="en-US"/>
        </w:rPr>
        <w:instrText xml:space="preserve"> REF _Ref86675478 \r \h  \* MERGEFORMAT </w:instrText>
      </w:r>
      <w:r w:rsidR="00207056" w:rsidRPr="00954547">
        <w:rPr>
          <w:lang w:val="en-US"/>
        </w:rPr>
      </w:r>
      <w:r w:rsidR="00207056" w:rsidRPr="00954547">
        <w:rPr>
          <w:lang w:val="en-US"/>
        </w:rPr>
        <w:fldChar w:fldCharType="separate"/>
      </w:r>
      <w:r w:rsidR="000E4488" w:rsidRPr="00954547">
        <w:rPr>
          <w:lang w:val="en-US"/>
        </w:rPr>
        <w:t>20</w:t>
      </w:r>
      <w:r w:rsidR="00207056" w:rsidRPr="00954547">
        <w:rPr>
          <w:lang w:val="en-US"/>
        </w:rPr>
        <w:fldChar w:fldCharType="end"/>
      </w:r>
      <w:r w:rsidR="00207056" w:rsidRPr="00954547">
        <w:rPr>
          <w:lang w:val="en-US"/>
        </w:rPr>
        <w:t xml:space="preserve"> a</w:t>
      </w:r>
      <w:r w:rsidRPr="00954547">
        <w:rPr>
          <w:lang w:val="en-US"/>
        </w:rPr>
        <w:t>nd</w:t>
      </w:r>
      <w:r w:rsidR="00207056" w:rsidRPr="00954547">
        <w:rPr>
          <w:lang w:val="en-US"/>
        </w:rPr>
        <w:t xml:space="preserve"> </w:t>
      </w:r>
      <w:r w:rsidR="00207056" w:rsidRPr="00954547">
        <w:rPr>
          <w:lang w:val="en-US"/>
        </w:rPr>
        <w:fldChar w:fldCharType="begin"/>
      </w:r>
      <w:r w:rsidR="00207056" w:rsidRPr="00954547">
        <w:rPr>
          <w:lang w:val="en-US"/>
        </w:rPr>
        <w:instrText xml:space="preserve"> REF _Ref86675482 \r \h  \* MERGEFORMAT </w:instrText>
      </w:r>
      <w:r w:rsidR="00207056" w:rsidRPr="00954547">
        <w:rPr>
          <w:lang w:val="en-US"/>
        </w:rPr>
      </w:r>
      <w:r w:rsidR="00207056" w:rsidRPr="00954547">
        <w:rPr>
          <w:lang w:val="en-US"/>
        </w:rPr>
        <w:fldChar w:fldCharType="separate"/>
      </w:r>
      <w:r w:rsidR="000E4488" w:rsidRPr="00954547">
        <w:rPr>
          <w:lang w:val="en-US"/>
        </w:rPr>
        <w:t>21</w:t>
      </w:r>
      <w:r w:rsidR="00207056" w:rsidRPr="00954547">
        <w:rPr>
          <w:lang w:val="en-US"/>
        </w:rPr>
        <w:fldChar w:fldCharType="end"/>
      </w:r>
      <w:r w:rsidR="00207056" w:rsidRPr="00954547">
        <w:rPr>
          <w:lang w:val="en-US"/>
        </w:rPr>
        <w:t xml:space="preserve"> </w:t>
      </w:r>
      <w:r w:rsidR="0052125E" w:rsidRPr="00954547">
        <w:rPr>
          <w:lang w:val="en-US"/>
        </w:rPr>
        <w:t>of this judgment</w:t>
      </w:r>
      <w:r w:rsidR="00886D47" w:rsidRPr="00954547">
        <w:rPr>
          <w:lang w:val="en-US"/>
        </w:rPr>
        <w:t xml:space="preserve">. </w:t>
      </w:r>
    </w:p>
    <w:p w14:paraId="1B48D1DA" w14:textId="0A12F80C" w:rsidR="00886D47" w:rsidRPr="00954547" w:rsidRDefault="00F6091D" w:rsidP="000365EC">
      <w:pPr>
        <w:pStyle w:val="Numberedparagraphs"/>
        <w:numPr>
          <w:ilvl w:val="0"/>
          <w:numId w:val="21"/>
        </w:numPr>
        <w:tabs>
          <w:tab w:val="left" w:pos="567"/>
        </w:tabs>
        <w:ind w:left="0" w:firstLine="0"/>
        <w:rPr>
          <w:lang w:val="en-US"/>
        </w:rPr>
      </w:pPr>
      <w:r w:rsidRPr="00954547">
        <w:rPr>
          <w:lang w:val="en-US"/>
        </w:rPr>
        <w:t>To reject the</w:t>
      </w:r>
      <w:r w:rsidR="00886D47" w:rsidRPr="00954547">
        <w:rPr>
          <w:lang w:val="en-US"/>
        </w:rPr>
        <w:t xml:space="preserve"> </w:t>
      </w:r>
      <w:r w:rsidR="00A70DC4" w:rsidRPr="00954547">
        <w:rPr>
          <w:lang w:val="en-US"/>
        </w:rPr>
        <w:t>preliminary objection</w:t>
      </w:r>
      <w:r w:rsidR="00886D47" w:rsidRPr="00954547">
        <w:rPr>
          <w:lang w:val="en-US"/>
        </w:rPr>
        <w:t xml:space="preserve"> </w:t>
      </w:r>
      <w:r w:rsidRPr="00954547">
        <w:rPr>
          <w:lang w:val="en-US"/>
        </w:rPr>
        <w:t xml:space="preserve">concerning the </w:t>
      </w:r>
      <w:r w:rsidR="004C4730" w:rsidRPr="00954547">
        <w:rPr>
          <w:lang w:val="en-US"/>
        </w:rPr>
        <w:t>Commission’s alleged failure to assess</w:t>
      </w:r>
      <w:r w:rsidR="005A6BC0" w:rsidRPr="00954547">
        <w:rPr>
          <w:lang w:val="en-US"/>
        </w:rPr>
        <w:t xml:space="preserve"> the progress made in complying with</w:t>
      </w:r>
      <w:r w:rsidR="005E0FD1" w:rsidRPr="00954547">
        <w:rPr>
          <w:lang w:val="en-US"/>
        </w:rPr>
        <w:t xml:space="preserve"> the </w:t>
      </w:r>
      <w:r w:rsidR="00A94F95" w:rsidRPr="00954547">
        <w:rPr>
          <w:lang w:val="en-US"/>
        </w:rPr>
        <w:t>Merits Report</w:t>
      </w:r>
      <w:r w:rsidR="00886D47" w:rsidRPr="00954547">
        <w:rPr>
          <w:lang w:val="en-US"/>
        </w:rPr>
        <w:t xml:space="preserve">, </w:t>
      </w:r>
      <w:r w:rsidRPr="00954547">
        <w:rPr>
          <w:lang w:val="en-US"/>
        </w:rPr>
        <w:t>pursuant to paragraph</w:t>
      </w:r>
      <w:r w:rsidR="00886D47" w:rsidRPr="00954547">
        <w:rPr>
          <w:lang w:val="en-US"/>
        </w:rPr>
        <w:t xml:space="preserve"> </w:t>
      </w:r>
      <w:r w:rsidR="00207056" w:rsidRPr="00954547">
        <w:rPr>
          <w:lang w:val="en-US"/>
        </w:rPr>
        <w:fldChar w:fldCharType="begin"/>
      </w:r>
      <w:r w:rsidR="00207056" w:rsidRPr="00954547">
        <w:rPr>
          <w:lang w:val="en-US"/>
        </w:rPr>
        <w:instrText xml:space="preserve"> REF _Ref86675527 \r \h </w:instrText>
      </w:r>
      <w:r w:rsidR="00793F65" w:rsidRPr="00954547">
        <w:rPr>
          <w:lang w:val="en-US"/>
        </w:rPr>
        <w:instrText xml:space="preserve"> \* MERGEFORMAT </w:instrText>
      </w:r>
      <w:r w:rsidR="00207056" w:rsidRPr="00954547">
        <w:rPr>
          <w:lang w:val="en-US"/>
        </w:rPr>
      </w:r>
      <w:r w:rsidR="00207056" w:rsidRPr="00954547">
        <w:rPr>
          <w:lang w:val="en-US"/>
        </w:rPr>
        <w:fldChar w:fldCharType="separate"/>
      </w:r>
      <w:r w:rsidR="000E4488" w:rsidRPr="00954547">
        <w:rPr>
          <w:lang w:val="en-US"/>
        </w:rPr>
        <w:t>23</w:t>
      </w:r>
      <w:r w:rsidR="00207056" w:rsidRPr="00954547">
        <w:rPr>
          <w:lang w:val="en-US"/>
        </w:rPr>
        <w:fldChar w:fldCharType="end"/>
      </w:r>
      <w:r w:rsidR="00207056" w:rsidRPr="00954547">
        <w:rPr>
          <w:lang w:val="en-US"/>
        </w:rPr>
        <w:t xml:space="preserve"> </w:t>
      </w:r>
      <w:r w:rsidR="0052125E" w:rsidRPr="00954547">
        <w:rPr>
          <w:lang w:val="en-US"/>
        </w:rPr>
        <w:t>of this judgment</w:t>
      </w:r>
      <w:r w:rsidR="00886D47" w:rsidRPr="00954547">
        <w:rPr>
          <w:lang w:val="en-US"/>
        </w:rPr>
        <w:t xml:space="preserve">. </w:t>
      </w:r>
    </w:p>
    <w:p w14:paraId="3D184BF0" w14:textId="7F7AFF4E" w:rsidR="001A44D9" w:rsidRPr="00954547" w:rsidRDefault="001A44D9" w:rsidP="001A44D9">
      <w:pPr>
        <w:pStyle w:val="Numberedparagraphs"/>
        <w:numPr>
          <w:ilvl w:val="0"/>
          <w:numId w:val="0"/>
        </w:numPr>
        <w:rPr>
          <w:b/>
          <w:lang w:val="en-US"/>
        </w:rPr>
      </w:pPr>
      <w:r w:rsidRPr="00954547">
        <w:rPr>
          <w:b/>
          <w:lang w:val="en-US"/>
        </w:rPr>
        <w:t>DECLAR</w:t>
      </w:r>
      <w:r w:rsidR="00F6091D" w:rsidRPr="00954547">
        <w:rPr>
          <w:b/>
          <w:lang w:val="en-US"/>
        </w:rPr>
        <w:t>ES</w:t>
      </w:r>
      <w:r w:rsidRPr="00954547">
        <w:rPr>
          <w:b/>
          <w:lang w:val="en-US"/>
        </w:rPr>
        <w:t>,</w:t>
      </w:r>
    </w:p>
    <w:p w14:paraId="136B2C90" w14:textId="29AC4E88" w:rsidR="001A44D9" w:rsidRPr="00954547" w:rsidRDefault="00F6091D" w:rsidP="001A44D9">
      <w:pPr>
        <w:pStyle w:val="Numberedparagraphs"/>
        <w:numPr>
          <w:ilvl w:val="0"/>
          <w:numId w:val="0"/>
        </w:numPr>
        <w:rPr>
          <w:lang w:val="en-US"/>
        </w:rPr>
      </w:pPr>
      <w:r w:rsidRPr="00954547">
        <w:rPr>
          <w:lang w:val="en-US"/>
        </w:rPr>
        <w:t>Unanimously, that</w:t>
      </w:r>
      <w:r w:rsidR="00D61813" w:rsidRPr="00954547">
        <w:rPr>
          <w:lang w:val="en-US"/>
        </w:rPr>
        <w:t>:</w:t>
      </w:r>
    </w:p>
    <w:p w14:paraId="1B657BBB" w14:textId="10E5ED22" w:rsidR="000B27B3" w:rsidRPr="00954547" w:rsidRDefault="00B8393C" w:rsidP="000365EC">
      <w:pPr>
        <w:pStyle w:val="Numberedparagraphs"/>
        <w:numPr>
          <w:ilvl w:val="0"/>
          <w:numId w:val="21"/>
        </w:numPr>
        <w:tabs>
          <w:tab w:val="left" w:pos="567"/>
        </w:tabs>
        <w:ind w:left="0" w:firstLine="0"/>
        <w:rPr>
          <w:lang w:val="en-US"/>
        </w:rPr>
      </w:pPr>
      <w:r w:rsidRPr="00954547">
        <w:rPr>
          <w:lang w:val="en-US"/>
        </w:rPr>
        <w:t xml:space="preserve">The </w:t>
      </w:r>
      <w:r w:rsidR="00591343" w:rsidRPr="00954547">
        <w:rPr>
          <w:lang w:val="en-US"/>
        </w:rPr>
        <w:t>State is responsible for the violation</w:t>
      </w:r>
      <w:r w:rsidR="00F6091D" w:rsidRPr="00954547">
        <w:rPr>
          <w:lang w:val="en-US"/>
        </w:rPr>
        <w:t xml:space="preserve"> of the </w:t>
      </w:r>
      <w:r w:rsidR="00105F3F" w:rsidRPr="00954547">
        <w:rPr>
          <w:lang w:val="en-US"/>
        </w:rPr>
        <w:t>right</w:t>
      </w:r>
      <w:r w:rsidR="00CB66AB" w:rsidRPr="00954547">
        <w:rPr>
          <w:lang w:val="en-US"/>
        </w:rPr>
        <w:t>s</w:t>
      </w:r>
      <w:r w:rsidR="00BC7072" w:rsidRPr="00954547">
        <w:rPr>
          <w:lang w:val="en-US"/>
        </w:rPr>
        <w:t xml:space="preserve"> to</w:t>
      </w:r>
      <w:r w:rsidR="000B27B3" w:rsidRPr="00954547">
        <w:rPr>
          <w:lang w:val="en-US"/>
        </w:rPr>
        <w:t xml:space="preserve"> </w:t>
      </w:r>
      <w:r w:rsidR="0078694F" w:rsidRPr="00954547">
        <w:rPr>
          <w:lang w:val="en-US"/>
        </w:rPr>
        <w:t xml:space="preserve">personal liberty and </w:t>
      </w:r>
      <w:r w:rsidR="00591343" w:rsidRPr="00954547">
        <w:rPr>
          <w:lang w:val="en-US"/>
        </w:rPr>
        <w:t>the</w:t>
      </w:r>
      <w:r w:rsidR="000B27B3" w:rsidRPr="00954547">
        <w:rPr>
          <w:lang w:val="en-US"/>
        </w:rPr>
        <w:t xml:space="preserve"> </w:t>
      </w:r>
      <w:r w:rsidR="00144817" w:rsidRPr="00954547">
        <w:rPr>
          <w:lang w:val="en-US"/>
        </w:rPr>
        <w:t>presumption of innocence</w:t>
      </w:r>
      <w:r w:rsidR="000B27B3" w:rsidRPr="00954547">
        <w:rPr>
          <w:lang w:val="en-US"/>
        </w:rPr>
        <w:t xml:space="preserve">, </w:t>
      </w:r>
      <w:r w:rsidR="005903D2" w:rsidRPr="00954547">
        <w:rPr>
          <w:lang w:val="en-US"/>
        </w:rPr>
        <w:t>pursuant to</w:t>
      </w:r>
      <w:r w:rsidR="000B27B3" w:rsidRPr="00954547">
        <w:rPr>
          <w:lang w:val="en-US"/>
        </w:rPr>
        <w:t xml:space="preserve"> </w:t>
      </w:r>
      <w:r w:rsidR="00A17F8C" w:rsidRPr="00954547">
        <w:rPr>
          <w:lang w:val="en-US"/>
        </w:rPr>
        <w:t>Articles</w:t>
      </w:r>
      <w:r w:rsidR="000B27B3" w:rsidRPr="00954547">
        <w:rPr>
          <w:lang w:val="en-US"/>
        </w:rPr>
        <w:t xml:space="preserve"> </w:t>
      </w:r>
      <w:r w:rsidR="00A17F8C" w:rsidRPr="00954547">
        <w:rPr>
          <w:lang w:val="en-US"/>
        </w:rPr>
        <w:t>7(1)</w:t>
      </w:r>
      <w:r w:rsidR="000B27B3" w:rsidRPr="00954547">
        <w:rPr>
          <w:lang w:val="en-US"/>
        </w:rPr>
        <w:t xml:space="preserve">, </w:t>
      </w:r>
      <w:r w:rsidR="005E0FD1" w:rsidRPr="00954547">
        <w:rPr>
          <w:lang w:val="en-US"/>
        </w:rPr>
        <w:t>7(3)</w:t>
      </w:r>
      <w:r w:rsidR="0078694F" w:rsidRPr="00954547">
        <w:rPr>
          <w:lang w:val="en-US"/>
        </w:rPr>
        <w:t xml:space="preserve"> and </w:t>
      </w:r>
      <w:r w:rsidR="00CE421C" w:rsidRPr="00954547">
        <w:rPr>
          <w:lang w:val="en-US"/>
        </w:rPr>
        <w:t>8(2)</w:t>
      </w:r>
      <w:r w:rsidR="00607E12" w:rsidRPr="00954547">
        <w:rPr>
          <w:lang w:val="en-US"/>
        </w:rPr>
        <w:t xml:space="preserve"> of the </w:t>
      </w:r>
      <w:r w:rsidR="00A42A4C" w:rsidRPr="00954547">
        <w:rPr>
          <w:lang w:val="en-US"/>
        </w:rPr>
        <w:t>American Convention on Human Rights</w:t>
      </w:r>
      <w:r w:rsidR="000B27B3" w:rsidRPr="00954547">
        <w:rPr>
          <w:lang w:val="en-US"/>
        </w:rPr>
        <w:t xml:space="preserve">, </w:t>
      </w:r>
      <w:r w:rsidR="00144817" w:rsidRPr="00954547">
        <w:rPr>
          <w:lang w:val="en-US"/>
        </w:rPr>
        <w:t>in relation to the obligations</w:t>
      </w:r>
      <w:r w:rsidR="000B27B3" w:rsidRPr="00954547">
        <w:rPr>
          <w:lang w:val="en-US"/>
        </w:rPr>
        <w:t xml:space="preserve"> </w:t>
      </w:r>
      <w:r w:rsidR="005903D2" w:rsidRPr="00954547">
        <w:rPr>
          <w:lang w:val="en-US"/>
        </w:rPr>
        <w:t>to respect and to ensure</w:t>
      </w:r>
      <w:r w:rsidR="000B27B3" w:rsidRPr="00954547">
        <w:rPr>
          <w:lang w:val="en-US"/>
        </w:rPr>
        <w:t xml:space="preserve"> </w:t>
      </w:r>
      <w:r w:rsidR="00BC7072" w:rsidRPr="00954547">
        <w:rPr>
          <w:lang w:val="en-US"/>
        </w:rPr>
        <w:t xml:space="preserve">the </w:t>
      </w:r>
      <w:r w:rsidR="00105F3F" w:rsidRPr="00954547">
        <w:rPr>
          <w:lang w:val="en-US"/>
        </w:rPr>
        <w:t>right</w:t>
      </w:r>
      <w:r w:rsidR="005903D2" w:rsidRPr="00954547">
        <w:rPr>
          <w:lang w:val="en-US"/>
        </w:rPr>
        <w:t xml:space="preserve">s and the </w:t>
      </w:r>
      <w:r w:rsidR="00CB66AB" w:rsidRPr="00954547">
        <w:rPr>
          <w:lang w:val="en-US"/>
        </w:rPr>
        <w:t>duty</w:t>
      </w:r>
      <w:r w:rsidR="005903D2" w:rsidRPr="00954547">
        <w:rPr>
          <w:lang w:val="en-US"/>
        </w:rPr>
        <w:t xml:space="preserve"> to </w:t>
      </w:r>
      <w:r w:rsidR="00144817" w:rsidRPr="00954547">
        <w:rPr>
          <w:lang w:val="en-US"/>
        </w:rPr>
        <w:t>adopt domestic legal provisions</w:t>
      </w:r>
      <w:r w:rsidR="000B27B3" w:rsidRPr="00954547">
        <w:rPr>
          <w:lang w:val="en-US"/>
        </w:rPr>
        <w:t xml:space="preserve"> </w:t>
      </w:r>
      <w:r w:rsidR="005903D2" w:rsidRPr="00954547">
        <w:rPr>
          <w:lang w:val="en-US"/>
        </w:rPr>
        <w:t>established in</w:t>
      </w:r>
      <w:r w:rsidR="000B27B3" w:rsidRPr="00954547">
        <w:rPr>
          <w:lang w:val="en-US"/>
        </w:rPr>
        <w:t xml:space="preserve"> </w:t>
      </w:r>
      <w:r w:rsidR="00A17F8C" w:rsidRPr="00954547">
        <w:rPr>
          <w:lang w:val="en-US"/>
        </w:rPr>
        <w:t xml:space="preserve">Articles 1(1) </w:t>
      </w:r>
      <w:r w:rsidR="0078694F" w:rsidRPr="00954547">
        <w:rPr>
          <w:lang w:val="en-US"/>
        </w:rPr>
        <w:t xml:space="preserve">and </w:t>
      </w:r>
      <w:r w:rsidR="000B27B3" w:rsidRPr="00954547">
        <w:rPr>
          <w:lang w:val="en-US"/>
        </w:rPr>
        <w:t xml:space="preserve">2 </w:t>
      </w:r>
      <w:r w:rsidR="00A17F8C" w:rsidRPr="00954547">
        <w:rPr>
          <w:lang w:val="en-US"/>
        </w:rPr>
        <w:t>of this instrument</w:t>
      </w:r>
      <w:r w:rsidR="000B27B3" w:rsidRPr="00954547">
        <w:rPr>
          <w:lang w:val="en-US"/>
        </w:rPr>
        <w:t xml:space="preserve">, </w:t>
      </w:r>
      <w:r w:rsidR="0078694F" w:rsidRPr="00954547">
        <w:rPr>
          <w:lang w:val="en-US"/>
        </w:rPr>
        <w:t>to the detriment of</w:t>
      </w:r>
      <w:r w:rsidR="000B27B3" w:rsidRPr="00954547">
        <w:rPr>
          <w:lang w:val="en-US"/>
        </w:rPr>
        <w:t xml:space="preserve"> Manuela, </w:t>
      </w:r>
      <w:r w:rsidR="00591343" w:rsidRPr="00954547">
        <w:rPr>
          <w:lang w:val="en-US"/>
        </w:rPr>
        <w:t>pursuant to paragraphs</w:t>
      </w:r>
      <w:r w:rsidR="000B27B3" w:rsidRPr="00954547">
        <w:rPr>
          <w:lang w:val="en-US"/>
        </w:rPr>
        <w:t xml:space="preserve"> </w:t>
      </w:r>
      <w:r w:rsidR="00207056" w:rsidRPr="00954547">
        <w:rPr>
          <w:lang w:val="en-US"/>
        </w:rPr>
        <w:fldChar w:fldCharType="begin"/>
      </w:r>
      <w:r w:rsidR="00207056" w:rsidRPr="00954547">
        <w:rPr>
          <w:lang w:val="en-US"/>
        </w:rPr>
        <w:instrText xml:space="preserve"> REF _Ref33106089 \r \h </w:instrText>
      </w:r>
      <w:r w:rsidR="00793F65" w:rsidRPr="00954547">
        <w:rPr>
          <w:lang w:val="en-US"/>
        </w:rPr>
        <w:instrText xml:space="preserve"> \* MERGEFORMAT </w:instrText>
      </w:r>
      <w:r w:rsidR="00207056" w:rsidRPr="00954547">
        <w:rPr>
          <w:lang w:val="en-US"/>
        </w:rPr>
      </w:r>
      <w:r w:rsidR="00207056" w:rsidRPr="00954547">
        <w:rPr>
          <w:lang w:val="en-US"/>
        </w:rPr>
        <w:fldChar w:fldCharType="separate"/>
      </w:r>
      <w:r w:rsidR="000E4488" w:rsidRPr="00954547">
        <w:rPr>
          <w:lang w:val="en-US"/>
        </w:rPr>
        <w:t>97</w:t>
      </w:r>
      <w:r w:rsidR="00207056" w:rsidRPr="00954547">
        <w:rPr>
          <w:lang w:val="en-US"/>
        </w:rPr>
        <w:fldChar w:fldCharType="end"/>
      </w:r>
      <w:r w:rsidR="00207056" w:rsidRPr="00954547">
        <w:rPr>
          <w:lang w:val="en-US"/>
        </w:rPr>
        <w:t xml:space="preserve"> </w:t>
      </w:r>
      <w:r w:rsidR="005903D2" w:rsidRPr="00954547">
        <w:rPr>
          <w:lang w:val="en-US"/>
        </w:rPr>
        <w:t>to</w:t>
      </w:r>
      <w:r w:rsidR="00207056" w:rsidRPr="00954547">
        <w:rPr>
          <w:lang w:val="en-US"/>
        </w:rPr>
        <w:t xml:space="preserve"> </w:t>
      </w:r>
      <w:r w:rsidR="00207056" w:rsidRPr="00954547">
        <w:rPr>
          <w:lang w:val="en-US"/>
        </w:rPr>
        <w:fldChar w:fldCharType="begin"/>
      </w:r>
      <w:r w:rsidR="00207056" w:rsidRPr="00954547">
        <w:rPr>
          <w:lang w:val="en-US"/>
        </w:rPr>
        <w:instrText xml:space="preserve"> REF _Ref86675594 \r \h </w:instrText>
      </w:r>
      <w:r w:rsidR="00793F65" w:rsidRPr="00954547">
        <w:rPr>
          <w:lang w:val="en-US"/>
        </w:rPr>
        <w:instrText xml:space="preserve"> \* MERGEFORMAT </w:instrText>
      </w:r>
      <w:r w:rsidR="00207056" w:rsidRPr="00954547">
        <w:rPr>
          <w:lang w:val="en-US"/>
        </w:rPr>
      </w:r>
      <w:r w:rsidR="00207056" w:rsidRPr="00954547">
        <w:rPr>
          <w:lang w:val="en-US"/>
        </w:rPr>
        <w:fldChar w:fldCharType="separate"/>
      </w:r>
      <w:r w:rsidR="000E4488" w:rsidRPr="00954547">
        <w:rPr>
          <w:lang w:val="en-US"/>
        </w:rPr>
        <w:t>112</w:t>
      </w:r>
      <w:r w:rsidR="00207056" w:rsidRPr="00954547">
        <w:rPr>
          <w:lang w:val="en-US"/>
        </w:rPr>
        <w:fldChar w:fldCharType="end"/>
      </w:r>
      <w:r w:rsidR="00207056" w:rsidRPr="00954547">
        <w:rPr>
          <w:lang w:val="en-US"/>
        </w:rPr>
        <w:t xml:space="preserve"> </w:t>
      </w:r>
      <w:r w:rsidR="004B6621" w:rsidRPr="00954547">
        <w:rPr>
          <w:lang w:val="en-US"/>
        </w:rPr>
        <w:t>of this judgment</w:t>
      </w:r>
    </w:p>
    <w:p w14:paraId="797B86D8" w14:textId="03CFDAD0" w:rsidR="00D61813" w:rsidRPr="00954547" w:rsidRDefault="00F6091D" w:rsidP="00D61813">
      <w:pPr>
        <w:pStyle w:val="Numberedparagraphs"/>
        <w:numPr>
          <w:ilvl w:val="0"/>
          <w:numId w:val="0"/>
        </w:numPr>
        <w:rPr>
          <w:lang w:val="en-US"/>
        </w:rPr>
      </w:pPr>
      <w:r w:rsidRPr="00954547">
        <w:rPr>
          <w:lang w:val="en-US"/>
        </w:rPr>
        <w:t>Unanimously, that</w:t>
      </w:r>
      <w:r w:rsidR="00D61813" w:rsidRPr="00954547">
        <w:rPr>
          <w:lang w:val="en-US"/>
        </w:rPr>
        <w:t>:</w:t>
      </w:r>
    </w:p>
    <w:p w14:paraId="4A8FC0B4" w14:textId="693AAB30" w:rsidR="003179EC" w:rsidRPr="00954547" w:rsidRDefault="00B8393C" w:rsidP="000365EC">
      <w:pPr>
        <w:pStyle w:val="Numberedparagraphs"/>
        <w:numPr>
          <w:ilvl w:val="0"/>
          <w:numId w:val="21"/>
        </w:numPr>
        <w:tabs>
          <w:tab w:val="left" w:pos="567"/>
        </w:tabs>
        <w:ind w:left="0" w:firstLine="0"/>
        <w:rPr>
          <w:lang w:val="en-US"/>
        </w:rPr>
      </w:pPr>
      <w:r w:rsidRPr="00954547">
        <w:rPr>
          <w:lang w:val="en-US"/>
        </w:rPr>
        <w:t xml:space="preserve">The </w:t>
      </w:r>
      <w:r w:rsidR="00591343" w:rsidRPr="00954547">
        <w:rPr>
          <w:lang w:val="en-US"/>
        </w:rPr>
        <w:t>State is responsible for the violation</w:t>
      </w:r>
      <w:r w:rsidR="00F6091D" w:rsidRPr="00954547">
        <w:rPr>
          <w:lang w:val="en-US"/>
        </w:rPr>
        <w:t xml:space="preserve"> of the </w:t>
      </w:r>
      <w:r w:rsidR="00D4015D" w:rsidRPr="00954547">
        <w:rPr>
          <w:lang w:val="en-US"/>
        </w:rPr>
        <w:t>right to defense</w:t>
      </w:r>
      <w:r w:rsidR="00FF3D5F" w:rsidRPr="00954547">
        <w:rPr>
          <w:color w:val="auto"/>
          <w:lang w:val="en-US"/>
        </w:rPr>
        <w:t>,</w:t>
      </w:r>
      <w:r w:rsidR="005903D2" w:rsidRPr="00954547">
        <w:rPr>
          <w:color w:val="auto"/>
          <w:lang w:val="en-US"/>
        </w:rPr>
        <w:t xml:space="preserve"> the right to be tried by</w:t>
      </w:r>
      <w:r w:rsidR="00D858DE" w:rsidRPr="00954547">
        <w:rPr>
          <w:color w:val="auto"/>
          <w:lang w:val="en-US"/>
        </w:rPr>
        <w:t xml:space="preserve"> </w:t>
      </w:r>
      <w:r w:rsidR="005903D2" w:rsidRPr="00954547">
        <w:rPr>
          <w:color w:val="auto"/>
          <w:lang w:val="en-US"/>
        </w:rPr>
        <w:t xml:space="preserve">an impartial court, the </w:t>
      </w:r>
      <w:r w:rsidR="00144817" w:rsidRPr="00954547">
        <w:rPr>
          <w:color w:val="auto"/>
          <w:lang w:val="en-US"/>
        </w:rPr>
        <w:t>presumption of innocence</w:t>
      </w:r>
      <w:r w:rsidR="00FF3D5F" w:rsidRPr="00954547">
        <w:rPr>
          <w:color w:val="auto"/>
          <w:lang w:val="en-US"/>
        </w:rPr>
        <w:t xml:space="preserve">, </w:t>
      </w:r>
      <w:r w:rsidR="005903D2" w:rsidRPr="00954547">
        <w:rPr>
          <w:color w:val="auto"/>
          <w:lang w:val="en-US"/>
        </w:rPr>
        <w:t xml:space="preserve">the duty to provide a statement of reasons, the </w:t>
      </w:r>
      <w:r w:rsidR="00F00ACF" w:rsidRPr="00954547">
        <w:rPr>
          <w:color w:val="auto"/>
          <w:lang w:val="en-US"/>
        </w:rPr>
        <w:t>obligation</w:t>
      </w:r>
      <w:r w:rsidR="005903D2" w:rsidRPr="00954547">
        <w:rPr>
          <w:color w:val="auto"/>
          <w:lang w:val="en-US"/>
        </w:rPr>
        <w:t xml:space="preserve"> not to apply laws in a discriminatory </w:t>
      </w:r>
      <w:r w:rsidR="00CB66AB" w:rsidRPr="00954547">
        <w:rPr>
          <w:color w:val="auto"/>
          <w:lang w:val="en-US"/>
        </w:rPr>
        <w:t>manner</w:t>
      </w:r>
      <w:r w:rsidR="005903D2" w:rsidRPr="00954547">
        <w:rPr>
          <w:color w:val="auto"/>
          <w:lang w:val="en-US"/>
        </w:rPr>
        <w:t>, the right not to be subjected to cruel, inhuman or degrading punishment</w:t>
      </w:r>
      <w:r w:rsidR="0078694F" w:rsidRPr="00954547">
        <w:rPr>
          <w:color w:val="auto"/>
          <w:lang w:val="en-US"/>
        </w:rPr>
        <w:t xml:space="preserve"> and</w:t>
      </w:r>
      <w:r w:rsidR="005903D2" w:rsidRPr="00954547">
        <w:rPr>
          <w:color w:val="auto"/>
          <w:lang w:val="en-US"/>
        </w:rPr>
        <w:t xml:space="preserve"> the obligation to ensure that the purpose of a prison sentence is the social rehabilitation and reform of those convicted, pursuant to </w:t>
      </w:r>
      <w:r w:rsidR="00FF3D5F" w:rsidRPr="00954547">
        <w:rPr>
          <w:color w:val="auto"/>
          <w:lang w:val="en-US"/>
        </w:rPr>
        <w:t xml:space="preserve"> </w:t>
      </w:r>
      <w:r w:rsidR="00A17F8C" w:rsidRPr="00954547">
        <w:rPr>
          <w:color w:val="auto"/>
          <w:lang w:val="en-US"/>
        </w:rPr>
        <w:t>Articles</w:t>
      </w:r>
      <w:r w:rsidR="00FF3D5F" w:rsidRPr="00954547">
        <w:rPr>
          <w:color w:val="auto"/>
          <w:lang w:val="en-US"/>
        </w:rPr>
        <w:t xml:space="preserve"> </w:t>
      </w:r>
      <w:r w:rsidR="00A17F8C" w:rsidRPr="00954547">
        <w:rPr>
          <w:color w:val="auto"/>
          <w:lang w:val="en-US"/>
        </w:rPr>
        <w:t>8(1)</w:t>
      </w:r>
      <w:r w:rsidR="00FF3D5F" w:rsidRPr="00954547">
        <w:rPr>
          <w:color w:val="auto"/>
          <w:lang w:val="en-US"/>
        </w:rPr>
        <w:t xml:space="preserve">, </w:t>
      </w:r>
      <w:r w:rsidR="00CE421C" w:rsidRPr="00954547">
        <w:rPr>
          <w:color w:val="auto"/>
          <w:lang w:val="en-US"/>
        </w:rPr>
        <w:t>8(2)</w:t>
      </w:r>
      <w:r w:rsidR="00FF3D5F" w:rsidRPr="00954547">
        <w:rPr>
          <w:color w:val="auto"/>
          <w:lang w:val="en-US"/>
        </w:rPr>
        <w:t xml:space="preserve">, </w:t>
      </w:r>
      <w:r w:rsidR="00CE421C" w:rsidRPr="00954547">
        <w:rPr>
          <w:color w:val="auto"/>
          <w:lang w:val="en-US"/>
        </w:rPr>
        <w:t>8(2)(d)</w:t>
      </w:r>
      <w:r w:rsidR="00FF3D5F" w:rsidRPr="00954547">
        <w:rPr>
          <w:color w:val="auto"/>
          <w:lang w:val="en-US"/>
        </w:rPr>
        <w:t xml:space="preserve">, </w:t>
      </w:r>
      <w:r w:rsidR="00CE421C" w:rsidRPr="00954547">
        <w:rPr>
          <w:color w:val="auto"/>
          <w:lang w:val="en-US"/>
        </w:rPr>
        <w:t>8(2)</w:t>
      </w:r>
      <w:r w:rsidR="005903D2" w:rsidRPr="00954547">
        <w:rPr>
          <w:color w:val="auto"/>
          <w:lang w:val="en-US"/>
        </w:rPr>
        <w:t>(</w:t>
      </w:r>
      <w:r w:rsidR="00FF3D5F" w:rsidRPr="00954547">
        <w:rPr>
          <w:color w:val="auto"/>
          <w:lang w:val="en-US"/>
        </w:rPr>
        <w:t>e</w:t>
      </w:r>
      <w:r w:rsidR="005903D2" w:rsidRPr="00954547">
        <w:rPr>
          <w:color w:val="auto"/>
          <w:lang w:val="en-US"/>
        </w:rPr>
        <w:t>)</w:t>
      </w:r>
      <w:r w:rsidR="00485E22" w:rsidRPr="00954547">
        <w:rPr>
          <w:color w:val="auto"/>
          <w:lang w:val="en-US"/>
        </w:rPr>
        <w:t>,</w:t>
      </w:r>
      <w:r w:rsidR="00FF3D5F" w:rsidRPr="00954547">
        <w:rPr>
          <w:color w:val="auto"/>
          <w:lang w:val="en-US"/>
        </w:rPr>
        <w:t xml:space="preserve"> 24</w:t>
      </w:r>
      <w:r w:rsidR="00B54F17" w:rsidRPr="00954547">
        <w:rPr>
          <w:color w:val="auto"/>
          <w:lang w:val="en-US"/>
        </w:rPr>
        <w:t xml:space="preserve">, </w:t>
      </w:r>
      <w:r w:rsidR="005903D2" w:rsidRPr="00954547">
        <w:rPr>
          <w:color w:val="auto"/>
          <w:lang w:val="en-US"/>
        </w:rPr>
        <w:t>5(2)</w:t>
      </w:r>
      <w:r w:rsidR="0078694F" w:rsidRPr="00954547">
        <w:rPr>
          <w:color w:val="auto"/>
          <w:lang w:val="en-US"/>
        </w:rPr>
        <w:t xml:space="preserve"> and </w:t>
      </w:r>
      <w:r w:rsidR="005903D2" w:rsidRPr="00954547">
        <w:rPr>
          <w:color w:val="auto"/>
          <w:lang w:val="en-US"/>
        </w:rPr>
        <w:t>5(6)</w:t>
      </w:r>
      <w:r w:rsidR="00607E12" w:rsidRPr="00954547">
        <w:rPr>
          <w:color w:val="auto"/>
          <w:lang w:val="en-US"/>
        </w:rPr>
        <w:t xml:space="preserve"> of the </w:t>
      </w:r>
      <w:r w:rsidR="00A42A4C" w:rsidRPr="00954547">
        <w:rPr>
          <w:color w:val="auto"/>
          <w:lang w:val="en-US"/>
        </w:rPr>
        <w:t>American Convention on Human Rights</w:t>
      </w:r>
      <w:r w:rsidR="00FF3D5F" w:rsidRPr="00954547">
        <w:rPr>
          <w:lang w:val="en-US"/>
        </w:rPr>
        <w:t>,</w:t>
      </w:r>
      <w:r w:rsidR="005903D2" w:rsidRPr="00954547">
        <w:rPr>
          <w:lang w:val="en-US"/>
        </w:rPr>
        <w:t xml:space="preserve"> in relation to the obligations to respect and to ensure the rights without discrimination and the duty to</w:t>
      </w:r>
      <w:r w:rsidR="00FF3D5F" w:rsidRPr="00954547">
        <w:rPr>
          <w:lang w:val="en-US"/>
        </w:rPr>
        <w:t xml:space="preserve"> </w:t>
      </w:r>
      <w:r w:rsidR="00144817" w:rsidRPr="00954547">
        <w:rPr>
          <w:lang w:val="en-US"/>
        </w:rPr>
        <w:t>adopt domestic legal provisions</w:t>
      </w:r>
      <w:r w:rsidR="00FF3D5F" w:rsidRPr="00954547">
        <w:rPr>
          <w:lang w:val="en-US"/>
        </w:rPr>
        <w:t xml:space="preserve"> </w:t>
      </w:r>
      <w:r w:rsidR="00D858DE" w:rsidRPr="00954547">
        <w:rPr>
          <w:lang w:val="en-US"/>
        </w:rPr>
        <w:t>established in</w:t>
      </w:r>
      <w:r w:rsidR="00FF3D5F" w:rsidRPr="00954547">
        <w:rPr>
          <w:lang w:val="en-US"/>
        </w:rPr>
        <w:t xml:space="preserve"> </w:t>
      </w:r>
      <w:r w:rsidR="00A17F8C" w:rsidRPr="00954547">
        <w:rPr>
          <w:color w:val="auto"/>
          <w:lang w:val="en-US"/>
        </w:rPr>
        <w:t xml:space="preserve">Articles 1(1) </w:t>
      </w:r>
      <w:r w:rsidR="0078694F" w:rsidRPr="00954547">
        <w:rPr>
          <w:color w:val="auto"/>
          <w:lang w:val="en-US"/>
        </w:rPr>
        <w:t xml:space="preserve">and </w:t>
      </w:r>
      <w:r w:rsidR="00485E22" w:rsidRPr="00954547">
        <w:rPr>
          <w:color w:val="auto"/>
          <w:lang w:val="en-US"/>
        </w:rPr>
        <w:t xml:space="preserve">2 </w:t>
      </w:r>
      <w:r w:rsidR="00A17F8C" w:rsidRPr="00954547">
        <w:rPr>
          <w:lang w:val="en-US"/>
        </w:rPr>
        <w:t>of this instrument</w:t>
      </w:r>
      <w:r w:rsidR="00FF3D5F" w:rsidRPr="00954547">
        <w:rPr>
          <w:lang w:val="en-US"/>
        </w:rPr>
        <w:t xml:space="preserve">, </w:t>
      </w:r>
      <w:r w:rsidR="0078694F" w:rsidRPr="00954547">
        <w:rPr>
          <w:lang w:val="en-US"/>
        </w:rPr>
        <w:t>to the detriment of</w:t>
      </w:r>
      <w:r w:rsidR="00FF3D5F" w:rsidRPr="00954547">
        <w:rPr>
          <w:lang w:val="en-US"/>
        </w:rPr>
        <w:t xml:space="preserve"> Manuela, </w:t>
      </w:r>
      <w:r w:rsidR="00591343" w:rsidRPr="00954547">
        <w:rPr>
          <w:lang w:val="en-US"/>
        </w:rPr>
        <w:t>pursuant to paragraphs</w:t>
      </w:r>
      <w:r w:rsidR="00207056" w:rsidRPr="00954547">
        <w:rPr>
          <w:lang w:val="en-US"/>
        </w:rPr>
        <w:t xml:space="preserve"> </w:t>
      </w:r>
      <w:r w:rsidR="00207056" w:rsidRPr="00954547">
        <w:rPr>
          <w:lang w:val="en-US"/>
        </w:rPr>
        <w:fldChar w:fldCharType="begin"/>
      </w:r>
      <w:r w:rsidR="00207056" w:rsidRPr="00954547">
        <w:rPr>
          <w:lang w:val="en-US"/>
        </w:rPr>
        <w:instrText xml:space="preserve"> REF _Ref86675659 \r \h </w:instrText>
      </w:r>
      <w:r w:rsidR="00793F65" w:rsidRPr="00954547">
        <w:rPr>
          <w:lang w:val="en-US"/>
        </w:rPr>
        <w:instrText xml:space="preserve"> \* MERGEFORMAT </w:instrText>
      </w:r>
      <w:r w:rsidR="00207056" w:rsidRPr="00954547">
        <w:rPr>
          <w:lang w:val="en-US"/>
        </w:rPr>
      </w:r>
      <w:r w:rsidR="00207056" w:rsidRPr="00954547">
        <w:rPr>
          <w:lang w:val="en-US"/>
        </w:rPr>
        <w:fldChar w:fldCharType="separate"/>
      </w:r>
      <w:r w:rsidR="000E4488" w:rsidRPr="00954547">
        <w:rPr>
          <w:lang w:val="en-US"/>
        </w:rPr>
        <w:t>118</w:t>
      </w:r>
      <w:r w:rsidR="00207056" w:rsidRPr="00954547">
        <w:rPr>
          <w:lang w:val="en-US"/>
        </w:rPr>
        <w:fldChar w:fldCharType="end"/>
      </w:r>
      <w:r w:rsidR="00207056" w:rsidRPr="00954547">
        <w:rPr>
          <w:lang w:val="en-US"/>
        </w:rPr>
        <w:t xml:space="preserve"> </w:t>
      </w:r>
      <w:r w:rsidR="00D858DE" w:rsidRPr="00954547">
        <w:rPr>
          <w:lang w:val="en-US"/>
        </w:rPr>
        <w:t>to</w:t>
      </w:r>
      <w:r w:rsidR="00207056" w:rsidRPr="00954547">
        <w:rPr>
          <w:lang w:val="en-US"/>
        </w:rPr>
        <w:t xml:space="preserve"> </w:t>
      </w:r>
      <w:r w:rsidR="00207056" w:rsidRPr="00954547">
        <w:rPr>
          <w:lang w:val="en-US"/>
        </w:rPr>
        <w:fldChar w:fldCharType="begin"/>
      </w:r>
      <w:r w:rsidR="00207056" w:rsidRPr="00954547">
        <w:rPr>
          <w:lang w:val="en-US"/>
        </w:rPr>
        <w:instrText xml:space="preserve"> REF _Ref86675650 \r \h </w:instrText>
      </w:r>
      <w:r w:rsidR="00793F65" w:rsidRPr="00954547">
        <w:rPr>
          <w:lang w:val="en-US"/>
        </w:rPr>
        <w:instrText xml:space="preserve"> \* MERGEFORMAT </w:instrText>
      </w:r>
      <w:r w:rsidR="00207056" w:rsidRPr="00954547">
        <w:rPr>
          <w:lang w:val="en-US"/>
        </w:rPr>
      </w:r>
      <w:r w:rsidR="00207056" w:rsidRPr="00954547">
        <w:rPr>
          <w:lang w:val="en-US"/>
        </w:rPr>
        <w:fldChar w:fldCharType="separate"/>
      </w:r>
      <w:r w:rsidR="000E4488" w:rsidRPr="00954547">
        <w:rPr>
          <w:lang w:val="en-US"/>
        </w:rPr>
        <w:t>173</w:t>
      </w:r>
      <w:r w:rsidR="00207056" w:rsidRPr="00954547">
        <w:rPr>
          <w:lang w:val="en-US"/>
        </w:rPr>
        <w:fldChar w:fldCharType="end"/>
      </w:r>
      <w:r w:rsidR="00FF3D5F" w:rsidRPr="00954547">
        <w:rPr>
          <w:lang w:val="en-US"/>
        </w:rPr>
        <w:t xml:space="preserve"> </w:t>
      </w:r>
      <w:r w:rsidR="004B6621" w:rsidRPr="00954547">
        <w:rPr>
          <w:lang w:val="en-US"/>
        </w:rPr>
        <w:t>of this judgment</w:t>
      </w:r>
      <w:r w:rsidR="00FF3D5F" w:rsidRPr="00954547">
        <w:rPr>
          <w:lang w:val="en-US"/>
        </w:rPr>
        <w:t>.</w:t>
      </w:r>
    </w:p>
    <w:p w14:paraId="746EFB0A" w14:textId="0F5ED109" w:rsidR="003179EC" w:rsidRPr="00954547" w:rsidRDefault="00D858DE" w:rsidP="003179EC">
      <w:pPr>
        <w:pStyle w:val="Numberedparagraphs"/>
        <w:numPr>
          <w:ilvl w:val="0"/>
          <w:numId w:val="0"/>
        </w:numPr>
        <w:tabs>
          <w:tab w:val="left" w:pos="567"/>
        </w:tabs>
        <w:rPr>
          <w:lang w:val="en-US"/>
        </w:rPr>
      </w:pPr>
      <w:r w:rsidRPr="00954547">
        <w:rPr>
          <w:lang w:val="en-US"/>
        </w:rPr>
        <w:t>By six votes to one that</w:t>
      </w:r>
      <w:r w:rsidR="00D61813" w:rsidRPr="00954547">
        <w:rPr>
          <w:lang w:val="en-US"/>
        </w:rPr>
        <w:t>:</w:t>
      </w:r>
    </w:p>
    <w:p w14:paraId="22818236" w14:textId="05F5C576" w:rsidR="001A44D9"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 xml:space="preserve">The </w:t>
      </w:r>
      <w:r w:rsidR="00591343" w:rsidRPr="00954547">
        <w:rPr>
          <w:lang w:val="en-US"/>
        </w:rPr>
        <w:t>State is responsible for the violation</w:t>
      </w:r>
      <w:r w:rsidR="00F6091D" w:rsidRPr="00954547">
        <w:rPr>
          <w:lang w:val="en-US"/>
        </w:rPr>
        <w:t xml:space="preserve"> of the </w:t>
      </w:r>
      <w:r w:rsidR="00105F3F" w:rsidRPr="00954547">
        <w:rPr>
          <w:lang w:val="en-US"/>
        </w:rPr>
        <w:t>right</w:t>
      </w:r>
      <w:r w:rsidR="00CB66AB" w:rsidRPr="00954547">
        <w:rPr>
          <w:lang w:val="en-US"/>
        </w:rPr>
        <w:t>s</w:t>
      </w:r>
      <w:r w:rsidR="00BC7072" w:rsidRPr="00954547">
        <w:rPr>
          <w:lang w:val="en-US"/>
        </w:rPr>
        <w:t xml:space="preserve"> to</w:t>
      </w:r>
      <w:r w:rsidR="00FF3D5F" w:rsidRPr="00954547">
        <w:rPr>
          <w:lang w:val="en-US"/>
        </w:rPr>
        <w:t xml:space="preserve"> </w:t>
      </w:r>
      <w:r w:rsidR="00D858DE" w:rsidRPr="00954547">
        <w:rPr>
          <w:lang w:val="en-US"/>
        </w:rPr>
        <w:t xml:space="preserve">life, </w:t>
      </w:r>
      <w:r w:rsidR="00144817" w:rsidRPr="00954547">
        <w:rPr>
          <w:lang w:val="en-US"/>
        </w:rPr>
        <w:t>personal integrity</w:t>
      </w:r>
      <w:r w:rsidR="00FF3D5F" w:rsidRPr="00954547">
        <w:rPr>
          <w:lang w:val="en-US"/>
        </w:rPr>
        <w:t xml:space="preserve">, </w:t>
      </w:r>
      <w:r w:rsidR="0078694F" w:rsidRPr="00954547">
        <w:rPr>
          <w:lang w:val="en-US"/>
        </w:rPr>
        <w:t>privacy</w:t>
      </w:r>
      <w:r w:rsidR="00FF3D5F" w:rsidRPr="00954547">
        <w:rPr>
          <w:lang w:val="en-US"/>
        </w:rPr>
        <w:t xml:space="preserve">, </w:t>
      </w:r>
      <w:r w:rsidR="0078694F" w:rsidRPr="00954547">
        <w:rPr>
          <w:lang w:val="en-US"/>
        </w:rPr>
        <w:t>equality before the law and health</w:t>
      </w:r>
      <w:r w:rsidR="00FF3D5F" w:rsidRPr="00954547">
        <w:rPr>
          <w:lang w:val="en-US"/>
        </w:rPr>
        <w:t xml:space="preserve">, </w:t>
      </w:r>
      <w:r w:rsidR="00D858DE" w:rsidRPr="00954547">
        <w:rPr>
          <w:color w:val="auto"/>
          <w:lang w:val="en-US"/>
        </w:rPr>
        <w:t>pursuant to</w:t>
      </w:r>
      <w:r w:rsidR="00FF3D5F" w:rsidRPr="00954547">
        <w:rPr>
          <w:color w:val="auto"/>
          <w:lang w:val="en-US"/>
        </w:rPr>
        <w:t xml:space="preserve"> </w:t>
      </w:r>
      <w:r w:rsidR="00A17F8C" w:rsidRPr="00954547">
        <w:rPr>
          <w:color w:val="auto"/>
          <w:lang w:val="en-US"/>
        </w:rPr>
        <w:t>Articles</w:t>
      </w:r>
      <w:r w:rsidR="00FF3D5F" w:rsidRPr="00954547">
        <w:rPr>
          <w:color w:val="auto"/>
          <w:lang w:val="en-US"/>
        </w:rPr>
        <w:t xml:space="preserve"> </w:t>
      </w:r>
      <w:r w:rsidR="00FF3D5F" w:rsidRPr="00954547">
        <w:rPr>
          <w:lang w:val="en-US"/>
        </w:rPr>
        <w:t>4, 5, 11, 24</w:t>
      </w:r>
      <w:r w:rsidR="0078694F" w:rsidRPr="00954547">
        <w:rPr>
          <w:lang w:val="en-US"/>
        </w:rPr>
        <w:t xml:space="preserve"> and </w:t>
      </w:r>
      <w:r w:rsidR="00FF3D5F" w:rsidRPr="00954547">
        <w:rPr>
          <w:lang w:val="en-US"/>
        </w:rPr>
        <w:t>26</w:t>
      </w:r>
      <w:r w:rsidR="00607E12" w:rsidRPr="00954547">
        <w:rPr>
          <w:lang w:val="en-US"/>
        </w:rPr>
        <w:t xml:space="preserve"> of the </w:t>
      </w:r>
      <w:r w:rsidR="00A42A4C" w:rsidRPr="00954547">
        <w:rPr>
          <w:color w:val="auto"/>
          <w:lang w:val="en-US"/>
        </w:rPr>
        <w:t>American Convention on Human Rights</w:t>
      </w:r>
      <w:r w:rsidR="00FF3D5F" w:rsidRPr="00954547">
        <w:rPr>
          <w:lang w:val="en-US"/>
        </w:rPr>
        <w:t xml:space="preserve">, </w:t>
      </w:r>
      <w:r w:rsidR="00144817" w:rsidRPr="00954547">
        <w:rPr>
          <w:lang w:val="en-US"/>
        </w:rPr>
        <w:t>in relation to the obligations</w:t>
      </w:r>
      <w:r w:rsidR="00FF3D5F" w:rsidRPr="00954547">
        <w:rPr>
          <w:lang w:val="en-US"/>
        </w:rPr>
        <w:t xml:space="preserve"> </w:t>
      </w:r>
      <w:r w:rsidR="00D858DE" w:rsidRPr="00954547">
        <w:rPr>
          <w:lang w:val="en-US"/>
        </w:rPr>
        <w:t xml:space="preserve">to respect and to ensure the rights without discrimination </w:t>
      </w:r>
      <w:r w:rsidR="0078694F" w:rsidRPr="00954547">
        <w:rPr>
          <w:lang w:val="en-US"/>
        </w:rPr>
        <w:t xml:space="preserve">and </w:t>
      </w:r>
      <w:r w:rsidR="00D858DE" w:rsidRPr="00954547">
        <w:rPr>
          <w:lang w:val="en-US"/>
        </w:rPr>
        <w:t>the duty to</w:t>
      </w:r>
      <w:r w:rsidR="00FF3D5F" w:rsidRPr="00954547">
        <w:rPr>
          <w:lang w:val="en-US"/>
        </w:rPr>
        <w:t xml:space="preserve"> </w:t>
      </w:r>
      <w:r w:rsidR="00144817" w:rsidRPr="00954547">
        <w:rPr>
          <w:lang w:val="en-US"/>
        </w:rPr>
        <w:t>adopt domestic legal provisions</w:t>
      </w:r>
      <w:r w:rsidR="00FF3D5F" w:rsidRPr="00954547">
        <w:rPr>
          <w:lang w:val="en-US"/>
        </w:rPr>
        <w:t xml:space="preserve"> </w:t>
      </w:r>
      <w:r w:rsidR="00D858DE" w:rsidRPr="00954547">
        <w:rPr>
          <w:lang w:val="en-US"/>
        </w:rPr>
        <w:t>established in</w:t>
      </w:r>
      <w:r w:rsidR="00FF3D5F" w:rsidRPr="00954547">
        <w:rPr>
          <w:lang w:val="en-US"/>
        </w:rPr>
        <w:t xml:space="preserve"> </w:t>
      </w:r>
      <w:r w:rsidR="00A17F8C" w:rsidRPr="00954547">
        <w:rPr>
          <w:lang w:val="en-US"/>
        </w:rPr>
        <w:t xml:space="preserve">Articles 1(1) </w:t>
      </w:r>
      <w:r w:rsidR="0078694F" w:rsidRPr="00954547">
        <w:rPr>
          <w:lang w:val="en-US"/>
        </w:rPr>
        <w:t xml:space="preserve">and </w:t>
      </w:r>
      <w:r w:rsidR="00FF3D5F" w:rsidRPr="00954547">
        <w:rPr>
          <w:lang w:val="en-US"/>
        </w:rPr>
        <w:t xml:space="preserve">2 </w:t>
      </w:r>
      <w:r w:rsidR="00A17F8C" w:rsidRPr="00954547">
        <w:rPr>
          <w:lang w:val="en-US"/>
        </w:rPr>
        <w:t>of this instrument</w:t>
      </w:r>
      <w:r w:rsidR="00FF3D5F" w:rsidRPr="00954547">
        <w:rPr>
          <w:lang w:val="en-US"/>
        </w:rPr>
        <w:t xml:space="preserve">, </w:t>
      </w:r>
      <w:r w:rsidR="00D858DE" w:rsidRPr="00954547">
        <w:rPr>
          <w:lang w:val="en-US"/>
        </w:rPr>
        <w:t xml:space="preserve">and also for failing to comply with the obligations of </w:t>
      </w:r>
      <w:r w:rsidR="00A17F8C" w:rsidRPr="00954547">
        <w:rPr>
          <w:lang w:val="en-US"/>
        </w:rPr>
        <w:t>Article</w:t>
      </w:r>
      <w:r w:rsidR="000036E6" w:rsidRPr="00954547">
        <w:rPr>
          <w:lang w:val="en-US"/>
        </w:rPr>
        <w:t xml:space="preserve"> 7</w:t>
      </w:r>
      <w:r w:rsidR="00D858DE" w:rsidRPr="00954547">
        <w:rPr>
          <w:lang w:val="en-US"/>
        </w:rPr>
        <w:t>(</w:t>
      </w:r>
      <w:r w:rsidR="000036E6" w:rsidRPr="00954547">
        <w:rPr>
          <w:lang w:val="en-US"/>
        </w:rPr>
        <w:t xml:space="preserve">a) </w:t>
      </w:r>
      <w:r w:rsidR="00D858DE" w:rsidRPr="00954547">
        <w:rPr>
          <w:lang w:val="en-US"/>
        </w:rPr>
        <w:t>of the</w:t>
      </w:r>
      <w:r w:rsidR="00AB7525" w:rsidRPr="00954547">
        <w:rPr>
          <w:lang w:val="en-US"/>
        </w:rPr>
        <w:t xml:space="preserve"> </w:t>
      </w:r>
      <w:r w:rsidR="00D858DE" w:rsidRPr="00954547">
        <w:rPr>
          <w:lang w:val="en-US"/>
        </w:rPr>
        <w:t xml:space="preserve">Inter-American Convention for the Prevention, Punishment and Eradication of Violence against Women </w:t>
      </w:r>
      <w:r w:rsidR="00AB7525" w:rsidRPr="00954547">
        <w:rPr>
          <w:lang w:val="en-US"/>
        </w:rPr>
        <w:t>“Conven</w:t>
      </w:r>
      <w:r w:rsidR="00D858DE" w:rsidRPr="00954547">
        <w:rPr>
          <w:lang w:val="en-US"/>
        </w:rPr>
        <w:t>tion of</w:t>
      </w:r>
      <w:r w:rsidR="00AB7525" w:rsidRPr="00954547">
        <w:rPr>
          <w:lang w:val="en-US"/>
        </w:rPr>
        <w:t xml:space="preserve"> Belém do Pará</w:t>
      </w:r>
      <w:r w:rsidR="00D858DE" w:rsidRPr="00954547">
        <w:rPr>
          <w:lang w:val="en-US"/>
        </w:rPr>
        <w:t>,</w:t>
      </w:r>
      <w:r w:rsidR="00AB7525" w:rsidRPr="00954547">
        <w:rPr>
          <w:lang w:val="en-US"/>
        </w:rPr>
        <w:t>”</w:t>
      </w:r>
      <w:r w:rsidR="000036E6" w:rsidRPr="00954547">
        <w:rPr>
          <w:lang w:val="en-US"/>
        </w:rPr>
        <w:t xml:space="preserve"> </w:t>
      </w:r>
      <w:r w:rsidR="0078694F" w:rsidRPr="00954547">
        <w:rPr>
          <w:lang w:val="en-US"/>
        </w:rPr>
        <w:t>to the detriment of</w:t>
      </w:r>
      <w:r w:rsidR="00FF3D5F" w:rsidRPr="00954547">
        <w:rPr>
          <w:lang w:val="en-US"/>
        </w:rPr>
        <w:t xml:space="preserve"> Manuela, </w:t>
      </w:r>
      <w:r w:rsidR="00591343" w:rsidRPr="00954547">
        <w:rPr>
          <w:lang w:val="en-US"/>
        </w:rPr>
        <w:t>pursuant to paragraphs</w:t>
      </w:r>
      <w:r w:rsidR="00207056" w:rsidRPr="00954547">
        <w:rPr>
          <w:lang w:val="en-US"/>
        </w:rPr>
        <w:t xml:space="preserve"> </w:t>
      </w:r>
      <w:r w:rsidR="00207056" w:rsidRPr="00954547">
        <w:rPr>
          <w:lang w:val="en-US"/>
        </w:rPr>
        <w:fldChar w:fldCharType="begin"/>
      </w:r>
      <w:r w:rsidR="00207056" w:rsidRPr="00954547">
        <w:rPr>
          <w:lang w:val="en-US"/>
        </w:rPr>
        <w:instrText xml:space="preserve"> REF _Ref86675714 \r \h </w:instrText>
      </w:r>
      <w:r w:rsidR="00793F65" w:rsidRPr="00954547">
        <w:rPr>
          <w:lang w:val="en-US"/>
        </w:rPr>
        <w:instrText xml:space="preserve"> \* MERGEFORMAT </w:instrText>
      </w:r>
      <w:r w:rsidR="00207056" w:rsidRPr="00954547">
        <w:rPr>
          <w:lang w:val="en-US"/>
        </w:rPr>
      </w:r>
      <w:r w:rsidR="00207056" w:rsidRPr="00954547">
        <w:rPr>
          <w:lang w:val="en-US"/>
        </w:rPr>
        <w:fldChar w:fldCharType="separate"/>
      </w:r>
      <w:r w:rsidR="000E4488" w:rsidRPr="00954547">
        <w:rPr>
          <w:lang w:val="en-US"/>
        </w:rPr>
        <w:t>180</w:t>
      </w:r>
      <w:r w:rsidR="00207056" w:rsidRPr="00954547">
        <w:rPr>
          <w:lang w:val="en-US"/>
        </w:rPr>
        <w:fldChar w:fldCharType="end"/>
      </w:r>
      <w:r w:rsidR="00207056" w:rsidRPr="00954547">
        <w:rPr>
          <w:lang w:val="en-US"/>
        </w:rPr>
        <w:t xml:space="preserve"> </w:t>
      </w:r>
      <w:r w:rsidR="00D858DE" w:rsidRPr="00954547">
        <w:rPr>
          <w:lang w:val="en-US"/>
        </w:rPr>
        <w:t>to</w:t>
      </w:r>
      <w:r w:rsidR="00207056" w:rsidRPr="00954547">
        <w:rPr>
          <w:lang w:val="en-US"/>
        </w:rPr>
        <w:t xml:space="preserve"> </w:t>
      </w:r>
      <w:r w:rsidR="00207056" w:rsidRPr="00954547">
        <w:rPr>
          <w:lang w:val="en-US"/>
        </w:rPr>
        <w:fldChar w:fldCharType="begin"/>
      </w:r>
      <w:r w:rsidR="00207056" w:rsidRPr="00954547">
        <w:rPr>
          <w:lang w:val="en-US"/>
        </w:rPr>
        <w:instrText xml:space="preserve"> REF _Ref86675733 \r \h </w:instrText>
      </w:r>
      <w:r w:rsidR="00793F65" w:rsidRPr="00954547">
        <w:rPr>
          <w:lang w:val="en-US"/>
        </w:rPr>
        <w:instrText xml:space="preserve"> \* MERGEFORMAT </w:instrText>
      </w:r>
      <w:r w:rsidR="00207056" w:rsidRPr="00954547">
        <w:rPr>
          <w:lang w:val="en-US"/>
        </w:rPr>
      </w:r>
      <w:r w:rsidR="00207056" w:rsidRPr="00954547">
        <w:rPr>
          <w:lang w:val="en-US"/>
        </w:rPr>
        <w:fldChar w:fldCharType="separate"/>
      </w:r>
      <w:r w:rsidR="000E4488" w:rsidRPr="00954547">
        <w:rPr>
          <w:lang w:val="en-US"/>
        </w:rPr>
        <w:t>260</w:t>
      </w:r>
      <w:r w:rsidR="00207056" w:rsidRPr="00954547">
        <w:rPr>
          <w:lang w:val="en-US"/>
        </w:rPr>
        <w:fldChar w:fldCharType="end"/>
      </w:r>
      <w:r w:rsidR="00207056" w:rsidRPr="00954547">
        <w:rPr>
          <w:lang w:val="en-US"/>
        </w:rPr>
        <w:t xml:space="preserve"> </w:t>
      </w:r>
      <w:r w:rsidR="004B6621" w:rsidRPr="00954547">
        <w:rPr>
          <w:lang w:val="en-US"/>
        </w:rPr>
        <w:t>of this judgment</w:t>
      </w:r>
      <w:r w:rsidR="00FF3D5F" w:rsidRPr="00954547">
        <w:rPr>
          <w:lang w:val="en-US"/>
        </w:rPr>
        <w:t xml:space="preserve">. </w:t>
      </w:r>
    </w:p>
    <w:p w14:paraId="06309C67" w14:textId="58783383" w:rsidR="00D61813" w:rsidRPr="00954547" w:rsidRDefault="00591343" w:rsidP="00D61813">
      <w:pPr>
        <w:pStyle w:val="Numberedparagraphs"/>
        <w:numPr>
          <w:ilvl w:val="0"/>
          <w:numId w:val="0"/>
        </w:numPr>
        <w:tabs>
          <w:tab w:val="left" w:pos="567"/>
        </w:tabs>
        <w:rPr>
          <w:lang w:val="en-US"/>
        </w:rPr>
      </w:pPr>
      <w:r w:rsidRPr="00954547">
        <w:rPr>
          <w:lang w:val="en-US"/>
        </w:rPr>
        <w:t>Dissenting</w:t>
      </w:r>
      <w:r w:rsidR="00D61813" w:rsidRPr="00954547">
        <w:rPr>
          <w:lang w:val="en-US"/>
        </w:rPr>
        <w:t xml:space="preserve"> </w:t>
      </w:r>
      <w:r w:rsidR="00A42A4C" w:rsidRPr="00954547">
        <w:rPr>
          <w:lang w:val="en-US"/>
        </w:rPr>
        <w:t>Judge</w:t>
      </w:r>
      <w:r w:rsidR="00D61813" w:rsidRPr="00954547">
        <w:rPr>
          <w:lang w:val="en-US"/>
        </w:rPr>
        <w:t xml:space="preserve"> Eduardo Vio Grossi. </w:t>
      </w:r>
    </w:p>
    <w:p w14:paraId="2CD162B7" w14:textId="17280831"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600D8801" w14:textId="5E6FF778" w:rsidR="000036E6"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 xml:space="preserve">The </w:t>
      </w:r>
      <w:r w:rsidR="00591343" w:rsidRPr="00954547">
        <w:rPr>
          <w:lang w:val="en-US"/>
        </w:rPr>
        <w:t>State is responsible for the violation</w:t>
      </w:r>
      <w:r w:rsidR="00F6091D" w:rsidRPr="00954547">
        <w:rPr>
          <w:lang w:val="en-US"/>
        </w:rPr>
        <w:t xml:space="preserve"> of the </w:t>
      </w:r>
      <w:r w:rsidR="00BC7072" w:rsidRPr="00954547">
        <w:rPr>
          <w:lang w:val="en-US"/>
        </w:rPr>
        <w:t>right to</w:t>
      </w:r>
      <w:r w:rsidR="000036E6" w:rsidRPr="00954547">
        <w:rPr>
          <w:lang w:val="en-US"/>
        </w:rPr>
        <w:t xml:space="preserve"> </w:t>
      </w:r>
      <w:r w:rsidR="00144817" w:rsidRPr="00954547">
        <w:rPr>
          <w:lang w:val="en-US"/>
        </w:rPr>
        <w:t>personal integrity</w:t>
      </w:r>
      <w:r w:rsidR="000036E6" w:rsidRPr="00954547">
        <w:rPr>
          <w:lang w:val="en-US"/>
        </w:rPr>
        <w:t>, reco</w:t>
      </w:r>
      <w:r w:rsidR="007C78A8" w:rsidRPr="00954547">
        <w:rPr>
          <w:lang w:val="en-US"/>
        </w:rPr>
        <w:t>gnized in</w:t>
      </w:r>
      <w:r w:rsidR="000036E6" w:rsidRPr="00954547">
        <w:rPr>
          <w:lang w:val="en-US"/>
        </w:rPr>
        <w:t xml:space="preserve"> </w:t>
      </w:r>
      <w:r w:rsidR="00A17F8C" w:rsidRPr="00954547">
        <w:rPr>
          <w:lang w:val="en-US"/>
        </w:rPr>
        <w:t>Article</w:t>
      </w:r>
      <w:r w:rsidR="000036E6" w:rsidRPr="00954547">
        <w:rPr>
          <w:lang w:val="en-US"/>
        </w:rPr>
        <w:t xml:space="preserve"> </w:t>
      </w:r>
      <w:r w:rsidR="007C78A8" w:rsidRPr="00954547">
        <w:rPr>
          <w:lang w:val="en-US"/>
        </w:rPr>
        <w:t>5(1)</w:t>
      </w:r>
      <w:r w:rsidR="00607E12" w:rsidRPr="00954547">
        <w:rPr>
          <w:lang w:val="en-US"/>
        </w:rPr>
        <w:t xml:space="preserve"> of the </w:t>
      </w:r>
      <w:r w:rsidR="00A42A4C" w:rsidRPr="00954547">
        <w:rPr>
          <w:lang w:val="en-US"/>
        </w:rPr>
        <w:t>American Convention on Human Rights</w:t>
      </w:r>
      <w:r w:rsidR="000036E6" w:rsidRPr="00954547">
        <w:rPr>
          <w:lang w:val="en-US"/>
        </w:rPr>
        <w:t xml:space="preserve">, </w:t>
      </w:r>
      <w:r w:rsidR="007C78A8" w:rsidRPr="00954547">
        <w:rPr>
          <w:lang w:val="en-US"/>
        </w:rPr>
        <w:t>in relation to</w:t>
      </w:r>
      <w:r w:rsidR="000036E6" w:rsidRPr="00954547">
        <w:rPr>
          <w:lang w:val="en-US"/>
        </w:rPr>
        <w:t xml:space="preserve"> </w:t>
      </w:r>
      <w:r w:rsidR="00A17F8C" w:rsidRPr="00954547">
        <w:rPr>
          <w:lang w:val="en-US"/>
        </w:rPr>
        <w:t>Article 1(1) of this instrument</w:t>
      </w:r>
      <w:r w:rsidR="000036E6" w:rsidRPr="00954547">
        <w:rPr>
          <w:lang w:val="en-US"/>
        </w:rPr>
        <w:t xml:space="preserve">, </w:t>
      </w:r>
      <w:r w:rsidR="0078694F" w:rsidRPr="00954547">
        <w:rPr>
          <w:lang w:val="en-US"/>
        </w:rPr>
        <w:t>to the detriment of</w:t>
      </w:r>
      <w:r w:rsidR="000036E6" w:rsidRPr="00954547">
        <w:rPr>
          <w:lang w:val="en-US"/>
        </w:rPr>
        <w:t xml:space="preserve"> </w:t>
      </w:r>
      <w:r w:rsidR="007C78A8" w:rsidRPr="00954547">
        <w:rPr>
          <w:lang w:val="en-US"/>
        </w:rPr>
        <w:t>Manuela’s mother, father, elder and younger son</w:t>
      </w:r>
      <w:r w:rsidR="000036E6" w:rsidRPr="00954547">
        <w:rPr>
          <w:lang w:val="en-US"/>
        </w:rPr>
        <w:t xml:space="preserve">, </w:t>
      </w:r>
      <w:r w:rsidR="00591343" w:rsidRPr="00954547">
        <w:rPr>
          <w:lang w:val="en-US"/>
        </w:rPr>
        <w:t>pursuant to paragraphs</w:t>
      </w:r>
      <w:r w:rsidR="000036E6" w:rsidRPr="00954547">
        <w:rPr>
          <w:lang w:val="en-US"/>
        </w:rPr>
        <w:t xml:space="preserve"> </w:t>
      </w:r>
      <w:r w:rsidR="00207056" w:rsidRPr="00954547">
        <w:rPr>
          <w:lang w:val="en-US"/>
        </w:rPr>
        <w:fldChar w:fldCharType="begin"/>
      </w:r>
      <w:r w:rsidR="00207056" w:rsidRPr="00954547">
        <w:rPr>
          <w:lang w:val="en-US"/>
        </w:rPr>
        <w:instrText xml:space="preserve"> REF _Ref86675761 \r \h </w:instrText>
      </w:r>
      <w:r w:rsidR="00793F65" w:rsidRPr="00954547">
        <w:rPr>
          <w:lang w:val="en-US"/>
        </w:rPr>
        <w:instrText xml:space="preserve"> \* MERGEFORMAT </w:instrText>
      </w:r>
      <w:r w:rsidR="00207056" w:rsidRPr="00954547">
        <w:rPr>
          <w:lang w:val="en-US"/>
        </w:rPr>
      </w:r>
      <w:r w:rsidR="00207056" w:rsidRPr="00954547">
        <w:rPr>
          <w:lang w:val="en-US"/>
        </w:rPr>
        <w:fldChar w:fldCharType="separate"/>
      </w:r>
      <w:r w:rsidR="000E4488" w:rsidRPr="00954547">
        <w:rPr>
          <w:lang w:val="en-US"/>
        </w:rPr>
        <w:t>262</w:t>
      </w:r>
      <w:r w:rsidR="00207056" w:rsidRPr="00954547">
        <w:rPr>
          <w:lang w:val="en-US"/>
        </w:rPr>
        <w:fldChar w:fldCharType="end"/>
      </w:r>
      <w:r w:rsidR="000036E6" w:rsidRPr="00954547">
        <w:rPr>
          <w:lang w:val="en-US"/>
        </w:rPr>
        <w:t xml:space="preserve"> </w:t>
      </w:r>
      <w:r w:rsidR="00591343" w:rsidRPr="00954547">
        <w:rPr>
          <w:lang w:val="en-US"/>
        </w:rPr>
        <w:t>to</w:t>
      </w:r>
      <w:r w:rsidR="000036E6" w:rsidRPr="00954547">
        <w:rPr>
          <w:lang w:val="en-US"/>
        </w:rPr>
        <w:t xml:space="preserve"> </w:t>
      </w:r>
      <w:r w:rsidR="00207056" w:rsidRPr="00954547">
        <w:rPr>
          <w:lang w:val="en-US"/>
        </w:rPr>
        <w:fldChar w:fldCharType="begin"/>
      </w:r>
      <w:r w:rsidR="00207056" w:rsidRPr="00954547">
        <w:rPr>
          <w:lang w:val="en-US"/>
        </w:rPr>
        <w:instrText xml:space="preserve"> REF _Ref86675808 \r \h </w:instrText>
      </w:r>
      <w:r w:rsidR="00793F65" w:rsidRPr="00954547">
        <w:rPr>
          <w:lang w:val="en-US"/>
        </w:rPr>
        <w:instrText xml:space="preserve"> \* MERGEFORMAT </w:instrText>
      </w:r>
      <w:r w:rsidR="00207056" w:rsidRPr="00954547">
        <w:rPr>
          <w:lang w:val="en-US"/>
        </w:rPr>
      </w:r>
      <w:r w:rsidR="00207056" w:rsidRPr="00954547">
        <w:rPr>
          <w:lang w:val="en-US"/>
        </w:rPr>
        <w:fldChar w:fldCharType="separate"/>
      </w:r>
      <w:r w:rsidR="000E4488" w:rsidRPr="00954547">
        <w:rPr>
          <w:lang w:val="en-US"/>
        </w:rPr>
        <w:t>266</w:t>
      </w:r>
      <w:r w:rsidR="00207056" w:rsidRPr="00954547">
        <w:rPr>
          <w:lang w:val="en-US"/>
        </w:rPr>
        <w:fldChar w:fldCharType="end"/>
      </w:r>
      <w:r w:rsidR="00207056" w:rsidRPr="00954547">
        <w:rPr>
          <w:lang w:val="en-US"/>
        </w:rPr>
        <w:t xml:space="preserve"> </w:t>
      </w:r>
      <w:r w:rsidR="004B6621" w:rsidRPr="00954547">
        <w:rPr>
          <w:lang w:val="en-US"/>
        </w:rPr>
        <w:t>of this judgment</w:t>
      </w:r>
      <w:r w:rsidR="000036E6" w:rsidRPr="00954547">
        <w:rPr>
          <w:lang w:val="en-US"/>
        </w:rPr>
        <w:t>.</w:t>
      </w:r>
    </w:p>
    <w:p w14:paraId="529B0F22" w14:textId="23978426" w:rsidR="000036E6" w:rsidRPr="00954547" w:rsidRDefault="00591343" w:rsidP="000036E6">
      <w:pPr>
        <w:pStyle w:val="Numberedparagraphs"/>
        <w:numPr>
          <w:ilvl w:val="0"/>
          <w:numId w:val="0"/>
        </w:numPr>
        <w:tabs>
          <w:tab w:val="left" w:pos="567"/>
        </w:tabs>
        <w:rPr>
          <w:rFonts w:cs="Times"/>
          <w:b/>
          <w:lang w:val="en-US" w:eastAsia="es-CR"/>
        </w:rPr>
      </w:pPr>
      <w:r w:rsidRPr="00954547">
        <w:rPr>
          <w:b/>
          <w:lang w:val="en-US"/>
        </w:rPr>
        <w:t>AND ESTABLISHES</w:t>
      </w:r>
      <w:r w:rsidR="000036E6" w:rsidRPr="00954547">
        <w:rPr>
          <w:b/>
          <w:lang w:val="en-US"/>
        </w:rPr>
        <w:t xml:space="preserve">: </w:t>
      </w:r>
    </w:p>
    <w:p w14:paraId="50A8CA72" w14:textId="22E6F378"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 xml:space="preserve">: </w:t>
      </w:r>
    </w:p>
    <w:p w14:paraId="6234DEC2" w14:textId="1E7038AE" w:rsidR="000036E6" w:rsidRPr="00954547" w:rsidRDefault="00591343" w:rsidP="000365EC">
      <w:pPr>
        <w:pStyle w:val="Numberedparagraphs"/>
        <w:numPr>
          <w:ilvl w:val="0"/>
          <w:numId w:val="21"/>
        </w:numPr>
        <w:tabs>
          <w:tab w:val="left" w:pos="567"/>
        </w:tabs>
        <w:ind w:left="0" w:firstLine="0"/>
        <w:rPr>
          <w:rFonts w:cs="Times"/>
          <w:lang w:val="en-US" w:eastAsia="es-CR"/>
        </w:rPr>
      </w:pPr>
      <w:r w:rsidRPr="00954547">
        <w:rPr>
          <w:lang w:val="en-US"/>
        </w:rPr>
        <w:t xml:space="preserve">This judgment constitutes, </w:t>
      </w:r>
      <w:r w:rsidRPr="00954547">
        <w:rPr>
          <w:i/>
          <w:iCs/>
          <w:lang w:val="en-US"/>
        </w:rPr>
        <w:t>per se</w:t>
      </w:r>
      <w:r w:rsidRPr="00954547">
        <w:rPr>
          <w:lang w:val="en-US"/>
        </w:rPr>
        <w:t>, a form of reparation.</w:t>
      </w:r>
    </w:p>
    <w:p w14:paraId="6AA1CC02" w14:textId="3E4EA423"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349B1FD3" w14:textId="248E3D54" w:rsidR="000036E6"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0036E6" w:rsidRPr="00954547">
        <w:rPr>
          <w:lang w:val="en-US"/>
        </w:rPr>
        <w:t xml:space="preserve"> </w:t>
      </w:r>
      <w:r w:rsidR="007C78A8" w:rsidRPr="00954547">
        <w:rPr>
          <w:lang w:val="en-US"/>
        </w:rPr>
        <w:t xml:space="preserve">shall make the publications indicated in </w:t>
      </w:r>
      <w:r w:rsidR="00591343" w:rsidRPr="00954547">
        <w:rPr>
          <w:lang w:val="en-US"/>
        </w:rPr>
        <w:t>paragraph</w:t>
      </w:r>
      <w:r w:rsidR="000036E6" w:rsidRPr="00954547">
        <w:rPr>
          <w:lang w:val="en-US"/>
        </w:rPr>
        <w:t xml:space="preserve"> </w:t>
      </w:r>
      <w:r w:rsidR="008B3D84" w:rsidRPr="00954547">
        <w:rPr>
          <w:lang w:val="en-US"/>
        </w:rPr>
        <w:fldChar w:fldCharType="begin"/>
      </w:r>
      <w:r w:rsidR="008B3D84" w:rsidRPr="00954547">
        <w:rPr>
          <w:lang w:val="en-US"/>
        </w:rPr>
        <w:instrText xml:space="preserve"> REF _Ref86675902 \r \h </w:instrText>
      </w:r>
      <w:r w:rsidR="00D61813" w:rsidRPr="00954547">
        <w:rPr>
          <w:lang w:val="en-US"/>
        </w:rPr>
        <w:instrText xml:space="preserve"> \* MERGEFORMAT </w:instrText>
      </w:r>
      <w:r w:rsidR="008B3D84" w:rsidRPr="00954547">
        <w:rPr>
          <w:lang w:val="en-US"/>
        </w:rPr>
      </w:r>
      <w:r w:rsidR="008B3D84" w:rsidRPr="00954547">
        <w:rPr>
          <w:lang w:val="en-US"/>
        </w:rPr>
        <w:fldChar w:fldCharType="separate"/>
      </w:r>
      <w:r w:rsidR="000E4488" w:rsidRPr="00954547">
        <w:rPr>
          <w:lang w:val="en-US"/>
        </w:rPr>
        <w:t>273</w:t>
      </w:r>
      <w:r w:rsidR="008B3D84" w:rsidRPr="00954547">
        <w:rPr>
          <w:lang w:val="en-US"/>
        </w:rPr>
        <w:fldChar w:fldCharType="end"/>
      </w:r>
      <w:r w:rsidR="000036E6" w:rsidRPr="00954547">
        <w:rPr>
          <w:lang w:val="en-US"/>
        </w:rPr>
        <w:t xml:space="preserve"> </w:t>
      </w:r>
      <w:r w:rsidR="004B6621" w:rsidRPr="00954547">
        <w:rPr>
          <w:lang w:val="en-US"/>
        </w:rPr>
        <w:t>of this judgment</w:t>
      </w:r>
      <w:r w:rsidR="000036E6" w:rsidRPr="00954547">
        <w:rPr>
          <w:lang w:val="en-US"/>
        </w:rPr>
        <w:t>.</w:t>
      </w:r>
    </w:p>
    <w:p w14:paraId="068FE8F4" w14:textId="73CA7B47"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17217B90" w14:textId="722934BC" w:rsidR="000036E6"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0036E6" w:rsidRPr="00954547">
        <w:rPr>
          <w:lang w:val="en-US"/>
        </w:rPr>
        <w:t xml:space="preserve"> </w:t>
      </w:r>
      <w:r w:rsidR="007C78A8" w:rsidRPr="00954547">
        <w:rPr>
          <w:lang w:val="en-US"/>
        </w:rPr>
        <w:t>shall hold a public act to acknowledge international responsibility</w:t>
      </w:r>
      <w:r w:rsidR="000036E6" w:rsidRPr="00954547">
        <w:rPr>
          <w:lang w:val="en-US"/>
        </w:rPr>
        <w:t xml:space="preserve">, </w:t>
      </w:r>
      <w:r w:rsidR="00591343" w:rsidRPr="00954547">
        <w:rPr>
          <w:lang w:val="en-US"/>
        </w:rPr>
        <w:t>pursuant to paragraphs</w:t>
      </w:r>
      <w:r w:rsidR="000036E6" w:rsidRPr="00954547">
        <w:rPr>
          <w:lang w:val="en-US"/>
        </w:rPr>
        <w:t xml:space="preserve"> </w:t>
      </w:r>
      <w:r w:rsidR="008B3D84" w:rsidRPr="00954547">
        <w:rPr>
          <w:lang w:val="en-US"/>
        </w:rPr>
        <w:fldChar w:fldCharType="begin"/>
      </w:r>
      <w:r w:rsidR="008B3D84" w:rsidRPr="00954547">
        <w:rPr>
          <w:lang w:val="en-US"/>
        </w:rPr>
        <w:instrText xml:space="preserve"> REF _Ref86675939 \r \h  \* MERGEFORMAT </w:instrText>
      </w:r>
      <w:r w:rsidR="008B3D84" w:rsidRPr="00954547">
        <w:rPr>
          <w:lang w:val="en-US"/>
        </w:rPr>
      </w:r>
      <w:r w:rsidR="008B3D84" w:rsidRPr="00954547">
        <w:rPr>
          <w:lang w:val="en-US"/>
        </w:rPr>
        <w:fldChar w:fldCharType="separate"/>
      </w:r>
      <w:r w:rsidR="000E4488" w:rsidRPr="00954547">
        <w:rPr>
          <w:lang w:val="en-US"/>
        </w:rPr>
        <w:t>276</w:t>
      </w:r>
      <w:r w:rsidR="008B3D84" w:rsidRPr="00954547">
        <w:rPr>
          <w:lang w:val="en-US"/>
        </w:rPr>
        <w:fldChar w:fldCharType="end"/>
      </w:r>
      <w:r w:rsidR="008B3D84" w:rsidRPr="00954547">
        <w:rPr>
          <w:lang w:val="en-US"/>
        </w:rPr>
        <w:t xml:space="preserve"> a</w:t>
      </w:r>
      <w:r w:rsidR="00591343" w:rsidRPr="00954547">
        <w:rPr>
          <w:lang w:val="en-US"/>
        </w:rPr>
        <w:t>nd</w:t>
      </w:r>
      <w:r w:rsidR="008B3D84" w:rsidRPr="00954547">
        <w:rPr>
          <w:lang w:val="en-US"/>
        </w:rPr>
        <w:t xml:space="preserve"> </w:t>
      </w:r>
      <w:r w:rsidR="008B3D84" w:rsidRPr="00954547">
        <w:rPr>
          <w:lang w:val="en-US"/>
        </w:rPr>
        <w:fldChar w:fldCharType="begin"/>
      </w:r>
      <w:r w:rsidR="008B3D84" w:rsidRPr="00954547">
        <w:rPr>
          <w:lang w:val="en-US"/>
        </w:rPr>
        <w:instrText xml:space="preserve"> REF _Ref72330304 \r \h  \* MERGEFORMAT </w:instrText>
      </w:r>
      <w:r w:rsidR="008B3D84" w:rsidRPr="00954547">
        <w:rPr>
          <w:lang w:val="en-US"/>
        </w:rPr>
      </w:r>
      <w:r w:rsidR="008B3D84" w:rsidRPr="00954547">
        <w:rPr>
          <w:lang w:val="en-US"/>
        </w:rPr>
        <w:fldChar w:fldCharType="separate"/>
      </w:r>
      <w:r w:rsidR="000E4488" w:rsidRPr="00954547">
        <w:rPr>
          <w:lang w:val="en-US"/>
        </w:rPr>
        <w:t>277</w:t>
      </w:r>
      <w:r w:rsidR="008B3D84" w:rsidRPr="00954547">
        <w:rPr>
          <w:lang w:val="en-US"/>
        </w:rPr>
        <w:fldChar w:fldCharType="end"/>
      </w:r>
      <w:r w:rsidR="008B3D84" w:rsidRPr="00954547">
        <w:rPr>
          <w:lang w:val="en-US"/>
        </w:rPr>
        <w:t xml:space="preserve"> </w:t>
      </w:r>
      <w:r w:rsidR="0052125E" w:rsidRPr="00954547">
        <w:rPr>
          <w:lang w:val="en-US"/>
        </w:rPr>
        <w:t>of this judgment</w:t>
      </w:r>
      <w:r w:rsidR="000036E6" w:rsidRPr="00954547">
        <w:rPr>
          <w:lang w:val="en-US"/>
        </w:rPr>
        <w:t>.</w:t>
      </w:r>
    </w:p>
    <w:p w14:paraId="34124885" w14:textId="1E4C6ED6"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5C63CD82" w14:textId="6E88F9C3" w:rsidR="005071E6"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5071E6" w:rsidRPr="00954547">
        <w:rPr>
          <w:lang w:val="en-US"/>
        </w:rPr>
        <w:t xml:space="preserve"> </w:t>
      </w:r>
      <w:r w:rsidR="007C78A8" w:rsidRPr="00954547">
        <w:rPr>
          <w:lang w:val="en-US"/>
        </w:rPr>
        <w:t>shall grant scholarships to the Manuela’s elder and younger son</w:t>
      </w:r>
      <w:r w:rsidR="005071E6" w:rsidRPr="00954547">
        <w:rPr>
          <w:lang w:val="en-US"/>
        </w:rPr>
        <w:t xml:space="preserve">, </w:t>
      </w:r>
      <w:r w:rsidR="00591343" w:rsidRPr="00954547">
        <w:rPr>
          <w:lang w:val="en-US"/>
        </w:rPr>
        <w:t>pursuant to paragraph</w:t>
      </w:r>
      <w:r w:rsidR="008B3D84" w:rsidRPr="00954547">
        <w:rPr>
          <w:lang w:val="en-US"/>
        </w:rPr>
        <w:t xml:space="preserve"> </w:t>
      </w:r>
      <w:r w:rsidR="00AE0C54" w:rsidRPr="00954547">
        <w:rPr>
          <w:lang w:val="en-US"/>
        </w:rPr>
        <w:fldChar w:fldCharType="begin"/>
      </w:r>
      <w:r w:rsidR="00AE0C54" w:rsidRPr="00954547">
        <w:rPr>
          <w:lang w:val="en-US"/>
        </w:rPr>
        <w:instrText xml:space="preserve"> REF _Ref86676069 \r \h </w:instrText>
      </w:r>
      <w:r w:rsidR="00D61813" w:rsidRPr="00954547">
        <w:rPr>
          <w:lang w:val="en-US"/>
        </w:rPr>
        <w:instrText xml:space="preserve"> \* MERGEFORMAT </w:instrText>
      </w:r>
      <w:r w:rsidR="00AE0C54" w:rsidRPr="00954547">
        <w:rPr>
          <w:lang w:val="en-US"/>
        </w:rPr>
      </w:r>
      <w:r w:rsidR="00AE0C54" w:rsidRPr="00954547">
        <w:rPr>
          <w:lang w:val="en-US"/>
        </w:rPr>
        <w:fldChar w:fldCharType="separate"/>
      </w:r>
      <w:r w:rsidR="000E4488" w:rsidRPr="00954547">
        <w:rPr>
          <w:lang w:val="en-US"/>
        </w:rPr>
        <w:t>279</w:t>
      </w:r>
      <w:r w:rsidR="00AE0C54" w:rsidRPr="00954547">
        <w:rPr>
          <w:lang w:val="en-US"/>
        </w:rPr>
        <w:fldChar w:fldCharType="end"/>
      </w:r>
      <w:r w:rsidR="008B3D84" w:rsidRPr="00954547">
        <w:rPr>
          <w:lang w:val="en-US"/>
        </w:rPr>
        <w:t xml:space="preserve"> </w:t>
      </w:r>
      <w:r w:rsidR="0052125E" w:rsidRPr="00954547">
        <w:rPr>
          <w:lang w:val="en-US"/>
        </w:rPr>
        <w:t>of this judgment</w:t>
      </w:r>
      <w:r w:rsidR="005071E6" w:rsidRPr="00954547">
        <w:rPr>
          <w:lang w:val="en-US"/>
        </w:rPr>
        <w:t>.</w:t>
      </w:r>
    </w:p>
    <w:p w14:paraId="78045A0F" w14:textId="6D6C8FDC"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03027AD2" w14:textId="6998833A" w:rsidR="00D31465"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D31465" w:rsidRPr="00954547">
        <w:rPr>
          <w:lang w:val="en-US"/>
        </w:rPr>
        <w:t xml:space="preserve"> </w:t>
      </w:r>
      <w:r w:rsidR="007C78A8" w:rsidRPr="00954547">
        <w:rPr>
          <w:lang w:val="en-US"/>
        </w:rPr>
        <w:t xml:space="preserve">shall provide, free of charge and immediately, in </w:t>
      </w:r>
      <w:r w:rsidR="00CB66AB" w:rsidRPr="00954547">
        <w:rPr>
          <w:lang w:val="en-US"/>
        </w:rPr>
        <w:t>a prompt</w:t>
      </w:r>
      <w:r w:rsidR="007C78A8" w:rsidRPr="00954547">
        <w:rPr>
          <w:lang w:val="en-US"/>
        </w:rPr>
        <w:t>, adequate and effective manner, medical, psychological and/or psychiatric treatment to Manuela’s parents</w:t>
      </w:r>
      <w:r w:rsidR="00CB66AB" w:rsidRPr="00954547">
        <w:rPr>
          <w:lang w:val="en-US"/>
        </w:rPr>
        <w:t>,</w:t>
      </w:r>
      <w:r w:rsidR="007C78A8" w:rsidRPr="00954547">
        <w:rPr>
          <w:lang w:val="en-US"/>
        </w:rPr>
        <w:t xml:space="preserve"> pursuant to </w:t>
      </w:r>
      <w:r w:rsidR="00591343" w:rsidRPr="00954547">
        <w:rPr>
          <w:lang w:val="en-US"/>
        </w:rPr>
        <w:t>paragraph</w:t>
      </w:r>
      <w:r w:rsidR="00D31465" w:rsidRPr="00954547">
        <w:rPr>
          <w:lang w:val="en-US"/>
        </w:rPr>
        <w:t xml:space="preserve"> </w:t>
      </w:r>
      <w:r w:rsidR="00D31465" w:rsidRPr="00954547">
        <w:rPr>
          <w:lang w:val="en-US"/>
        </w:rPr>
        <w:fldChar w:fldCharType="begin"/>
      </w:r>
      <w:r w:rsidR="00D31465" w:rsidRPr="00954547">
        <w:rPr>
          <w:lang w:val="en-US"/>
        </w:rPr>
        <w:instrText xml:space="preserve"> REF _Ref86676913 \r \h  \* MERGEFORMAT </w:instrText>
      </w:r>
      <w:r w:rsidR="00D31465" w:rsidRPr="00954547">
        <w:rPr>
          <w:lang w:val="en-US"/>
        </w:rPr>
      </w:r>
      <w:r w:rsidR="00D31465" w:rsidRPr="00954547">
        <w:rPr>
          <w:lang w:val="en-US"/>
        </w:rPr>
        <w:fldChar w:fldCharType="separate"/>
      </w:r>
      <w:r w:rsidR="000E4488" w:rsidRPr="00954547">
        <w:rPr>
          <w:lang w:val="en-US"/>
        </w:rPr>
        <w:t>282</w:t>
      </w:r>
      <w:r w:rsidR="00D31465" w:rsidRPr="00954547">
        <w:rPr>
          <w:lang w:val="en-US"/>
        </w:rPr>
        <w:fldChar w:fldCharType="end"/>
      </w:r>
      <w:r w:rsidR="00D31465" w:rsidRPr="00954547">
        <w:rPr>
          <w:lang w:val="en-US"/>
        </w:rPr>
        <w:t xml:space="preserve"> </w:t>
      </w:r>
      <w:r w:rsidR="0052125E" w:rsidRPr="00954547">
        <w:rPr>
          <w:lang w:val="en-US"/>
        </w:rPr>
        <w:t>of this judgment</w:t>
      </w:r>
      <w:r w:rsidR="00D31465" w:rsidRPr="00954547">
        <w:rPr>
          <w:lang w:val="en-US"/>
        </w:rPr>
        <w:t>.</w:t>
      </w:r>
    </w:p>
    <w:p w14:paraId="65532E5D" w14:textId="77777777" w:rsidR="00591343" w:rsidRPr="00954547" w:rsidRDefault="00591343" w:rsidP="00591343">
      <w:pPr>
        <w:pStyle w:val="Numberedparagraphs"/>
        <w:numPr>
          <w:ilvl w:val="0"/>
          <w:numId w:val="0"/>
        </w:numPr>
        <w:tabs>
          <w:tab w:val="left" w:pos="567"/>
        </w:tabs>
        <w:rPr>
          <w:lang w:val="en-US"/>
        </w:rPr>
      </w:pPr>
      <w:r w:rsidRPr="00954547">
        <w:rPr>
          <w:lang w:val="en-US"/>
        </w:rPr>
        <w:t>By six votes to one that:</w:t>
      </w:r>
    </w:p>
    <w:p w14:paraId="57F292FB" w14:textId="6713A9DA" w:rsidR="005071E6"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5071E6" w:rsidRPr="00954547">
        <w:rPr>
          <w:lang w:val="en-US"/>
        </w:rPr>
        <w:t xml:space="preserve"> </w:t>
      </w:r>
      <w:r w:rsidR="007C78A8" w:rsidRPr="00954547">
        <w:rPr>
          <w:lang w:val="en-US"/>
        </w:rPr>
        <w:t>shall regulate the obligation of</w:t>
      </w:r>
      <w:r w:rsidR="005071E6" w:rsidRPr="00954547">
        <w:rPr>
          <w:lang w:val="en-US"/>
        </w:rPr>
        <w:t xml:space="preserve"> </w:t>
      </w:r>
      <w:r w:rsidR="007C78A8" w:rsidRPr="00954547">
        <w:rPr>
          <w:lang w:val="en-US"/>
        </w:rPr>
        <w:t xml:space="preserve">medical </w:t>
      </w:r>
      <w:r w:rsidR="00674DA3" w:rsidRPr="00954547">
        <w:rPr>
          <w:lang w:val="en-US"/>
        </w:rPr>
        <w:t xml:space="preserve">professional </w:t>
      </w:r>
      <w:r w:rsidR="00135E38" w:rsidRPr="00954547">
        <w:rPr>
          <w:lang w:val="en-US"/>
        </w:rPr>
        <w:t>secrecy</w:t>
      </w:r>
      <w:r w:rsidR="007C78A8" w:rsidRPr="00954547">
        <w:rPr>
          <w:lang w:val="en-US"/>
        </w:rPr>
        <w:t xml:space="preserve"> </w:t>
      </w:r>
      <w:r w:rsidR="0078694F" w:rsidRPr="00954547">
        <w:rPr>
          <w:lang w:val="en-US"/>
        </w:rPr>
        <w:t xml:space="preserve">and </w:t>
      </w:r>
      <w:r w:rsidR="007C78A8" w:rsidRPr="00954547">
        <w:rPr>
          <w:lang w:val="en-US"/>
        </w:rPr>
        <w:t xml:space="preserve">the confidentiality of medical records, </w:t>
      </w:r>
      <w:r w:rsidR="00591343" w:rsidRPr="00954547">
        <w:rPr>
          <w:lang w:val="en-US"/>
        </w:rPr>
        <w:t>pursuant to paragraph</w:t>
      </w:r>
      <w:r w:rsidR="005071E6" w:rsidRPr="00954547">
        <w:rPr>
          <w:lang w:val="en-US"/>
        </w:rPr>
        <w:t xml:space="preserve"> </w:t>
      </w:r>
      <w:r w:rsidR="00AD3120" w:rsidRPr="00954547">
        <w:rPr>
          <w:lang w:val="en-US"/>
        </w:rPr>
        <w:fldChar w:fldCharType="begin"/>
      </w:r>
      <w:r w:rsidR="00AD3120" w:rsidRPr="00954547">
        <w:rPr>
          <w:lang w:val="en-US"/>
        </w:rPr>
        <w:instrText xml:space="preserve"> REF _Ref86678742 \r \h </w:instrText>
      </w:r>
      <w:r w:rsidR="00D61813" w:rsidRPr="00954547">
        <w:rPr>
          <w:lang w:val="en-US"/>
        </w:rPr>
        <w:instrText xml:space="preserve"> \* MERGEFORMAT </w:instrText>
      </w:r>
      <w:r w:rsidR="00AD3120" w:rsidRPr="00954547">
        <w:rPr>
          <w:lang w:val="en-US"/>
        </w:rPr>
      </w:r>
      <w:r w:rsidR="00AD3120" w:rsidRPr="00954547">
        <w:rPr>
          <w:lang w:val="en-US"/>
        </w:rPr>
        <w:fldChar w:fldCharType="separate"/>
      </w:r>
      <w:r w:rsidR="000E4488" w:rsidRPr="00954547">
        <w:rPr>
          <w:lang w:val="en-US"/>
        </w:rPr>
        <w:t>286</w:t>
      </w:r>
      <w:r w:rsidR="00AD3120" w:rsidRPr="00954547">
        <w:rPr>
          <w:lang w:val="en-US"/>
        </w:rPr>
        <w:fldChar w:fldCharType="end"/>
      </w:r>
      <w:r w:rsidR="005071E6" w:rsidRPr="00954547">
        <w:rPr>
          <w:lang w:val="en-US"/>
        </w:rPr>
        <w:t xml:space="preserve"> </w:t>
      </w:r>
      <w:r w:rsidR="0052125E" w:rsidRPr="00954547">
        <w:rPr>
          <w:lang w:val="en-US"/>
        </w:rPr>
        <w:t>of this judgment</w:t>
      </w:r>
      <w:r w:rsidR="005071E6" w:rsidRPr="00954547">
        <w:rPr>
          <w:lang w:val="en-US"/>
        </w:rPr>
        <w:t>.</w:t>
      </w:r>
    </w:p>
    <w:p w14:paraId="5F17EF35" w14:textId="4C20FEBF" w:rsidR="00D61813" w:rsidRPr="00954547" w:rsidRDefault="00591343" w:rsidP="00D61813">
      <w:pPr>
        <w:pStyle w:val="Numberedparagraphs"/>
        <w:numPr>
          <w:ilvl w:val="0"/>
          <w:numId w:val="0"/>
        </w:numPr>
        <w:tabs>
          <w:tab w:val="left" w:pos="567"/>
        </w:tabs>
        <w:rPr>
          <w:lang w:val="en-US"/>
        </w:rPr>
      </w:pPr>
      <w:r w:rsidRPr="00954547">
        <w:rPr>
          <w:lang w:val="en-US"/>
        </w:rPr>
        <w:t>Dissenting</w:t>
      </w:r>
      <w:r w:rsidR="00D61813" w:rsidRPr="00954547">
        <w:rPr>
          <w:lang w:val="en-US"/>
        </w:rPr>
        <w:t xml:space="preserve"> </w:t>
      </w:r>
      <w:r w:rsidR="00A42A4C" w:rsidRPr="00954547">
        <w:rPr>
          <w:lang w:val="en-US"/>
        </w:rPr>
        <w:t>Judge</w:t>
      </w:r>
      <w:r w:rsidR="00D61813" w:rsidRPr="00954547">
        <w:rPr>
          <w:lang w:val="en-US"/>
        </w:rPr>
        <w:t xml:space="preserve"> Eduardo Vio Grossi. </w:t>
      </w:r>
    </w:p>
    <w:p w14:paraId="77BD8FD0" w14:textId="0D7846FB" w:rsidR="00E7461C" w:rsidRPr="00954547" w:rsidRDefault="00F6091D" w:rsidP="00E7461C">
      <w:pPr>
        <w:pStyle w:val="Numberedparagraphs"/>
        <w:numPr>
          <w:ilvl w:val="0"/>
          <w:numId w:val="0"/>
        </w:numPr>
        <w:tabs>
          <w:tab w:val="left" w:pos="567"/>
        </w:tabs>
        <w:rPr>
          <w:rFonts w:cs="Times"/>
          <w:lang w:val="en-US" w:eastAsia="es-CR"/>
        </w:rPr>
      </w:pPr>
      <w:r w:rsidRPr="00954547">
        <w:rPr>
          <w:lang w:val="en-US"/>
        </w:rPr>
        <w:t>Unanimously, that</w:t>
      </w:r>
      <w:r w:rsidR="00E7461C" w:rsidRPr="00954547">
        <w:rPr>
          <w:lang w:val="en-US"/>
        </w:rPr>
        <w:t>:</w:t>
      </w:r>
    </w:p>
    <w:p w14:paraId="172A0A67" w14:textId="48C8E791" w:rsidR="00D61813"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5071E6" w:rsidRPr="00954547">
        <w:rPr>
          <w:lang w:val="en-US"/>
        </w:rPr>
        <w:t xml:space="preserve"> </w:t>
      </w:r>
      <w:r w:rsidR="007C78A8" w:rsidRPr="00954547">
        <w:rPr>
          <w:lang w:val="en-US"/>
        </w:rPr>
        <w:t xml:space="preserve">shall elaborate an action protocol for the treatment of women who require emergency medical </w:t>
      </w:r>
      <w:r w:rsidR="00135E38" w:rsidRPr="00954547">
        <w:rPr>
          <w:lang w:val="en-US"/>
        </w:rPr>
        <w:t>attention</w:t>
      </w:r>
      <w:r w:rsidR="007C78A8" w:rsidRPr="00954547">
        <w:rPr>
          <w:lang w:val="en-US"/>
        </w:rPr>
        <w:t xml:space="preserve"> for </w:t>
      </w:r>
      <w:r w:rsidR="009E6B43" w:rsidRPr="00954547">
        <w:rPr>
          <w:lang w:val="en-US" w:eastAsia="es-MX"/>
        </w:rPr>
        <w:t>obstetric emergencies</w:t>
      </w:r>
      <w:r w:rsidR="005071E6" w:rsidRPr="00954547">
        <w:rPr>
          <w:lang w:val="en-US"/>
        </w:rPr>
        <w:t xml:space="preserve">, </w:t>
      </w:r>
      <w:r w:rsidR="007C78A8" w:rsidRPr="00954547">
        <w:rPr>
          <w:lang w:val="en-US"/>
        </w:rPr>
        <w:t>pur</w:t>
      </w:r>
      <w:r w:rsidR="00CE6BBB" w:rsidRPr="00954547">
        <w:rPr>
          <w:lang w:val="en-US"/>
        </w:rPr>
        <w:t>suant</w:t>
      </w:r>
      <w:r w:rsidR="007C78A8" w:rsidRPr="00954547">
        <w:rPr>
          <w:lang w:val="en-US"/>
        </w:rPr>
        <w:t xml:space="preserve"> to</w:t>
      </w:r>
      <w:r w:rsidR="005071E6" w:rsidRPr="00954547">
        <w:rPr>
          <w:lang w:val="en-US"/>
        </w:rPr>
        <w:t xml:space="preserve"> </w:t>
      </w:r>
      <w:r w:rsidR="00591343" w:rsidRPr="00954547">
        <w:rPr>
          <w:lang w:val="en-US"/>
        </w:rPr>
        <w:t>paragraph</w:t>
      </w:r>
      <w:r w:rsidR="005071E6" w:rsidRPr="00954547">
        <w:rPr>
          <w:lang w:val="en-US"/>
        </w:rPr>
        <w:t xml:space="preserve"> </w:t>
      </w:r>
      <w:r w:rsidR="00296C8F" w:rsidRPr="00954547">
        <w:rPr>
          <w:lang w:val="en-US"/>
        </w:rPr>
        <w:fldChar w:fldCharType="begin"/>
      </w:r>
      <w:r w:rsidR="00296C8F" w:rsidRPr="00954547">
        <w:rPr>
          <w:lang w:val="en-US"/>
        </w:rPr>
        <w:instrText xml:space="preserve"> REF _Ref87983602 \r \h </w:instrText>
      </w:r>
      <w:r w:rsidR="00793F65" w:rsidRPr="00954547">
        <w:rPr>
          <w:lang w:val="en-US"/>
        </w:rPr>
        <w:instrText xml:space="preserve"> \* MERGEFORMAT </w:instrText>
      </w:r>
      <w:r w:rsidR="00296C8F" w:rsidRPr="00954547">
        <w:rPr>
          <w:lang w:val="en-US"/>
        </w:rPr>
      </w:r>
      <w:r w:rsidR="00296C8F" w:rsidRPr="00954547">
        <w:rPr>
          <w:lang w:val="en-US"/>
        </w:rPr>
        <w:fldChar w:fldCharType="separate"/>
      </w:r>
      <w:r w:rsidR="000E4488" w:rsidRPr="00954547">
        <w:rPr>
          <w:lang w:val="en-US"/>
        </w:rPr>
        <w:t>287</w:t>
      </w:r>
      <w:r w:rsidR="00296C8F" w:rsidRPr="00954547">
        <w:rPr>
          <w:lang w:val="en-US"/>
        </w:rPr>
        <w:fldChar w:fldCharType="end"/>
      </w:r>
      <w:r w:rsidR="005071E6" w:rsidRPr="00954547">
        <w:rPr>
          <w:lang w:val="en-US"/>
        </w:rPr>
        <w:t xml:space="preserve"> </w:t>
      </w:r>
      <w:r w:rsidR="0052125E" w:rsidRPr="00954547">
        <w:rPr>
          <w:lang w:val="en-US"/>
        </w:rPr>
        <w:t>of this judgment</w:t>
      </w:r>
      <w:r w:rsidR="00D61813" w:rsidRPr="00954547">
        <w:rPr>
          <w:rFonts w:cs="Times"/>
          <w:lang w:val="en-US" w:eastAsia="es-CR"/>
        </w:rPr>
        <w:t>.</w:t>
      </w:r>
    </w:p>
    <w:p w14:paraId="6BE84BE3" w14:textId="0D4D6C5D"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2B99469C" w14:textId="69A0403E" w:rsidR="005071E6"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5071E6" w:rsidRPr="00954547">
        <w:rPr>
          <w:lang w:val="en-US"/>
        </w:rPr>
        <w:t xml:space="preserve"> </w:t>
      </w:r>
      <w:r w:rsidR="00F00ACF" w:rsidRPr="00954547">
        <w:rPr>
          <w:lang w:val="en-US"/>
        </w:rPr>
        <w:t>shall</w:t>
      </w:r>
      <w:r w:rsidR="00612DB5" w:rsidRPr="00954547">
        <w:rPr>
          <w:lang w:val="en-US"/>
        </w:rPr>
        <w:t xml:space="preserve"> adapt its regulations on</w:t>
      </w:r>
      <w:r w:rsidR="00AD1DEC" w:rsidRPr="00954547">
        <w:rPr>
          <w:lang w:val="en-US"/>
        </w:rPr>
        <w:t xml:space="preserve"> pretrial detention</w:t>
      </w:r>
      <w:r w:rsidR="005071E6" w:rsidRPr="00954547">
        <w:rPr>
          <w:lang w:val="en-US"/>
        </w:rPr>
        <w:t xml:space="preserve">, </w:t>
      </w:r>
      <w:r w:rsidR="00591343" w:rsidRPr="00954547">
        <w:rPr>
          <w:lang w:val="en-US"/>
        </w:rPr>
        <w:t>pursuant to paragraph</w:t>
      </w:r>
      <w:r w:rsidR="005071E6" w:rsidRPr="00954547">
        <w:rPr>
          <w:lang w:val="en-US"/>
        </w:rPr>
        <w:t xml:space="preserve"> </w:t>
      </w:r>
      <w:r w:rsidR="00296C8F" w:rsidRPr="00954547">
        <w:rPr>
          <w:lang w:val="en-US"/>
        </w:rPr>
        <w:fldChar w:fldCharType="begin"/>
      </w:r>
      <w:r w:rsidR="00296C8F" w:rsidRPr="00954547">
        <w:rPr>
          <w:lang w:val="en-US"/>
        </w:rPr>
        <w:instrText xml:space="preserve"> REF _Ref87983639 \r \h </w:instrText>
      </w:r>
      <w:r w:rsidR="00793F65" w:rsidRPr="00954547">
        <w:rPr>
          <w:lang w:val="en-US"/>
        </w:rPr>
        <w:instrText xml:space="preserve"> \* MERGEFORMAT </w:instrText>
      </w:r>
      <w:r w:rsidR="00296C8F" w:rsidRPr="00954547">
        <w:rPr>
          <w:lang w:val="en-US"/>
        </w:rPr>
      </w:r>
      <w:r w:rsidR="00296C8F" w:rsidRPr="00954547">
        <w:rPr>
          <w:lang w:val="en-US"/>
        </w:rPr>
        <w:fldChar w:fldCharType="separate"/>
      </w:r>
      <w:r w:rsidR="000E4488" w:rsidRPr="00954547">
        <w:rPr>
          <w:lang w:val="en-US"/>
        </w:rPr>
        <w:t>289</w:t>
      </w:r>
      <w:r w:rsidR="00296C8F" w:rsidRPr="00954547">
        <w:rPr>
          <w:lang w:val="en-US"/>
        </w:rPr>
        <w:fldChar w:fldCharType="end"/>
      </w:r>
      <w:r w:rsidR="005071E6" w:rsidRPr="00954547">
        <w:rPr>
          <w:lang w:val="en-US"/>
        </w:rPr>
        <w:t xml:space="preserve"> </w:t>
      </w:r>
      <w:r w:rsidR="0052125E" w:rsidRPr="00954547">
        <w:rPr>
          <w:lang w:val="en-US"/>
        </w:rPr>
        <w:t>of this judgment</w:t>
      </w:r>
      <w:r w:rsidR="005071E6" w:rsidRPr="00954547">
        <w:rPr>
          <w:lang w:val="en-US"/>
        </w:rPr>
        <w:t>.</w:t>
      </w:r>
    </w:p>
    <w:p w14:paraId="22E71468" w14:textId="3B88BF2F" w:rsidR="00D61813" w:rsidRPr="00954547" w:rsidRDefault="00591343" w:rsidP="00D61813">
      <w:pPr>
        <w:pStyle w:val="Numberedparagraphs"/>
        <w:numPr>
          <w:ilvl w:val="0"/>
          <w:numId w:val="0"/>
        </w:numPr>
        <w:tabs>
          <w:tab w:val="left" w:pos="567"/>
        </w:tabs>
        <w:rPr>
          <w:lang w:val="en-US"/>
        </w:rPr>
      </w:pPr>
      <w:r w:rsidRPr="00954547">
        <w:rPr>
          <w:lang w:val="en-US"/>
        </w:rPr>
        <w:t>By six votes to one that</w:t>
      </w:r>
      <w:r w:rsidR="00D61813" w:rsidRPr="00954547">
        <w:rPr>
          <w:lang w:val="en-US"/>
        </w:rPr>
        <w:t>:</w:t>
      </w:r>
    </w:p>
    <w:p w14:paraId="1AF77C7B" w14:textId="4647A0D4" w:rsidR="005071E6"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5071E6" w:rsidRPr="00954547">
        <w:rPr>
          <w:lang w:val="en-US"/>
        </w:rPr>
        <w:t xml:space="preserve"> </w:t>
      </w:r>
      <w:r w:rsidR="00612DB5" w:rsidRPr="00954547">
        <w:rPr>
          <w:lang w:val="en-US"/>
        </w:rPr>
        <w:t>shall design and implement an awareness-raising and training course for judicial officials, as well as the health personnel of the Rosales National Hospital, as established in paragraphs</w:t>
      </w:r>
      <w:r w:rsidR="00AD3120" w:rsidRPr="00954547">
        <w:rPr>
          <w:lang w:val="en-US"/>
        </w:rPr>
        <w:t xml:space="preserve"> </w:t>
      </w:r>
      <w:r w:rsidR="00AD3120" w:rsidRPr="00954547">
        <w:rPr>
          <w:lang w:val="en-US"/>
        </w:rPr>
        <w:fldChar w:fldCharType="begin"/>
      </w:r>
      <w:r w:rsidR="00AD3120" w:rsidRPr="00954547">
        <w:rPr>
          <w:lang w:val="en-US"/>
        </w:rPr>
        <w:instrText xml:space="preserve"> REF _Ref86678915 \r \h </w:instrText>
      </w:r>
      <w:r w:rsidR="00D61813" w:rsidRPr="00954547">
        <w:rPr>
          <w:lang w:val="en-US"/>
        </w:rPr>
        <w:instrText xml:space="preserve"> \* MERGEFORMAT </w:instrText>
      </w:r>
      <w:r w:rsidR="00AD3120" w:rsidRPr="00954547">
        <w:rPr>
          <w:lang w:val="en-US"/>
        </w:rPr>
      </w:r>
      <w:r w:rsidR="00AD3120" w:rsidRPr="00954547">
        <w:rPr>
          <w:lang w:val="en-US"/>
        </w:rPr>
        <w:fldChar w:fldCharType="separate"/>
      </w:r>
      <w:r w:rsidR="000E4488" w:rsidRPr="00954547">
        <w:rPr>
          <w:lang w:val="en-US"/>
        </w:rPr>
        <w:t>293</w:t>
      </w:r>
      <w:r w:rsidR="00AD3120" w:rsidRPr="00954547">
        <w:rPr>
          <w:lang w:val="en-US"/>
        </w:rPr>
        <w:fldChar w:fldCharType="end"/>
      </w:r>
      <w:r w:rsidR="0078694F" w:rsidRPr="00954547">
        <w:rPr>
          <w:lang w:val="en-US"/>
        </w:rPr>
        <w:t xml:space="preserve"> and </w:t>
      </w:r>
      <w:r w:rsidR="00AD3120" w:rsidRPr="00954547">
        <w:rPr>
          <w:lang w:val="en-US"/>
        </w:rPr>
        <w:fldChar w:fldCharType="begin"/>
      </w:r>
      <w:r w:rsidR="00AD3120" w:rsidRPr="00954547">
        <w:rPr>
          <w:lang w:val="en-US"/>
        </w:rPr>
        <w:instrText xml:space="preserve"> REF _Ref86678918 \r \h </w:instrText>
      </w:r>
      <w:r w:rsidR="00D61813" w:rsidRPr="00954547">
        <w:rPr>
          <w:lang w:val="en-US"/>
        </w:rPr>
        <w:instrText xml:space="preserve"> \* MERGEFORMAT </w:instrText>
      </w:r>
      <w:r w:rsidR="00AD3120" w:rsidRPr="00954547">
        <w:rPr>
          <w:lang w:val="en-US"/>
        </w:rPr>
      </w:r>
      <w:r w:rsidR="00AD3120" w:rsidRPr="00954547">
        <w:rPr>
          <w:lang w:val="en-US"/>
        </w:rPr>
        <w:fldChar w:fldCharType="separate"/>
      </w:r>
      <w:r w:rsidR="000E4488" w:rsidRPr="00954547">
        <w:rPr>
          <w:lang w:val="en-US"/>
        </w:rPr>
        <w:t>294</w:t>
      </w:r>
      <w:r w:rsidR="00AD3120" w:rsidRPr="00954547">
        <w:rPr>
          <w:lang w:val="en-US"/>
        </w:rPr>
        <w:fldChar w:fldCharType="end"/>
      </w:r>
      <w:r w:rsidR="005071E6" w:rsidRPr="00954547">
        <w:rPr>
          <w:lang w:val="en-US"/>
        </w:rPr>
        <w:t xml:space="preserve"> </w:t>
      </w:r>
      <w:r w:rsidR="0052125E" w:rsidRPr="00954547">
        <w:rPr>
          <w:lang w:val="en-US"/>
        </w:rPr>
        <w:t>of this judgment</w:t>
      </w:r>
      <w:r w:rsidR="005071E6" w:rsidRPr="00954547">
        <w:rPr>
          <w:lang w:val="en-US"/>
        </w:rPr>
        <w:t>.</w:t>
      </w:r>
    </w:p>
    <w:p w14:paraId="7D19B925" w14:textId="4613B406" w:rsidR="00D61813" w:rsidRPr="00954547" w:rsidRDefault="00591343" w:rsidP="00D61813">
      <w:pPr>
        <w:pStyle w:val="Numberedparagraphs"/>
        <w:numPr>
          <w:ilvl w:val="0"/>
          <w:numId w:val="0"/>
        </w:numPr>
        <w:tabs>
          <w:tab w:val="left" w:pos="567"/>
        </w:tabs>
        <w:rPr>
          <w:lang w:val="en-US"/>
        </w:rPr>
      </w:pPr>
      <w:r w:rsidRPr="00954547">
        <w:rPr>
          <w:lang w:val="en-US"/>
        </w:rPr>
        <w:t>Dissenting</w:t>
      </w:r>
      <w:r w:rsidR="00D61813" w:rsidRPr="00954547">
        <w:rPr>
          <w:lang w:val="en-US"/>
        </w:rPr>
        <w:t xml:space="preserve"> </w:t>
      </w:r>
      <w:r w:rsidR="00A42A4C" w:rsidRPr="00954547">
        <w:rPr>
          <w:lang w:val="en-US"/>
        </w:rPr>
        <w:t>Judge</w:t>
      </w:r>
      <w:r w:rsidR="00D61813" w:rsidRPr="00954547">
        <w:rPr>
          <w:lang w:val="en-US"/>
        </w:rPr>
        <w:t xml:space="preserve"> Eduardo Vio Grossi. </w:t>
      </w:r>
    </w:p>
    <w:p w14:paraId="6C04E4E9" w14:textId="16D7DAE0"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10E9B26D" w14:textId="08257564" w:rsidR="008E2DE6"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8E2DE6" w:rsidRPr="00954547">
        <w:rPr>
          <w:lang w:val="en-US"/>
        </w:rPr>
        <w:t xml:space="preserve"> </w:t>
      </w:r>
      <w:r w:rsidR="00612DB5" w:rsidRPr="00954547">
        <w:rPr>
          <w:lang w:val="en-US"/>
        </w:rPr>
        <w:t xml:space="preserve">shall adapt its regulation </w:t>
      </w:r>
      <w:r w:rsidR="00CE6BBB" w:rsidRPr="00954547">
        <w:rPr>
          <w:lang w:val="en-US"/>
        </w:rPr>
        <w:t xml:space="preserve">concerning the </w:t>
      </w:r>
      <w:r w:rsidR="005D48F8" w:rsidRPr="00954547">
        <w:rPr>
          <w:lang w:val="en-US"/>
        </w:rPr>
        <w:t>dosimetr</w:t>
      </w:r>
      <w:r w:rsidR="00135E38" w:rsidRPr="00954547">
        <w:rPr>
          <w:lang w:val="en-US"/>
        </w:rPr>
        <w:t>y</w:t>
      </w:r>
      <w:r w:rsidR="005D48F8" w:rsidRPr="00954547">
        <w:rPr>
          <w:lang w:val="en-US"/>
        </w:rPr>
        <w:t xml:space="preserve"> </w:t>
      </w:r>
      <w:r w:rsidR="00CE6BBB" w:rsidRPr="00954547">
        <w:rPr>
          <w:lang w:val="en-US"/>
        </w:rPr>
        <w:t xml:space="preserve">of the sentence for infanticide, </w:t>
      </w:r>
      <w:r w:rsidR="00591343" w:rsidRPr="00954547">
        <w:rPr>
          <w:lang w:val="en-US"/>
        </w:rPr>
        <w:t>pursuant to paragraph</w:t>
      </w:r>
      <w:r w:rsidR="008E2DE6" w:rsidRPr="00954547">
        <w:rPr>
          <w:lang w:val="en-US"/>
        </w:rPr>
        <w:t xml:space="preserve"> </w:t>
      </w:r>
      <w:r w:rsidR="00AD3120" w:rsidRPr="00954547">
        <w:rPr>
          <w:lang w:val="en-US"/>
        </w:rPr>
        <w:fldChar w:fldCharType="begin"/>
      </w:r>
      <w:r w:rsidR="00AD3120" w:rsidRPr="00954547">
        <w:rPr>
          <w:lang w:val="en-US"/>
        </w:rPr>
        <w:instrText xml:space="preserve"> REF _Ref86678938 \r \h </w:instrText>
      </w:r>
      <w:r w:rsidR="00D61813" w:rsidRPr="00954547">
        <w:rPr>
          <w:lang w:val="en-US"/>
        </w:rPr>
        <w:instrText xml:space="preserve"> \* MERGEFORMAT </w:instrText>
      </w:r>
      <w:r w:rsidR="00AD3120" w:rsidRPr="00954547">
        <w:rPr>
          <w:lang w:val="en-US"/>
        </w:rPr>
      </w:r>
      <w:r w:rsidR="00AD3120" w:rsidRPr="00954547">
        <w:rPr>
          <w:lang w:val="en-US"/>
        </w:rPr>
        <w:fldChar w:fldCharType="separate"/>
      </w:r>
      <w:r w:rsidR="000E4488" w:rsidRPr="00954547">
        <w:rPr>
          <w:lang w:val="en-US"/>
        </w:rPr>
        <w:t>295</w:t>
      </w:r>
      <w:r w:rsidR="00AD3120" w:rsidRPr="00954547">
        <w:rPr>
          <w:lang w:val="en-US"/>
        </w:rPr>
        <w:fldChar w:fldCharType="end"/>
      </w:r>
      <w:r w:rsidR="008E2DE6" w:rsidRPr="00954547">
        <w:rPr>
          <w:lang w:val="en-US"/>
        </w:rPr>
        <w:t xml:space="preserve"> </w:t>
      </w:r>
      <w:r w:rsidR="0052125E" w:rsidRPr="00954547">
        <w:rPr>
          <w:lang w:val="en-US"/>
        </w:rPr>
        <w:t>of this judgment</w:t>
      </w:r>
      <w:r w:rsidR="008E2DE6" w:rsidRPr="00954547">
        <w:rPr>
          <w:lang w:val="en-US"/>
        </w:rPr>
        <w:t>.</w:t>
      </w:r>
    </w:p>
    <w:p w14:paraId="16B4317B" w14:textId="4DB0B623"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332F972A" w14:textId="687C9AD1" w:rsidR="00914668"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914668" w:rsidRPr="00954547">
        <w:rPr>
          <w:lang w:val="en-US"/>
        </w:rPr>
        <w:t xml:space="preserve"> </w:t>
      </w:r>
      <w:r w:rsidR="00612DB5" w:rsidRPr="00954547">
        <w:rPr>
          <w:lang w:val="en-US"/>
        </w:rPr>
        <w:t>shall design and implement a</w:t>
      </w:r>
      <w:r w:rsidR="00135E38" w:rsidRPr="00954547">
        <w:rPr>
          <w:lang w:val="en-US"/>
        </w:rPr>
        <w:t xml:space="preserve">n </w:t>
      </w:r>
      <w:r w:rsidR="00612DB5" w:rsidRPr="00954547">
        <w:rPr>
          <w:lang w:val="en-US"/>
        </w:rPr>
        <w:t>education program</w:t>
      </w:r>
      <w:r w:rsidR="00135E38" w:rsidRPr="00954547">
        <w:rPr>
          <w:lang w:val="en-US"/>
        </w:rPr>
        <w:t xml:space="preserve"> on sexuality and reproduction</w:t>
      </w:r>
      <w:r w:rsidR="00612DB5" w:rsidRPr="00954547">
        <w:rPr>
          <w:lang w:val="en-US"/>
        </w:rPr>
        <w:t xml:space="preserve">, </w:t>
      </w:r>
      <w:r w:rsidR="00591343" w:rsidRPr="00954547">
        <w:rPr>
          <w:lang w:val="en-US"/>
        </w:rPr>
        <w:t>pursuant to paragraph</w:t>
      </w:r>
      <w:r w:rsidR="00914668" w:rsidRPr="00954547">
        <w:rPr>
          <w:lang w:val="en-US"/>
        </w:rPr>
        <w:t xml:space="preserve"> </w:t>
      </w:r>
      <w:r w:rsidR="00914668" w:rsidRPr="00954547">
        <w:rPr>
          <w:lang w:val="en-US"/>
        </w:rPr>
        <w:fldChar w:fldCharType="begin"/>
      </w:r>
      <w:r w:rsidR="00914668" w:rsidRPr="00954547">
        <w:rPr>
          <w:lang w:val="en-US"/>
        </w:rPr>
        <w:instrText xml:space="preserve"> REF _Ref86673513 \r \h  \* MERGEFORMAT </w:instrText>
      </w:r>
      <w:r w:rsidR="00914668" w:rsidRPr="00954547">
        <w:rPr>
          <w:lang w:val="en-US"/>
        </w:rPr>
      </w:r>
      <w:r w:rsidR="00914668" w:rsidRPr="00954547">
        <w:rPr>
          <w:lang w:val="en-US"/>
        </w:rPr>
        <w:fldChar w:fldCharType="separate"/>
      </w:r>
      <w:r w:rsidR="000E4488" w:rsidRPr="00954547">
        <w:rPr>
          <w:lang w:val="en-US"/>
        </w:rPr>
        <w:t>297</w:t>
      </w:r>
      <w:r w:rsidR="00914668" w:rsidRPr="00954547">
        <w:rPr>
          <w:lang w:val="en-US"/>
        </w:rPr>
        <w:fldChar w:fldCharType="end"/>
      </w:r>
      <w:r w:rsidR="00914668" w:rsidRPr="00954547">
        <w:rPr>
          <w:lang w:val="en-US"/>
        </w:rPr>
        <w:t xml:space="preserve"> </w:t>
      </w:r>
      <w:r w:rsidR="0052125E" w:rsidRPr="00954547">
        <w:rPr>
          <w:lang w:val="en-US"/>
        </w:rPr>
        <w:t>of this judgment</w:t>
      </w:r>
      <w:r w:rsidR="00914668" w:rsidRPr="00954547">
        <w:rPr>
          <w:lang w:val="en-US"/>
        </w:rPr>
        <w:t>.</w:t>
      </w:r>
    </w:p>
    <w:p w14:paraId="4D61DB92" w14:textId="632A972F"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6998C618" w14:textId="779FE88B" w:rsidR="002369AF"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2369AF" w:rsidRPr="00954547">
        <w:rPr>
          <w:lang w:val="en-US"/>
        </w:rPr>
        <w:t xml:space="preserve"> </w:t>
      </w:r>
      <w:r w:rsidR="00612DB5" w:rsidRPr="00954547">
        <w:rPr>
          <w:lang w:val="en-US"/>
        </w:rPr>
        <w:t xml:space="preserve">shall take the necessary measures to ensure comprehensive care in cases of </w:t>
      </w:r>
      <w:r w:rsidR="009E6B43" w:rsidRPr="00954547">
        <w:rPr>
          <w:lang w:val="en-US"/>
        </w:rPr>
        <w:t>obstetric emergencies</w:t>
      </w:r>
      <w:r w:rsidR="002369AF" w:rsidRPr="00954547">
        <w:rPr>
          <w:lang w:val="en-US"/>
        </w:rPr>
        <w:t xml:space="preserve">, </w:t>
      </w:r>
      <w:r w:rsidR="00591343" w:rsidRPr="00954547">
        <w:rPr>
          <w:lang w:val="en-US"/>
        </w:rPr>
        <w:t>pursuant to paragraph</w:t>
      </w:r>
      <w:r w:rsidR="002369AF" w:rsidRPr="00954547">
        <w:rPr>
          <w:lang w:val="en-US"/>
        </w:rPr>
        <w:t xml:space="preserve"> </w:t>
      </w:r>
      <w:r w:rsidR="002369AF" w:rsidRPr="00954547">
        <w:rPr>
          <w:lang w:val="en-US"/>
        </w:rPr>
        <w:fldChar w:fldCharType="begin"/>
      </w:r>
      <w:r w:rsidR="002369AF" w:rsidRPr="00954547">
        <w:rPr>
          <w:lang w:val="en-US"/>
        </w:rPr>
        <w:instrText xml:space="preserve"> REF _Ref86674344 \r \h  \* MERGEFORMAT </w:instrText>
      </w:r>
      <w:r w:rsidR="002369AF" w:rsidRPr="00954547">
        <w:rPr>
          <w:lang w:val="en-US"/>
        </w:rPr>
      </w:r>
      <w:r w:rsidR="002369AF" w:rsidRPr="00954547">
        <w:rPr>
          <w:lang w:val="en-US"/>
        </w:rPr>
        <w:fldChar w:fldCharType="separate"/>
      </w:r>
      <w:r w:rsidR="000E4488" w:rsidRPr="00954547">
        <w:rPr>
          <w:lang w:val="en-US"/>
        </w:rPr>
        <w:t>299</w:t>
      </w:r>
      <w:r w:rsidR="002369AF" w:rsidRPr="00954547">
        <w:rPr>
          <w:lang w:val="en-US"/>
        </w:rPr>
        <w:fldChar w:fldCharType="end"/>
      </w:r>
      <w:r w:rsidR="002369AF" w:rsidRPr="00954547">
        <w:rPr>
          <w:lang w:val="en-US"/>
        </w:rPr>
        <w:t xml:space="preserve"> </w:t>
      </w:r>
      <w:r w:rsidR="0052125E" w:rsidRPr="00954547">
        <w:rPr>
          <w:lang w:val="en-US"/>
        </w:rPr>
        <w:t>of this judgment</w:t>
      </w:r>
      <w:r w:rsidR="002369AF" w:rsidRPr="00954547">
        <w:rPr>
          <w:lang w:val="en-US"/>
        </w:rPr>
        <w:t>.</w:t>
      </w:r>
    </w:p>
    <w:p w14:paraId="7CB792E9" w14:textId="5E2CEEA8" w:rsidR="00232A11" w:rsidRPr="00954547" w:rsidRDefault="00F6091D" w:rsidP="00232A11">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4850D6AB" w14:textId="6B994DFD" w:rsidR="001E0C9A"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1E0C9A" w:rsidRPr="00954547">
        <w:rPr>
          <w:lang w:val="en-US"/>
        </w:rPr>
        <w:t xml:space="preserve"> </w:t>
      </w:r>
      <w:r w:rsidR="00612DB5" w:rsidRPr="00954547">
        <w:rPr>
          <w:lang w:val="en-US"/>
        </w:rPr>
        <w:t>shall pay the amounts established in paragraphs</w:t>
      </w:r>
      <w:r w:rsidR="00D63C2E" w:rsidRPr="00954547">
        <w:rPr>
          <w:lang w:val="en-US"/>
        </w:rPr>
        <w:t xml:space="preserve"> </w:t>
      </w:r>
      <w:r w:rsidR="00D63C2E" w:rsidRPr="00954547">
        <w:rPr>
          <w:lang w:val="en-US"/>
        </w:rPr>
        <w:fldChar w:fldCharType="begin"/>
      </w:r>
      <w:r w:rsidR="00D63C2E" w:rsidRPr="00954547">
        <w:rPr>
          <w:lang w:val="en-US"/>
        </w:rPr>
        <w:instrText xml:space="preserve"> REF _Ref86683888 \r \h </w:instrText>
      </w:r>
      <w:r w:rsidR="00D61813" w:rsidRPr="00954547">
        <w:rPr>
          <w:lang w:val="en-US"/>
        </w:rPr>
        <w:instrText xml:space="preserve"> \* MERGEFORMAT </w:instrText>
      </w:r>
      <w:r w:rsidR="00D63C2E" w:rsidRPr="00954547">
        <w:rPr>
          <w:lang w:val="en-US"/>
        </w:rPr>
      </w:r>
      <w:r w:rsidR="00D63C2E" w:rsidRPr="00954547">
        <w:rPr>
          <w:lang w:val="en-US"/>
        </w:rPr>
        <w:fldChar w:fldCharType="separate"/>
      </w:r>
      <w:r w:rsidR="000E4488" w:rsidRPr="00954547">
        <w:rPr>
          <w:lang w:val="en-US"/>
        </w:rPr>
        <w:t>304</w:t>
      </w:r>
      <w:r w:rsidR="00D63C2E" w:rsidRPr="00954547">
        <w:rPr>
          <w:lang w:val="en-US"/>
        </w:rPr>
        <w:fldChar w:fldCharType="end"/>
      </w:r>
      <w:r w:rsidR="00D63C2E" w:rsidRPr="00954547">
        <w:rPr>
          <w:lang w:val="en-US"/>
        </w:rPr>
        <w:t xml:space="preserve">, </w:t>
      </w:r>
      <w:r w:rsidR="00D63C2E" w:rsidRPr="00954547">
        <w:rPr>
          <w:lang w:val="en-US"/>
        </w:rPr>
        <w:fldChar w:fldCharType="begin"/>
      </w:r>
      <w:r w:rsidR="00D63C2E" w:rsidRPr="00954547">
        <w:rPr>
          <w:lang w:val="en-US"/>
        </w:rPr>
        <w:instrText xml:space="preserve"> REF _Ref86683889 \r \h </w:instrText>
      </w:r>
      <w:r w:rsidR="00D61813" w:rsidRPr="00954547">
        <w:rPr>
          <w:lang w:val="en-US"/>
        </w:rPr>
        <w:instrText xml:space="preserve"> \* MERGEFORMAT </w:instrText>
      </w:r>
      <w:r w:rsidR="00D63C2E" w:rsidRPr="00954547">
        <w:rPr>
          <w:lang w:val="en-US"/>
        </w:rPr>
      </w:r>
      <w:r w:rsidR="00D63C2E" w:rsidRPr="00954547">
        <w:rPr>
          <w:lang w:val="en-US"/>
        </w:rPr>
        <w:fldChar w:fldCharType="separate"/>
      </w:r>
      <w:r w:rsidR="000E4488" w:rsidRPr="00954547">
        <w:rPr>
          <w:lang w:val="en-US"/>
        </w:rPr>
        <w:t>305</w:t>
      </w:r>
      <w:r w:rsidR="00D63C2E" w:rsidRPr="00954547">
        <w:rPr>
          <w:lang w:val="en-US"/>
        </w:rPr>
        <w:fldChar w:fldCharType="end"/>
      </w:r>
      <w:r w:rsidR="00B93C74" w:rsidRPr="00954547">
        <w:rPr>
          <w:lang w:val="en-US"/>
        </w:rPr>
        <w:t xml:space="preserve">, </w:t>
      </w:r>
      <w:r w:rsidR="00B93C74" w:rsidRPr="00954547">
        <w:rPr>
          <w:lang w:val="en-US"/>
        </w:rPr>
        <w:fldChar w:fldCharType="begin"/>
      </w:r>
      <w:r w:rsidR="00B93C74" w:rsidRPr="00954547">
        <w:rPr>
          <w:lang w:val="en-US"/>
        </w:rPr>
        <w:instrText xml:space="preserve"> REF _Ref86680875 \r \h </w:instrText>
      </w:r>
      <w:r w:rsidR="00D61813" w:rsidRPr="00954547">
        <w:rPr>
          <w:lang w:val="en-US"/>
        </w:rPr>
        <w:instrText xml:space="preserve"> \* MERGEFORMAT </w:instrText>
      </w:r>
      <w:r w:rsidR="00B93C74" w:rsidRPr="00954547">
        <w:rPr>
          <w:lang w:val="en-US"/>
        </w:rPr>
      </w:r>
      <w:r w:rsidR="00B93C74" w:rsidRPr="00954547">
        <w:rPr>
          <w:lang w:val="en-US"/>
        </w:rPr>
        <w:fldChar w:fldCharType="separate"/>
      </w:r>
      <w:r w:rsidR="000E4488" w:rsidRPr="00954547">
        <w:rPr>
          <w:lang w:val="en-US"/>
        </w:rPr>
        <w:t>309</w:t>
      </w:r>
      <w:r w:rsidR="00B93C74" w:rsidRPr="00954547">
        <w:rPr>
          <w:lang w:val="en-US"/>
        </w:rPr>
        <w:fldChar w:fldCharType="end"/>
      </w:r>
      <w:r w:rsidR="00B93C74" w:rsidRPr="00954547">
        <w:rPr>
          <w:lang w:val="en-US"/>
        </w:rPr>
        <w:t xml:space="preserve">, </w:t>
      </w:r>
      <w:r w:rsidR="00296C8F" w:rsidRPr="00954547">
        <w:rPr>
          <w:lang w:val="en-US"/>
        </w:rPr>
        <w:fldChar w:fldCharType="begin"/>
      </w:r>
      <w:r w:rsidR="00296C8F" w:rsidRPr="00954547">
        <w:rPr>
          <w:lang w:val="en-US"/>
        </w:rPr>
        <w:instrText xml:space="preserve"> REF _Ref87983685 \r \h </w:instrText>
      </w:r>
      <w:r w:rsidR="00793F65" w:rsidRPr="00954547">
        <w:rPr>
          <w:lang w:val="en-US"/>
        </w:rPr>
        <w:instrText xml:space="preserve"> \* MERGEFORMAT </w:instrText>
      </w:r>
      <w:r w:rsidR="00296C8F" w:rsidRPr="00954547">
        <w:rPr>
          <w:lang w:val="en-US"/>
        </w:rPr>
      </w:r>
      <w:r w:rsidR="00296C8F" w:rsidRPr="00954547">
        <w:rPr>
          <w:lang w:val="en-US"/>
        </w:rPr>
        <w:fldChar w:fldCharType="separate"/>
      </w:r>
      <w:r w:rsidR="000E4488" w:rsidRPr="00954547">
        <w:rPr>
          <w:lang w:val="en-US"/>
        </w:rPr>
        <w:t>310</w:t>
      </w:r>
      <w:r w:rsidR="00296C8F" w:rsidRPr="00954547">
        <w:rPr>
          <w:lang w:val="en-US"/>
        </w:rPr>
        <w:fldChar w:fldCharType="end"/>
      </w:r>
      <w:r w:rsidR="0078694F" w:rsidRPr="00954547">
        <w:rPr>
          <w:lang w:val="en-US"/>
        </w:rPr>
        <w:t xml:space="preserve"> and </w:t>
      </w:r>
      <w:r w:rsidR="000E3557" w:rsidRPr="00954547">
        <w:rPr>
          <w:lang w:val="en-US"/>
        </w:rPr>
        <w:fldChar w:fldCharType="begin"/>
      </w:r>
      <w:r w:rsidR="000E3557" w:rsidRPr="00954547">
        <w:rPr>
          <w:lang w:val="en-US"/>
        </w:rPr>
        <w:instrText xml:space="preserve"> REF _Ref88048340 \r \h </w:instrText>
      </w:r>
      <w:r w:rsidR="00793F65" w:rsidRPr="00954547">
        <w:rPr>
          <w:lang w:val="en-US"/>
        </w:rPr>
        <w:instrText xml:space="preserve"> \* MERGEFORMAT </w:instrText>
      </w:r>
      <w:r w:rsidR="000E3557" w:rsidRPr="00954547">
        <w:rPr>
          <w:lang w:val="en-US"/>
        </w:rPr>
      </w:r>
      <w:r w:rsidR="000E3557" w:rsidRPr="00954547">
        <w:rPr>
          <w:lang w:val="en-US"/>
        </w:rPr>
        <w:fldChar w:fldCharType="separate"/>
      </w:r>
      <w:r w:rsidR="000E4488" w:rsidRPr="00954547">
        <w:rPr>
          <w:lang w:val="en-US"/>
        </w:rPr>
        <w:t>319</w:t>
      </w:r>
      <w:r w:rsidR="000E3557" w:rsidRPr="00954547">
        <w:rPr>
          <w:lang w:val="en-US"/>
        </w:rPr>
        <w:fldChar w:fldCharType="end"/>
      </w:r>
      <w:r w:rsidR="00B93C74" w:rsidRPr="00954547">
        <w:rPr>
          <w:lang w:val="en-US"/>
        </w:rPr>
        <w:t xml:space="preserve"> </w:t>
      </w:r>
      <w:r w:rsidR="004B6621" w:rsidRPr="00954547">
        <w:rPr>
          <w:lang w:val="en-US"/>
        </w:rPr>
        <w:t>of this judgment</w:t>
      </w:r>
      <w:r w:rsidR="001E0C9A" w:rsidRPr="00954547">
        <w:rPr>
          <w:lang w:val="en-US"/>
        </w:rPr>
        <w:t xml:space="preserve"> </w:t>
      </w:r>
      <w:r w:rsidR="00612DB5" w:rsidRPr="00954547">
        <w:rPr>
          <w:lang w:val="en-US"/>
        </w:rPr>
        <w:t xml:space="preserve">as compensation for pecuniary and non-pecuniary damage and to reimburse </w:t>
      </w:r>
      <w:r w:rsidR="005D2781" w:rsidRPr="00954547">
        <w:rPr>
          <w:lang w:val="en-US"/>
        </w:rPr>
        <w:t>costs and expenses</w:t>
      </w:r>
      <w:r w:rsidR="001E0C9A" w:rsidRPr="00954547">
        <w:rPr>
          <w:lang w:val="en-US"/>
        </w:rPr>
        <w:t xml:space="preserve">, </w:t>
      </w:r>
      <w:r w:rsidR="00591343" w:rsidRPr="00954547">
        <w:rPr>
          <w:lang w:val="en-US"/>
        </w:rPr>
        <w:t>pursuant to paragraphs</w:t>
      </w:r>
      <w:r w:rsidR="00296C8F" w:rsidRPr="00954547">
        <w:rPr>
          <w:lang w:val="en-US"/>
        </w:rPr>
        <w:t xml:space="preserve"> </w:t>
      </w:r>
      <w:r w:rsidR="00B93C74" w:rsidRPr="00954547">
        <w:rPr>
          <w:lang w:val="en-US"/>
        </w:rPr>
        <w:fldChar w:fldCharType="begin"/>
      </w:r>
      <w:r w:rsidR="00B93C74" w:rsidRPr="00954547">
        <w:rPr>
          <w:lang w:val="en-US"/>
        </w:rPr>
        <w:instrText xml:space="preserve"> REF _Ref43209330 \r \h </w:instrText>
      </w:r>
      <w:r w:rsidR="00D61813" w:rsidRPr="00954547">
        <w:rPr>
          <w:lang w:val="en-US"/>
        </w:rPr>
        <w:instrText xml:space="preserve"> \* MERGEFORMAT </w:instrText>
      </w:r>
      <w:r w:rsidR="00B93C74" w:rsidRPr="00954547">
        <w:rPr>
          <w:lang w:val="en-US"/>
        </w:rPr>
      </w:r>
      <w:r w:rsidR="00B93C74" w:rsidRPr="00954547">
        <w:rPr>
          <w:lang w:val="en-US"/>
        </w:rPr>
        <w:fldChar w:fldCharType="separate"/>
      </w:r>
      <w:r w:rsidR="000E4488" w:rsidRPr="00954547">
        <w:rPr>
          <w:lang w:val="en-US"/>
        </w:rPr>
        <w:t>320</w:t>
      </w:r>
      <w:r w:rsidR="00B93C74" w:rsidRPr="00954547">
        <w:rPr>
          <w:lang w:val="en-US"/>
        </w:rPr>
        <w:fldChar w:fldCharType="end"/>
      </w:r>
      <w:r w:rsidR="00B93C74" w:rsidRPr="00954547">
        <w:rPr>
          <w:lang w:val="en-US"/>
        </w:rPr>
        <w:t xml:space="preserve"> </w:t>
      </w:r>
      <w:r w:rsidR="00612DB5" w:rsidRPr="00954547">
        <w:rPr>
          <w:lang w:val="en-US"/>
        </w:rPr>
        <w:t>to</w:t>
      </w:r>
      <w:r w:rsidR="00B93C74" w:rsidRPr="00954547">
        <w:rPr>
          <w:lang w:val="en-US"/>
        </w:rPr>
        <w:t xml:space="preserve"> </w:t>
      </w:r>
      <w:r w:rsidR="00B93C74" w:rsidRPr="00954547">
        <w:rPr>
          <w:lang w:val="en-US"/>
        </w:rPr>
        <w:fldChar w:fldCharType="begin"/>
      </w:r>
      <w:r w:rsidR="00B93C74" w:rsidRPr="00954547">
        <w:rPr>
          <w:lang w:val="en-US"/>
        </w:rPr>
        <w:instrText xml:space="preserve"> REF _Ref86680953 \r \h </w:instrText>
      </w:r>
      <w:r w:rsidR="00D61813" w:rsidRPr="00954547">
        <w:rPr>
          <w:lang w:val="en-US"/>
        </w:rPr>
        <w:instrText xml:space="preserve"> \* MERGEFORMAT </w:instrText>
      </w:r>
      <w:r w:rsidR="00B93C74" w:rsidRPr="00954547">
        <w:rPr>
          <w:lang w:val="en-US"/>
        </w:rPr>
      </w:r>
      <w:r w:rsidR="00B93C74" w:rsidRPr="00954547">
        <w:rPr>
          <w:lang w:val="en-US"/>
        </w:rPr>
        <w:fldChar w:fldCharType="separate"/>
      </w:r>
      <w:r w:rsidR="000E4488" w:rsidRPr="00954547">
        <w:rPr>
          <w:lang w:val="en-US"/>
        </w:rPr>
        <w:t>325</w:t>
      </w:r>
      <w:r w:rsidR="00B93C74" w:rsidRPr="00954547">
        <w:rPr>
          <w:lang w:val="en-US"/>
        </w:rPr>
        <w:fldChar w:fldCharType="end"/>
      </w:r>
      <w:r w:rsidR="001E0C9A" w:rsidRPr="00954547">
        <w:rPr>
          <w:lang w:val="en-US"/>
        </w:rPr>
        <w:t xml:space="preserve"> </w:t>
      </w:r>
      <w:r w:rsidR="00612DB5" w:rsidRPr="00954547">
        <w:rPr>
          <w:lang w:val="en-US"/>
        </w:rPr>
        <w:t>of this judgment.</w:t>
      </w:r>
    </w:p>
    <w:p w14:paraId="5523453C" w14:textId="50DB8F43"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10ED23E3" w14:textId="25F03364" w:rsidR="001E0C9A" w:rsidRPr="00954547" w:rsidRDefault="00B8393C" w:rsidP="000365EC">
      <w:pPr>
        <w:pStyle w:val="Numberedparagraphs"/>
        <w:numPr>
          <w:ilvl w:val="0"/>
          <w:numId w:val="21"/>
        </w:numPr>
        <w:tabs>
          <w:tab w:val="left" w:pos="567"/>
        </w:tabs>
        <w:ind w:left="0" w:firstLine="0"/>
        <w:rPr>
          <w:rFonts w:cs="Times"/>
          <w:lang w:val="en-US" w:eastAsia="es-CR"/>
        </w:rPr>
      </w:pPr>
      <w:r w:rsidRPr="00954547">
        <w:rPr>
          <w:lang w:val="en-US"/>
        </w:rPr>
        <w:t>The State</w:t>
      </w:r>
      <w:r w:rsidR="001E0C9A" w:rsidRPr="00954547">
        <w:rPr>
          <w:lang w:val="en-US"/>
        </w:rPr>
        <w:t xml:space="preserve">, </w:t>
      </w:r>
      <w:r w:rsidR="00612DB5" w:rsidRPr="00954547">
        <w:rPr>
          <w:lang w:val="en-US"/>
        </w:rPr>
        <w:t>within one year of notification</w:t>
      </w:r>
      <w:r w:rsidR="001E0C9A" w:rsidRPr="00954547">
        <w:rPr>
          <w:lang w:val="en-US"/>
        </w:rPr>
        <w:t xml:space="preserve"> </w:t>
      </w:r>
      <w:r w:rsidR="0052125E" w:rsidRPr="00954547">
        <w:rPr>
          <w:lang w:val="en-US"/>
        </w:rPr>
        <w:t>of this judgment</w:t>
      </w:r>
      <w:r w:rsidR="001E0C9A" w:rsidRPr="00954547">
        <w:rPr>
          <w:lang w:val="en-US"/>
        </w:rPr>
        <w:t xml:space="preserve">, </w:t>
      </w:r>
      <w:r w:rsidR="00612DB5" w:rsidRPr="00954547">
        <w:rPr>
          <w:lang w:val="en-US"/>
        </w:rPr>
        <w:t xml:space="preserve">shall provide the Court with a report on the measures taken to comply with it, without prejudice to the provisions of </w:t>
      </w:r>
      <w:r w:rsidR="00591343" w:rsidRPr="00954547">
        <w:rPr>
          <w:lang w:val="en-US"/>
        </w:rPr>
        <w:t>paragraph</w:t>
      </w:r>
      <w:r w:rsidR="001E0C9A" w:rsidRPr="00954547">
        <w:rPr>
          <w:lang w:val="en-US"/>
        </w:rPr>
        <w:t xml:space="preserve"> </w:t>
      </w:r>
      <w:r w:rsidR="00B93C74" w:rsidRPr="00954547">
        <w:rPr>
          <w:lang w:val="en-US"/>
        </w:rPr>
        <w:fldChar w:fldCharType="begin"/>
      </w:r>
      <w:r w:rsidR="00B93C74" w:rsidRPr="00954547">
        <w:rPr>
          <w:lang w:val="en-US"/>
        </w:rPr>
        <w:instrText xml:space="preserve"> REF _Ref86680980 \r \h </w:instrText>
      </w:r>
      <w:r w:rsidR="00D61813" w:rsidRPr="00954547">
        <w:rPr>
          <w:lang w:val="en-US"/>
        </w:rPr>
        <w:instrText xml:space="preserve"> \* MERGEFORMAT </w:instrText>
      </w:r>
      <w:r w:rsidR="00B93C74" w:rsidRPr="00954547">
        <w:rPr>
          <w:lang w:val="en-US"/>
        </w:rPr>
      </w:r>
      <w:r w:rsidR="00B93C74" w:rsidRPr="00954547">
        <w:rPr>
          <w:lang w:val="en-US"/>
        </w:rPr>
        <w:fldChar w:fldCharType="separate"/>
      </w:r>
      <w:r w:rsidR="000E4488" w:rsidRPr="00954547">
        <w:rPr>
          <w:lang w:val="en-US"/>
        </w:rPr>
        <w:t>274</w:t>
      </w:r>
      <w:r w:rsidR="00B93C74" w:rsidRPr="00954547">
        <w:rPr>
          <w:lang w:val="en-US"/>
        </w:rPr>
        <w:fldChar w:fldCharType="end"/>
      </w:r>
      <w:r w:rsidR="001E0C9A" w:rsidRPr="00954547">
        <w:rPr>
          <w:lang w:val="en-US"/>
        </w:rPr>
        <w:t xml:space="preserve"> </w:t>
      </w:r>
      <w:r w:rsidR="004B6621" w:rsidRPr="00954547">
        <w:rPr>
          <w:lang w:val="en-US"/>
        </w:rPr>
        <w:t>of this judgment</w:t>
      </w:r>
      <w:r w:rsidR="001E0C9A" w:rsidRPr="00954547">
        <w:rPr>
          <w:lang w:val="en-US"/>
        </w:rPr>
        <w:t>.</w:t>
      </w:r>
    </w:p>
    <w:p w14:paraId="1EF07179" w14:textId="1FE7BDBA" w:rsidR="00D61813" w:rsidRPr="00954547" w:rsidRDefault="00F6091D" w:rsidP="00D61813">
      <w:pPr>
        <w:pStyle w:val="Numberedparagraphs"/>
        <w:numPr>
          <w:ilvl w:val="0"/>
          <w:numId w:val="0"/>
        </w:numPr>
        <w:tabs>
          <w:tab w:val="left" w:pos="567"/>
        </w:tabs>
        <w:rPr>
          <w:rFonts w:cs="Times"/>
          <w:lang w:val="en-US" w:eastAsia="es-CR"/>
        </w:rPr>
      </w:pPr>
      <w:r w:rsidRPr="00954547">
        <w:rPr>
          <w:lang w:val="en-US"/>
        </w:rPr>
        <w:t>Unanimously, that</w:t>
      </w:r>
      <w:r w:rsidR="00D61813" w:rsidRPr="00954547">
        <w:rPr>
          <w:lang w:val="en-US"/>
        </w:rPr>
        <w:t>:</w:t>
      </w:r>
    </w:p>
    <w:p w14:paraId="1F6D38AB" w14:textId="65E67DBC" w:rsidR="001E0C9A" w:rsidRPr="00954547" w:rsidRDefault="00E76B1A" w:rsidP="000365EC">
      <w:pPr>
        <w:pStyle w:val="Numberedparagraphs"/>
        <w:numPr>
          <w:ilvl w:val="0"/>
          <w:numId w:val="21"/>
        </w:numPr>
        <w:tabs>
          <w:tab w:val="left" w:pos="567"/>
        </w:tabs>
        <w:ind w:left="0" w:firstLine="0"/>
        <w:rPr>
          <w:rFonts w:cs="Times"/>
          <w:lang w:val="en-US" w:eastAsia="es-CR"/>
        </w:rPr>
      </w:pPr>
      <w:r w:rsidRPr="00954547">
        <w:rPr>
          <w:lang w:val="en-US"/>
        </w:rPr>
        <w:t>The Court</w:t>
      </w:r>
      <w:r w:rsidR="001E0C9A" w:rsidRPr="00954547">
        <w:rPr>
          <w:lang w:val="en-US"/>
        </w:rPr>
        <w:t xml:space="preserve"> </w:t>
      </w:r>
      <w:r w:rsidR="004F208C" w:rsidRPr="00954547">
        <w:rPr>
          <w:lang w:val="en-US"/>
        </w:rPr>
        <w:t xml:space="preserve">will monitor full compliance with </w:t>
      </w:r>
      <w:r w:rsidR="0052125E" w:rsidRPr="00954547">
        <w:rPr>
          <w:lang w:val="en-US"/>
        </w:rPr>
        <w:t>this judgment</w:t>
      </w:r>
      <w:r w:rsidR="001E0C9A" w:rsidRPr="00954547">
        <w:rPr>
          <w:lang w:val="en-US"/>
        </w:rPr>
        <w:t xml:space="preserve">, </w:t>
      </w:r>
      <w:r w:rsidR="004F208C" w:rsidRPr="00954547">
        <w:rPr>
          <w:lang w:val="en-US"/>
        </w:rPr>
        <w:t xml:space="preserve">in exercise of its authority and in fulfillment of its duties </w:t>
      </w:r>
      <w:r w:rsidR="00135E38" w:rsidRPr="00954547">
        <w:rPr>
          <w:lang w:val="en-US"/>
        </w:rPr>
        <w:t xml:space="preserve">under </w:t>
      </w:r>
      <w:r w:rsidR="00A42A4C" w:rsidRPr="00954547">
        <w:rPr>
          <w:lang w:val="en-US"/>
        </w:rPr>
        <w:t>the American Convention on Human Rights</w:t>
      </w:r>
      <w:r w:rsidR="001E0C9A" w:rsidRPr="00954547">
        <w:rPr>
          <w:lang w:val="en-US"/>
        </w:rPr>
        <w:t>,</w:t>
      </w:r>
      <w:r w:rsidR="0078694F" w:rsidRPr="00954547">
        <w:rPr>
          <w:lang w:val="en-US"/>
        </w:rPr>
        <w:t xml:space="preserve"> and </w:t>
      </w:r>
      <w:r w:rsidR="004F208C" w:rsidRPr="00954547">
        <w:rPr>
          <w:lang w:val="en-US"/>
        </w:rPr>
        <w:t>will consider this case closed when the State has complied fully with its provisions.</w:t>
      </w:r>
    </w:p>
    <w:p w14:paraId="5B9F2D1A" w14:textId="0BBDAA51" w:rsidR="000C5B69" w:rsidRPr="00954547" w:rsidRDefault="00B87F9C" w:rsidP="001F796A">
      <w:pPr>
        <w:pStyle w:val="Numberedparagraphs"/>
        <w:numPr>
          <w:ilvl w:val="0"/>
          <w:numId w:val="0"/>
        </w:numPr>
        <w:tabs>
          <w:tab w:val="left" w:pos="567"/>
        </w:tabs>
        <w:rPr>
          <w:lang w:val="en-US"/>
        </w:rPr>
      </w:pPr>
      <w:r w:rsidRPr="00954547">
        <w:rPr>
          <w:lang w:val="en-US"/>
        </w:rPr>
        <w:t xml:space="preserve">DONE, at </w:t>
      </w:r>
      <w:r w:rsidR="001E0C9A" w:rsidRPr="00954547">
        <w:rPr>
          <w:lang w:val="en-US"/>
        </w:rPr>
        <w:t>San José, Costa Rica</w:t>
      </w:r>
      <w:r w:rsidRPr="00954547">
        <w:rPr>
          <w:lang w:val="en-US"/>
        </w:rPr>
        <w:t>, on November 2,</w:t>
      </w:r>
      <w:r w:rsidR="001E0C9A" w:rsidRPr="00954547">
        <w:rPr>
          <w:lang w:val="en-US"/>
        </w:rPr>
        <w:t xml:space="preserve"> 2021</w:t>
      </w:r>
      <w:bookmarkEnd w:id="200"/>
      <w:r w:rsidRPr="00954547">
        <w:rPr>
          <w:lang w:val="en-US"/>
        </w:rPr>
        <w:t>, in the Spanish language</w:t>
      </w:r>
      <w:r w:rsidR="005D33F4" w:rsidRPr="00954547">
        <w:rPr>
          <w:lang w:val="en-US"/>
        </w:rPr>
        <w:t>, by means of a virtual session.</w:t>
      </w:r>
    </w:p>
    <w:p w14:paraId="79E6D2D2" w14:textId="77777777" w:rsidR="00135E38" w:rsidRPr="00954547" w:rsidRDefault="00135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2732BB4D" w14:textId="77777777" w:rsidR="00135E38" w:rsidRPr="00954547" w:rsidRDefault="00135E38" w:rsidP="00135E38">
      <w:pPr>
        <w:pStyle w:val="Numberedparagraphs"/>
        <w:numPr>
          <w:ilvl w:val="0"/>
          <w:numId w:val="0"/>
        </w:numPr>
        <w:tabs>
          <w:tab w:val="left" w:pos="567"/>
        </w:tabs>
        <w:rPr>
          <w:rFonts w:cs="Times"/>
          <w:lang w:val="en-US" w:eastAsia="es-CR"/>
        </w:rPr>
      </w:pPr>
      <w:r w:rsidRPr="00954547">
        <w:rPr>
          <w:lang w:val="en-US"/>
        </w:rPr>
        <w:t xml:space="preserve">Judges Humberto Sierra Porto, Eugenio Raúl Zaffaroni, and Ricardo Pérez Manrique informed the Court of their concurring opinions. Judge Eduardo Vio Grossi informed the Court of his partially dissenting opinion. </w:t>
      </w:r>
    </w:p>
    <w:p w14:paraId="59C28758" w14:textId="452A114F" w:rsidR="000C5B69" w:rsidRPr="00954547" w:rsidRDefault="000C5B6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MS Mincho" w:hAnsi="Verdana" w:cs="Arial"/>
          <w:color w:val="000000"/>
          <w:sz w:val="20"/>
          <w:szCs w:val="20"/>
          <w:bdr w:val="none" w:sz="0" w:space="0" w:color="auto"/>
        </w:rPr>
      </w:pPr>
      <w:r w:rsidRPr="00954547">
        <w:br w:type="page"/>
      </w:r>
    </w:p>
    <w:p w14:paraId="495AB7F0" w14:textId="1C2D0C14" w:rsidR="000C5B69" w:rsidRPr="00954547" w:rsidRDefault="00B87F9C" w:rsidP="000C5B6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Verdana" w:eastAsia="Batang" w:hAnsi="Verdana" w:cs="Times"/>
          <w:sz w:val="20"/>
          <w:szCs w:val="20"/>
          <w:bdr w:val="none" w:sz="0" w:space="0" w:color="auto"/>
        </w:rPr>
      </w:pPr>
      <w:bookmarkStart w:id="203" w:name="_Toc106353951"/>
      <w:r w:rsidRPr="00954547">
        <w:rPr>
          <w:rFonts w:ascii="Verdana" w:eastAsia="Times" w:hAnsi="Verdana" w:cs="Courier New"/>
          <w:noProof/>
          <w:sz w:val="20"/>
          <w:szCs w:val="20"/>
          <w:bdr w:val="none" w:sz="0" w:space="0" w:color="auto"/>
        </w:rPr>
        <w:t>I/A Court HR</w:t>
      </w:r>
      <w:r w:rsidR="000C5B69" w:rsidRPr="00954547">
        <w:rPr>
          <w:rFonts w:ascii="Verdana" w:eastAsia="Times" w:hAnsi="Verdana" w:cs="Courier New"/>
          <w:noProof/>
          <w:sz w:val="20"/>
          <w:szCs w:val="20"/>
          <w:bdr w:val="none" w:sz="0" w:space="0" w:color="auto"/>
        </w:rPr>
        <w:t xml:space="preserve">. </w:t>
      </w:r>
      <w:r w:rsidR="000C5B69" w:rsidRPr="00954547">
        <w:rPr>
          <w:rFonts w:ascii="Verdana" w:eastAsia="Times" w:hAnsi="Verdana" w:cs="Times"/>
          <w:bCs/>
          <w:i/>
          <w:sz w:val="20"/>
          <w:szCs w:val="20"/>
          <w:bdr w:val="none" w:sz="0" w:space="0" w:color="auto"/>
        </w:rPr>
        <w:t>Cas</w:t>
      </w:r>
      <w:r w:rsidRPr="00954547">
        <w:rPr>
          <w:rFonts w:ascii="Verdana" w:eastAsia="Times" w:hAnsi="Verdana" w:cs="Times"/>
          <w:bCs/>
          <w:i/>
          <w:sz w:val="20"/>
          <w:szCs w:val="20"/>
          <w:bdr w:val="none" w:sz="0" w:space="0" w:color="auto"/>
        </w:rPr>
        <w:t>e of</w:t>
      </w:r>
      <w:r w:rsidR="000C5B69" w:rsidRPr="00954547">
        <w:rPr>
          <w:rFonts w:ascii="Verdana" w:eastAsia="Times" w:hAnsi="Verdana" w:cs="Times"/>
          <w:bCs/>
          <w:i/>
          <w:sz w:val="20"/>
          <w:szCs w:val="20"/>
          <w:bdr w:val="none" w:sz="0" w:space="0" w:color="auto"/>
        </w:rPr>
        <w:t xml:space="preserve"> Manuela </w:t>
      </w:r>
      <w:r w:rsidR="00B8393C" w:rsidRPr="00954547">
        <w:rPr>
          <w:rFonts w:ascii="Verdana" w:eastAsia="Times" w:hAnsi="Verdana" w:cs="Times"/>
          <w:bCs/>
          <w:i/>
          <w:sz w:val="20"/>
          <w:szCs w:val="20"/>
          <w:bdr w:val="none" w:sz="0" w:space="0" w:color="auto"/>
        </w:rPr>
        <w:t>et al. v.</w:t>
      </w:r>
      <w:r w:rsidR="000C5B69" w:rsidRPr="00954547">
        <w:rPr>
          <w:rFonts w:ascii="Verdana" w:eastAsia="Times" w:hAnsi="Verdana" w:cs="Times"/>
          <w:bCs/>
          <w:i/>
          <w:sz w:val="20"/>
          <w:szCs w:val="20"/>
          <w:bdr w:val="none" w:sz="0" w:space="0" w:color="auto"/>
        </w:rPr>
        <w:t xml:space="preserve"> El Salvador. </w:t>
      </w:r>
      <w:r w:rsidR="00A70DC4" w:rsidRPr="00954547">
        <w:rPr>
          <w:rFonts w:ascii="Verdana" w:eastAsia="Times" w:hAnsi="Verdana" w:cs="Times"/>
          <w:bCs/>
          <w:i/>
          <w:sz w:val="20"/>
          <w:szCs w:val="20"/>
          <w:bdr w:val="none" w:sz="0" w:space="0" w:color="auto"/>
        </w:rPr>
        <w:t>Preliminary objections</w:t>
      </w:r>
      <w:r w:rsidR="000C5B69" w:rsidRPr="00954547">
        <w:rPr>
          <w:rFonts w:ascii="Verdana" w:eastAsia="Times" w:hAnsi="Verdana" w:cs="Times"/>
          <w:bCs/>
          <w:i/>
          <w:sz w:val="20"/>
          <w:szCs w:val="20"/>
          <w:bdr w:val="none" w:sz="0" w:space="0" w:color="auto"/>
        </w:rPr>
        <w:t xml:space="preserve">, </w:t>
      </w:r>
      <w:r w:rsidRPr="00954547">
        <w:rPr>
          <w:rFonts w:ascii="Verdana" w:eastAsia="Times" w:hAnsi="Verdana" w:cs="Courier New"/>
          <w:noProof/>
          <w:sz w:val="20"/>
          <w:szCs w:val="20"/>
          <w:bdr w:val="none" w:sz="0" w:space="0" w:color="auto"/>
        </w:rPr>
        <w:t>m</w:t>
      </w:r>
      <w:r w:rsidR="00A70DC4" w:rsidRPr="00954547">
        <w:rPr>
          <w:rFonts w:ascii="Verdana" w:eastAsia="Times" w:hAnsi="Verdana" w:cs="Courier New"/>
          <w:noProof/>
          <w:sz w:val="20"/>
          <w:szCs w:val="20"/>
          <w:bdr w:val="none" w:sz="0" w:space="0" w:color="auto"/>
        </w:rPr>
        <w:t>erits, reparations and costs</w:t>
      </w:r>
      <w:r w:rsidR="000C5B69" w:rsidRPr="00954547">
        <w:rPr>
          <w:rFonts w:ascii="Verdana" w:eastAsia="Batang" w:hAnsi="Verdana" w:cs="Times"/>
          <w:sz w:val="20"/>
          <w:szCs w:val="20"/>
          <w:bdr w:val="none" w:sz="0" w:space="0" w:color="auto"/>
        </w:rPr>
        <w:t xml:space="preserve">. </w:t>
      </w:r>
      <w:r w:rsidR="00B8393C" w:rsidRPr="00954547">
        <w:rPr>
          <w:rFonts w:ascii="Verdana" w:eastAsia="Batang" w:hAnsi="Verdana" w:cs="Times"/>
          <w:sz w:val="20"/>
          <w:szCs w:val="20"/>
          <w:bdr w:val="none" w:sz="0" w:space="0" w:color="auto"/>
        </w:rPr>
        <w:t>Judgment of</w:t>
      </w:r>
      <w:r w:rsidR="000C5B69" w:rsidRPr="00954547">
        <w:rPr>
          <w:rFonts w:ascii="Verdana" w:eastAsia="Batang" w:hAnsi="Verdana" w:cs="Times"/>
          <w:sz w:val="20"/>
          <w:szCs w:val="20"/>
          <w:bdr w:val="none" w:sz="0" w:space="0" w:color="auto"/>
        </w:rPr>
        <w:t xml:space="preserve"> </w:t>
      </w:r>
      <w:r w:rsidRPr="00954547">
        <w:rPr>
          <w:rFonts w:ascii="Verdana" w:eastAsia="Batang" w:hAnsi="Verdana" w:cs="Times"/>
          <w:sz w:val="20"/>
          <w:szCs w:val="20"/>
          <w:bdr w:val="none" w:sz="0" w:space="0" w:color="auto"/>
        </w:rPr>
        <w:t>November 2,</w:t>
      </w:r>
      <w:r w:rsidR="000C5B69" w:rsidRPr="00954547">
        <w:rPr>
          <w:rFonts w:ascii="Verdana" w:eastAsia="Batang" w:hAnsi="Verdana" w:cs="Times"/>
          <w:sz w:val="20"/>
          <w:szCs w:val="20"/>
          <w:bdr w:val="none" w:sz="0" w:space="0" w:color="auto"/>
        </w:rPr>
        <w:t xml:space="preserve"> 2021. </w:t>
      </w:r>
      <w:r w:rsidRPr="00954547">
        <w:rPr>
          <w:rFonts w:ascii="Verdana" w:eastAsia="Batang" w:hAnsi="Verdana" w:cs="Times"/>
          <w:sz w:val="20"/>
          <w:szCs w:val="20"/>
          <w:bdr w:val="none" w:sz="0" w:space="0" w:color="auto"/>
        </w:rPr>
        <w:t>Judgment adopted</w:t>
      </w:r>
      <w:r w:rsidRPr="00954547">
        <w:rPr>
          <w:rFonts w:ascii="Verdana" w:eastAsia="Batang" w:hAnsi="Verdana" w:cs="Times"/>
          <w:iCs/>
          <w:sz w:val="20"/>
          <w:szCs w:val="20"/>
          <w:bdr w:val="none" w:sz="0" w:space="0" w:color="auto"/>
        </w:rPr>
        <w:t xml:space="preserve"> in a virtual session,</w:t>
      </w:r>
      <w:r w:rsidRPr="00954547">
        <w:rPr>
          <w:rFonts w:ascii="Verdana" w:eastAsia="Batang" w:hAnsi="Verdana" w:cs="Times"/>
          <w:sz w:val="20"/>
          <w:szCs w:val="20"/>
          <w:bdr w:val="none" w:sz="0" w:space="0" w:color="auto"/>
        </w:rPr>
        <w:t xml:space="preserve"> in </w:t>
      </w:r>
      <w:r w:rsidR="000C5B69" w:rsidRPr="00954547">
        <w:rPr>
          <w:rFonts w:ascii="Verdana" w:eastAsia="Batang" w:hAnsi="Verdana" w:cs="Times"/>
          <w:iCs/>
          <w:sz w:val="20"/>
          <w:szCs w:val="20"/>
          <w:bdr w:val="none" w:sz="0" w:space="0" w:color="auto"/>
        </w:rPr>
        <w:t>San José, Costa Rica</w:t>
      </w:r>
      <w:r w:rsidRPr="00954547">
        <w:rPr>
          <w:rFonts w:ascii="Verdana" w:eastAsia="Batang" w:hAnsi="Verdana" w:cs="Times"/>
          <w:iCs/>
          <w:sz w:val="20"/>
          <w:szCs w:val="20"/>
          <w:bdr w:val="none" w:sz="0" w:space="0" w:color="auto"/>
        </w:rPr>
        <w:t>.</w:t>
      </w:r>
      <w:bookmarkEnd w:id="203"/>
      <w:r w:rsidR="000C5B69" w:rsidRPr="00954547">
        <w:rPr>
          <w:rFonts w:ascii="Verdana" w:eastAsia="Batang" w:hAnsi="Verdana" w:cs="Times"/>
          <w:iCs/>
          <w:sz w:val="20"/>
          <w:szCs w:val="20"/>
          <w:bdr w:val="none" w:sz="0" w:space="0" w:color="auto"/>
        </w:rPr>
        <w:t xml:space="preserve"> </w:t>
      </w:r>
    </w:p>
    <w:p w14:paraId="384F3CE4"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w:hAnsi="Verdana" w:cs="Times"/>
          <w:sz w:val="20"/>
          <w:szCs w:val="20"/>
          <w:bdr w:val="none" w:sz="0" w:space="0" w:color="auto"/>
        </w:rPr>
      </w:pPr>
    </w:p>
    <w:p w14:paraId="52DFD456"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w:hAnsi="Verdana" w:cs="Times"/>
          <w:sz w:val="20"/>
          <w:szCs w:val="20"/>
          <w:bdr w:val="none" w:sz="0" w:space="0" w:color="auto"/>
        </w:rPr>
      </w:pPr>
    </w:p>
    <w:p w14:paraId="6FE1DB74"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w:hAnsi="Verdana" w:cs="Times"/>
          <w:sz w:val="20"/>
          <w:szCs w:val="20"/>
          <w:bdr w:val="none" w:sz="0" w:space="0" w:color="auto"/>
        </w:rPr>
      </w:pPr>
    </w:p>
    <w:p w14:paraId="46ACE6C7"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w:hAnsi="Verdana" w:cs="Times"/>
          <w:sz w:val="20"/>
          <w:szCs w:val="20"/>
          <w:bdr w:val="none" w:sz="0" w:space="0" w:color="auto"/>
        </w:rPr>
      </w:pPr>
    </w:p>
    <w:p w14:paraId="721E4106"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w:hAnsi="Verdana" w:cs="Times"/>
          <w:sz w:val="20"/>
          <w:szCs w:val="20"/>
          <w:bdr w:val="none" w:sz="0" w:space="0" w:color="auto"/>
        </w:rPr>
      </w:pPr>
    </w:p>
    <w:p w14:paraId="0DB17021"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Batang" w:hAnsi="Verdana" w:cs="Times"/>
          <w:sz w:val="20"/>
          <w:szCs w:val="20"/>
          <w:bdr w:val="none" w:sz="0" w:space="0" w:color="auto"/>
          <w:lang w:val="pt-BR"/>
        </w:rPr>
      </w:pPr>
      <w:r w:rsidRPr="00954547">
        <w:rPr>
          <w:rFonts w:ascii="Verdana" w:eastAsia="Batang" w:hAnsi="Verdana" w:cs="Times"/>
          <w:sz w:val="20"/>
          <w:szCs w:val="20"/>
          <w:bdr w:val="none" w:sz="0" w:space="0" w:color="auto"/>
          <w:lang w:val="pt-BR"/>
        </w:rPr>
        <w:t>Elizabeth Odio Benito</w:t>
      </w:r>
    </w:p>
    <w:p w14:paraId="6B2759A8" w14:textId="442F5DA6" w:rsidR="000C5B69" w:rsidRPr="00954547" w:rsidRDefault="00A42A4C" w:rsidP="000C5B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Batang" w:hAnsi="Verdana" w:cs="Times"/>
          <w:sz w:val="20"/>
          <w:szCs w:val="20"/>
          <w:bdr w:val="none" w:sz="0" w:space="0" w:color="auto"/>
          <w:lang w:val="pt-BR"/>
        </w:rPr>
      </w:pPr>
      <w:r w:rsidRPr="00954547">
        <w:rPr>
          <w:rFonts w:ascii="Verdana" w:eastAsia="Batang" w:hAnsi="Verdana" w:cs="Times"/>
          <w:sz w:val="20"/>
          <w:szCs w:val="20"/>
          <w:bdr w:val="none" w:sz="0" w:space="0" w:color="auto"/>
          <w:lang w:val="pt-BR"/>
        </w:rPr>
        <w:t>President</w:t>
      </w:r>
    </w:p>
    <w:p w14:paraId="5FA780A9"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37FFAC56"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50EFE64B" w14:textId="3D2C5F38"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1E62BB57"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4CB9C841" w14:textId="2A72D1EA"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r w:rsidRPr="00954547">
        <w:rPr>
          <w:rFonts w:ascii="Verdana" w:eastAsia="Batang" w:hAnsi="Verdana" w:cs="Times"/>
          <w:sz w:val="20"/>
          <w:szCs w:val="20"/>
          <w:bdr w:val="none" w:sz="0" w:space="0" w:color="auto"/>
          <w:lang w:val="pt-BR"/>
        </w:rPr>
        <w:t>L. Patricio Pazmiño Freire</w:t>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t xml:space="preserve">    Eduardo Vio Grossi</w:t>
      </w:r>
    </w:p>
    <w:p w14:paraId="0E4442AD"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6BBEB140"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0DA2CC41"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39829196"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6117F544"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6F29205F" w14:textId="260C7AD5"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r w:rsidRPr="00954547">
        <w:rPr>
          <w:rFonts w:ascii="Verdana" w:eastAsia="Times" w:hAnsi="Verdana" w:cs="Times"/>
          <w:sz w:val="20"/>
          <w:szCs w:val="20"/>
          <w:bdr w:val="none" w:sz="0" w:space="0" w:color="auto"/>
          <w:lang w:val="pt-BR"/>
        </w:rPr>
        <w:t>Humberto Antonio Sierra Porto</w:t>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t xml:space="preserve">    Eduardo Ferrer Mac-Gregor Poisot</w:t>
      </w:r>
    </w:p>
    <w:p w14:paraId="17CBC138"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7EC0399D"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2F6F25AF"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560588E8"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2D62206C"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2882978B" w14:textId="019B1B3C"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r w:rsidRPr="00954547">
        <w:rPr>
          <w:rFonts w:ascii="Verdana" w:eastAsia="Batang" w:hAnsi="Verdana" w:cs="Times"/>
          <w:sz w:val="20"/>
          <w:szCs w:val="20"/>
          <w:bdr w:val="none" w:sz="0" w:space="0" w:color="auto"/>
          <w:lang w:val="pt-BR"/>
        </w:rPr>
        <w:t>Eugenio Raúl Zaffaroni</w:t>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r>
      <w:r w:rsidRPr="00954547">
        <w:rPr>
          <w:rFonts w:ascii="Verdana" w:eastAsia="Batang" w:hAnsi="Verdana" w:cs="Times"/>
          <w:sz w:val="20"/>
          <w:szCs w:val="20"/>
          <w:bdr w:val="none" w:sz="0" w:space="0" w:color="auto"/>
          <w:lang w:val="pt-BR"/>
        </w:rPr>
        <w:tab/>
        <w:t xml:space="preserve">     Ricardo C. Pérez Manrique</w:t>
      </w:r>
    </w:p>
    <w:p w14:paraId="34FC6DD6"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530E8960"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lang w:val="pt-BR"/>
        </w:rPr>
      </w:pPr>
    </w:p>
    <w:p w14:paraId="29E21FDE"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p>
    <w:p w14:paraId="62ED478F"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p>
    <w:p w14:paraId="43DF36D4"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w:hAnsi="Verdana" w:cs="Times"/>
          <w:sz w:val="20"/>
          <w:szCs w:val="20"/>
          <w:bdr w:val="none" w:sz="0" w:space="0" w:color="auto"/>
          <w:lang w:val="pt-BR"/>
        </w:rPr>
      </w:pPr>
      <w:r w:rsidRPr="00954547">
        <w:rPr>
          <w:rFonts w:ascii="Verdana" w:eastAsia="Times" w:hAnsi="Verdana" w:cs="Times"/>
          <w:sz w:val="20"/>
          <w:szCs w:val="20"/>
          <w:bdr w:val="none" w:sz="0" w:space="0" w:color="auto"/>
          <w:lang w:val="pt-BR"/>
        </w:rPr>
        <w:t>Pablo Saavedra Alessandri</w:t>
      </w:r>
    </w:p>
    <w:p w14:paraId="654742D9" w14:textId="358F109B" w:rsidR="000C5B69" w:rsidRPr="00954547" w:rsidRDefault="00A42A4C" w:rsidP="000C5B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w:hAnsi="Verdana" w:cs="Times"/>
          <w:sz w:val="20"/>
          <w:szCs w:val="20"/>
          <w:bdr w:val="none" w:sz="0" w:space="0" w:color="auto"/>
          <w:lang w:val="pt-BR"/>
        </w:rPr>
      </w:pPr>
      <w:r w:rsidRPr="00954547">
        <w:rPr>
          <w:rFonts w:ascii="Verdana" w:eastAsia="Times" w:hAnsi="Verdana" w:cs="Times"/>
          <w:sz w:val="20"/>
          <w:szCs w:val="20"/>
          <w:bdr w:val="none" w:sz="0" w:space="0" w:color="auto"/>
          <w:lang w:val="pt-BR"/>
        </w:rPr>
        <w:t>Secretary</w:t>
      </w:r>
    </w:p>
    <w:p w14:paraId="79DC64E2"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p>
    <w:p w14:paraId="1C1F47E2"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p>
    <w:p w14:paraId="77157227" w14:textId="7AF0D49B" w:rsidR="000C5B69" w:rsidRPr="00954547" w:rsidRDefault="00B87F9C"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r w:rsidRPr="00954547">
        <w:rPr>
          <w:rFonts w:ascii="Verdana" w:eastAsia="Times" w:hAnsi="Verdana" w:cs="Times"/>
          <w:sz w:val="20"/>
          <w:szCs w:val="20"/>
          <w:bdr w:val="none" w:sz="0" w:space="0" w:color="auto"/>
          <w:lang w:val="pt-BR"/>
        </w:rPr>
        <w:t>So ordered</w:t>
      </w:r>
    </w:p>
    <w:p w14:paraId="4DC7A4A1"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p>
    <w:p w14:paraId="7F038D93"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p>
    <w:p w14:paraId="465B3F7B"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ind w:left="4248" w:firstLine="708"/>
        <w:jc w:val="center"/>
        <w:rPr>
          <w:rFonts w:ascii="Verdana" w:eastAsia="Times" w:hAnsi="Verdana" w:cs="Times"/>
          <w:sz w:val="20"/>
          <w:szCs w:val="20"/>
          <w:bdr w:val="none" w:sz="0" w:space="0" w:color="auto"/>
          <w:lang w:val="pt-BR"/>
        </w:rPr>
      </w:pPr>
      <w:r w:rsidRPr="00954547">
        <w:rPr>
          <w:rFonts w:ascii="Verdana" w:eastAsia="Times" w:hAnsi="Verdana" w:cs="Times"/>
          <w:sz w:val="20"/>
          <w:szCs w:val="20"/>
          <w:bdr w:val="none" w:sz="0" w:space="0" w:color="auto"/>
          <w:lang w:val="pt-BR"/>
        </w:rPr>
        <w:t>Elizabeth Odio Benito</w:t>
      </w:r>
    </w:p>
    <w:p w14:paraId="359F2DEC" w14:textId="77751A81" w:rsidR="000C5B69" w:rsidRPr="00954547" w:rsidRDefault="00A42A4C" w:rsidP="000C5B69">
      <w:pPr>
        <w:pBdr>
          <w:top w:val="none" w:sz="0" w:space="0" w:color="auto"/>
          <w:left w:val="none" w:sz="0" w:space="0" w:color="auto"/>
          <w:bottom w:val="none" w:sz="0" w:space="0" w:color="auto"/>
          <w:right w:val="none" w:sz="0" w:space="0" w:color="auto"/>
          <w:between w:val="none" w:sz="0" w:space="0" w:color="auto"/>
          <w:bar w:val="none" w:sz="0" w:color="auto"/>
        </w:pBdr>
        <w:ind w:left="4248" w:firstLine="708"/>
        <w:jc w:val="center"/>
        <w:rPr>
          <w:rFonts w:ascii="Verdana" w:eastAsia="Times" w:hAnsi="Verdana" w:cs="Times"/>
          <w:sz w:val="20"/>
          <w:szCs w:val="20"/>
          <w:bdr w:val="none" w:sz="0" w:space="0" w:color="auto"/>
          <w:lang w:val="pt-BR"/>
        </w:rPr>
      </w:pPr>
      <w:r w:rsidRPr="00954547">
        <w:rPr>
          <w:rFonts w:ascii="Verdana" w:eastAsia="Times" w:hAnsi="Verdana" w:cs="Times"/>
          <w:sz w:val="20"/>
          <w:szCs w:val="20"/>
          <w:bdr w:val="none" w:sz="0" w:space="0" w:color="auto"/>
          <w:lang w:val="pt-BR"/>
        </w:rPr>
        <w:t>President</w:t>
      </w:r>
    </w:p>
    <w:p w14:paraId="36B18137"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p>
    <w:p w14:paraId="52B6E396"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p>
    <w:p w14:paraId="4D45CBB5"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p>
    <w:p w14:paraId="09A4ACE8" w14:textId="77777777"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w:hAnsi="Verdana" w:cs="Times"/>
          <w:sz w:val="20"/>
          <w:szCs w:val="20"/>
          <w:bdr w:val="none" w:sz="0" w:space="0" w:color="auto"/>
          <w:lang w:val="pt-BR"/>
        </w:rPr>
      </w:pPr>
      <w:r w:rsidRPr="00954547">
        <w:rPr>
          <w:rFonts w:ascii="Verdana" w:eastAsia="Times" w:hAnsi="Verdana" w:cs="Times"/>
          <w:sz w:val="20"/>
          <w:szCs w:val="20"/>
          <w:bdr w:val="none" w:sz="0" w:space="0" w:color="auto"/>
          <w:lang w:val="pt-BR"/>
        </w:rPr>
        <w:t>Pablo Saavedra Alessandri</w:t>
      </w:r>
    </w:p>
    <w:p w14:paraId="0D8A0512" w14:textId="6DB3DE33" w:rsidR="000C5B69" w:rsidRPr="00954547" w:rsidRDefault="000C5B69" w:rsidP="000C5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Batang" w:hAnsi="Verdana" w:cs="Times"/>
          <w:sz w:val="20"/>
          <w:szCs w:val="20"/>
          <w:bdr w:val="none" w:sz="0" w:space="0" w:color="auto"/>
        </w:rPr>
      </w:pPr>
      <w:r w:rsidRPr="00954547">
        <w:rPr>
          <w:rFonts w:ascii="Verdana" w:eastAsia="Times" w:hAnsi="Verdana" w:cs="Times"/>
          <w:sz w:val="20"/>
          <w:szCs w:val="20"/>
          <w:bdr w:val="none" w:sz="0" w:space="0" w:color="auto"/>
          <w:lang w:val="pt-BR"/>
        </w:rPr>
        <w:tab/>
      </w:r>
      <w:r w:rsidR="00A42A4C" w:rsidRPr="00954547">
        <w:rPr>
          <w:rFonts w:ascii="Verdana" w:eastAsia="Times" w:hAnsi="Verdana" w:cs="Times"/>
          <w:sz w:val="20"/>
          <w:szCs w:val="20"/>
          <w:bdr w:val="none" w:sz="0" w:space="0" w:color="auto"/>
        </w:rPr>
        <w:t>Secretary</w:t>
      </w:r>
    </w:p>
    <w:p w14:paraId="628282F8" w14:textId="77777777" w:rsidR="00A402C7" w:rsidRPr="00954547" w:rsidRDefault="00A402C7" w:rsidP="001F796A">
      <w:pPr>
        <w:pStyle w:val="Numberedparagraphs"/>
        <w:numPr>
          <w:ilvl w:val="0"/>
          <w:numId w:val="0"/>
        </w:numPr>
        <w:tabs>
          <w:tab w:val="left" w:pos="567"/>
        </w:tabs>
        <w:rPr>
          <w:rFonts w:cs="Times"/>
          <w:lang w:val="en-US" w:eastAsia="es-CR"/>
        </w:rPr>
        <w:sectPr w:rsidR="00A402C7" w:rsidRPr="00954547" w:rsidSect="00D17614">
          <w:headerReference w:type="default" r:id="rId8"/>
          <w:footerReference w:type="default" r:id="rId9"/>
          <w:pgSz w:w="12240" w:h="15840" w:code="1"/>
          <w:pgMar w:top="1418" w:right="1467" w:bottom="1418" w:left="1418" w:header="709" w:footer="709" w:gutter="0"/>
          <w:cols w:space="708"/>
          <w:titlePg/>
          <w:docGrid w:linePitch="360"/>
        </w:sectPr>
      </w:pPr>
    </w:p>
    <w:p w14:paraId="7D8DB1FE" w14:textId="77777777" w:rsidR="00A402C7" w:rsidRPr="00954547" w:rsidRDefault="00A402C7" w:rsidP="00A402C7">
      <w:pPr>
        <w:rPr>
          <w:rFonts w:ascii="Verdana" w:hAnsi="Verdana"/>
          <w:b/>
          <w:sz w:val="20"/>
          <w:szCs w:val="20"/>
        </w:rPr>
      </w:pPr>
    </w:p>
    <w:p w14:paraId="3FF25469" w14:textId="0C6F30AC" w:rsidR="00A402C7" w:rsidRPr="00954547" w:rsidRDefault="00B87F9C" w:rsidP="00A402C7">
      <w:pPr>
        <w:jc w:val="center"/>
        <w:rPr>
          <w:rFonts w:ascii="Verdana" w:hAnsi="Verdana"/>
          <w:b/>
          <w:sz w:val="20"/>
          <w:szCs w:val="20"/>
        </w:rPr>
      </w:pPr>
      <w:r w:rsidRPr="00954547">
        <w:rPr>
          <w:rFonts w:ascii="Verdana" w:hAnsi="Verdana"/>
          <w:b/>
          <w:sz w:val="20"/>
          <w:szCs w:val="20"/>
        </w:rPr>
        <w:t>PARTIALLY DISSENTING OPINION OF</w:t>
      </w:r>
      <w:r w:rsidR="00A402C7" w:rsidRPr="00954547">
        <w:rPr>
          <w:rFonts w:ascii="Verdana" w:hAnsi="Verdana"/>
          <w:b/>
          <w:sz w:val="20"/>
          <w:szCs w:val="20"/>
        </w:rPr>
        <w:t xml:space="preserve"> </w:t>
      </w:r>
      <w:r w:rsidR="00A42A4C" w:rsidRPr="00954547">
        <w:rPr>
          <w:rFonts w:ascii="Verdana" w:hAnsi="Verdana"/>
          <w:b/>
          <w:sz w:val="20"/>
          <w:szCs w:val="20"/>
        </w:rPr>
        <w:t>JUDGE</w:t>
      </w:r>
      <w:r w:rsidR="00A402C7" w:rsidRPr="00954547">
        <w:rPr>
          <w:rFonts w:ascii="Verdana" w:hAnsi="Verdana"/>
          <w:b/>
          <w:sz w:val="20"/>
          <w:szCs w:val="20"/>
        </w:rPr>
        <w:t xml:space="preserve"> EDUARDO VIO GROSSI</w:t>
      </w:r>
    </w:p>
    <w:p w14:paraId="79ED2F0A" w14:textId="77777777" w:rsidR="00BA4D46" w:rsidRPr="00954547" w:rsidRDefault="00BA4D46" w:rsidP="00A402C7">
      <w:pPr>
        <w:jc w:val="center"/>
        <w:rPr>
          <w:rFonts w:ascii="Verdana" w:hAnsi="Verdana"/>
          <w:b/>
          <w:sz w:val="20"/>
          <w:szCs w:val="20"/>
        </w:rPr>
      </w:pPr>
    </w:p>
    <w:p w14:paraId="4E9D12CA" w14:textId="20AAEADD" w:rsidR="00A402C7" w:rsidRPr="00954547" w:rsidRDefault="003940FE" w:rsidP="00A402C7">
      <w:pPr>
        <w:jc w:val="center"/>
        <w:rPr>
          <w:rFonts w:ascii="Verdana" w:hAnsi="Verdana"/>
          <w:b/>
          <w:sz w:val="20"/>
          <w:szCs w:val="20"/>
        </w:rPr>
      </w:pPr>
      <w:r w:rsidRPr="00954547">
        <w:rPr>
          <w:rFonts w:ascii="Verdana" w:hAnsi="Verdana"/>
          <w:b/>
          <w:sz w:val="20"/>
          <w:szCs w:val="20"/>
        </w:rPr>
        <w:t>INTER-AMERICAN COURT OF HUMAN RIGHTS</w:t>
      </w:r>
    </w:p>
    <w:p w14:paraId="7D5D7750" w14:textId="77777777" w:rsidR="00BA4D46" w:rsidRPr="00954547" w:rsidRDefault="00BA4D46" w:rsidP="00A402C7">
      <w:pPr>
        <w:jc w:val="center"/>
        <w:rPr>
          <w:rFonts w:ascii="Verdana" w:hAnsi="Verdana"/>
          <w:b/>
          <w:sz w:val="20"/>
          <w:szCs w:val="20"/>
        </w:rPr>
      </w:pPr>
    </w:p>
    <w:p w14:paraId="7AE6B6A1" w14:textId="5800D27C" w:rsidR="00A402C7" w:rsidRPr="00954547" w:rsidRDefault="00A402C7" w:rsidP="00A402C7">
      <w:pPr>
        <w:jc w:val="center"/>
        <w:rPr>
          <w:rFonts w:ascii="Verdana" w:hAnsi="Verdana"/>
          <w:b/>
          <w:sz w:val="20"/>
          <w:szCs w:val="20"/>
          <w:lang w:val="es-CR"/>
        </w:rPr>
      </w:pPr>
      <w:r w:rsidRPr="00954547">
        <w:rPr>
          <w:rFonts w:ascii="Verdana" w:hAnsi="Verdana"/>
          <w:b/>
          <w:sz w:val="20"/>
          <w:szCs w:val="20"/>
          <w:lang w:val="es-CR"/>
        </w:rPr>
        <w:t>CAS</w:t>
      </w:r>
      <w:r w:rsidR="00B87F9C" w:rsidRPr="00954547">
        <w:rPr>
          <w:rFonts w:ascii="Verdana" w:hAnsi="Verdana"/>
          <w:b/>
          <w:sz w:val="20"/>
          <w:szCs w:val="20"/>
          <w:lang w:val="es-CR"/>
        </w:rPr>
        <w:t>E OF</w:t>
      </w:r>
      <w:r w:rsidRPr="00954547">
        <w:rPr>
          <w:rFonts w:ascii="Verdana" w:hAnsi="Verdana"/>
          <w:b/>
          <w:sz w:val="20"/>
          <w:szCs w:val="20"/>
          <w:lang w:val="es-CR"/>
        </w:rPr>
        <w:t xml:space="preserve"> MANUELA </w:t>
      </w:r>
      <w:r w:rsidR="00B87F9C" w:rsidRPr="00954547">
        <w:rPr>
          <w:rFonts w:ascii="Verdana" w:hAnsi="Verdana"/>
          <w:b/>
          <w:i/>
          <w:iCs/>
          <w:sz w:val="20"/>
          <w:szCs w:val="20"/>
          <w:lang w:val="es-CR"/>
        </w:rPr>
        <w:t>ET AL. V.</w:t>
      </w:r>
      <w:r w:rsidRPr="00954547">
        <w:rPr>
          <w:rFonts w:ascii="Verdana" w:hAnsi="Verdana"/>
          <w:b/>
          <w:sz w:val="20"/>
          <w:szCs w:val="20"/>
          <w:lang w:val="es-CR"/>
        </w:rPr>
        <w:t xml:space="preserve"> EL SALVADOR</w:t>
      </w:r>
    </w:p>
    <w:p w14:paraId="62E1E469" w14:textId="77777777" w:rsidR="00BA4D46" w:rsidRPr="00954547" w:rsidRDefault="00BA4D46" w:rsidP="00A402C7">
      <w:pPr>
        <w:jc w:val="center"/>
        <w:rPr>
          <w:rFonts w:ascii="Verdana" w:hAnsi="Verdana"/>
          <w:b/>
          <w:sz w:val="20"/>
          <w:szCs w:val="20"/>
          <w:lang w:val="es-CR"/>
        </w:rPr>
      </w:pPr>
    </w:p>
    <w:p w14:paraId="7FF94A3A" w14:textId="05B74515" w:rsidR="00A402C7" w:rsidRPr="00954547" w:rsidRDefault="003940FE" w:rsidP="00A402C7">
      <w:pPr>
        <w:jc w:val="center"/>
        <w:rPr>
          <w:rFonts w:ascii="Verdana" w:hAnsi="Verdana"/>
          <w:b/>
          <w:sz w:val="20"/>
          <w:szCs w:val="20"/>
        </w:rPr>
      </w:pPr>
      <w:r w:rsidRPr="00954547">
        <w:rPr>
          <w:rFonts w:ascii="Verdana" w:hAnsi="Verdana"/>
          <w:b/>
          <w:sz w:val="20"/>
          <w:szCs w:val="20"/>
        </w:rPr>
        <w:t>JUDGMENT OF NOVEMBER 2,</w:t>
      </w:r>
      <w:r w:rsidR="00A402C7" w:rsidRPr="00954547">
        <w:rPr>
          <w:rFonts w:ascii="Verdana" w:hAnsi="Verdana"/>
          <w:b/>
          <w:sz w:val="20"/>
          <w:szCs w:val="20"/>
        </w:rPr>
        <w:t xml:space="preserve"> 2021,</w:t>
      </w:r>
    </w:p>
    <w:p w14:paraId="19A18A22" w14:textId="200D5FF9" w:rsidR="00A402C7" w:rsidRPr="00954547" w:rsidRDefault="00A402C7" w:rsidP="00A402C7">
      <w:pPr>
        <w:jc w:val="center"/>
        <w:rPr>
          <w:rFonts w:ascii="Verdana" w:hAnsi="Verdana"/>
          <w:b/>
          <w:i/>
          <w:sz w:val="20"/>
          <w:szCs w:val="20"/>
        </w:rPr>
      </w:pPr>
      <w:r w:rsidRPr="00954547">
        <w:rPr>
          <w:rFonts w:ascii="Verdana" w:hAnsi="Verdana"/>
          <w:b/>
          <w:i/>
          <w:sz w:val="20"/>
          <w:szCs w:val="20"/>
        </w:rPr>
        <w:t>(</w:t>
      </w:r>
      <w:r w:rsidR="00A70DC4" w:rsidRPr="00954547">
        <w:rPr>
          <w:rFonts w:ascii="Verdana" w:hAnsi="Verdana"/>
          <w:b/>
          <w:i/>
          <w:sz w:val="20"/>
          <w:szCs w:val="20"/>
        </w:rPr>
        <w:t>Preliminary objections</w:t>
      </w:r>
      <w:r w:rsidRPr="00954547">
        <w:rPr>
          <w:rFonts w:ascii="Verdana" w:hAnsi="Verdana"/>
          <w:b/>
          <w:i/>
          <w:sz w:val="20"/>
          <w:szCs w:val="20"/>
        </w:rPr>
        <w:t xml:space="preserve">, </w:t>
      </w:r>
      <w:r w:rsidR="00B87F9C" w:rsidRPr="00954547">
        <w:rPr>
          <w:rFonts w:ascii="Verdana" w:hAnsi="Verdana"/>
          <w:b/>
          <w:i/>
          <w:sz w:val="20"/>
          <w:szCs w:val="20"/>
        </w:rPr>
        <w:t>m</w:t>
      </w:r>
      <w:r w:rsidR="00A70DC4" w:rsidRPr="00954547">
        <w:rPr>
          <w:rFonts w:ascii="Verdana" w:hAnsi="Verdana"/>
          <w:b/>
          <w:i/>
          <w:sz w:val="20"/>
          <w:szCs w:val="20"/>
        </w:rPr>
        <w:t>erits, reparations and costs</w:t>
      </w:r>
      <w:r w:rsidRPr="00954547">
        <w:rPr>
          <w:rFonts w:ascii="Verdana" w:hAnsi="Verdana"/>
          <w:b/>
          <w:i/>
          <w:sz w:val="20"/>
          <w:szCs w:val="20"/>
        </w:rPr>
        <w:t>)</w:t>
      </w:r>
    </w:p>
    <w:p w14:paraId="653D05F4" w14:textId="77777777" w:rsidR="00A402C7" w:rsidRPr="00954547" w:rsidRDefault="00A402C7" w:rsidP="00A402C7">
      <w:pPr>
        <w:rPr>
          <w:rFonts w:ascii="Verdana" w:hAnsi="Verdana"/>
          <w:b/>
          <w:sz w:val="20"/>
          <w:szCs w:val="20"/>
        </w:rPr>
      </w:pPr>
    </w:p>
    <w:p w14:paraId="711A460B" w14:textId="77777777" w:rsidR="00A402C7" w:rsidRPr="00954547" w:rsidRDefault="00A402C7" w:rsidP="00734C98">
      <w:pPr>
        <w:rPr>
          <w:rFonts w:ascii="Verdana" w:hAnsi="Verdana"/>
          <w:b/>
          <w:sz w:val="20"/>
          <w:szCs w:val="20"/>
        </w:rPr>
      </w:pPr>
    </w:p>
    <w:p w14:paraId="17FDFD20" w14:textId="7CC62375" w:rsidR="00A402C7" w:rsidRPr="00954547" w:rsidRDefault="00605272" w:rsidP="000365EC">
      <w:pPr>
        <w:pStyle w:val="ListParagraph"/>
        <w:numPr>
          <w:ilvl w:val="0"/>
          <w:numId w:val="23"/>
        </w:numPr>
        <w:tabs>
          <w:tab w:val="clear" w:pos="567"/>
        </w:tabs>
        <w:spacing w:before="0" w:after="0"/>
        <w:ind w:left="0" w:firstLine="0"/>
        <w:contextualSpacing/>
        <w:rPr>
          <w:b/>
          <w:lang w:val="en-US"/>
        </w:rPr>
      </w:pPr>
      <w:r w:rsidRPr="00954547">
        <w:rPr>
          <w:rStyle w:val="PrrafodeSentenciaChar"/>
          <w:lang w:val="en-US"/>
        </w:rPr>
        <w:t>This partially dissenting opinion with regard to the judgment in reference,</w:t>
      </w:r>
      <w:r w:rsidR="00A402C7" w:rsidRPr="00954547">
        <w:rPr>
          <w:rStyle w:val="FootnoteReference"/>
          <w:lang w:val="en-US"/>
        </w:rPr>
        <w:footnoteReference w:id="461"/>
      </w:r>
      <w:r w:rsidRPr="00954547">
        <w:rPr>
          <w:rStyle w:val="PrrafodeSentenciaChar"/>
          <w:lang w:val="en-US"/>
        </w:rPr>
        <w:t xml:space="preserve"> is issued to explain why I </w:t>
      </w:r>
      <w:r w:rsidR="00BA4D46" w:rsidRPr="00954547">
        <w:rPr>
          <w:rStyle w:val="PrrafodeSentenciaChar"/>
          <w:lang w:val="en-US"/>
        </w:rPr>
        <w:t>have dissented from</w:t>
      </w:r>
      <w:r w:rsidRPr="00954547">
        <w:rPr>
          <w:rStyle w:val="PrrafodeSentenciaChar"/>
          <w:lang w:val="en-US"/>
        </w:rPr>
        <w:t xml:space="preserve"> thre</w:t>
      </w:r>
      <w:r w:rsidR="0009621A" w:rsidRPr="00954547">
        <w:rPr>
          <w:rStyle w:val="PrrafodeSentenciaChar"/>
          <w:lang w:val="en-US"/>
        </w:rPr>
        <w:t>e</w:t>
      </w:r>
      <w:r w:rsidRPr="00954547">
        <w:rPr>
          <w:rStyle w:val="PrrafodeSentenciaChar"/>
          <w:lang w:val="en-US"/>
        </w:rPr>
        <w:t xml:space="preserve"> of its operative paragraphs, as indicated below.</w:t>
      </w:r>
      <w:r w:rsidR="00A402C7" w:rsidRPr="00954547">
        <w:rPr>
          <w:b/>
          <w:lang w:val="en-US"/>
        </w:rPr>
        <w:t xml:space="preserve"> </w:t>
      </w:r>
    </w:p>
    <w:p w14:paraId="05E4621C" w14:textId="77777777" w:rsidR="00A402C7" w:rsidRPr="00954547" w:rsidRDefault="00A402C7" w:rsidP="00734C98">
      <w:pPr>
        <w:jc w:val="both"/>
        <w:rPr>
          <w:rFonts w:ascii="Verdana" w:hAnsi="Verdana"/>
          <w:b/>
          <w:sz w:val="20"/>
          <w:szCs w:val="20"/>
        </w:rPr>
      </w:pPr>
    </w:p>
    <w:p w14:paraId="25948977" w14:textId="6B1222EE" w:rsidR="00A402C7" w:rsidRPr="00954547" w:rsidRDefault="0009621A" w:rsidP="000365EC">
      <w:pPr>
        <w:pStyle w:val="ListParagraph"/>
        <w:numPr>
          <w:ilvl w:val="0"/>
          <w:numId w:val="23"/>
        </w:numPr>
        <w:tabs>
          <w:tab w:val="clear" w:pos="567"/>
        </w:tabs>
        <w:spacing w:before="0" w:after="0"/>
        <w:ind w:left="0" w:firstLine="0"/>
        <w:contextualSpacing/>
        <w:rPr>
          <w:lang w:val="en-US"/>
        </w:rPr>
      </w:pPr>
      <w:r w:rsidRPr="00954547">
        <w:rPr>
          <w:lang w:val="en-US"/>
        </w:rPr>
        <w:t xml:space="preserve">Evidently, and as in the case of the other separate opinions issued by the undersigned, this opinion is issued, on the one hand, with full respect for </w:t>
      </w:r>
      <w:r w:rsidR="00607E12" w:rsidRPr="00954547">
        <w:rPr>
          <w:lang w:val="en-US"/>
        </w:rPr>
        <w:t xml:space="preserve">the </w:t>
      </w:r>
      <w:r w:rsidR="00E76B1A" w:rsidRPr="00954547">
        <w:rPr>
          <w:lang w:val="en-US"/>
        </w:rPr>
        <w:t>Inter-American Court of Human Rights</w:t>
      </w:r>
      <w:r w:rsidR="00A402C7" w:rsidRPr="00954547">
        <w:rPr>
          <w:rStyle w:val="FootnoteReference"/>
          <w:lang w:val="en-US"/>
        </w:rPr>
        <w:footnoteReference w:id="462"/>
      </w:r>
      <w:r w:rsidR="0078694F" w:rsidRPr="00954547">
        <w:rPr>
          <w:lang w:val="en-US"/>
        </w:rPr>
        <w:t xml:space="preserve"> and </w:t>
      </w:r>
      <w:r w:rsidRPr="00954547">
        <w:rPr>
          <w:lang w:val="en-US"/>
        </w:rPr>
        <w:t>all its members and, on the other hand, in accordance with both the provisions that regulate the Court’s decisions,</w:t>
      </w:r>
      <w:r w:rsidR="00A402C7" w:rsidRPr="00954547">
        <w:rPr>
          <w:rStyle w:val="FootnoteReference"/>
          <w:lang w:val="en-US"/>
        </w:rPr>
        <w:footnoteReference w:id="463"/>
      </w:r>
      <w:r w:rsidR="00A402C7" w:rsidRPr="00954547">
        <w:rPr>
          <w:lang w:val="en-US"/>
        </w:rPr>
        <w:t xml:space="preserve"> </w:t>
      </w:r>
      <w:r w:rsidRPr="00954547">
        <w:rPr>
          <w:lang w:val="en-US"/>
        </w:rPr>
        <w:t>and also those relating to individual opinions,</w:t>
      </w:r>
      <w:r w:rsidR="00A402C7" w:rsidRPr="00954547">
        <w:rPr>
          <w:rStyle w:val="FootnoteReference"/>
          <w:lang w:val="en-US"/>
        </w:rPr>
        <w:footnoteReference w:id="464"/>
      </w:r>
      <w:r w:rsidRPr="00954547">
        <w:rPr>
          <w:lang w:val="en-US"/>
        </w:rPr>
        <w:t xml:space="preserve"> all of this in order to collaborate towards the fullest understanding of the decisions taken.</w:t>
      </w:r>
      <w:r w:rsidR="00A402C7" w:rsidRPr="00954547">
        <w:rPr>
          <w:lang w:val="en-US"/>
        </w:rPr>
        <w:t xml:space="preserve"> </w:t>
      </w:r>
    </w:p>
    <w:p w14:paraId="31D2F3E1" w14:textId="51BA5862" w:rsidR="00AE0D8B" w:rsidRPr="00954547" w:rsidRDefault="00AE0D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Cambria" w:hAnsi="Verdana" w:cs="Cambria"/>
          <w:color w:val="000000"/>
          <w:sz w:val="20"/>
          <w:szCs w:val="20"/>
          <w:u w:color="000000"/>
          <w:lang w:eastAsia="es-ES"/>
        </w:rPr>
      </w:pPr>
      <w:r w:rsidRPr="00954547">
        <w:br w:type="page"/>
      </w:r>
    </w:p>
    <w:p w14:paraId="43AC7468" w14:textId="3634EF59" w:rsidR="00A402C7" w:rsidRPr="00954547" w:rsidRDefault="00B562B1" w:rsidP="000365EC">
      <w:pPr>
        <w:pStyle w:val="ListParagraph"/>
        <w:numPr>
          <w:ilvl w:val="0"/>
          <w:numId w:val="22"/>
        </w:numPr>
        <w:tabs>
          <w:tab w:val="clear" w:pos="567"/>
        </w:tabs>
        <w:spacing w:before="0" w:after="0"/>
        <w:ind w:left="720"/>
        <w:contextualSpacing/>
        <w:rPr>
          <w:b/>
          <w:lang w:val="en-US"/>
        </w:rPr>
      </w:pPr>
      <w:r w:rsidRPr="00954547">
        <w:rPr>
          <w:b/>
          <w:lang w:val="en-US"/>
        </w:rPr>
        <w:t>RIGHT TO HEALTH</w:t>
      </w:r>
    </w:p>
    <w:p w14:paraId="0A95C42D" w14:textId="77777777" w:rsidR="00A402C7" w:rsidRPr="00954547" w:rsidRDefault="00A402C7" w:rsidP="00734C98">
      <w:pPr>
        <w:pStyle w:val="ListParagraph"/>
        <w:numPr>
          <w:ilvl w:val="0"/>
          <w:numId w:val="0"/>
        </w:numPr>
        <w:tabs>
          <w:tab w:val="clear" w:pos="567"/>
        </w:tabs>
        <w:spacing w:before="0" w:after="0"/>
        <w:ind w:left="720"/>
        <w:contextualSpacing/>
        <w:rPr>
          <w:b/>
          <w:lang w:val="en-US"/>
        </w:rPr>
      </w:pPr>
    </w:p>
    <w:p w14:paraId="49FA848F" w14:textId="42BC3428" w:rsidR="00A402C7" w:rsidRPr="00954547" w:rsidRDefault="00FC3C1B" w:rsidP="000365EC">
      <w:pPr>
        <w:pStyle w:val="ListParagraph"/>
        <w:numPr>
          <w:ilvl w:val="0"/>
          <w:numId w:val="23"/>
        </w:numPr>
        <w:tabs>
          <w:tab w:val="clear" w:pos="567"/>
        </w:tabs>
        <w:spacing w:before="0" w:after="0"/>
        <w:ind w:left="0" w:firstLine="0"/>
        <w:contextualSpacing/>
        <w:rPr>
          <w:bCs/>
          <w:iCs/>
          <w:lang w:val="en-US"/>
        </w:rPr>
      </w:pPr>
      <w:r w:rsidRPr="00954547">
        <w:rPr>
          <w:bCs/>
          <w:iCs/>
          <w:lang w:val="en-US"/>
        </w:rPr>
        <w:t xml:space="preserve">This separate opinion on the judgment is submitted because I do not share the reference made in </w:t>
      </w:r>
      <w:r w:rsidR="0022625A" w:rsidRPr="00954547">
        <w:rPr>
          <w:bCs/>
          <w:iCs/>
          <w:lang w:val="en-US"/>
        </w:rPr>
        <w:t>its fifth operative paragraph</w:t>
      </w:r>
      <w:r w:rsidR="00A402C7" w:rsidRPr="00954547">
        <w:rPr>
          <w:vertAlign w:val="superscript"/>
          <w:lang w:val="en-US"/>
        </w:rPr>
        <w:footnoteReference w:id="465"/>
      </w:r>
      <w:r w:rsidR="00A402C7" w:rsidRPr="00954547">
        <w:rPr>
          <w:bCs/>
          <w:iCs/>
          <w:lang w:val="en-US"/>
        </w:rPr>
        <w:t xml:space="preserve"> </w:t>
      </w:r>
      <w:r w:rsidRPr="00954547">
        <w:rPr>
          <w:bCs/>
          <w:iCs/>
          <w:lang w:val="en-US"/>
        </w:rPr>
        <w:t>to</w:t>
      </w:r>
      <w:r w:rsidR="00A402C7" w:rsidRPr="00954547">
        <w:rPr>
          <w:bCs/>
          <w:iCs/>
          <w:lang w:val="en-US"/>
        </w:rPr>
        <w:t xml:space="preserve"> </w:t>
      </w:r>
      <w:r w:rsidR="00A17F8C" w:rsidRPr="00954547">
        <w:rPr>
          <w:bCs/>
          <w:iCs/>
          <w:lang w:val="en-US"/>
        </w:rPr>
        <w:t>Article</w:t>
      </w:r>
      <w:r w:rsidR="00A402C7" w:rsidRPr="00954547">
        <w:rPr>
          <w:bCs/>
          <w:iCs/>
          <w:lang w:val="en-US"/>
        </w:rPr>
        <w:t xml:space="preserve"> 26</w:t>
      </w:r>
      <w:r w:rsidR="00A402C7" w:rsidRPr="00954547">
        <w:rPr>
          <w:vertAlign w:val="superscript"/>
          <w:lang w:val="en-US"/>
        </w:rPr>
        <w:footnoteReference w:id="466"/>
      </w:r>
      <w:r w:rsidR="00607E12" w:rsidRPr="00954547">
        <w:rPr>
          <w:bCs/>
          <w:iCs/>
          <w:lang w:val="en-US"/>
        </w:rPr>
        <w:t xml:space="preserve"> of the </w:t>
      </w:r>
      <w:r w:rsidR="00A42A4C" w:rsidRPr="00954547">
        <w:rPr>
          <w:bCs/>
          <w:iCs/>
          <w:lang w:val="en-US"/>
        </w:rPr>
        <w:t>American Convention on Human Rights</w:t>
      </w:r>
      <w:r w:rsidR="00A402C7" w:rsidRPr="00954547">
        <w:rPr>
          <w:vertAlign w:val="superscript"/>
          <w:lang w:val="en-US"/>
        </w:rPr>
        <w:footnoteReference w:id="467"/>
      </w:r>
      <w:r w:rsidR="00A402C7" w:rsidRPr="00954547">
        <w:rPr>
          <w:bCs/>
          <w:iCs/>
          <w:lang w:val="en-US"/>
        </w:rPr>
        <w:t xml:space="preserve"> </w:t>
      </w:r>
      <w:r w:rsidRPr="00954547">
        <w:rPr>
          <w:bCs/>
          <w:iCs/>
          <w:lang w:val="en-US"/>
        </w:rPr>
        <w:t>in order</w:t>
      </w:r>
      <w:r w:rsidR="00BA4D46" w:rsidRPr="00954547">
        <w:rPr>
          <w:bCs/>
          <w:iCs/>
          <w:lang w:val="en-US"/>
        </w:rPr>
        <w:t>,</w:t>
      </w:r>
      <w:r w:rsidRPr="00954547">
        <w:rPr>
          <w:bCs/>
          <w:iCs/>
          <w:lang w:val="en-US"/>
        </w:rPr>
        <w:t xml:space="preserve"> consequently</w:t>
      </w:r>
      <w:r w:rsidR="00BA4D46" w:rsidRPr="00954547">
        <w:rPr>
          <w:bCs/>
          <w:iCs/>
          <w:lang w:val="en-US"/>
        </w:rPr>
        <w:t>, to</w:t>
      </w:r>
      <w:r w:rsidRPr="00954547">
        <w:rPr>
          <w:bCs/>
          <w:iCs/>
          <w:lang w:val="en-US"/>
        </w:rPr>
        <w:t xml:space="preserve"> make the violation of rights to which this article alludes justiciable before the Court. </w:t>
      </w:r>
    </w:p>
    <w:p w14:paraId="2ABC466E" w14:textId="77777777" w:rsidR="00A402C7" w:rsidRPr="00954547" w:rsidRDefault="00A402C7" w:rsidP="00734C98">
      <w:pPr>
        <w:contextualSpacing/>
        <w:jc w:val="both"/>
        <w:rPr>
          <w:rFonts w:ascii="Verdana" w:hAnsi="Verdana"/>
          <w:bCs/>
          <w:iCs/>
          <w:sz w:val="20"/>
          <w:szCs w:val="20"/>
        </w:rPr>
      </w:pPr>
    </w:p>
    <w:p w14:paraId="13E6B3B2" w14:textId="44BE1502" w:rsidR="00A402C7" w:rsidRPr="00954547" w:rsidRDefault="00F022CC" w:rsidP="000365E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Verdana" w:hAnsi="Verdana"/>
          <w:bCs/>
          <w:iCs/>
          <w:sz w:val="20"/>
          <w:szCs w:val="20"/>
        </w:rPr>
      </w:pPr>
      <w:r w:rsidRPr="00954547">
        <w:rPr>
          <w:rFonts w:ascii="Verdana" w:hAnsi="Verdana"/>
          <w:bCs/>
          <w:iCs/>
          <w:sz w:val="20"/>
          <w:szCs w:val="20"/>
        </w:rPr>
        <w:t>In keeping with</w:t>
      </w:r>
      <w:r w:rsidR="00FC3C1B" w:rsidRPr="00954547">
        <w:rPr>
          <w:rFonts w:ascii="Verdana" w:hAnsi="Verdana"/>
          <w:bCs/>
          <w:iCs/>
          <w:sz w:val="20"/>
          <w:szCs w:val="20"/>
        </w:rPr>
        <w:t xml:space="preserve"> the </w:t>
      </w:r>
      <w:r w:rsidRPr="00954547">
        <w:rPr>
          <w:rFonts w:ascii="Verdana" w:hAnsi="Verdana"/>
          <w:bCs/>
          <w:iCs/>
          <w:sz w:val="20"/>
          <w:szCs w:val="20"/>
        </w:rPr>
        <w:t>reasons</w:t>
      </w:r>
      <w:r w:rsidR="00FC3C1B" w:rsidRPr="00954547">
        <w:rPr>
          <w:rFonts w:ascii="Verdana" w:hAnsi="Verdana"/>
          <w:bCs/>
          <w:iCs/>
          <w:sz w:val="20"/>
          <w:szCs w:val="20"/>
        </w:rPr>
        <w:t xml:space="preserve"> given in the other separate opinions that the undersigned has issued in this regard,</w:t>
      </w:r>
      <w:r w:rsidR="00A402C7" w:rsidRPr="00954547">
        <w:rPr>
          <w:rStyle w:val="FootnoteReference"/>
          <w:rFonts w:ascii="Verdana" w:hAnsi="Verdana"/>
          <w:iCs/>
          <w:sz w:val="20"/>
          <w:szCs w:val="20"/>
        </w:rPr>
        <w:footnoteReference w:id="468"/>
      </w:r>
      <w:r w:rsidR="00FC3C1B" w:rsidRPr="00954547">
        <w:rPr>
          <w:rFonts w:ascii="Verdana" w:hAnsi="Verdana"/>
          <w:bCs/>
          <w:iCs/>
          <w:sz w:val="20"/>
          <w:szCs w:val="20"/>
        </w:rPr>
        <w:t xml:space="preserve"> which are hereby ratified, and in </w:t>
      </w:r>
      <w:r w:rsidRPr="00954547">
        <w:rPr>
          <w:rFonts w:ascii="Verdana" w:hAnsi="Verdana"/>
          <w:bCs/>
          <w:iCs/>
          <w:sz w:val="20"/>
          <w:szCs w:val="20"/>
        </w:rPr>
        <w:t xml:space="preserve">accordance </w:t>
      </w:r>
      <w:r w:rsidR="00FC3C1B" w:rsidRPr="00954547">
        <w:rPr>
          <w:rFonts w:ascii="Verdana" w:hAnsi="Verdana"/>
          <w:bCs/>
          <w:iCs/>
          <w:sz w:val="20"/>
          <w:szCs w:val="20"/>
        </w:rPr>
        <w:t xml:space="preserve">with the </w:t>
      </w:r>
      <w:r w:rsidR="00AE0D8B" w:rsidRPr="00954547">
        <w:rPr>
          <w:rFonts w:ascii="Verdana" w:hAnsi="Verdana"/>
          <w:bCs/>
          <w:iCs/>
          <w:sz w:val="20"/>
          <w:szCs w:val="20"/>
        </w:rPr>
        <w:t xml:space="preserve">considerations in a preceding separate opinions regarding </w:t>
      </w:r>
      <w:r w:rsidR="00A17F8C" w:rsidRPr="00954547">
        <w:rPr>
          <w:rFonts w:ascii="Verdana" w:hAnsi="Verdana"/>
          <w:bCs/>
          <w:iCs/>
          <w:sz w:val="20"/>
          <w:szCs w:val="20"/>
        </w:rPr>
        <w:t>Article</w:t>
      </w:r>
      <w:r w:rsidR="00A402C7" w:rsidRPr="00954547">
        <w:rPr>
          <w:rFonts w:ascii="Verdana" w:hAnsi="Verdana"/>
          <w:bCs/>
          <w:iCs/>
          <w:sz w:val="20"/>
          <w:szCs w:val="20"/>
        </w:rPr>
        <w:t xml:space="preserve"> 26</w:t>
      </w:r>
      <w:r w:rsidR="00AE0D8B" w:rsidRPr="00954547">
        <w:rPr>
          <w:rFonts w:ascii="Verdana" w:hAnsi="Verdana"/>
          <w:bCs/>
          <w:iCs/>
          <w:sz w:val="20"/>
          <w:szCs w:val="20"/>
        </w:rPr>
        <w:t>,</w:t>
      </w:r>
      <w:r w:rsidR="00A402C7" w:rsidRPr="00954547">
        <w:rPr>
          <w:rStyle w:val="FootnoteReference"/>
          <w:rFonts w:ascii="Verdana" w:hAnsi="Verdana"/>
          <w:iCs/>
          <w:sz w:val="20"/>
          <w:szCs w:val="20"/>
        </w:rPr>
        <w:footnoteReference w:id="469"/>
      </w:r>
      <w:r w:rsidR="00AE0D8B" w:rsidRPr="00954547">
        <w:rPr>
          <w:rFonts w:ascii="Verdana" w:hAnsi="Verdana"/>
          <w:bCs/>
          <w:iCs/>
          <w:sz w:val="20"/>
          <w:szCs w:val="20"/>
        </w:rPr>
        <w:t xml:space="preserve"> I do not agree with the provisions of the said fifth </w:t>
      </w:r>
      <w:r w:rsidR="00FC3C1B" w:rsidRPr="00954547">
        <w:rPr>
          <w:rFonts w:ascii="Verdana" w:hAnsi="Verdana"/>
          <w:bCs/>
          <w:iCs/>
          <w:sz w:val="20"/>
          <w:szCs w:val="20"/>
        </w:rPr>
        <w:t>operative paragraph</w:t>
      </w:r>
      <w:r w:rsidR="00AE0D8B" w:rsidRPr="00954547">
        <w:rPr>
          <w:rFonts w:ascii="Verdana" w:hAnsi="Verdana"/>
          <w:bCs/>
          <w:iCs/>
          <w:sz w:val="20"/>
          <w:szCs w:val="20"/>
        </w:rPr>
        <w:t xml:space="preserve"> because, among other reasons and in sum, the</w:t>
      </w:r>
      <w:r w:rsidR="00901EB6" w:rsidRPr="00954547">
        <w:rPr>
          <w:rFonts w:ascii="Verdana" w:hAnsi="Verdana"/>
          <w:bCs/>
          <w:iCs/>
          <w:sz w:val="20"/>
          <w:szCs w:val="20"/>
        </w:rPr>
        <w:t xml:space="preserve"> Convention</w:t>
      </w:r>
      <w:r w:rsidR="00A402C7" w:rsidRPr="00954547">
        <w:rPr>
          <w:rFonts w:ascii="Verdana" w:hAnsi="Verdana"/>
          <w:bCs/>
          <w:iCs/>
          <w:sz w:val="20"/>
          <w:szCs w:val="20"/>
        </w:rPr>
        <w:t xml:space="preserve"> </w:t>
      </w:r>
      <w:r w:rsidR="008F669C" w:rsidRPr="00954547">
        <w:rPr>
          <w:rFonts w:ascii="Verdana" w:hAnsi="Verdana"/>
          <w:bCs/>
          <w:iCs/>
          <w:sz w:val="20"/>
          <w:szCs w:val="20"/>
        </w:rPr>
        <w:t>only regulates the rights that in</w:t>
      </w:r>
      <w:r w:rsidR="003A0740" w:rsidRPr="00954547">
        <w:rPr>
          <w:rFonts w:ascii="Verdana" w:hAnsi="Verdana"/>
          <w:bCs/>
          <w:iCs/>
          <w:sz w:val="20"/>
          <w:szCs w:val="20"/>
        </w:rPr>
        <w:t xml:space="preserve"> it </w:t>
      </w:r>
      <w:r w:rsidR="008F669C" w:rsidRPr="00954547">
        <w:rPr>
          <w:rFonts w:ascii="Verdana" w:hAnsi="Verdana"/>
          <w:bCs/>
          <w:iCs/>
          <w:sz w:val="20"/>
          <w:szCs w:val="20"/>
        </w:rPr>
        <w:t>are “recognize</w:t>
      </w:r>
      <w:bookmarkStart w:id="205" w:name="_Hlk46311586"/>
      <w:r w:rsidR="008F669C" w:rsidRPr="00954547">
        <w:rPr>
          <w:rFonts w:ascii="Verdana" w:hAnsi="Verdana"/>
          <w:bCs/>
          <w:iCs/>
          <w:sz w:val="20"/>
          <w:szCs w:val="20"/>
        </w:rPr>
        <w:t>d</w:t>
      </w:r>
      <w:r w:rsidR="00A402C7" w:rsidRPr="00954547">
        <w:rPr>
          <w:rFonts w:ascii="Verdana" w:eastAsia="Times" w:hAnsi="Verdana" w:cs="Arial"/>
          <w:sz w:val="20"/>
          <w:szCs w:val="20"/>
        </w:rPr>
        <w:t>”</w:t>
      </w:r>
      <w:r w:rsidR="00A402C7" w:rsidRPr="00954547">
        <w:rPr>
          <w:rFonts w:ascii="Verdana" w:eastAsia="Times" w:hAnsi="Verdana" w:cs="Arial"/>
          <w:sz w:val="20"/>
          <w:szCs w:val="20"/>
          <w:vertAlign w:val="superscript"/>
        </w:rPr>
        <w:footnoteReference w:id="470"/>
      </w:r>
      <w:r w:rsidR="00A402C7" w:rsidRPr="00954547">
        <w:rPr>
          <w:rFonts w:ascii="Verdana" w:eastAsia="Times" w:hAnsi="Verdana" w:cs="Arial"/>
          <w:sz w:val="20"/>
          <w:szCs w:val="20"/>
        </w:rPr>
        <w:t xml:space="preserve"> </w:t>
      </w:r>
      <w:r w:rsidR="00A402C7" w:rsidRPr="00954547">
        <w:rPr>
          <w:rFonts w:ascii="Verdana" w:eastAsia="Batang" w:hAnsi="Verdana"/>
          <w:sz w:val="20"/>
          <w:szCs w:val="20"/>
        </w:rPr>
        <w:t>“</w:t>
      </w:r>
      <w:r w:rsidR="008F669C" w:rsidRPr="00954547">
        <w:rPr>
          <w:rFonts w:ascii="Verdana" w:eastAsia="Batang" w:hAnsi="Verdana"/>
          <w:i/>
          <w:iCs/>
          <w:sz w:val="20"/>
          <w:szCs w:val="20"/>
        </w:rPr>
        <w:t xml:space="preserve">set </w:t>
      </w:r>
      <w:r w:rsidR="008F669C" w:rsidRPr="00954547">
        <w:rPr>
          <w:rFonts w:ascii="Verdana" w:eastAsia="Batang" w:hAnsi="Verdana"/>
          <w:sz w:val="20"/>
          <w:szCs w:val="20"/>
        </w:rPr>
        <w:t>forth</w:t>
      </w:r>
      <w:r w:rsidR="00A402C7" w:rsidRPr="00954547">
        <w:rPr>
          <w:rFonts w:ascii="Verdana" w:eastAsia="Batang" w:hAnsi="Verdana"/>
          <w:sz w:val="20"/>
          <w:szCs w:val="20"/>
        </w:rPr>
        <w:t>”</w:t>
      </w:r>
      <w:r w:rsidR="00A402C7" w:rsidRPr="00954547">
        <w:rPr>
          <w:rFonts w:ascii="Verdana" w:hAnsi="Verdana"/>
          <w:sz w:val="20"/>
          <w:szCs w:val="20"/>
          <w:vertAlign w:val="superscript"/>
        </w:rPr>
        <w:footnoteReference w:id="471"/>
      </w:r>
      <w:r w:rsidR="00A402C7" w:rsidRPr="00954547">
        <w:rPr>
          <w:rFonts w:ascii="Verdana" w:eastAsia="Batang" w:hAnsi="Verdana"/>
          <w:sz w:val="20"/>
          <w:szCs w:val="20"/>
        </w:rPr>
        <w:t>, “</w:t>
      </w:r>
      <w:r w:rsidR="008F669C" w:rsidRPr="00954547">
        <w:rPr>
          <w:rFonts w:ascii="Verdana" w:eastAsia="Batang" w:hAnsi="Verdana"/>
          <w:sz w:val="20"/>
          <w:szCs w:val="20"/>
        </w:rPr>
        <w:t>guaranteed,</w:t>
      </w:r>
      <w:r w:rsidR="00A402C7" w:rsidRPr="00954547">
        <w:rPr>
          <w:rFonts w:ascii="Verdana" w:eastAsia="Batang" w:hAnsi="Verdana"/>
          <w:sz w:val="20"/>
          <w:szCs w:val="20"/>
        </w:rPr>
        <w:t>”</w:t>
      </w:r>
      <w:r w:rsidR="00A402C7" w:rsidRPr="00954547">
        <w:rPr>
          <w:rFonts w:ascii="Verdana" w:hAnsi="Verdana"/>
          <w:sz w:val="20"/>
          <w:szCs w:val="20"/>
          <w:vertAlign w:val="superscript"/>
        </w:rPr>
        <w:footnoteReference w:id="472"/>
      </w:r>
      <w:r w:rsidR="00A402C7" w:rsidRPr="00954547">
        <w:rPr>
          <w:rFonts w:ascii="Verdana" w:eastAsia="Batang" w:hAnsi="Verdana"/>
          <w:sz w:val="20"/>
          <w:szCs w:val="20"/>
        </w:rPr>
        <w:t xml:space="preserve"> “</w:t>
      </w:r>
      <w:r w:rsidR="008F669C" w:rsidRPr="00954547">
        <w:rPr>
          <w:rFonts w:ascii="Verdana" w:eastAsia="Batang" w:hAnsi="Verdana"/>
          <w:sz w:val="20"/>
          <w:szCs w:val="20"/>
        </w:rPr>
        <w:t>protected</w:t>
      </w:r>
      <w:r w:rsidR="00E441DB" w:rsidRPr="00954547">
        <w:rPr>
          <w:rFonts w:ascii="Verdana" w:eastAsia="Batang" w:hAnsi="Verdana"/>
          <w:sz w:val="20"/>
          <w:szCs w:val="20"/>
        </w:rPr>
        <w:t>”</w:t>
      </w:r>
      <w:r w:rsidR="008F669C" w:rsidRPr="00954547">
        <w:rPr>
          <w:rFonts w:ascii="Verdana" w:eastAsia="Batang" w:hAnsi="Verdana"/>
          <w:i/>
          <w:iCs/>
          <w:sz w:val="20"/>
          <w:szCs w:val="20"/>
        </w:rPr>
        <w:t xml:space="preserve"> (consagrado)</w:t>
      </w:r>
      <w:r w:rsidR="00A402C7" w:rsidRPr="00954547">
        <w:rPr>
          <w:rFonts w:ascii="Verdana" w:hAnsi="Verdana"/>
          <w:sz w:val="20"/>
          <w:szCs w:val="20"/>
          <w:vertAlign w:val="superscript"/>
        </w:rPr>
        <w:footnoteReference w:id="473"/>
      </w:r>
      <w:r w:rsidR="00A402C7" w:rsidRPr="00954547">
        <w:rPr>
          <w:rFonts w:ascii="Verdana" w:eastAsia="Batang" w:hAnsi="Verdana"/>
          <w:sz w:val="20"/>
          <w:szCs w:val="20"/>
        </w:rPr>
        <w:t xml:space="preserve"> o</w:t>
      </w:r>
      <w:r w:rsidR="008F669C" w:rsidRPr="00954547">
        <w:rPr>
          <w:rFonts w:ascii="Verdana" w:eastAsia="Batang" w:hAnsi="Verdana"/>
          <w:sz w:val="20"/>
          <w:szCs w:val="20"/>
        </w:rPr>
        <w:t>r</w:t>
      </w:r>
      <w:r w:rsidR="00A402C7" w:rsidRPr="00954547">
        <w:rPr>
          <w:rFonts w:ascii="Verdana" w:eastAsia="Batang" w:hAnsi="Verdana"/>
          <w:sz w:val="20"/>
          <w:szCs w:val="20"/>
        </w:rPr>
        <w:t xml:space="preserve"> “</w:t>
      </w:r>
      <w:r w:rsidR="008F669C" w:rsidRPr="00954547">
        <w:rPr>
          <w:rFonts w:ascii="Verdana" w:eastAsia="Batang" w:hAnsi="Verdana"/>
          <w:sz w:val="20"/>
          <w:szCs w:val="20"/>
        </w:rPr>
        <w:t>protected</w:t>
      </w:r>
      <w:r w:rsidR="00E441DB" w:rsidRPr="00954547">
        <w:rPr>
          <w:rFonts w:ascii="Verdana" w:eastAsia="Batang" w:hAnsi="Verdana"/>
          <w:sz w:val="20"/>
          <w:szCs w:val="20"/>
        </w:rPr>
        <w:t>”</w:t>
      </w:r>
      <w:r w:rsidR="008F669C" w:rsidRPr="00954547">
        <w:rPr>
          <w:rFonts w:ascii="Verdana" w:eastAsia="Batang" w:hAnsi="Verdana"/>
          <w:sz w:val="20"/>
          <w:szCs w:val="20"/>
        </w:rPr>
        <w:t xml:space="preserve"> (</w:t>
      </w:r>
      <w:r w:rsidR="00A402C7" w:rsidRPr="00954547">
        <w:rPr>
          <w:rFonts w:ascii="Verdana" w:eastAsia="Batang" w:hAnsi="Verdana"/>
          <w:i/>
          <w:iCs/>
          <w:sz w:val="20"/>
          <w:szCs w:val="20"/>
        </w:rPr>
        <w:t>protegido</w:t>
      </w:r>
      <w:r w:rsidR="008F669C" w:rsidRPr="00954547">
        <w:rPr>
          <w:rFonts w:ascii="Verdana" w:eastAsia="Batang" w:hAnsi="Verdana"/>
          <w:i/>
          <w:iCs/>
          <w:sz w:val="20"/>
          <w:szCs w:val="20"/>
        </w:rPr>
        <w:t>),</w:t>
      </w:r>
      <w:r w:rsidR="00A402C7" w:rsidRPr="00954547">
        <w:rPr>
          <w:rFonts w:ascii="Verdana" w:hAnsi="Verdana"/>
          <w:sz w:val="20"/>
          <w:szCs w:val="20"/>
          <w:vertAlign w:val="superscript"/>
        </w:rPr>
        <w:footnoteReference w:id="474"/>
      </w:r>
      <w:bookmarkEnd w:id="205"/>
      <w:r w:rsidR="008F669C" w:rsidRPr="00954547">
        <w:rPr>
          <w:rFonts w:ascii="Verdana" w:hAnsi="Verdana"/>
          <w:bCs/>
          <w:iCs/>
          <w:sz w:val="20"/>
          <w:szCs w:val="20"/>
        </w:rPr>
        <w:t xml:space="preserve"> which is not the case </w:t>
      </w:r>
      <w:r w:rsidR="00A32789" w:rsidRPr="00954547">
        <w:rPr>
          <w:rFonts w:ascii="Verdana" w:hAnsi="Verdana"/>
          <w:bCs/>
          <w:iCs/>
          <w:sz w:val="20"/>
          <w:szCs w:val="20"/>
        </w:rPr>
        <w:t>of</w:t>
      </w:r>
      <w:r w:rsidR="008F669C" w:rsidRPr="00954547">
        <w:rPr>
          <w:rFonts w:ascii="Verdana" w:hAnsi="Verdana"/>
          <w:bCs/>
          <w:iCs/>
          <w:sz w:val="20"/>
          <w:szCs w:val="20"/>
        </w:rPr>
        <w:t xml:space="preserve"> the rights referred to in Article </w:t>
      </w:r>
      <w:r w:rsidR="00A402C7" w:rsidRPr="00954547">
        <w:rPr>
          <w:rFonts w:ascii="Verdana" w:hAnsi="Verdana"/>
          <w:bCs/>
          <w:iCs/>
          <w:sz w:val="20"/>
          <w:szCs w:val="20"/>
        </w:rPr>
        <w:t xml:space="preserve">26 </w:t>
      </w:r>
      <w:r w:rsidR="008F669C" w:rsidRPr="00954547">
        <w:rPr>
          <w:rFonts w:ascii="Verdana" w:hAnsi="Verdana"/>
          <w:bCs/>
          <w:iCs/>
          <w:sz w:val="20"/>
          <w:szCs w:val="20"/>
        </w:rPr>
        <w:t xml:space="preserve">as </w:t>
      </w:r>
      <w:r w:rsidR="00A402C7" w:rsidRPr="00954547">
        <w:rPr>
          <w:rFonts w:ascii="Verdana" w:hAnsi="Verdana"/>
          <w:bCs/>
          <w:iCs/>
          <w:sz w:val="20"/>
          <w:szCs w:val="20"/>
        </w:rPr>
        <w:t>“</w:t>
      </w:r>
      <w:r w:rsidR="00A402C7" w:rsidRPr="00954547">
        <w:rPr>
          <w:rFonts w:ascii="Verdana" w:hAnsi="Verdana"/>
          <w:bCs/>
          <w:i/>
          <w:iCs/>
          <w:sz w:val="20"/>
          <w:szCs w:val="20"/>
        </w:rPr>
        <w:t>deriv</w:t>
      </w:r>
      <w:r w:rsidR="008F669C" w:rsidRPr="00954547">
        <w:rPr>
          <w:rFonts w:ascii="Verdana" w:hAnsi="Verdana"/>
          <w:bCs/>
          <w:i/>
          <w:iCs/>
          <w:sz w:val="20"/>
          <w:szCs w:val="20"/>
        </w:rPr>
        <w:t>ed</w:t>
      </w:r>
      <w:r w:rsidR="00A402C7" w:rsidRPr="00954547">
        <w:rPr>
          <w:rFonts w:ascii="Verdana" w:hAnsi="Verdana"/>
          <w:bCs/>
          <w:iCs/>
          <w:sz w:val="20"/>
          <w:szCs w:val="20"/>
        </w:rPr>
        <w:t xml:space="preserve">” </w:t>
      </w:r>
      <w:r w:rsidR="008F669C" w:rsidRPr="00954547">
        <w:rPr>
          <w:rFonts w:ascii="Verdana" w:hAnsi="Verdana"/>
          <w:bCs/>
          <w:iCs/>
          <w:sz w:val="20"/>
          <w:szCs w:val="20"/>
        </w:rPr>
        <w:t>from</w:t>
      </w:r>
      <w:r w:rsidR="009274B9" w:rsidRPr="00954547">
        <w:rPr>
          <w:rFonts w:ascii="Verdana" w:hAnsi="Verdana"/>
          <w:bCs/>
          <w:iCs/>
          <w:sz w:val="20"/>
          <w:szCs w:val="20"/>
        </w:rPr>
        <w:t xml:space="preserve"> the Charter of the</w:t>
      </w:r>
      <w:r w:rsidR="00A402C7" w:rsidRPr="00954547">
        <w:rPr>
          <w:rFonts w:ascii="Verdana" w:hAnsi="Verdana"/>
          <w:bCs/>
          <w:iCs/>
          <w:sz w:val="20"/>
          <w:szCs w:val="20"/>
        </w:rPr>
        <w:t xml:space="preserve"> </w:t>
      </w:r>
      <w:r w:rsidR="003E1CDB" w:rsidRPr="00954547">
        <w:rPr>
          <w:rFonts w:ascii="Verdana" w:hAnsi="Verdana"/>
          <w:bCs/>
          <w:iCs/>
          <w:sz w:val="20"/>
          <w:szCs w:val="20"/>
        </w:rPr>
        <w:t>Organization of American States</w:t>
      </w:r>
      <w:r w:rsidR="00A32789" w:rsidRPr="00954547">
        <w:rPr>
          <w:rFonts w:ascii="Verdana" w:hAnsi="Verdana"/>
          <w:bCs/>
          <w:iCs/>
          <w:sz w:val="20"/>
          <w:szCs w:val="20"/>
        </w:rPr>
        <w:t>;</w:t>
      </w:r>
      <w:r w:rsidR="00A402C7" w:rsidRPr="00954547">
        <w:rPr>
          <w:rFonts w:ascii="Verdana" w:hAnsi="Verdana"/>
          <w:bCs/>
          <w:iCs/>
          <w:sz w:val="20"/>
          <w:szCs w:val="20"/>
          <w:vertAlign w:val="superscript"/>
        </w:rPr>
        <w:footnoteReference w:id="475"/>
      </w:r>
      <w:r w:rsidR="00A32789" w:rsidRPr="00954547">
        <w:rPr>
          <w:rFonts w:ascii="Verdana" w:hAnsi="Verdana"/>
          <w:bCs/>
          <w:iCs/>
          <w:sz w:val="20"/>
          <w:szCs w:val="20"/>
        </w:rPr>
        <w:t xml:space="preserve"> because, </w:t>
      </w:r>
      <w:r w:rsidR="009C788F" w:rsidRPr="00954547">
        <w:rPr>
          <w:rFonts w:ascii="Verdana" w:hAnsi="Verdana"/>
          <w:bCs/>
          <w:iCs/>
          <w:sz w:val="20"/>
          <w:szCs w:val="20"/>
        </w:rPr>
        <w:t>the Convention</w:t>
      </w:r>
      <w:r w:rsidR="00274368" w:rsidRPr="00954547">
        <w:rPr>
          <w:rFonts w:ascii="Verdana" w:hAnsi="Verdana"/>
          <w:bCs/>
          <w:iCs/>
          <w:sz w:val="20"/>
          <w:szCs w:val="20"/>
        </w:rPr>
        <w:t xml:space="preserve"> </w:t>
      </w:r>
      <w:r w:rsidR="009C788F" w:rsidRPr="00954547">
        <w:rPr>
          <w:rFonts w:ascii="Verdana" w:hAnsi="Verdana"/>
          <w:bCs/>
          <w:iCs/>
          <w:sz w:val="20"/>
          <w:szCs w:val="20"/>
        </w:rPr>
        <w:t xml:space="preserve">itself refers to such rights separately from the civil and political rights, </w:t>
      </w:r>
      <w:r w:rsidR="00A32789" w:rsidRPr="00954547">
        <w:rPr>
          <w:rFonts w:ascii="Verdana" w:hAnsi="Verdana"/>
          <w:bCs/>
          <w:iCs/>
          <w:sz w:val="20"/>
          <w:szCs w:val="20"/>
        </w:rPr>
        <w:t>according</w:t>
      </w:r>
      <w:r w:rsidR="009C788F" w:rsidRPr="00954547">
        <w:rPr>
          <w:rFonts w:ascii="Verdana" w:hAnsi="Verdana"/>
          <w:bCs/>
          <w:iCs/>
          <w:sz w:val="20"/>
          <w:szCs w:val="20"/>
        </w:rPr>
        <w:t xml:space="preserve"> them a different </w:t>
      </w:r>
      <w:r w:rsidR="00274368" w:rsidRPr="00954547">
        <w:rPr>
          <w:rFonts w:ascii="Verdana" w:hAnsi="Verdana"/>
          <w:bCs/>
          <w:iCs/>
          <w:sz w:val="20"/>
          <w:szCs w:val="20"/>
        </w:rPr>
        <w:t>t</w:t>
      </w:r>
      <w:r w:rsidR="009C788F" w:rsidRPr="00954547">
        <w:rPr>
          <w:rFonts w:ascii="Verdana" w:hAnsi="Verdana"/>
          <w:bCs/>
          <w:iCs/>
          <w:sz w:val="20"/>
          <w:szCs w:val="20"/>
        </w:rPr>
        <w:t xml:space="preserve">reatment to that </w:t>
      </w:r>
      <w:r w:rsidR="00A32789" w:rsidRPr="00954547">
        <w:rPr>
          <w:rFonts w:ascii="Verdana" w:hAnsi="Verdana"/>
          <w:bCs/>
          <w:iCs/>
          <w:sz w:val="20"/>
          <w:szCs w:val="20"/>
        </w:rPr>
        <w:t>given</w:t>
      </w:r>
      <w:r w:rsidR="009C788F" w:rsidRPr="00954547">
        <w:rPr>
          <w:rFonts w:ascii="Verdana" w:hAnsi="Verdana"/>
          <w:bCs/>
          <w:iCs/>
          <w:sz w:val="20"/>
          <w:szCs w:val="20"/>
        </w:rPr>
        <w:t xml:space="preserve"> </w:t>
      </w:r>
      <w:r w:rsidR="00A32789" w:rsidRPr="00954547">
        <w:rPr>
          <w:rFonts w:ascii="Verdana" w:hAnsi="Verdana"/>
          <w:bCs/>
          <w:iCs/>
          <w:sz w:val="20"/>
          <w:szCs w:val="20"/>
        </w:rPr>
        <w:t>to</w:t>
      </w:r>
      <w:r w:rsidR="009C788F" w:rsidRPr="00954547">
        <w:rPr>
          <w:rFonts w:ascii="Verdana" w:hAnsi="Verdana"/>
          <w:bCs/>
          <w:iCs/>
          <w:sz w:val="20"/>
          <w:szCs w:val="20"/>
        </w:rPr>
        <w:t xml:space="preserve"> the latter; </w:t>
      </w:r>
      <w:r w:rsidR="00A32789" w:rsidRPr="00954547">
        <w:rPr>
          <w:rFonts w:ascii="Verdana" w:hAnsi="Verdana"/>
          <w:bCs/>
          <w:iCs/>
          <w:sz w:val="20"/>
          <w:szCs w:val="20"/>
        </w:rPr>
        <w:t>because</w:t>
      </w:r>
      <w:r w:rsidR="009C788F" w:rsidRPr="00954547">
        <w:rPr>
          <w:rFonts w:ascii="Verdana" w:hAnsi="Verdana"/>
          <w:bCs/>
          <w:iCs/>
          <w:sz w:val="20"/>
          <w:szCs w:val="20"/>
        </w:rPr>
        <w:t xml:space="preserve"> Article 26 is entitled ”</w:t>
      </w:r>
      <w:r w:rsidR="009C788F" w:rsidRPr="00954547">
        <w:rPr>
          <w:rFonts w:ascii="Verdana" w:hAnsi="Verdana"/>
          <w:bCs/>
          <w:sz w:val="20"/>
          <w:szCs w:val="20"/>
        </w:rPr>
        <w:t>Progressive Development” so that the obligation that i</w:t>
      </w:r>
      <w:r w:rsidR="00A32789" w:rsidRPr="00954547">
        <w:rPr>
          <w:rFonts w:ascii="Verdana" w:hAnsi="Verdana"/>
          <w:bCs/>
          <w:sz w:val="20"/>
          <w:szCs w:val="20"/>
        </w:rPr>
        <w:t>t</w:t>
      </w:r>
      <w:r w:rsidR="009C788F" w:rsidRPr="00954547">
        <w:rPr>
          <w:rFonts w:ascii="Verdana" w:hAnsi="Verdana"/>
          <w:bCs/>
          <w:sz w:val="20"/>
          <w:szCs w:val="20"/>
        </w:rPr>
        <w:t xml:space="preserve"> consequently established is to adopt measures to</w:t>
      </w:r>
      <w:r w:rsidR="00274368" w:rsidRPr="00954547">
        <w:rPr>
          <w:rFonts w:ascii="Verdana" w:hAnsi="Verdana"/>
          <w:bCs/>
          <w:sz w:val="20"/>
          <w:szCs w:val="20"/>
        </w:rPr>
        <w:t xml:space="preserve"> </w:t>
      </w:r>
      <w:r w:rsidR="009C788F" w:rsidRPr="00954547">
        <w:rPr>
          <w:rFonts w:ascii="Verdana" w:hAnsi="Verdana"/>
          <w:bCs/>
          <w:sz w:val="20"/>
          <w:szCs w:val="20"/>
        </w:rPr>
        <w:t>realize those rights and no</w:t>
      </w:r>
      <w:r w:rsidR="00A32789" w:rsidRPr="00954547">
        <w:rPr>
          <w:rFonts w:ascii="Verdana" w:hAnsi="Verdana"/>
          <w:bCs/>
          <w:sz w:val="20"/>
          <w:szCs w:val="20"/>
        </w:rPr>
        <w:t>t</w:t>
      </w:r>
      <w:r w:rsidR="009C788F" w:rsidRPr="00954547">
        <w:rPr>
          <w:rFonts w:ascii="Verdana" w:hAnsi="Verdana"/>
          <w:bCs/>
          <w:sz w:val="20"/>
          <w:szCs w:val="20"/>
        </w:rPr>
        <w:t xml:space="preserve"> that they are already justiciable before the Court; </w:t>
      </w:r>
      <w:r w:rsidR="00A32789" w:rsidRPr="00954547">
        <w:rPr>
          <w:rFonts w:ascii="Verdana" w:hAnsi="Verdana"/>
          <w:bCs/>
          <w:sz w:val="20"/>
          <w:szCs w:val="20"/>
        </w:rPr>
        <w:t>because</w:t>
      </w:r>
      <w:r w:rsidR="009C788F" w:rsidRPr="00954547">
        <w:rPr>
          <w:rFonts w:ascii="Verdana" w:hAnsi="Verdana"/>
          <w:bCs/>
          <w:sz w:val="20"/>
          <w:szCs w:val="20"/>
        </w:rPr>
        <w:t xml:space="preserve"> those rights are </w:t>
      </w:r>
      <w:r w:rsidR="009371AE" w:rsidRPr="00954547">
        <w:rPr>
          <w:rFonts w:ascii="Verdana" w:hAnsi="Verdana"/>
          <w:bCs/>
          <w:sz w:val="20"/>
          <w:szCs w:val="20"/>
        </w:rPr>
        <w:t>referred to</w:t>
      </w:r>
      <w:r w:rsidR="009C788F" w:rsidRPr="00954547">
        <w:rPr>
          <w:rFonts w:ascii="Verdana" w:hAnsi="Verdana"/>
          <w:bCs/>
          <w:sz w:val="20"/>
          <w:szCs w:val="20"/>
        </w:rPr>
        <w:t xml:space="preserve"> by the OAS Charter as “basic </w:t>
      </w:r>
      <w:r w:rsidR="003A0740" w:rsidRPr="00954547">
        <w:rPr>
          <w:rFonts w:ascii="Verdana" w:hAnsi="Verdana"/>
          <w:bCs/>
          <w:sz w:val="20"/>
          <w:szCs w:val="20"/>
        </w:rPr>
        <w:t>objective</w:t>
      </w:r>
      <w:r w:rsidR="009C788F" w:rsidRPr="00954547">
        <w:rPr>
          <w:rFonts w:ascii="Verdana" w:hAnsi="Verdana"/>
          <w:bCs/>
          <w:sz w:val="20"/>
          <w:szCs w:val="20"/>
        </w:rPr>
        <w:t>s</w:t>
      </w:r>
      <w:r w:rsidR="00A402C7" w:rsidRPr="00954547">
        <w:rPr>
          <w:rFonts w:ascii="Verdana" w:hAnsi="Verdana"/>
          <w:bCs/>
          <w:iCs/>
          <w:sz w:val="20"/>
          <w:szCs w:val="20"/>
        </w:rPr>
        <w:t>”</w:t>
      </w:r>
      <w:r w:rsidR="00A402C7" w:rsidRPr="00954547">
        <w:rPr>
          <w:rFonts w:ascii="Verdana" w:hAnsi="Verdana"/>
          <w:sz w:val="20"/>
          <w:szCs w:val="20"/>
          <w:vertAlign w:val="superscript"/>
        </w:rPr>
        <w:footnoteReference w:id="476"/>
      </w:r>
      <w:r w:rsidR="0078694F" w:rsidRPr="00954547">
        <w:rPr>
          <w:rFonts w:ascii="Verdana" w:hAnsi="Verdana"/>
          <w:bCs/>
          <w:iCs/>
          <w:sz w:val="20"/>
          <w:szCs w:val="20"/>
        </w:rPr>
        <w:t xml:space="preserve"> and</w:t>
      </w:r>
      <w:r w:rsidR="009C788F" w:rsidRPr="00954547">
        <w:rPr>
          <w:rFonts w:ascii="Verdana" w:hAnsi="Verdana"/>
          <w:bCs/>
          <w:iCs/>
          <w:sz w:val="20"/>
          <w:szCs w:val="20"/>
        </w:rPr>
        <w:t xml:space="preserve"> “principles and mechanisms</w:t>
      </w:r>
      <w:r w:rsidR="00A402C7" w:rsidRPr="00954547">
        <w:rPr>
          <w:rFonts w:ascii="Verdana" w:hAnsi="Verdana"/>
          <w:bCs/>
          <w:iCs/>
          <w:sz w:val="20"/>
          <w:szCs w:val="20"/>
        </w:rPr>
        <w:t>”</w:t>
      </w:r>
      <w:r w:rsidR="009C788F" w:rsidRPr="00954547">
        <w:rPr>
          <w:rFonts w:ascii="Verdana" w:hAnsi="Verdana"/>
          <w:bCs/>
          <w:iCs/>
          <w:sz w:val="20"/>
          <w:szCs w:val="20"/>
        </w:rPr>
        <w:t>;</w:t>
      </w:r>
      <w:r w:rsidR="00A402C7" w:rsidRPr="00954547">
        <w:rPr>
          <w:rFonts w:ascii="Verdana" w:hAnsi="Verdana"/>
          <w:sz w:val="20"/>
          <w:szCs w:val="20"/>
          <w:vertAlign w:val="superscript"/>
        </w:rPr>
        <w:footnoteReference w:id="477"/>
      </w:r>
      <w:r w:rsidR="009C788F" w:rsidRPr="00954547">
        <w:rPr>
          <w:rFonts w:ascii="Verdana" w:hAnsi="Verdana"/>
          <w:bCs/>
          <w:iCs/>
          <w:sz w:val="20"/>
          <w:szCs w:val="20"/>
        </w:rPr>
        <w:t xml:space="preserve"> </w:t>
      </w:r>
      <w:r w:rsidR="00274368" w:rsidRPr="00954547">
        <w:rPr>
          <w:rFonts w:ascii="Verdana" w:hAnsi="Verdana"/>
          <w:bCs/>
          <w:iCs/>
          <w:sz w:val="20"/>
          <w:szCs w:val="20"/>
        </w:rPr>
        <w:t>that is</w:t>
      </w:r>
      <w:r w:rsidR="009C788F" w:rsidRPr="00954547">
        <w:rPr>
          <w:rFonts w:ascii="Verdana" w:hAnsi="Verdana"/>
          <w:bCs/>
          <w:iCs/>
          <w:sz w:val="20"/>
          <w:szCs w:val="20"/>
        </w:rPr>
        <w:t xml:space="preserve">, as </w:t>
      </w:r>
      <w:r w:rsidR="009371AE" w:rsidRPr="00954547">
        <w:rPr>
          <w:rFonts w:ascii="Verdana" w:hAnsi="Verdana"/>
          <w:bCs/>
          <w:iCs/>
          <w:sz w:val="20"/>
          <w:szCs w:val="20"/>
        </w:rPr>
        <w:t>components</w:t>
      </w:r>
      <w:r w:rsidR="009C788F" w:rsidRPr="00954547">
        <w:rPr>
          <w:rFonts w:ascii="Verdana" w:hAnsi="Verdana"/>
          <w:bCs/>
          <w:iCs/>
          <w:sz w:val="20"/>
          <w:szCs w:val="20"/>
        </w:rPr>
        <w:t xml:space="preserve"> of public policies that should be adopted to realize the said rights; </w:t>
      </w:r>
      <w:r w:rsidR="003A0740" w:rsidRPr="00954547">
        <w:rPr>
          <w:rFonts w:ascii="Verdana" w:hAnsi="Verdana"/>
          <w:bCs/>
          <w:iCs/>
          <w:sz w:val="20"/>
          <w:szCs w:val="20"/>
        </w:rPr>
        <w:t>because</w:t>
      </w:r>
      <w:r w:rsidR="009C788F" w:rsidRPr="00954547">
        <w:rPr>
          <w:rFonts w:ascii="Verdana" w:hAnsi="Verdana"/>
          <w:bCs/>
          <w:iCs/>
          <w:sz w:val="20"/>
          <w:szCs w:val="20"/>
        </w:rPr>
        <w:t xml:space="preserve"> even the authoritative history</w:t>
      </w:r>
      <w:r w:rsidR="00A402C7" w:rsidRPr="00954547">
        <w:rPr>
          <w:rFonts w:ascii="Verdana" w:hAnsi="Verdana"/>
          <w:bCs/>
          <w:iCs/>
          <w:sz w:val="20"/>
          <w:szCs w:val="20"/>
        </w:rPr>
        <w:t xml:space="preserve"> </w:t>
      </w:r>
      <w:r w:rsidR="00041C12" w:rsidRPr="00954547">
        <w:rPr>
          <w:rFonts w:ascii="Verdana" w:hAnsi="Verdana"/>
          <w:bCs/>
          <w:iCs/>
          <w:sz w:val="20"/>
          <w:szCs w:val="20"/>
        </w:rPr>
        <w:t>of Article</w:t>
      </w:r>
      <w:r w:rsidR="00A402C7" w:rsidRPr="00954547">
        <w:rPr>
          <w:rFonts w:ascii="Verdana" w:hAnsi="Verdana"/>
          <w:bCs/>
          <w:iCs/>
          <w:sz w:val="20"/>
          <w:szCs w:val="20"/>
        </w:rPr>
        <w:t xml:space="preserve"> 26</w:t>
      </w:r>
      <w:r w:rsidR="00274368" w:rsidRPr="00954547">
        <w:rPr>
          <w:rFonts w:ascii="Verdana" w:hAnsi="Verdana"/>
          <w:bCs/>
          <w:iCs/>
          <w:sz w:val="20"/>
          <w:szCs w:val="20"/>
        </w:rPr>
        <w:t xml:space="preserve"> supports the preceding interpretation, and finally, </w:t>
      </w:r>
      <w:r w:rsidR="003A0740" w:rsidRPr="00954547">
        <w:rPr>
          <w:rFonts w:ascii="Verdana" w:hAnsi="Verdana"/>
          <w:bCs/>
          <w:iCs/>
          <w:sz w:val="20"/>
          <w:szCs w:val="20"/>
        </w:rPr>
        <w:t>because</w:t>
      </w:r>
      <w:r w:rsidR="00274368" w:rsidRPr="00954547">
        <w:rPr>
          <w:rFonts w:ascii="Verdana" w:hAnsi="Verdana"/>
          <w:bCs/>
          <w:iCs/>
          <w:sz w:val="20"/>
          <w:szCs w:val="20"/>
        </w:rPr>
        <w:t xml:space="preserve"> this is in keeping with the “</w:t>
      </w:r>
      <w:r w:rsidR="003A0740" w:rsidRPr="00954547">
        <w:rPr>
          <w:rFonts w:ascii="Verdana" w:hAnsi="Verdana"/>
          <w:bCs/>
          <w:iCs/>
          <w:sz w:val="20"/>
          <w:szCs w:val="20"/>
        </w:rPr>
        <w:t>reinforcing or complementing</w:t>
      </w:r>
      <w:r w:rsidR="00274368" w:rsidRPr="00954547">
        <w:rPr>
          <w:rFonts w:ascii="Verdana" w:hAnsi="Verdana"/>
          <w:bCs/>
          <w:iCs/>
          <w:sz w:val="20"/>
          <w:szCs w:val="20"/>
        </w:rPr>
        <w:t>” nature of the protection of the Inter-American Convention.</w:t>
      </w:r>
      <w:r w:rsidR="00A402C7" w:rsidRPr="00954547">
        <w:rPr>
          <w:rStyle w:val="FootnoteReference"/>
          <w:rFonts w:ascii="Verdana" w:hAnsi="Verdana"/>
          <w:iCs/>
          <w:sz w:val="20"/>
          <w:szCs w:val="20"/>
        </w:rPr>
        <w:footnoteReference w:id="478"/>
      </w:r>
      <w:r w:rsidR="00A402C7" w:rsidRPr="00954547">
        <w:rPr>
          <w:rFonts w:ascii="Verdana" w:hAnsi="Verdana"/>
          <w:bCs/>
          <w:iCs/>
          <w:sz w:val="20"/>
          <w:szCs w:val="20"/>
        </w:rPr>
        <w:t xml:space="preserve"> </w:t>
      </w:r>
      <w:r w:rsidR="00274368" w:rsidRPr="00954547">
        <w:rPr>
          <w:rFonts w:ascii="Verdana" w:hAnsi="Verdana"/>
          <w:bCs/>
          <w:iCs/>
          <w:sz w:val="20"/>
          <w:szCs w:val="20"/>
        </w:rPr>
        <w:t xml:space="preserve">In other words, the interpretation of this article provided in the judgment does not correspond to </w:t>
      </w:r>
      <w:r w:rsidR="009371AE" w:rsidRPr="00954547">
        <w:rPr>
          <w:rFonts w:ascii="Verdana" w:hAnsi="Verdana"/>
          <w:bCs/>
          <w:iCs/>
          <w:sz w:val="20"/>
          <w:szCs w:val="20"/>
        </w:rPr>
        <w:t>the provisions of</w:t>
      </w:r>
      <w:r w:rsidR="00274368" w:rsidRPr="00954547">
        <w:rPr>
          <w:rFonts w:ascii="Verdana" w:hAnsi="Verdana"/>
          <w:bCs/>
          <w:iCs/>
          <w:sz w:val="20"/>
          <w:szCs w:val="20"/>
        </w:rPr>
        <w:t xml:space="preserve"> </w:t>
      </w:r>
      <w:r w:rsidR="00A17F8C" w:rsidRPr="00954547">
        <w:rPr>
          <w:rFonts w:ascii="Verdana" w:hAnsi="Verdana"/>
          <w:bCs/>
          <w:iCs/>
          <w:sz w:val="20"/>
          <w:szCs w:val="20"/>
        </w:rPr>
        <w:t>Article</w:t>
      </w:r>
      <w:r w:rsidR="00A402C7" w:rsidRPr="00954547">
        <w:rPr>
          <w:rFonts w:ascii="Verdana" w:hAnsi="Verdana"/>
          <w:bCs/>
          <w:iCs/>
          <w:sz w:val="20"/>
          <w:szCs w:val="20"/>
        </w:rPr>
        <w:t xml:space="preserve"> 31</w:t>
      </w:r>
      <w:r w:rsidR="00AE0D8B" w:rsidRPr="00954547">
        <w:rPr>
          <w:rFonts w:ascii="Verdana" w:hAnsi="Verdana"/>
          <w:bCs/>
          <w:iCs/>
          <w:sz w:val="20"/>
          <w:szCs w:val="20"/>
        </w:rPr>
        <w:t>(</w:t>
      </w:r>
      <w:r w:rsidR="00A402C7" w:rsidRPr="00954547">
        <w:rPr>
          <w:rFonts w:ascii="Verdana" w:hAnsi="Verdana"/>
          <w:bCs/>
          <w:iCs/>
          <w:sz w:val="20"/>
          <w:szCs w:val="20"/>
        </w:rPr>
        <w:t>1</w:t>
      </w:r>
      <w:r w:rsidR="00AE0D8B" w:rsidRPr="00954547">
        <w:rPr>
          <w:rFonts w:ascii="Verdana" w:hAnsi="Verdana"/>
          <w:bCs/>
          <w:iCs/>
          <w:sz w:val="20"/>
          <w:szCs w:val="20"/>
        </w:rPr>
        <w:t>)</w:t>
      </w:r>
      <w:r w:rsidR="00A402C7" w:rsidRPr="00954547">
        <w:rPr>
          <w:rFonts w:ascii="Verdana" w:hAnsi="Verdana"/>
          <w:bCs/>
          <w:iCs/>
          <w:sz w:val="20"/>
          <w:szCs w:val="20"/>
        </w:rPr>
        <w:t xml:space="preserve"> </w:t>
      </w:r>
      <w:r w:rsidR="005E0FD1" w:rsidRPr="00954547">
        <w:rPr>
          <w:rFonts w:ascii="Verdana" w:hAnsi="Verdana"/>
          <w:bCs/>
          <w:iCs/>
          <w:sz w:val="20"/>
          <w:szCs w:val="20"/>
        </w:rPr>
        <w:t xml:space="preserve">of the </w:t>
      </w:r>
      <w:r w:rsidR="00AE0D8B" w:rsidRPr="00954547">
        <w:rPr>
          <w:rFonts w:ascii="Verdana" w:hAnsi="Verdana"/>
          <w:bCs/>
          <w:iCs/>
          <w:sz w:val="20"/>
          <w:szCs w:val="20"/>
        </w:rPr>
        <w:t xml:space="preserve">Vienna </w:t>
      </w:r>
      <w:r w:rsidR="005E0FD1" w:rsidRPr="00954547">
        <w:rPr>
          <w:rFonts w:ascii="Verdana" w:hAnsi="Verdana"/>
          <w:bCs/>
          <w:iCs/>
          <w:sz w:val="20"/>
          <w:szCs w:val="20"/>
        </w:rPr>
        <w:t>Convention</w:t>
      </w:r>
      <w:r w:rsidR="00A402C7" w:rsidRPr="00954547">
        <w:rPr>
          <w:rFonts w:ascii="Verdana" w:hAnsi="Verdana"/>
          <w:bCs/>
          <w:iCs/>
          <w:sz w:val="20"/>
          <w:szCs w:val="20"/>
        </w:rPr>
        <w:t xml:space="preserve"> </w:t>
      </w:r>
      <w:r w:rsidR="00AE0D8B" w:rsidRPr="00954547">
        <w:rPr>
          <w:rFonts w:ascii="Verdana" w:hAnsi="Verdana"/>
          <w:bCs/>
          <w:iCs/>
          <w:sz w:val="20"/>
          <w:szCs w:val="20"/>
        </w:rPr>
        <w:t>on the Law of Treaties.</w:t>
      </w:r>
      <w:r w:rsidR="00A402C7" w:rsidRPr="00954547">
        <w:rPr>
          <w:rFonts w:ascii="Verdana" w:hAnsi="Verdana"/>
          <w:sz w:val="20"/>
          <w:szCs w:val="20"/>
          <w:vertAlign w:val="superscript"/>
        </w:rPr>
        <w:footnoteReference w:id="479"/>
      </w:r>
      <w:r w:rsidR="00A402C7" w:rsidRPr="00954547">
        <w:rPr>
          <w:rFonts w:ascii="Verdana" w:hAnsi="Verdana"/>
          <w:bCs/>
          <w:iCs/>
          <w:sz w:val="20"/>
          <w:szCs w:val="20"/>
        </w:rPr>
        <w:t xml:space="preserve"> </w:t>
      </w:r>
    </w:p>
    <w:p w14:paraId="425C1CC8" w14:textId="77777777" w:rsidR="00734C98" w:rsidRPr="00954547" w:rsidRDefault="00734C98" w:rsidP="00734C9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Verdana" w:hAnsi="Verdana"/>
          <w:bCs/>
          <w:iCs/>
          <w:sz w:val="20"/>
          <w:szCs w:val="20"/>
        </w:rPr>
      </w:pPr>
    </w:p>
    <w:p w14:paraId="14885CF4" w14:textId="2CC695FD" w:rsidR="00576E31" w:rsidRPr="00954547" w:rsidRDefault="00274368" w:rsidP="000365EC">
      <w:pPr>
        <w:pStyle w:val="ListParagraph"/>
        <w:numPr>
          <w:ilvl w:val="0"/>
          <w:numId w:val="23"/>
        </w:numPr>
        <w:tabs>
          <w:tab w:val="clear" w:pos="567"/>
        </w:tabs>
        <w:spacing w:before="0" w:after="0"/>
        <w:ind w:left="0" w:firstLine="0"/>
        <w:contextualSpacing/>
        <w:rPr>
          <w:rFonts w:cs="Arial"/>
          <w:shd w:val="clear" w:color="auto" w:fill="FFFFFF"/>
          <w:lang w:val="en-US"/>
        </w:rPr>
      </w:pPr>
      <w:r w:rsidRPr="00954547">
        <w:rPr>
          <w:bCs/>
          <w:iCs/>
          <w:lang w:val="en-US"/>
        </w:rPr>
        <w:t>Lastly, it should be added that the undersigned truly regrets that, by voting against the said fifth operative paragraph for the reason indicated above, he has had to do so also with regard to the other provisions of the Convention included in this paragraph. This is so because the Court has not proceeded in the same way as in another case,</w:t>
      </w:r>
      <w:r w:rsidR="00A402C7" w:rsidRPr="00954547">
        <w:rPr>
          <w:vertAlign w:val="superscript"/>
          <w:lang w:val="en-US"/>
        </w:rPr>
        <w:footnoteReference w:id="480"/>
      </w:r>
      <w:r w:rsidRPr="00954547">
        <w:rPr>
          <w:bCs/>
          <w:iCs/>
          <w:lang w:val="en-US"/>
        </w:rPr>
        <w:t xml:space="preserve"> in which the reference to </w:t>
      </w:r>
      <w:r w:rsidR="00A17F8C" w:rsidRPr="00954547">
        <w:rPr>
          <w:rFonts w:cs="Arial"/>
          <w:shd w:val="clear" w:color="auto" w:fill="FFFFFF"/>
          <w:lang w:val="en-US"/>
        </w:rPr>
        <w:t>Article</w:t>
      </w:r>
      <w:r w:rsidR="00A402C7" w:rsidRPr="00954547">
        <w:rPr>
          <w:rFonts w:cs="Arial"/>
          <w:shd w:val="clear" w:color="auto" w:fill="FFFFFF"/>
          <w:lang w:val="en-US"/>
        </w:rPr>
        <w:t xml:space="preserve"> 26 </w:t>
      </w:r>
      <w:r w:rsidRPr="00954547">
        <w:rPr>
          <w:rFonts w:cs="Arial"/>
          <w:shd w:val="clear" w:color="auto" w:fill="FFFFFF"/>
          <w:lang w:val="en-US"/>
        </w:rPr>
        <w:t>was made in a different operative paragraph to the one cit</w:t>
      </w:r>
      <w:r w:rsidR="00876E9A" w:rsidRPr="00954547">
        <w:rPr>
          <w:rFonts w:cs="Arial"/>
          <w:shd w:val="clear" w:color="auto" w:fill="FFFFFF"/>
          <w:lang w:val="en-US"/>
        </w:rPr>
        <w:t>ing</w:t>
      </w:r>
      <w:r w:rsidRPr="00954547">
        <w:rPr>
          <w:rFonts w:cs="Arial"/>
          <w:shd w:val="clear" w:color="auto" w:fill="FFFFFF"/>
          <w:lang w:val="en-US"/>
        </w:rPr>
        <w:t xml:space="preserve"> the other applicable articles of the Convention</w:t>
      </w:r>
      <w:r w:rsidR="00576E31" w:rsidRPr="00954547">
        <w:rPr>
          <w:rFonts w:cs="Arial"/>
          <w:shd w:val="clear" w:color="auto" w:fill="FFFFFF"/>
          <w:lang w:val="en-US"/>
        </w:rPr>
        <w:t>, thus making it possible to dissent from th</w:t>
      </w:r>
      <w:r w:rsidR="00876E9A" w:rsidRPr="00954547">
        <w:rPr>
          <w:rFonts w:cs="Arial"/>
          <w:shd w:val="clear" w:color="auto" w:fill="FFFFFF"/>
          <w:lang w:val="en-US"/>
        </w:rPr>
        <w:t>e former</w:t>
      </w:r>
      <w:r w:rsidR="00576E31" w:rsidRPr="00954547">
        <w:rPr>
          <w:rFonts w:cs="Arial"/>
          <w:shd w:val="clear" w:color="auto" w:fill="FFFFFF"/>
          <w:lang w:val="en-US"/>
        </w:rPr>
        <w:t xml:space="preserve"> and agree with the latter.</w:t>
      </w:r>
    </w:p>
    <w:p w14:paraId="14AD07B4" w14:textId="37525A9C" w:rsidR="00A402C7" w:rsidRPr="00954547" w:rsidRDefault="00576E31" w:rsidP="00576E3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Cambria" w:hAnsi="Verdana" w:cs="Arial"/>
          <w:color w:val="000000"/>
          <w:sz w:val="20"/>
          <w:szCs w:val="20"/>
          <w:u w:color="000000"/>
          <w:shd w:val="clear" w:color="auto" w:fill="FFFFFF"/>
          <w:lang w:eastAsia="es-ES"/>
        </w:rPr>
      </w:pPr>
      <w:r w:rsidRPr="00954547">
        <w:rPr>
          <w:rFonts w:cs="Arial"/>
          <w:shd w:val="clear" w:color="auto" w:fill="FFFFFF"/>
        </w:rPr>
        <w:br w:type="page"/>
      </w:r>
    </w:p>
    <w:p w14:paraId="3B86DB03" w14:textId="35F51481" w:rsidR="00A402C7" w:rsidRPr="00954547" w:rsidRDefault="001520D0" w:rsidP="000365EC">
      <w:pPr>
        <w:pStyle w:val="ListParagraph"/>
        <w:numPr>
          <w:ilvl w:val="0"/>
          <w:numId w:val="22"/>
        </w:numPr>
        <w:tabs>
          <w:tab w:val="clear" w:pos="567"/>
        </w:tabs>
        <w:spacing w:before="0" w:after="0"/>
        <w:ind w:left="720"/>
        <w:contextualSpacing/>
        <w:rPr>
          <w:rFonts w:cs="Arial"/>
          <w:b/>
          <w:shd w:val="clear" w:color="auto" w:fill="FFFFFF"/>
          <w:lang w:val="en-US"/>
        </w:rPr>
      </w:pPr>
      <w:r w:rsidRPr="00954547">
        <w:rPr>
          <w:rFonts w:cs="Arial"/>
          <w:b/>
          <w:shd w:val="clear" w:color="auto" w:fill="FFFFFF"/>
          <w:lang w:val="en-US"/>
        </w:rPr>
        <w:t>ABORTION</w:t>
      </w:r>
    </w:p>
    <w:p w14:paraId="533CE6CB" w14:textId="77777777" w:rsidR="00734C98" w:rsidRPr="00954547" w:rsidRDefault="00734C98" w:rsidP="00734C98">
      <w:pPr>
        <w:pStyle w:val="ListParagraph"/>
        <w:numPr>
          <w:ilvl w:val="0"/>
          <w:numId w:val="0"/>
        </w:numPr>
        <w:tabs>
          <w:tab w:val="clear" w:pos="567"/>
        </w:tabs>
        <w:spacing w:before="0" w:after="0"/>
        <w:ind w:left="720"/>
        <w:contextualSpacing/>
        <w:rPr>
          <w:rFonts w:cs="Arial"/>
          <w:b/>
          <w:shd w:val="clear" w:color="auto" w:fill="FFFFFF"/>
          <w:lang w:val="en-US"/>
        </w:rPr>
      </w:pPr>
    </w:p>
    <w:p w14:paraId="3F8CC3BA" w14:textId="16DA1F3B" w:rsidR="00A402C7" w:rsidRPr="00954547" w:rsidRDefault="000643CB" w:rsidP="000365EC">
      <w:pPr>
        <w:pStyle w:val="NoSpacing"/>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s>
        <w:spacing w:before="0" w:after="0"/>
        <w:ind w:left="0" w:firstLine="0"/>
        <w:rPr>
          <w:rFonts w:cs="Arial"/>
          <w:sz w:val="20"/>
          <w:szCs w:val="20"/>
          <w:shd w:val="clear" w:color="auto" w:fill="FFFFFF"/>
        </w:rPr>
      </w:pPr>
      <w:r w:rsidRPr="00954547">
        <w:rPr>
          <w:sz w:val="20"/>
          <w:szCs w:val="20"/>
        </w:rPr>
        <w:t xml:space="preserve">This separate opinion is issued because I </w:t>
      </w:r>
      <w:r w:rsidR="00876E9A" w:rsidRPr="00954547">
        <w:rPr>
          <w:sz w:val="20"/>
          <w:szCs w:val="20"/>
        </w:rPr>
        <w:t>dissent from</w:t>
      </w:r>
      <w:r w:rsidRPr="00954547">
        <w:rPr>
          <w:sz w:val="20"/>
          <w:szCs w:val="20"/>
        </w:rPr>
        <w:t xml:space="preserve"> the </w:t>
      </w:r>
      <w:r w:rsidR="00AE0D8B" w:rsidRPr="00954547">
        <w:rPr>
          <w:sz w:val="20"/>
          <w:szCs w:val="20"/>
        </w:rPr>
        <w:t xml:space="preserve">fifth </w:t>
      </w:r>
      <w:r w:rsidR="00FC3C1B" w:rsidRPr="00954547">
        <w:rPr>
          <w:sz w:val="20"/>
          <w:szCs w:val="20"/>
        </w:rPr>
        <w:t>operative paragraph</w:t>
      </w:r>
      <w:r w:rsidR="00A402C7" w:rsidRPr="00954547">
        <w:rPr>
          <w:sz w:val="20"/>
          <w:szCs w:val="20"/>
        </w:rPr>
        <w:t xml:space="preserve"> </w:t>
      </w:r>
      <w:r w:rsidR="0052125E" w:rsidRPr="00954547">
        <w:rPr>
          <w:sz w:val="20"/>
          <w:szCs w:val="20"/>
        </w:rPr>
        <w:t>of the judgment</w:t>
      </w:r>
      <w:r w:rsidR="00A402C7" w:rsidRPr="00954547">
        <w:rPr>
          <w:rStyle w:val="FootnoteReference"/>
          <w:sz w:val="20"/>
          <w:szCs w:val="20"/>
        </w:rPr>
        <w:footnoteReference w:id="481"/>
      </w:r>
      <w:r w:rsidRPr="00954547">
        <w:rPr>
          <w:sz w:val="20"/>
          <w:szCs w:val="20"/>
        </w:rPr>
        <w:t xml:space="preserve"> because, in addition to my previous considerations,</w:t>
      </w:r>
      <w:r w:rsidR="00A402C7" w:rsidRPr="00954547">
        <w:rPr>
          <w:rStyle w:val="FootnoteReference"/>
          <w:sz w:val="20"/>
          <w:szCs w:val="20"/>
        </w:rPr>
        <w:footnoteReference w:id="482"/>
      </w:r>
      <w:r w:rsidR="00A402C7" w:rsidRPr="00954547">
        <w:rPr>
          <w:sz w:val="20"/>
          <w:szCs w:val="20"/>
        </w:rPr>
        <w:t xml:space="preserve"> </w:t>
      </w:r>
      <w:r w:rsidRPr="00954547">
        <w:rPr>
          <w:sz w:val="20"/>
          <w:szCs w:val="20"/>
        </w:rPr>
        <w:t xml:space="preserve">when </w:t>
      </w:r>
      <w:r w:rsidR="00876E9A" w:rsidRPr="00954547">
        <w:rPr>
          <w:sz w:val="20"/>
          <w:szCs w:val="20"/>
        </w:rPr>
        <w:t>sentencing</w:t>
      </w:r>
      <w:r w:rsidRPr="00954547">
        <w:rPr>
          <w:sz w:val="20"/>
          <w:szCs w:val="20"/>
        </w:rPr>
        <w:t xml:space="preserve"> the State, it also does so in relation to abortion by referring to the practice of handcuffing women, to the rules adopted by the United Nations in this regard</w:t>
      </w:r>
      <w:r w:rsidR="00876E9A" w:rsidRPr="00954547">
        <w:rPr>
          <w:sz w:val="20"/>
          <w:szCs w:val="20"/>
        </w:rPr>
        <w:t>,</w:t>
      </w:r>
      <w:r w:rsidRPr="00954547">
        <w:rPr>
          <w:sz w:val="20"/>
          <w:szCs w:val="20"/>
        </w:rPr>
        <w:t xml:space="preserve"> and to the reporting of possible offenses.</w:t>
      </w:r>
      <w:r w:rsidR="00A402C7" w:rsidRPr="00954547">
        <w:rPr>
          <w:rStyle w:val="FootnoteReference"/>
          <w:sz w:val="20"/>
          <w:szCs w:val="20"/>
          <w:shd w:val="clear" w:color="auto" w:fill="FFFFFF"/>
        </w:rPr>
        <w:footnoteReference w:id="483"/>
      </w:r>
    </w:p>
    <w:p w14:paraId="163D94E8" w14:textId="77777777" w:rsidR="00A402C7" w:rsidRPr="00954547" w:rsidRDefault="00A402C7" w:rsidP="00734C98">
      <w:pPr>
        <w:pStyle w:val="Default"/>
        <w:ind w:left="502"/>
        <w:jc w:val="both"/>
        <w:rPr>
          <w:color w:val="auto"/>
          <w:sz w:val="20"/>
          <w:szCs w:val="20"/>
          <w:lang w:val="en-US"/>
        </w:rPr>
      </w:pPr>
    </w:p>
    <w:p w14:paraId="5386560E" w14:textId="2FBC8CCC" w:rsidR="00A402C7" w:rsidRPr="00954547" w:rsidRDefault="000643CB" w:rsidP="000365EC">
      <w:pPr>
        <w:pStyle w:val="Default"/>
        <w:numPr>
          <w:ilvl w:val="0"/>
          <w:numId w:val="23"/>
        </w:numPr>
        <w:ind w:left="0" w:firstLine="0"/>
        <w:jc w:val="both"/>
        <w:rPr>
          <w:color w:val="auto"/>
          <w:sz w:val="20"/>
          <w:szCs w:val="20"/>
          <w:lang w:val="en-US"/>
        </w:rPr>
      </w:pPr>
      <w:r w:rsidRPr="00954547">
        <w:rPr>
          <w:rFonts w:cs="Arial"/>
          <w:color w:val="auto"/>
          <w:sz w:val="20"/>
          <w:szCs w:val="20"/>
          <w:shd w:val="clear" w:color="auto" w:fill="FFFFFF"/>
          <w:lang w:val="en-US"/>
        </w:rPr>
        <w:t>This partially dissenting opinion is</w:t>
      </w:r>
      <w:r w:rsidR="003806D3" w:rsidRPr="00954547">
        <w:rPr>
          <w:rFonts w:cs="Arial"/>
          <w:color w:val="auto"/>
          <w:sz w:val="20"/>
          <w:szCs w:val="20"/>
          <w:shd w:val="clear" w:color="auto" w:fill="FFFFFF"/>
          <w:lang w:val="en-US"/>
        </w:rPr>
        <w:t xml:space="preserve"> also issued in relation to the </w:t>
      </w:r>
      <w:r w:rsidR="00AE0D8B" w:rsidRPr="00954547">
        <w:rPr>
          <w:rFonts w:cs="Arial"/>
          <w:color w:val="auto"/>
          <w:sz w:val="20"/>
          <w:szCs w:val="20"/>
          <w:shd w:val="clear" w:color="auto" w:fill="FFFFFF"/>
          <w:lang w:val="en-US"/>
        </w:rPr>
        <w:t xml:space="preserve">twelfth </w:t>
      </w:r>
      <w:r w:rsidR="00FC3C1B" w:rsidRPr="00954547">
        <w:rPr>
          <w:rFonts w:cs="Arial"/>
          <w:color w:val="auto"/>
          <w:sz w:val="20"/>
          <w:szCs w:val="20"/>
          <w:shd w:val="clear" w:color="auto" w:fill="FFFFFF"/>
          <w:lang w:val="en-US"/>
        </w:rPr>
        <w:t>operative paragraph</w:t>
      </w:r>
      <w:r w:rsidR="00A402C7" w:rsidRPr="00954547">
        <w:rPr>
          <w:rFonts w:cs="Arial"/>
          <w:color w:val="auto"/>
          <w:sz w:val="20"/>
          <w:szCs w:val="20"/>
          <w:shd w:val="clear" w:color="auto" w:fill="FFFFFF"/>
          <w:lang w:val="en-US"/>
        </w:rPr>
        <w:t xml:space="preserve"> </w:t>
      </w:r>
      <w:r w:rsidR="0052125E" w:rsidRPr="00954547">
        <w:rPr>
          <w:rFonts w:cs="Arial"/>
          <w:color w:val="auto"/>
          <w:sz w:val="20"/>
          <w:szCs w:val="20"/>
          <w:shd w:val="clear" w:color="auto" w:fill="FFFFFF"/>
          <w:lang w:val="en-US"/>
        </w:rPr>
        <w:t>of the judgment</w:t>
      </w:r>
      <w:r w:rsidR="003806D3" w:rsidRPr="00954547">
        <w:rPr>
          <w:rFonts w:cs="Arial"/>
          <w:color w:val="auto"/>
          <w:sz w:val="20"/>
          <w:szCs w:val="20"/>
          <w:shd w:val="clear" w:color="auto" w:fill="FFFFFF"/>
          <w:lang w:val="en-US"/>
        </w:rPr>
        <w:t>,</w:t>
      </w:r>
      <w:r w:rsidR="00A402C7" w:rsidRPr="00954547">
        <w:rPr>
          <w:rStyle w:val="FootnoteReference"/>
          <w:color w:val="auto"/>
          <w:sz w:val="20"/>
          <w:szCs w:val="20"/>
          <w:shd w:val="clear" w:color="auto" w:fill="FFFFFF"/>
          <w:lang w:val="en-US"/>
        </w:rPr>
        <w:footnoteReference w:id="484"/>
      </w:r>
      <w:r w:rsidR="003806D3" w:rsidRPr="00954547">
        <w:rPr>
          <w:color w:val="auto"/>
          <w:sz w:val="20"/>
          <w:szCs w:val="20"/>
          <w:lang w:val="en-US"/>
        </w:rPr>
        <w:t xml:space="preserve"> because, on the one hand, it is based on the fact that, in practice,</w:t>
      </w:r>
      <w:r w:rsidR="004054CA" w:rsidRPr="00954547">
        <w:rPr>
          <w:color w:val="auto"/>
          <w:sz w:val="20"/>
          <w:szCs w:val="20"/>
          <w:lang w:val="en-US"/>
        </w:rPr>
        <w:t xml:space="preserve"> as a result of</w:t>
      </w:r>
      <w:r w:rsidR="003806D3" w:rsidRPr="00954547">
        <w:rPr>
          <w:color w:val="auto"/>
          <w:sz w:val="20"/>
          <w:szCs w:val="20"/>
          <w:lang w:val="en-US"/>
        </w:rPr>
        <w:t xml:space="preserve"> the ambiguity of the laws on professional </w:t>
      </w:r>
      <w:r w:rsidR="004054CA" w:rsidRPr="00954547">
        <w:rPr>
          <w:color w:val="auto"/>
          <w:sz w:val="20"/>
          <w:szCs w:val="20"/>
          <w:lang w:val="en-US"/>
        </w:rPr>
        <w:t>secrecy,</w:t>
      </w:r>
      <w:r w:rsidR="003806D3" w:rsidRPr="00954547">
        <w:rPr>
          <w:color w:val="auto"/>
          <w:sz w:val="20"/>
          <w:szCs w:val="20"/>
          <w:lang w:val="en-US"/>
        </w:rPr>
        <w:t xml:space="preserve"> “</w:t>
      </w:r>
      <w:r w:rsidR="004054CA" w:rsidRPr="00954547">
        <w:rPr>
          <w:sz w:val="20"/>
          <w:szCs w:val="20"/>
          <w:lang w:val="en-US" w:eastAsia="es-MX"/>
        </w:rPr>
        <w:t>to avoid</w:t>
      </w:r>
      <w:r w:rsidR="004054CA" w:rsidRPr="00954547">
        <w:rPr>
          <w:lang w:val="en-US" w:eastAsia="es-MX"/>
        </w:rPr>
        <w:t xml:space="preserve"> </w:t>
      </w:r>
      <w:r w:rsidR="004054CA" w:rsidRPr="00954547">
        <w:rPr>
          <w:sz w:val="20"/>
          <w:szCs w:val="20"/>
          <w:lang w:val="en-US" w:eastAsia="es-MX"/>
        </w:rPr>
        <w:t>being sanctioned, medical personnel report women suspected of having committed the offense of abortion</w:t>
      </w:r>
      <w:r w:rsidR="00A402C7" w:rsidRPr="00954547">
        <w:rPr>
          <w:iCs/>
          <w:color w:val="auto"/>
          <w:sz w:val="20"/>
          <w:szCs w:val="20"/>
          <w:lang w:val="en-US"/>
        </w:rPr>
        <w:t>”</w:t>
      </w:r>
      <w:r w:rsidR="00A402C7" w:rsidRPr="00954547">
        <w:rPr>
          <w:rStyle w:val="FootnoteReference"/>
          <w:iCs/>
          <w:color w:val="auto"/>
          <w:sz w:val="20"/>
          <w:szCs w:val="20"/>
          <w:lang w:val="en-US"/>
        </w:rPr>
        <w:footnoteReference w:id="485"/>
      </w:r>
      <w:r w:rsidR="00A402C7" w:rsidRPr="00954547">
        <w:rPr>
          <w:i/>
          <w:color w:val="auto"/>
          <w:sz w:val="20"/>
          <w:szCs w:val="20"/>
          <w:lang w:val="en-US"/>
        </w:rPr>
        <w:t xml:space="preserve"> </w:t>
      </w:r>
      <w:r w:rsidR="003806D3" w:rsidRPr="00954547">
        <w:rPr>
          <w:iCs/>
          <w:color w:val="auto"/>
          <w:sz w:val="20"/>
          <w:szCs w:val="20"/>
          <w:lang w:val="en-US"/>
        </w:rPr>
        <w:t xml:space="preserve">and, on the other, that the regulation that it orders the State to adopt, should establish that </w:t>
      </w:r>
      <w:r w:rsidR="000126DA" w:rsidRPr="00954547">
        <w:rPr>
          <w:iCs/>
          <w:color w:val="auto"/>
          <w:sz w:val="20"/>
          <w:szCs w:val="20"/>
          <w:lang w:val="en-US"/>
        </w:rPr>
        <w:t xml:space="preserve">there is no obligation to report women who have received medical attention due to an abortion and, lastly, that the State should refrain “from applying the current laws </w:t>
      </w:r>
      <w:r w:rsidR="005043C9" w:rsidRPr="00954547">
        <w:rPr>
          <w:iCs/>
          <w:color w:val="auto"/>
          <w:sz w:val="20"/>
          <w:szCs w:val="20"/>
          <w:lang w:val="en-US"/>
        </w:rPr>
        <w:t>concerning</w:t>
      </w:r>
      <w:r w:rsidR="000126DA" w:rsidRPr="00954547">
        <w:rPr>
          <w:iCs/>
          <w:color w:val="auto"/>
          <w:sz w:val="20"/>
          <w:szCs w:val="20"/>
          <w:lang w:val="en-US"/>
        </w:rPr>
        <w:t xml:space="preserve"> the obligation of health personnel to report possible cases of abortion.</w:t>
      </w:r>
      <w:r w:rsidR="00A402C7" w:rsidRPr="00954547">
        <w:rPr>
          <w:iCs/>
          <w:color w:val="auto"/>
          <w:sz w:val="20"/>
          <w:szCs w:val="20"/>
          <w:lang w:val="en-US"/>
        </w:rPr>
        <w:t>”</w:t>
      </w:r>
      <w:r w:rsidR="00A402C7" w:rsidRPr="00954547">
        <w:rPr>
          <w:rStyle w:val="FootnoteReference"/>
          <w:iCs/>
          <w:color w:val="auto"/>
          <w:sz w:val="20"/>
          <w:szCs w:val="20"/>
          <w:lang w:val="en-US"/>
        </w:rPr>
        <w:footnoteReference w:id="486"/>
      </w:r>
    </w:p>
    <w:p w14:paraId="63A045C1" w14:textId="77777777" w:rsidR="00A402C7" w:rsidRPr="00954547" w:rsidRDefault="00A402C7" w:rsidP="00734C98">
      <w:pPr>
        <w:pStyle w:val="Default"/>
        <w:ind w:left="142"/>
        <w:jc w:val="both"/>
        <w:rPr>
          <w:color w:val="auto"/>
          <w:sz w:val="20"/>
          <w:szCs w:val="20"/>
          <w:lang w:val="en-US"/>
        </w:rPr>
      </w:pPr>
    </w:p>
    <w:p w14:paraId="16A0E1D2" w14:textId="524303B4" w:rsidR="00A402C7" w:rsidRPr="00954547" w:rsidRDefault="000126DA" w:rsidP="000365EC">
      <w:pPr>
        <w:pStyle w:val="Default"/>
        <w:numPr>
          <w:ilvl w:val="0"/>
          <w:numId w:val="23"/>
        </w:numPr>
        <w:ind w:left="0" w:firstLine="0"/>
        <w:jc w:val="both"/>
        <w:rPr>
          <w:color w:val="auto"/>
          <w:sz w:val="20"/>
          <w:szCs w:val="20"/>
          <w:lang w:val="en-US"/>
        </w:rPr>
      </w:pPr>
      <w:r w:rsidRPr="00954547">
        <w:rPr>
          <w:color w:val="auto"/>
          <w:sz w:val="20"/>
          <w:szCs w:val="20"/>
          <w:lang w:val="en-US"/>
        </w:rPr>
        <w:t xml:space="preserve">Lastly, this opinion also records my discrepancy with the provisions of the </w:t>
      </w:r>
      <w:r w:rsidR="00BD460A" w:rsidRPr="00954547">
        <w:rPr>
          <w:color w:val="auto"/>
          <w:sz w:val="20"/>
          <w:szCs w:val="20"/>
          <w:lang w:val="en-US"/>
        </w:rPr>
        <w:t xml:space="preserve">fifteenth </w:t>
      </w:r>
      <w:r w:rsidR="00BD460A" w:rsidRPr="00954547">
        <w:rPr>
          <w:sz w:val="20"/>
          <w:szCs w:val="20"/>
          <w:lang w:val="en-US"/>
        </w:rPr>
        <w:t xml:space="preserve">operative paragraph </w:t>
      </w:r>
      <w:r w:rsidR="0052125E" w:rsidRPr="00954547">
        <w:rPr>
          <w:color w:val="auto"/>
          <w:sz w:val="20"/>
          <w:szCs w:val="20"/>
          <w:lang w:val="en-US"/>
        </w:rPr>
        <w:t>of the judgment</w:t>
      </w:r>
      <w:r w:rsidRPr="00954547">
        <w:rPr>
          <w:color w:val="auto"/>
          <w:sz w:val="20"/>
          <w:szCs w:val="20"/>
          <w:lang w:val="en-US"/>
        </w:rPr>
        <w:t>,</w:t>
      </w:r>
      <w:r w:rsidR="00A402C7" w:rsidRPr="00954547">
        <w:rPr>
          <w:rStyle w:val="FootnoteReference"/>
          <w:color w:val="auto"/>
          <w:sz w:val="20"/>
          <w:szCs w:val="20"/>
          <w:lang w:val="en-US"/>
        </w:rPr>
        <w:footnoteReference w:id="487"/>
      </w:r>
      <w:r w:rsidRPr="00954547">
        <w:rPr>
          <w:color w:val="auto"/>
          <w:sz w:val="20"/>
          <w:szCs w:val="20"/>
          <w:lang w:val="en-US"/>
        </w:rPr>
        <w:t xml:space="preserve"> because th</w:t>
      </w:r>
      <w:r w:rsidR="005043C9" w:rsidRPr="00954547">
        <w:rPr>
          <w:color w:val="auto"/>
          <w:sz w:val="20"/>
          <w:szCs w:val="20"/>
          <w:lang w:val="en-US"/>
        </w:rPr>
        <w:t>e</w:t>
      </w:r>
      <w:r w:rsidRPr="00954547">
        <w:rPr>
          <w:color w:val="auto"/>
          <w:sz w:val="20"/>
          <w:szCs w:val="20"/>
          <w:lang w:val="en-US"/>
        </w:rPr>
        <w:t xml:space="preserve"> paragraph to which it refers back establishes that the training courses should be for judicial officials who intervene in judicial proceedings concerning abortion.</w:t>
      </w:r>
      <w:r w:rsidR="00A402C7" w:rsidRPr="00954547">
        <w:rPr>
          <w:rStyle w:val="FootnoteReference"/>
          <w:color w:val="auto"/>
          <w:sz w:val="20"/>
          <w:szCs w:val="20"/>
          <w:lang w:val="en-US"/>
        </w:rPr>
        <w:footnoteReference w:id="488"/>
      </w:r>
      <w:r w:rsidR="00A402C7" w:rsidRPr="00954547">
        <w:rPr>
          <w:color w:val="auto"/>
          <w:sz w:val="20"/>
          <w:szCs w:val="20"/>
          <w:lang w:val="en-US"/>
        </w:rPr>
        <w:t xml:space="preserve"> </w:t>
      </w:r>
    </w:p>
    <w:p w14:paraId="3503ED90" w14:textId="77777777" w:rsidR="00A402C7" w:rsidRPr="00954547" w:rsidRDefault="00A402C7" w:rsidP="00734C98">
      <w:pPr>
        <w:jc w:val="both"/>
        <w:rPr>
          <w:rFonts w:ascii="Verdana" w:hAnsi="Verdana" w:cs="Arial"/>
          <w:sz w:val="20"/>
          <w:szCs w:val="20"/>
          <w:shd w:val="clear" w:color="auto" w:fill="FFFFFF"/>
        </w:rPr>
      </w:pPr>
    </w:p>
    <w:p w14:paraId="68957BC4" w14:textId="2B813CD8" w:rsidR="00A402C7" w:rsidRPr="00954547" w:rsidRDefault="001E771B" w:rsidP="000365EC">
      <w:pPr>
        <w:pStyle w:val="Default"/>
        <w:numPr>
          <w:ilvl w:val="0"/>
          <w:numId w:val="23"/>
        </w:numPr>
        <w:ind w:left="0" w:firstLine="0"/>
        <w:jc w:val="both"/>
        <w:rPr>
          <w:color w:val="auto"/>
          <w:sz w:val="20"/>
          <w:szCs w:val="20"/>
          <w:lang w:val="en-US"/>
        </w:rPr>
      </w:pPr>
      <w:r w:rsidRPr="00954547">
        <w:rPr>
          <w:color w:val="auto"/>
          <w:sz w:val="20"/>
          <w:szCs w:val="20"/>
          <w:lang w:val="en-US"/>
        </w:rPr>
        <w:t>To the foregoing, it should be added that the judgment contains an</w:t>
      </w:r>
      <w:r w:rsidR="0057526A" w:rsidRPr="00954547">
        <w:rPr>
          <w:color w:val="auto"/>
          <w:sz w:val="20"/>
          <w:szCs w:val="20"/>
          <w:lang w:val="en-US"/>
        </w:rPr>
        <w:t xml:space="preserve"> unresolvable contradiction when it declares, on the one hand, that</w:t>
      </w:r>
      <w:r w:rsidR="0020314F" w:rsidRPr="00954547">
        <w:rPr>
          <w:color w:val="auto"/>
          <w:sz w:val="20"/>
          <w:szCs w:val="20"/>
          <w:lang w:val="en-US"/>
        </w:rPr>
        <w:t>, in this case,</w:t>
      </w:r>
      <w:r w:rsidR="0057526A" w:rsidRPr="00954547">
        <w:rPr>
          <w:color w:val="auto"/>
          <w:sz w:val="20"/>
          <w:szCs w:val="20"/>
          <w:lang w:val="en-US"/>
        </w:rPr>
        <w:t xml:space="preserve"> </w:t>
      </w:r>
      <w:r w:rsidR="0057526A" w:rsidRPr="00954547">
        <w:rPr>
          <w:rFonts w:cs="Arial"/>
          <w:i/>
          <w:color w:val="auto"/>
          <w:sz w:val="20"/>
          <w:szCs w:val="20"/>
          <w:shd w:val="clear" w:color="auto" w:fill="FFFFFF"/>
          <w:lang w:val="en-US"/>
        </w:rPr>
        <w:t>“</w:t>
      </w:r>
      <w:r w:rsidR="0020314F" w:rsidRPr="00954547">
        <w:rPr>
          <w:sz w:val="20"/>
          <w:szCs w:val="20"/>
          <w:lang w:val="en-US"/>
        </w:rPr>
        <w:t>[w]hat is in dispute is the State’s alleged responsibility for the detention, prosecution and conviction of the presumed victim for aggravated homicide following the obstetric emergency that she suffered</w:t>
      </w:r>
      <w:r w:rsidR="0057526A" w:rsidRPr="00954547">
        <w:rPr>
          <w:color w:val="auto"/>
          <w:sz w:val="20"/>
          <w:szCs w:val="20"/>
          <w:lang w:val="en-US"/>
        </w:rPr>
        <w:t>”</w:t>
      </w:r>
      <w:r w:rsidR="00A402C7" w:rsidRPr="00954547">
        <w:rPr>
          <w:rStyle w:val="FootnoteReference"/>
          <w:color w:val="auto"/>
          <w:sz w:val="20"/>
          <w:szCs w:val="20"/>
          <w:lang w:val="en-US"/>
        </w:rPr>
        <w:footnoteReference w:id="489"/>
      </w:r>
      <w:r w:rsidR="0078694F" w:rsidRPr="00954547">
        <w:rPr>
          <w:color w:val="auto"/>
          <w:sz w:val="20"/>
          <w:szCs w:val="20"/>
          <w:lang w:val="en-US"/>
        </w:rPr>
        <w:t xml:space="preserve"> and</w:t>
      </w:r>
      <w:r w:rsidR="0057526A" w:rsidRPr="00954547">
        <w:rPr>
          <w:color w:val="auto"/>
          <w:sz w:val="20"/>
          <w:szCs w:val="20"/>
          <w:lang w:val="en-US"/>
        </w:rPr>
        <w:t>, on the other, “</w:t>
      </w:r>
      <w:r w:rsidR="0020314F" w:rsidRPr="00954547">
        <w:rPr>
          <w:sz w:val="20"/>
          <w:szCs w:val="20"/>
          <w:lang w:val="en-US"/>
        </w:rPr>
        <w:t>that the Commission’s Merits Report includes the criminalization of abortion in El Salvador and the alleged effect of this in cases of obstetric emergencies and infanticide as part of the context of this case. To the extent that the facts included by the representatives are pertinent to explain and clarify the said context and its relationship to this case, the Court will take them into account</w:t>
      </w:r>
      <w:r w:rsidR="0057526A" w:rsidRPr="00954547">
        <w:rPr>
          <w:i/>
          <w:color w:val="auto"/>
          <w:sz w:val="20"/>
          <w:szCs w:val="20"/>
          <w:lang w:val="en-US"/>
        </w:rPr>
        <w:t>.</w:t>
      </w:r>
      <w:r w:rsidR="00A402C7" w:rsidRPr="00954547">
        <w:rPr>
          <w:iCs/>
          <w:color w:val="auto"/>
          <w:sz w:val="20"/>
          <w:szCs w:val="20"/>
          <w:lang w:val="en-US"/>
        </w:rPr>
        <w:t>”</w:t>
      </w:r>
      <w:r w:rsidR="00A402C7" w:rsidRPr="00954547">
        <w:rPr>
          <w:rStyle w:val="FootnoteReference"/>
          <w:iCs/>
          <w:color w:val="auto"/>
          <w:sz w:val="20"/>
          <w:szCs w:val="20"/>
          <w:lang w:val="en-US"/>
        </w:rPr>
        <w:footnoteReference w:id="490"/>
      </w:r>
      <w:r w:rsidR="00A402C7" w:rsidRPr="00954547">
        <w:rPr>
          <w:iCs/>
          <w:color w:val="auto"/>
          <w:sz w:val="20"/>
          <w:szCs w:val="20"/>
          <w:lang w:val="en-US"/>
        </w:rPr>
        <w:t xml:space="preserve"> </w:t>
      </w:r>
    </w:p>
    <w:p w14:paraId="19E29E6D" w14:textId="77777777" w:rsidR="00A402C7" w:rsidRPr="00954547" w:rsidRDefault="00A402C7" w:rsidP="00734C98">
      <w:pPr>
        <w:pStyle w:val="ListParagraph"/>
        <w:numPr>
          <w:ilvl w:val="0"/>
          <w:numId w:val="0"/>
        </w:numPr>
        <w:spacing w:before="0" w:after="0"/>
        <w:rPr>
          <w:color w:val="auto"/>
          <w:lang w:val="en-US"/>
        </w:rPr>
      </w:pPr>
    </w:p>
    <w:p w14:paraId="49B9F47B" w14:textId="6FB9F1C4" w:rsidR="00A402C7" w:rsidRPr="00954547" w:rsidRDefault="0057526A" w:rsidP="000365EC">
      <w:pPr>
        <w:pStyle w:val="Default"/>
        <w:numPr>
          <w:ilvl w:val="0"/>
          <w:numId w:val="23"/>
        </w:numPr>
        <w:ind w:left="-57" w:firstLine="0"/>
        <w:jc w:val="both"/>
        <w:rPr>
          <w:color w:val="auto"/>
          <w:sz w:val="20"/>
          <w:szCs w:val="20"/>
          <w:lang w:val="en-US"/>
        </w:rPr>
      </w:pPr>
      <w:r w:rsidRPr="00954547">
        <w:rPr>
          <w:color w:val="auto"/>
          <w:sz w:val="20"/>
          <w:szCs w:val="20"/>
          <w:lang w:val="en-US"/>
        </w:rPr>
        <w:t xml:space="preserve">The latter viewpoint is reiterated in the judgment, when indicating that </w:t>
      </w:r>
      <w:r w:rsidR="00A402C7" w:rsidRPr="00954547">
        <w:rPr>
          <w:color w:val="auto"/>
          <w:sz w:val="20"/>
          <w:szCs w:val="20"/>
          <w:lang w:val="en-US"/>
        </w:rPr>
        <w:t>“</w:t>
      </w:r>
      <w:r w:rsidR="008E52A6" w:rsidRPr="00954547">
        <w:rPr>
          <w:sz w:val="20"/>
          <w:szCs w:val="20"/>
          <w:lang w:val="en-US"/>
        </w:rPr>
        <w:t>the Commission’s Merits Report includes the criminalization of abortion in El Salvador and the alleged effect of this in cases of obstetric emergencies and infanticide</w:t>
      </w:r>
      <w:r w:rsidR="00BB5831" w:rsidRPr="00954547">
        <w:rPr>
          <w:sz w:val="20"/>
          <w:szCs w:val="20"/>
          <w:lang w:val="en-US"/>
        </w:rPr>
        <w:t>”</w:t>
      </w:r>
      <w:r w:rsidR="00A402C7" w:rsidRPr="00954547">
        <w:rPr>
          <w:rStyle w:val="FootnoteReference"/>
          <w:iCs/>
          <w:color w:val="auto"/>
          <w:sz w:val="20"/>
          <w:szCs w:val="20"/>
          <w:lang w:val="en-US"/>
        </w:rPr>
        <w:footnoteReference w:id="491"/>
      </w:r>
      <w:r w:rsidR="0078694F" w:rsidRPr="00954547">
        <w:rPr>
          <w:i/>
          <w:color w:val="auto"/>
          <w:sz w:val="20"/>
          <w:szCs w:val="20"/>
          <w:lang w:val="en-US"/>
        </w:rPr>
        <w:t xml:space="preserve"> </w:t>
      </w:r>
      <w:r w:rsidRPr="00954547">
        <w:rPr>
          <w:iCs/>
          <w:color w:val="auto"/>
          <w:sz w:val="20"/>
          <w:szCs w:val="20"/>
          <w:lang w:val="en-US"/>
        </w:rPr>
        <w:t xml:space="preserve">and that </w:t>
      </w:r>
      <w:r w:rsidR="00A402C7" w:rsidRPr="00954547">
        <w:rPr>
          <w:i/>
          <w:color w:val="auto"/>
          <w:sz w:val="20"/>
          <w:szCs w:val="20"/>
          <w:lang w:val="en-US"/>
        </w:rPr>
        <w:t>“</w:t>
      </w:r>
      <w:r w:rsidR="00BB5831" w:rsidRPr="00954547">
        <w:rPr>
          <w:sz w:val="20"/>
          <w:szCs w:val="20"/>
          <w:lang w:val="en-US"/>
        </w:rPr>
        <w:t>[e]ven though the criminal laws on abortion were not applied in this case</w:t>
      </w:r>
      <w:r w:rsidR="00A402C7" w:rsidRPr="00954547">
        <w:rPr>
          <w:i/>
          <w:color w:val="auto"/>
          <w:sz w:val="20"/>
          <w:szCs w:val="20"/>
          <w:lang w:val="en-US"/>
        </w:rPr>
        <w:t xml:space="preserve">, … </w:t>
      </w:r>
      <w:r w:rsidR="00BB5831" w:rsidRPr="00954547">
        <w:rPr>
          <w:sz w:val="20"/>
          <w:szCs w:val="20"/>
          <w:lang w:val="en-US"/>
        </w:rPr>
        <w:t xml:space="preserve">this information relates to the alleged criminalization of women who have suffered obstetric emergencies,” so that “the Court will examine that relationship </w:t>
      </w:r>
      <w:r w:rsidR="00BB5831" w:rsidRPr="00954547">
        <w:rPr>
          <w:i/>
          <w:color w:val="auto"/>
          <w:sz w:val="20"/>
          <w:szCs w:val="20"/>
          <w:lang w:val="en-US"/>
        </w:rPr>
        <w:t xml:space="preserve">… </w:t>
      </w:r>
      <w:r w:rsidR="00BB5831" w:rsidRPr="00954547">
        <w:rPr>
          <w:sz w:val="20"/>
          <w:szCs w:val="20"/>
          <w:lang w:val="en-US"/>
        </w:rPr>
        <w:t>and take it into account when analyzing this specific case.”</w:t>
      </w:r>
      <w:r w:rsidR="00A402C7" w:rsidRPr="00954547">
        <w:rPr>
          <w:rStyle w:val="FootnoteReference"/>
          <w:iCs/>
          <w:color w:val="auto"/>
          <w:sz w:val="20"/>
          <w:szCs w:val="20"/>
          <w:lang w:val="en-US"/>
        </w:rPr>
        <w:footnoteReference w:id="492"/>
      </w:r>
    </w:p>
    <w:p w14:paraId="7DE4EA32" w14:textId="77777777" w:rsidR="00A402C7" w:rsidRPr="00954547" w:rsidRDefault="00A402C7" w:rsidP="00734C98">
      <w:pPr>
        <w:pStyle w:val="ListParagraph"/>
        <w:numPr>
          <w:ilvl w:val="0"/>
          <w:numId w:val="0"/>
        </w:numPr>
        <w:spacing w:before="0" w:after="0"/>
        <w:rPr>
          <w:lang w:val="en-US"/>
        </w:rPr>
      </w:pPr>
    </w:p>
    <w:p w14:paraId="526237F5" w14:textId="2899F0B0" w:rsidR="0057526A" w:rsidRPr="00954547" w:rsidRDefault="0057526A" w:rsidP="000365EC">
      <w:pPr>
        <w:pStyle w:val="Default"/>
        <w:numPr>
          <w:ilvl w:val="0"/>
          <w:numId w:val="23"/>
        </w:numPr>
        <w:ind w:left="-57" w:firstLine="0"/>
        <w:jc w:val="both"/>
        <w:rPr>
          <w:color w:val="auto"/>
          <w:sz w:val="20"/>
          <w:szCs w:val="20"/>
          <w:lang w:val="en-US"/>
        </w:rPr>
      </w:pPr>
      <w:r w:rsidRPr="00954547">
        <w:rPr>
          <w:color w:val="auto"/>
          <w:sz w:val="20"/>
          <w:szCs w:val="20"/>
          <w:lang w:val="en-US"/>
        </w:rPr>
        <w:t>In this way, the judgment introduces the issue of abortion repeatedly and without any need</w:t>
      </w:r>
      <w:r w:rsidR="005A68A5" w:rsidRPr="00954547">
        <w:rPr>
          <w:color w:val="auto"/>
          <w:sz w:val="20"/>
          <w:szCs w:val="20"/>
          <w:lang w:val="en-US"/>
        </w:rPr>
        <w:t xml:space="preserve"> in this </w:t>
      </w:r>
      <w:r w:rsidRPr="00954547">
        <w:rPr>
          <w:color w:val="auto"/>
          <w:sz w:val="20"/>
          <w:szCs w:val="20"/>
          <w:lang w:val="en-US"/>
        </w:rPr>
        <w:t xml:space="preserve">case which relates to aggravated homicide. This is why I </w:t>
      </w:r>
      <w:r w:rsidR="005A68A5" w:rsidRPr="00954547">
        <w:rPr>
          <w:color w:val="auto"/>
          <w:sz w:val="20"/>
          <w:szCs w:val="20"/>
          <w:lang w:val="en-US"/>
        </w:rPr>
        <w:t>dissent.</w:t>
      </w:r>
    </w:p>
    <w:p w14:paraId="6CA45D8C" w14:textId="77777777" w:rsidR="00A402C7" w:rsidRPr="00954547" w:rsidRDefault="00A402C7" w:rsidP="00734C98">
      <w:pPr>
        <w:pStyle w:val="ListParagraph"/>
        <w:numPr>
          <w:ilvl w:val="0"/>
          <w:numId w:val="0"/>
        </w:numPr>
        <w:spacing w:before="0" w:after="0"/>
        <w:rPr>
          <w:lang w:val="en-US"/>
        </w:rPr>
      </w:pPr>
    </w:p>
    <w:p w14:paraId="2D926AF1" w14:textId="7AB9A99C" w:rsidR="00114601" w:rsidRPr="00954547" w:rsidRDefault="0057526A" w:rsidP="000365EC">
      <w:pPr>
        <w:pStyle w:val="Default"/>
        <w:numPr>
          <w:ilvl w:val="0"/>
          <w:numId w:val="23"/>
        </w:numPr>
        <w:ind w:left="-57" w:firstLine="0"/>
        <w:jc w:val="both"/>
        <w:rPr>
          <w:lang w:val="en-US"/>
        </w:rPr>
      </w:pPr>
      <w:r w:rsidRPr="00954547">
        <w:rPr>
          <w:color w:val="auto"/>
          <w:sz w:val="20"/>
          <w:szCs w:val="20"/>
          <w:lang w:val="en-US"/>
        </w:rPr>
        <w:t xml:space="preserve">It </w:t>
      </w:r>
      <w:r w:rsidR="005A68A5" w:rsidRPr="00954547">
        <w:rPr>
          <w:color w:val="auto"/>
          <w:sz w:val="20"/>
          <w:szCs w:val="20"/>
          <w:lang w:val="en-US"/>
        </w:rPr>
        <w:t xml:space="preserve">should also be </w:t>
      </w:r>
      <w:r w:rsidRPr="00954547">
        <w:rPr>
          <w:color w:val="auto"/>
          <w:sz w:val="20"/>
          <w:szCs w:val="20"/>
          <w:lang w:val="en-US"/>
        </w:rPr>
        <w:t>add</w:t>
      </w:r>
      <w:r w:rsidR="005A68A5" w:rsidRPr="00954547">
        <w:rPr>
          <w:color w:val="auto"/>
          <w:sz w:val="20"/>
          <w:szCs w:val="20"/>
          <w:lang w:val="en-US"/>
        </w:rPr>
        <w:t>ed</w:t>
      </w:r>
      <w:r w:rsidRPr="00954547">
        <w:rPr>
          <w:color w:val="auto"/>
          <w:sz w:val="20"/>
          <w:szCs w:val="20"/>
          <w:lang w:val="en-US"/>
        </w:rPr>
        <w:t xml:space="preserve"> that the judgment failed to take into account the “pivotal” principle of international human rights law concerning the collaborative or </w:t>
      </w:r>
      <w:r w:rsidR="005A68A5" w:rsidRPr="00954547">
        <w:rPr>
          <w:color w:val="auto"/>
          <w:sz w:val="20"/>
          <w:szCs w:val="20"/>
          <w:lang w:val="en-US"/>
        </w:rPr>
        <w:t>com</w:t>
      </w:r>
      <w:r w:rsidRPr="00954547">
        <w:rPr>
          <w:color w:val="auto"/>
          <w:sz w:val="20"/>
          <w:szCs w:val="20"/>
          <w:lang w:val="en-US"/>
        </w:rPr>
        <w:t xml:space="preserve">plementary nature of the inter-American protection in relation to the protection provided by the domestic law of the </w:t>
      </w:r>
      <w:r w:rsidR="00AB30F4" w:rsidRPr="00954547">
        <w:rPr>
          <w:color w:val="auto"/>
          <w:sz w:val="20"/>
          <w:szCs w:val="20"/>
          <w:lang w:val="en-US"/>
        </w:rPr>
        <w:t>States of the region</w:t>
      </w:r>
      <w:r w:rsidR="00393094" w:rsidRPr="00954547">
        <w:rPr>
          <w:color w:val="auto"/>
          <w:sz w:val="20"/>
          <w:szCs w:val="20"/>
          <w:lang w:val="en-US"/>
        </w:rPr>
        <w:t>.</w:t>
      </w:r>
      <w:r w:rsidR="00A402C7" w:rsidRPr="00954547">
        <w:rPr>
          <w:rStyle w:val="FootnoteReference"/>
          <w:color w:val="auto"/>
          <w:sz w:val="20"/>
          <w:szCs w:val="20"/>
          <w:lang w:val="en-US"/>
        </w:rPr>
        <w:footnoteReference w:id="493"/>
      </w:r>
      <w:r w:rsidR="00AB30F4" w:rsidRPr="00954547">
        <w:rPr>
          <w:color w:val="auto"/>
          <w:sz w:val="20"/>
          <w:szCs w:val="20"/>
          <w:lang w:val="en-US"/>
        </w:rPr>
        <w:t xml:space="preserve"> </w:t>
      </w:r>
      <w:r w:rsidR="00393094" w:rsidRPr="00954547">
        <w:rPr>
          <w:color w:val="auto"/>
          <w:sz w:val="20"/>
          <w:szCs w:val="20"/>
          <w:lang w:val="en-US"/>
        </w:rPr>
        <w:t>T</w:t>
      </w:r>
      <w:r w:rsidR="00AB30F4" w:rsidRPr="00954547">
        <w:rPr>
          <w:color w:val="auto"/>
          <w:sz w:val="20"/>
          <w:szCs w:val="20"/>
          <w:lang w:val="en-US"/>
        </w:rPr>
        <w:t xml:space="preserve">his means that the corresponding State incurs international responsibility if the </w:t>
      </w:r>
      <w:r w:rsidR="00393094" w:rsidRPr="00954547">
        <w:rPr>
          <w:color w:val="auto"/>
          <w:sz w:val="20"/>
          <w:szCs w:val="20"/>
          <w:lang w:val="en-US"/>
        </w:rPr>
        <w:t>most recent</w:t>
      </w:r>
      <w:r w:rsidR="00AB30F4" w:rsidRPr="00954547">
        <w:rPr>
          <w:color w:val="auto"/>
          <w:sz w:val="20"/>
          <w:szCs w:val="20"/>
          <w:lang w:val="en-US"/>
        </w:rPr>
        <w:t xml:space="preserve"> act </w:t>
      </w:r>
      <w:r w:rsidR="00393094" w:rsidRPr="00954547">
        <w:rPr>
          <w:color w:val="auto"/>
          <w:sz w:val="20"/>
          <w:szCs w:val="20"/>
          <w:lang w:val="en-US"/>
        </w:rPr>
        <w:t>undertaken</w:t>
      </w:r>
      <w:r w:rsidR="00AB30F4" w:rsidRPr="00954547">
        <w:rPr>
          <w:color w:val="auto"/>
          <w:sz w:val="20"/>
          <w:szCs w:val="20"/>
          <w:lang w:val="en-US"/>
        </w:rPr>
        <w:t xml:space="preserve"> in relation to the respective case violates </w:t>
      </w:r>
      <w:r w:rsidR="00393094" w:rsidRPr="00954547">
        <w:rPr>
          <w:color w:val="auto"/>
          <w:sz w:val="20"/>
          <w:szCs w:val="20"/>
          <w:lang w:val="en-US"/>
        </w:rPr>
        <w:t>a</w:t>
      </w:r>
      <w:r w:rsidR="00AB30F4" w:rsidRPr="00954547">
        <w:rPr>
          <w:color w:val="auto"/>
          <w:sz w:val="20"/>
          <w:szCs w:val="20"/>
          <w:lang w:val="en-US"/>
        </w:rPr>
        <w:t xml:space="preserve"> valid international obligation, unless it involves a continuing act</w:t>
      </w:r>
      <w:r w:rsidR="00AB30F4" w:rsidRPr="00954547">
        <w:rPr>
          <w:rStyle w:val="FootnoteReference"/>
          <w:color w:val="auto"/>
          <w:sz w:val="20"/>
          <w:szCs w:val="20"/>
          <w:lang w:val="en-US"/>
        </w:rPr>
        <w:footnoteReference w:id="494"/>
      </w:r>
      <w:r w:rsidR="00AB30F4" w:rsidRPr="00954547">
        <w:rPr>
          <w:color w:val="auto"/>
          <w:sz w:val="20"/>
          <w:szCs w:val="20"/>
          <w:lang w:val="en-US"/>
        </w:rPr>
        <w:t xml:space="preserve"> or a composite act</w:t>
      </w:r>
      <w:r w:rsidR="00AB30F4" w:rsidRPr="00954547">
        <w:rPr>
          <w:rStyle w:val="FootnoteReference"/>
          <w:color w:val="auto"/>
          <w:sz w:val="20"/>
          <w:szCs w:val="20"/>
          <w:lang w:val="en-US"/>
        </w:rPr>
        <w:footnoteReference w:id="495"/>
      </w:r>
      <w:r w:rsidR="00AB30F4" w:rsidRPr="00954547">
        <w:rPr>
          <w:color w:val="auto"/>
          <w:sz w:val="20"/>
          <w:szCs w:val="20"/>
          <w:lang w:val="en-US"/>
        </w:rPr>
        <w:t xml:space="preserve"> or an omission.</w:t>
      </w:r>
      <w:r w:rsidR="00AB30F4" w:rsidRPr="00954547">
        <w:rPr>
          <w:rStyle w:val="FootnoteReference"/>
          <w:color w:val="auto"/>
          <w:sz w:val="20"/>
          <w:szCs w:val="20"/>
          <w:lang w:val="en-US"/>
        </w:rPr>
        <w:footnoteReference w:id="496"/>
      </w:r>
      <w:r w:rsidR="00AB30F4" w:rsidRPr="00954547">
        <w:rPr>
          <w:color w:val="auto"/>
          <w:sz w:val="20"/>
          <w:szCs w:val="20"/>
          <w:lang w:val="en-US"/>
        </w:rPr>
        <w:t xml:space="preserve"> To the contrary, acts prior to the instantaneous act</w:t>
      </w:r>
      <w:r w:rsidR="00AB30F4" w:rsidRPr="00954547">
        <w:rPr>
          <w:rStyle w:val="FootnoteReference"/>
          <w:color w:val="auto"/>
          <w:sz w:val="20"/>
          <w:szCs w:val="20"/>
          <w:lang w:val="en-US"/>
        </w:rPr>
        <w:footnoteReference w:id="497"/>
      </w:r>
      <w:r w:rsidR="00AB30F4" w:rsidRPr="00954547">
        <w:rPr>
          <w:color w:val="auto"/>
          <w:sz w:val="20"/>
          <w:szCs w:val="20"/>
          <w:lang w:val="en-US"/>
        </w:rPr>
        <w:t xml:space="preserve"> are indeed different, and should not be considered because, to the contrary, the State would have been unable to amend its actions and, in this eventuality, the international protection would be substituting the domestic protection, and even transforming it into a fourth instance. </w:t>
      </w:r>
      <w:r w:rsidR="00114601" w:rsidRPr="00954547">
        <w:rPr>
          <w:color w:val="auto"/>
          <w:sz w:val="20"/>
          <w:szCs w:val="20"/>
          <w:lang w:val="en-US"/>
        </w:rPr>
        <w:t xml:space="preserve">This is precisely what has happened in the judgment, by </w:t>
      </w:r>
      <w:r w:rsidR="00062DCF" w:rsidRPr="00954547">
        <w:rPr>
          <w:color w:val="auto"/>
          <w:sz w:val="20"/>
          <w:szCs w:val="20"/>
          <w:lang w:val="en-US"/>
        </w:rPr>
        <w:t>ruling on</w:t>
      </w:r>
      <w:r w:rsidR="00114601" w:rsidRPr="00954547">
        <w:rPr>
          <w:color w:val="auto"/>
          <w:sz w:val="20"/>
          <w:szCs w:val="20"/>
          <w:lang w:val="en-US"/>
        </w:rPr>
        <w:t xml:space="preserve"> the initial actions of the investigation conducted </w:t>
      </w:r>
      <w:r w:rsidR="00062DCF" w:rsidRPr="00954547">
        <w:rPr>
          <w:color w:val="auto"/>
          <w:sz w:val="20"/>
          <w:szCs w:val="20"/>
          <w:lang w:val="en-US"/>
        </w:rPr>
        <w:t>that were based on</w:t>
      </w:r>
      <w:r w:rsidR="00114601" w:rsidRPr="00954547">
        <w:rPr>
          <w:color w:val="auto"/>
          <w:sz w:val="20"/>
          <w:szCs w:val="20"/>
          <w:lang w:val="en-US"/>
        </w:rPr>
        <w:t xml:space="preserve"> </w:t>
      </w:r>
      <w:r w:rsidR="00062DCF" w:rsidRPr="00954547">
        <w:rPr>
          <w:color w:val="auto"/>
          <w:sz w:val="20"/>
          <w:szCs w:val="20"/>
          <w:lang w:val="en-US"/>
        </w:rPr>
        <w:t>investigating</w:t>
      </w:r>
      <w:r w:rsidR="00114601" w:rsidRPr="00954547">
        <w:rPr>
          <w:color w:val="auto"/>
          <w:sz w:val="20"/>
          <w:szCs w:val="20"/>
          <w:lang w:val="en-US"/>
        </w:rPr>
        <w:t xml:space="preserve"> a possible abortion.</w:t>
      </w:r>
      <w:r w:rsidR="00114601" w:rsidRPr="00954547">
        <w:rPr>
          <w:rStyle w:val="FootnoteReference"/>
          <w:color w:val="auto"/>
          <w:sz w:val="20"/>
          <w:szCs w:val="20"/>
          <w:lang w:val="en-US"/>
        </w:rPr>
        <w:footnoteReference w:id="498"/>
      </w:r>
      <w:r w:rsidR="00114601" w:rsidRPr="00954547">
        <w:rPr>
          <w:color w:val="auto"/>
          <w:sz w:val="20"/>
          <w:szCs w:val="20"/>
          <w:lang w:val="en-US"/>
        </w:rPr>
        <w:t xml:space="preserve"> To the contrary, in the instant case, the </w:t>
      </w:r>
      <w:r w:rsidR="00062DCF" w:rsidRPr="00954547">
        <w:rPr>
          <w:color w:val="auto"/>
          <w:sz w:val="20"/>
          <w:szCs w:val="20"/>
          <w:lang w:val="en-US"/>
        </w:rPr>
        <w:t xml:space="preserve">issue </w:t>
      </w:r>
      <w:r w:rsidR="00114601" w:rsidRPr="00954547">
        <w:rPr>
          <w:color w:val="auto"/>
          <w:sz w:val="20"/>
          <w:szCs w:val="20"/>
          <w:lang w:val="en-US"/>
        </w:rPr>
        <w:t>was to determine the possible illegality of the aggravated homicide in question and never that of an abortion.</w:t>
      </w:r>
    </w:p>
    <w:p w14:paraId="07EFA7B4" w14:textId="77777777" w:rsidR="00A402C7" w:rsidRPr="00954547" w:rsidRDefault="00A402C7" w:rsidP="00734C98">
      <w:pPr>
        <w:pStyle w:val="Default"/>
        <w:jc w:val="both"/>
        <w:rPr>
          <w:color w:val="auto"/>
          <w:sz w:val="20"/>
          <w:szCs w:val="20"/>
          <w:lang w:val="en-US"/>
        </w:rPr>
      </w:pPr>
    </w:p>
    <w:p w14:paraId="1F00316C" w14:textId="0106D15E" w:rsidR="00265076" w:rsidRPr="00954547" w:rsidRDefault="00114601" w:rsidP="000365EC">
      <w:pPr>
        <w:pStyle w:val="Default"/>
        <w:numPr>
          <w:ilvl w:val="0"/>
          <w:numId w:val="23"/>
        </w:numPr>
        <w:ind w:left="0" w:firstLine="0"/>
        <w:jc w:val="both"/>
        <w:rPr>
          <w:color w:val="auto"/>
          <w:sz w:val="20"/>
          <w:szCs w:val="20"/>
          <w:lang w:val="en-US"/>
        </w:rPr>
      </w:pPr>
      <w:r w:rsidRPr="00954547">
        <w:rPr>
          <w:color w:val="auto"/>
          <w:sz w:val="20"/>
          <w:szCs w:val="20"/>
          <w:lang w:val="en-US"/>
        </w:rPr>
        <w:t>It is also necessary to indicate that the Court’s jurisdiction is exercised within the framework of international law,</w:t>
      </w:r>
      <w:r w:rsidR="00A402C7" w:rsidRPr="00954547">
        <w:rPr>
          <w:rStyle w:val="FootnoteReference"/>
          <w:color w:val="auto"/>
          <w:sz w:val="20"/>
          <w:szCs w:val="20"/>
          <w:lang w:val="en-US"/>
        </w:rPr>
        <w:footnoteReference w:id="499"/>
      </w:r>
      <w:r w:rsidRPr="00954547">
        <w:rPr>
          <w:color w:val="auto"/>
          <w:sz w:val="20"/>
          <w:szCs w:val="20"/>
          <w:lang w:val="en-US"/>
        </w:rPr>
        <w:t xml:space="preserve"> based on the objective nature of the State’s international responsibility for an internationally </w:t>
      </w:r>
      <w:r w:rsidR="00F00ACF" w:rsidRPr="00954547">
        <w:rPr>
          <w:color w:val="auto"/>
          <w:sz w:val="20"/>
          <w:szCs w:val="20"/>
          <w:lang w:val="en-US"/>
        </w:rPr>
        <w:t>wrongful</w:t>
      </w:r>
      <w:r w:rsidRPr="00954547">
        <w:rPr>
          <w:color w:val="auto"/>
          <w:sz w:val="20"/>
          <w:szCs w:val="20"/>
          <w:lang w:val="en-US"/>
        </w:rPr>
        <w:t xml:space="preserve"> act; that is, </w:t>
      </w:r>
      <w:r w:rsidR="00265076" w:rsidRPr="00954547">
        <w:rPr>
          <w:color w:val="auto"/>
          <w:sz w:val="20"/>
          <w:szCs w:val="20"/>
          <w:lang w:val="en-US"/>
        </w:rPr>
        <w:t>the State incurs in this if an act</w:t>
      </w:r>
      <w:r w:rsidR="00C34E0A" w:rsidRPr="00954547">
        <w:rPr>
          <w:color w:val="auto"/>
          <w:sz w:val="20"/>
          <w:szCs w:val="20"/>
          <w:lang w:val="en-US"/>
        </w:rPr>
        <w:t>ion</w:t>
      </w:r>
      <w:r w:rsidR="00265076" w:rsidRPr="00954547">
        <w:rPr>
          <w:color w:val="auto"/>
          <w:sz w:val="20"/>
          <w:szCs w:val="20"/>
          <w:lang w:val="en-US"/>
        </w:rPr>
        <w:t xml:space="preserve"> is attribut</w:t>
      </w:r>
      <w:r w:rsidR="00C34E0A" w:rsidRPr="00954547">
        <w:rPr>
          <w:color w:val="auto"/>
          <w:sz w:val="20"/>
          <w:szCs w:val="20"/>
          <w:lang w:val="en-US"/>
        </w:rPr>
        <w:t>able</w:t>
      </w:r>
      <w:r w:rsidR="00265076" w:rsidRPr="00954547">
        <w:rPr>
          <w:color w:val="auto"/>
          <w:sz w:val="20"/>
          <w:szCs w:val="20"/>
          <w:lang w:val="en-US"/>
        </w:rPr>
        <w:t xml:space="preserve"> to it </w:t>
      </w:r>
      <w:r w:rsidR="00C34E0A" w:rsidRPr="00954547">
        <w:rPr>
          <w:color w:val="auto"/>
          <w:sz w:val="20"/>
          <w:szCs w:val="20"/>
          <w:lang w:val="en-US"/>
        </w:rPr>
        <w:t xml:space="preserve">under international law, </w:t>
      </w:r>
      <w:r w:rsidR="00265076" w:rsidRPr="00954547">
        <w:rPr>
          <w:color w:val="auto"/>
          <w:sz w:val="20"/>
          <w:szCs w:val="20"/>
          <w:lang w:val="en-US"/>
        </w:rPr>
        <w:t xml:space="preserve">and if this constitutes </w:t>
      </w:r>
      <w:r w:rsidR="00C34E0A" w:rsidRPr="00954547">
        <w:rPr>
          <w:color w:val="auto"/>
          <w:sz w:val="20"/>
          <w:szCs w:val="20"/>
          <w:lang w:val="en-US"/>
        </w:rPr>
        <w:t>a breach of one of its international obligations</w:t>
      </w:r>
      <w:r w:rsidR="00265076" w:rsidRPr="00954547">
        <w:rPr>
          <w:color w:val="auto"/>
          <w:sz w:val="20"/>
          <w:szCs w:val="20"/>
          <w:lang w:val="en-US"/>
        </w:rPr>
        <w:t>.</w:t>
      </w:r>
      <w:r w:rsidR="00A402C7" w:rsidRPr="00954547">
        <w:rPr>
          <w:rStyle w:val="FootnoteReference"/>
          <w:color w:val="auto"/>
          <w:sz w:val="20"/>
          <w:szCs w:val="20"/>
          <w:lang w:val="en-US"/>
        </w:rPr>
        <w:footnoteReference w:id="500"/>
      </w:r>
      <w:r w:rsidR="0078694F" w:rsidRPr="00954547">
        <w:rPr>
          <w:color w:val="auto"/>
          <w:sz w:val="20"/>
          <w:szCs w:val="20"/>
          <w:lang w:val="en-US"/>
        </w:rPr>
        <w:t xml:space="preserve"> </w:t>
      </w:r>
      <w:r w:rsidR="00062DCF" w:rsidRPr="00954547">
        <w:rPr>
          <w:color w:val="auto"/>
          <w:sz w:val="20"/>
          <w:szCs w:val="20"/>
          <w:lang w:val="en-US"/>
        </w:rPr>
        <w:t>I</w:t>
      </w:r>
      <w:r w:rsidR="00265076" w:rsidRPr="00954547">
        <w:rPr>
          <w:color w:val="auto"/>
          <w:sz w:val="20"/>
          <w:szCs w:val="20"/>
          <w:lang w:val="en-US"/>
        </w:rPr>
        <w:t>n this regard, it is undeniable that, as indicated in one of my separate opinions,</w:t>
      </w:r>
      <w:r w:rsidR="00A402C7" w:rsidRPr="00954547">
        <w:rPr>
          <w:rStyle w:val="FootnoteReference"/>
          <w:color w:val="auto"/>
          <w:sz w:val="20"/>
          <w:szCs w:val="20"/>
          <w:lang w:val="en-US"/>
        </w:rPr>
        <w:footnoteReference w:id="501"/>
      </w:r>
      <w:r w:rsidR="00265076" w:rsidRPr="00954547">
        <w:rPr>
          <w:color w:val="auto"/>
          <w:sz w:val="20"/>
          <w:szCs w:val="20"/>
          <w:lang w:val="en-US"/>
        </w:rPr>
        <w:t xml:space="preserve"> there is no inter-American or international legal provision, either in a convention or by international custom or general principle of law, that recognizes abortion as a right. There are only resolutions of international bodies</w:t>
      </w:r>
      <w:r w:rsidR="008D14E7" w:rsidRPr="00954547">
        <w:rPr>
          <w:color w:val="auto"/>
          <w:sz w:val="20"/>
          <w:szCs w:val="20"/>
          <w:lang w:val="en-US"/>
        </w:rPr>
        <w:t xml:space="preserve"> – mos</w:t>
      </w:r>
      <w:r w:rsidR="00265076" w:rsidRPr="00954547">
        <w:rPr>
          <w:color w:val="auto"/>
          <w:sz w:val="20"/>
          <w:szCs w:val="20"/>
          <w:lang w:val="en-US"/>
        </w:rPr>
        <w:t xml:space="preserve">t of them composed of international officials and not </w:t>
      </w:r>
      <w:r w:rsidR="008D14E7" w:rsidRPr="00954547">
        <w:rPr>
          <w:color w:val="auto"/>
          <w:sz w:val="20"/>
          <w:szCs w:val="20"/>
          <w:lang w:val="en-US"/>
        </w:rPr>
        <w:t>of</w:t>
      </w:r>
      <w:r w:rsidR="00265076" w:rsidRPr="00954547">
        <w:rPr>
          <w:color w:val="auto"/>
          <w:sz w:val="20"/>
          <w:szCs w:val="20"/>
          <w:lang w:val="en-US"/>
        </w:rPr>
        <w:t xml:space="preserve"> representatives of State</w:t>
      </w:r>
      <w:r w:rsidR="008D14E7" w:rsidRPr="00954547">
        <w:rPr>
          <w:color w:val="auto"/>
          <w:sz w:val="20"/>
          <w:szCs w:val="20"/>
          <w:lang w:val="en-US"/>
        </w:rPr>
        <w:t>s – resolutions that, moreover</w:t>
      </w:r>
      <w:r w:rsidR="00265076" w:rsidRPr="00954547">
        <w:rPr>
          <w:color w:val="auto"/>
          <w:sz w:val="20"/>
          <w:szCs w:val="20"/>
          <w:lang w:val="en-US"/>
        </w:rPr>
        <w:t xml:space="preserve">, are not binding and do not interpret valid international law, but rather reflect aspirations that the latter </w:t>
      </w:r>
      <w:r w:rsidR="008D14E7" w:rsidRPr="00954547">
        <w:rPr>
          <w:color w:val="auto"/>
          <w:sz w:val="20"/>
          <w:szCs w:val="20"/>
          <w:lang w:val="en-US"/>
        </w:rPr>
        <w:t>be amended</w:t>
      </w:r>
      <w:r w:rsidR="00265076" w:rsidRPr="00954547">
        <w:rPr>
          <w:color w:val="auto"/>
          <w:sz w:val="20"/>
          <w:szCs w:val="20"/>
          <w:lang w:val="en-US"/>
        </w:rPr>
        <w:t xml:space="preserve"> in the sense they suggest.</w:t>
      </w:r>
    </w:p>
    <w:p w14:paraId="1CA64791" w14:textId="77777777" w:rsidR="00A402C7" w:rsidRPr="00954547" w:rsidRDefault="00A402C7" w:rsidP="00734C98">
      <w:pPr>
        <w:pStyle w:val="Default"/>
        <w:jc w:val="both"/>
        <w:rPr>
          <w:color w:val="auto"/>
          <w:sz w:val="20"/>
          <w:szCs w:val="20"/>
          <w:lang w:val="en-US"/>
        </w:rPr>
      </w:pPr>
    </w:p>
    <w:p w14:paraId="48006F6B" w14:textId="775F92A0" w:rsidR="009567D9" w:rsidRPr="00954547" w:rsidRDefault="00265076" w:rsidP="000365EC">
      <w:pPr>
        <w:pStyle w:val="Default"/>
        <w:numPr>
          <w:ilvl w:val="0"/>
          <w:numId w:val="23"/>
        </w:numPr>
        <w:ind w:left="0" w:firstLine="0"/>
        <w:jc w:val="both"/>
        <w:rPr>
          <w:color w:val="auto"/>
          <w:sz w:val="20"/>
          <w:szCs w:val="20"/>
          <w:lang w:val="en-US"/>
        </w:rPr>
      </w:pPr>
      <w:r w:rsidRPr="00954547">
        <w:rPr>
          <w:color w:val="auto"/>
          <w:sz w:val="20"/>
          <w:szCs w:val="20"/>
          <w:lang w:val="en-US"/>
        </w:rPr>
        <w:t>To the foregoing, it should be added that</w:t>
      </w:r>
      <w:r w:rsidR="0000196B" w:rsidRPr="00954547">
        <w:rPr>
          <w:color w:val="auto"/>
          <w:sz w:val="20"/>
          <w:szCs w:val="20"/>
          <w:lang w:val="en-US"/>
        </w:rPr>
        <w:t xml:space="preserve"> although</w:t>
      </w:r>
      <w:r w:rsidR="00C12B7A" w:rsidRPr="00954547">
        <w:rPr>
          <w:color w:val="auto"/>
          <w:sz w:val="20"/>
          <w:szCs w:val="20"/>
          <w:lang w:val="en-US"/>
        </w:rPr>
        <w:t xml:space="preserve"> it is </w:t>
      </w:r>
      <w:r w:rsidR="00C34E0A" w:rsidRPr="00954547">
        <w:rPr>
          <w:color w:val="auto"/>
          <w:sz w:val="20"/>
          <w:szCs w:val="20"/>
          <w:lang w:val="en-US"/>
        </w:rPr>
        <w:t>true</w:t>
      </w:r>
      <w:r w:rsidR="00C12B7A" w:rsidRPr="00954547">
        <w:rPr>
          <w:color w:val="auto"/>
          <w:sz w:val="20"/>
          <w:szCs w:val="20"/>
          <w:lang w:val="en-US"/>
        </w:rPr>
        <w:t xml:space="preserve"> that the Commission indicate</w:t>
      </w:r>
      <w:r w:rsidR="00C34E0A" w:rsidRPr="00954547">
        <w:rPr>
          <w:color w:val="auto"/>
          <w:sz w:val="20"/>
          <w:szCs w:val="20"/>
          <w:lang w:val="en-US"/>
        </w:rPr>
        <w:t>s</w:t>
      </w:r>
      <w:r w:rsidR="00C12B7A" w:rsidRPr="00954547">
        <w:rPr>
          <w:color w:val="auto"/>
          <w:sz w:val="20"/>
          <w:szCs w:val="20"/>
          <w:lang w:val="en-US"/>
        </w:rPr>
        <w:t xml:space="preserve"> that </w:t>
      </w:r>
      <w:r w:rsidR="00C34E0A" w:rsidRPr="00954547">
        <w:rPr>
          <w:color w:val="auto"/>
          <w:sz w:val="20"/>
          <w:szCs w:val="20"/>
          <w:lang w:val="en-US"/>
        </w:rPr>
        <w:t xml:space="preserve">the </w:t>
      </w:r>
      <w:r w:rsidR="00356067" w:rsidRPr="00954547">
        <w:rPr>
          <w:color w:val="auto"/>
          <w:sz w:val="20"/>
          <w:szCs w:val="20"/>
          <w:lang w:val="en-US"/>
        </w:rPr>
        <w:t>provisions</w:t>
      </w:r>
      <w:r w:rsidR="00C12B7A" w:rsidRPr="00954547">
        <w:rPr>
          <w:color w:val="auto"/>
          <w:sz w:val="20"/>
          <w:szCs w:val="20"/>
          <w:lang w:val="en-US"/>
        </w:rPr>
        <w:t xml:space="preserve"> </w:t>
      </w:r>
      <w:r w:rsidR="00356067" w:rsidRPr="00954547">
        <w:rPr>
          <w:color w:val="auto"/>
          <w:sz w:val="20"/>
          <w:szCs w:val="20"/>
          <w:lang w:val="en-US"/>
        </w:rPr>
        <w:t>on</w:t>
      </w:r>
      <w:r w:rsidR="00C12B7A" w:rsidRPr="00954547">
        <w:rPr>
          <w:color w:val="auto"/>
          <w:sz w:val="20"/>
          <w:szCs w:val="20"/>
          <w:lang w:val="en-US"/>
        </w:rPr>
        <w:t xml:space="preserve"> abortion form part  of the facts of the case,</w:t>
      </w:r>
      <w:r w:rsidR="00A402C7" w:rsidRPr="00954547">
        <w:rPr>
          <w:rStyle w:val="FootnoteReference"/>
          <w:color w:val="auto"/>
          <w:sz w:val="20"/>
          <w:szCs w:val="20"/>
          <w:lang w:val="en-US"/>
        </w:rPr>
        <w:footnoteReference w:id="502"/>
      </w:r>
      <w:r w:rsidR="00C12B7A" w:rsidRPr="00954547">
        <w:rPr>
          <w:color w:val="auto"/>
          <w:sz w:val="20"/>
          <w:szCs w:val="20"/>
          <w:lang w:val="en-US"/>
        </w:rPr>
        <w:t xml:space="preserve"> it is not </w:t>
      </w:r>
      <w:r w:rsidR="0000196B" w:rsidRPr="00954547">
        <w:rPr>
          <w:color w:val="auto"/>
          <w:sz w:val="20"/>
          <w:szCs w:val="20"/>
          <w:lang w:val="en-US"/>
        </w:rPr>
        <w:t>true</w:t>
      </w:r>
      <w:r w:rsidR="00C12B7A" w:rsidRPr="00954547">
        <w:rPr>
          <w:color w:val="auto"/>
          <w:sz w:val="20"/>
          <w:szCs w:val="20"/>
          <w:lang w:val="en-US"/>
        </w:rPr>
        <w:t xml:space="preserve"> that they form part of the context of the case. This </w:t>
      </w:r>
      <w:r w:rsidR="0000196B" w:rsidRPr="00954547">
        <w:rPr>
          <w:color w:val="auto"/>
          <w:sz w:val="20"/>
          <w:szCs w:val="20"/>
          <w:lang w:val="en-US"/>
        </w:rPr>
        <w:t xml:space="preserve">consists of </w:t>
      </w:r>
      <w:r w:rsidR="00C12B7A" w:rsidRPr="00954547">
        <w:rPr>
          <w:color w:val="auto"/>
          <w:sz w:val="20"/>
          <w:szCs w:val="20"/>
          <w:lang w:val="en-US"/>
        </w:rPr>
        <w:t>the Commission’s considerations but not that th</w:t>
      </w:r>
      <w:r w:rsidR="0000196B" w:rsidRPr="00954547">
        <w:rPr>
          <w:color w:val="auto"/>
          <w:sz w:val="20"/>
          <w:szCs w:val="20"/>
          <w:lang w:val="en-US"/>
        </w:rPr>
        <w:t>ese are</w:t>
      </w:r>
      <w:r w:rsidR="00C12B7A" w:rsidRPr="00954547">
        <w:rPr>
          <w:color w:val="auto"/>
          <w:sz w:val="20"/>
          <w:szCs w:val="20"/>
          <w:lang w:val="en-US"/>
        </w:rPr>
        <w:t xml:space="preserve"> applicable, especially when such provisions are cited in relation to a context that </w:t>
      </w:r>
      <w:r w:rsidR="00BD6506" w:rsidRPr="00954547">
        <w:rPr>
          <w:color w:val="auto"/>
          <w:sz w:val="20"/>
          <w:szCs w:val="20"/>
          <w:lang w:val="en-US"/>
        </w:rPr>
        <w:t>falls outside</w:t>
      </w:r>
      <w:r w:rsidR="00C12B7A" w:rsidRPr="00954547">
        <w:rPr>
          <w:color w:val="auto"/>
          <w:sz w:val="20"/>
          <w:szCs w:val="20"/>
          <w:lang w:val="en-US"/>
        </w:rPr>
        <w:t xml:space="preserve"> the purpose of the case, which relates to aggravated homicide and </w:t>
      </w:r>
      <w:r w:rsidR="0000196B" w:rsidRPr="00954547">
        <w:rPr>
          <w:color w:val="auto"/>
          <w:sz w:val="20"/>
          <w:szCs w:val="20"/>
          <w:lang w:val="en-US"/>
        </w:rPr>
        <w:t>the</w:t>
      </w:r>
      <w:r w:rsidR="00C12B7A" w:rsidRPr="00954547">
        <w:rPr>
          <w:color w:val="auto"/>
          <w:sz w:val="20"/>
          <w:szCs w:val="20"/>
          <w:lang w:val="en-US"/>
        </w:rPr>
        <w:t xml:space="preserve"> punishment</w:t>
      </w:r>
      <w:r w:rsidR="0000196B" w:rsidRPr="00954547">
        <w:rPr>
          <w:color w:val="auto"/>
          <w:sz w:val="20"/>
          <w:szCs w:val="20"/>
          <w:lang w:val="en-US"/>
        </w:rPr>
        <w:t xml:space="preserve"> for this</w:t>
      </w:r>
      <w:r w:rsidR="00C12B7A" w:rsidRPr="00954547">
        <w:rPr>
          <w:color w:val="auto"/>
          <w:sz w:val="20"/>
          <w:szCs w:val="20"/>
          <w:lang w:val="en-US"/>
        </w:rPr>
        <w:t xml:space="preserve"> that was applied to the victim, and not t</w:t>
      </w:r>
      <w:r w:rsidR="00BD6506" w:rsidRPr="00954547">
        <w:rPr>
          <w:color w:val="auto"/>
          <w:sz w:val="20"/>
          <w:szCs w:val="20"/>
          <w:lang w:val="en-US"/>
        </w:rPr>
        <w:t>o</w:t>
      </w:r>
      <w:r w:rsidR="00C12B7A" w:rsidRPr="00954547">
        <w:rPr>
          <w:color w:val="auto"/>
          <w:sz w:val="20"/>
          <w:szCs w:val="20"/>
          <w:lang w:val="en-US"/>
        </w:rPr>
        <w:t xml:space="preserve"> abortion. This same commentary is also valid with regard to the mentions made in the judgment to resolutions of international bodies with regard to abortion.</w:t>
      </w:r>
      <w:r w:rsidR="00A402C7" w:rsidRPr="00954547">
        <w:rPr>
          <w:rStyle w:val="FootnoteReference"/>
          <w:color w:val="auto"/>
          <w:sz w:val="20"/>
          <w:szCs w:val="20"/>
          <w:lang w:val="en-US"/>
        </w:rPr>
        <w:footnoteReference w:id="503"/>
      </w:r>
    </w:p>
    <w:p w14:paraId="73692EB4" w14:textId="77777777" w:rsidR="009567D9" w:rsidRPr="00954547" w:rsidRDefault="009567D9" w:rsidP="009567D9">
      <w:pPr>
        <w:pStyle w:val="ListParagraph"/>
        <w:numPr>
          <w:ilvl w:val="0"/>
          <w:numId w:val="0"/>
        </w:numPr>
        <w:spacing w:before="0" w:after="0"/>
        <w:rPr>
          <w:color w:val="auto"/>
          <w:lang w:val="en-US"/>
        </w:rPr>
      </w:pPr>
    </w:p>
    <w:p w14:paraId="3041BD38" w14:textId="7E0ACC56" w:rsidR="009567D9" w:rsidRPr="00954547" w:rsidRDefault="00C12B7A" w:rsidP="000365EC">
      <w:pPr>
        <w:pStyle w:val="Default"/>
        <w:numPr>
          <w:ilvl w:val="0"/>
          <w:numId w:val="23"/>
        </w:numPr>
        <w:ind w:left="0" w:firstLine="0"/>
        <w:jc w:val="both"/>
        <w:rPr>
          <w:color w:val="auto"/>
          <w:sz w:val="20"/>
          <w:szCs w:val="20"/>
          <w:lang w:val="en-US"/>
        </w:rPr>
      </w:pPr>
      <w:r w:rsidRPr="00954547">
        <w:rPr>
          <w:color w:val="auto"/>
          <w:sz w:val="20"/>
          <w:szCs w:val="20"/>
          <w:lang w:val="en-US"/>
        </w:rPr>
        <w:t xml:space="preserve">It </w:t>
      </w:r>
      <w:r w:rsidR="009567D9" w:rsidRPr="00954547">
        <w:rPr>
          <w:color w:val="auto"/>
          <w:sz w:val="20"/>
          <w:szCs w:val="20"/>
          <w:lang w:val="en-US"/>
        </w:rPr>
        <w:t xml:space="preserve">should also be recalled that the </w:t>
      </w:r>
      <w:r w:rsidR="00BD6506" w:rsidRPr="00954547">
        <w:rPr>
          <w:color w:val="auto"/>
          <w:sz w:val="20"/>
          <w:szCs w:val="20"/>
          <w:lang w:val="en-US"/>
        </w:rPr>
        <w:t>C</w:t>
      </w:r>
      <w:r w:rsidR="009567D9" w:rsidRPr="00954547">
        <w:rPr>
          <w:color w:val="auto"/>
          <w:sz w:val="20"/>
          <w:szCs w:val="20"/>
          <w:lang w:val="en-US"/>
        </w:rPr>
        <w:t xml:space="preserve">ourt has not directly stated that abortion would be a right. It has only indicated that “the embryo cannot be understood to be a person,” that “conception </w:t>
      </w:r>
      <w:r w:rsidR="00DC15AF" w:rsidRPr="00954547">
        <w:rPr>
          <w:color w:val="auto"/>
          <w:sz w:val="20"/>
          <w:szCs w:val="20"/>
          <w:lang w:val="en-US"/>
        </w:rPr>
        <w:t>[…]</w:t>
      </w:r>
      <w:r w:rsidR="009567D9" w:rsidRPr="00954547">
        <w:rPr>
          <w:color w:val="auto"/>
          <w:sz w:val="20"/>
          <w:szCs w:val="20"/>
          <w:lang w:val="en-US"/>
        </w:rPr>
        <w:t xml:space="preserve"> </w:t>
      </w:r>
      <w:r w:rsidR="00BD6506" w:rsidRPr="00954547">
        <w:rPr>
          <w:color w:val="auto"/>
          <w:sz w:val="20"/>
          <w:szCs w:val="20"/>
          <w:lang w:val="en-US"/>
        </w:rPr>
        <w:t>occurs</w:t>
      </w:r>
      <w:r w:rsidR="009567D9" w:rsidRPr="00954547">
        <w:rPr>
          <w:color w:val="auto"/>
          <w:sz w:val="20"/>
          <w:szCs w:val="20"/>
          <w:lang w:val="en-US"/>
        </w:rPr>
        <w:t xml:space="preserve"> at the moment</w:t>
      </w:r>
      <w:r w:rsidR="00BD6506" w:rsidRPr="00954547">
        <w:rPr>
          <w:color w:val="auto"/>
          <w:sz w:val="20"/>
          <w:szCs w:val="20"/>
          <w:lang w:val="en-US"/>
        </w:rPr>
        <w:t xml:space="preserve"> when</w:t>
      </w:r>
      <w:r w:rsidR="009567D9" w:rsidRPr="00954547">
        <w:rPr>
          <w:color w:val="auto"/>
          <w:sz w:val="20"/>
          <w:szCs w:val="20"/>
          <w:lang w:val="en-US"/>
        </w:rPr>
        <w:t xml:space="preserve"> the embryo </w:t>
      </w:r>
      <w:r w:rsidR="00BD6506" w:rsidRPr="00954547">
        <w:rPr>
          <w:color w:val="auto"/>
          <w:sz w:val="20"/>
          <w:szCs w:val="20"/>
          <w:lang w:val="en-US"/>
        </w:rPr>
        <w:t>becomes</w:t>
      </w:r>
      <w:r w:rsidR="009567D9" w:rsidRPr="00954547">
        <w:rPr>
          <w:color w:val="auto"/>
          <w:sz w:val="20"/>
          <w:szCs w:val="20"/>
          <w:lang w:val="en-US"/>
        </w:rPr>
        <w:t xml:space="preserve"> implanted in the uterus” and that “the protection of the right to life </w:t>
      </w:r>
      <w:r w:rsidR="00DC15AF" w:rsidRPr="00954547">
        <w:rPr>
          <w:color w:val="auto"/>
          <w:sz w:val="20"/>
          <w:szCs w:val="20"/>
          <w:lang w:val="en-US"/>
        </w:rPr>
        <w:t>[…</w:t>
      </w:r>
      <w:r w:rsidR="00BD6506" w:rsidRPr="00954547">
        <w:rPr>
          <w:color w:val="auto"/>
          <w:sz w:val="20"/>
          <w:szCs w:val="20"/>
          <w:lang w:val="en-US"/>
        </w:rPr>
        <w:t xml:space="preserve"> is</w:t>
      </w:r>
      <w:r w:rsidR="00DC15AF" w:rsidRPr="00954547">
        <w:rPr>
          <w:color w:val="auto"/>
          <w:sz w:val="20"/>
          <w:szCs w:val="20"/>
          <w:lang w:val="en-US"/>
        </w:rPr>
        <w:t>]</w:t>
      </w:r>
      <w:r w:rsidR="009567D9" w:rsidRPr="00954547">
        <w:rPr>
          <w:color w:val="auto"/>
          <w:sz w:val="20"/>
          <w:szCs w:val="20"/>
          <w:lang w:val="en-US"/>
        </w:rPr>
        <w:t xml:space="preserve"> gradual and incremental </w:t>
      </w:r>
      <w:r w:rsidR="00BD6506" w:rsidRPr="00954547">
        <w:rPr>
          <w:color w:val="auto"/>
          <w:sz w:val="20"/>
          <w:szCs w:val="20"/>
          <w:lang w:val="en-US"/>
        </w:rPr>
        <w:t>according to</w:t>
      </w:r>
      <w:r w:rsidR="009567D9" w:rsidRPr="00954547">
        <w:rPr>
          <w:color w:val="auto"/>
          <w:sz w:val="20"/>
          <w:szCs w:val="20"/>
          <w:lang w:val="en-US"/>
        </w:rPr>
        <w:t xml:space="preserve"> its development.</w:t>
      </w:r>
      <w:r w:rsidR="00A402C7" w:rsidRPr="00954547">
        <w:rPr>
          <w:rFonts w:eastAsia="Times New Roman" w:cs="Times New Roman"/>
          <w:i/>
          <w:color w:val="auto"/>
          <w:sz w:val="20"/>
          <w:szCs w:val="20"/>
          <w:lang w:val="en-US" w:eastAsia="es-ES"/>
        </w:rPr>
        <w:t>”</w:t>
      </w:r>
      <w:r w:rsidR="00A402C7" w:rsidRPr="00954547">
        <w:rPr>
          <w:rStyle w:val="FootnoteReference"/>
          <w:rFonts w:eastAsia="Calibri" w:cs="Times New Roman"/>
          <w:color w:val="auto"/>
          <w:sz w:val="20"/>
          <w:szCs w:val="20"/>
          <w:lang w:val="en-US" w:eastAsia="de-DE"/>
        </w:rPr>
        <w:footnoteReference w:id="504"/>
      </w:r>
      <w:r w:rsidR="009567D9" w:rsidRPr="00954547">
        <w:rPr>
          <w:rFonts w:eastAsia="Times New Roman" w:cs="Times New Roman"/>
          <w:i/>
          <w:color w:val="auto"/>
          <w:sz w:val="20"/>
          <w:szCs w:val="20"/>
          <w:lang w:val="en-US" w:eastAsia="es-ES"/>
        </w:rPr>
        <w:t xml:space="preserve"> </w:t>
      </w:r>
      <w:r w:rsidR="009567D9" w:rsidRPr="00954547">
        <w:rPr>
          <w:rFonts w:eastAsia="Times New Roman" w:cs="Times New Roman"/>
          <w:iCs/>
          <w:color w:val="auto"/>
          <w:sz w:val="20"/>
          <w:szCs w:val="20"/>
          <w:lang w:val="en-US" w:eastAsia="es-ES"/>
        </w:rPr>
        <w:t xml:space="preserve">All of which could evidently be used as </w:t>
      </w:r>
      <w:r w:rsidR="00FF6AD9" w:rsidRPr="00954547">
        <w:rPr>
          <w:rFonts w:eastAsia="Times New Roman" w:cs="Times New Roman"/>
          <w:iCs/>
          <w:color w:val="auto"/>
          <w:sz w:val="20"/>
          <w:szCs w:val="20"/>
          <w:lang w:val="en-US" w:eastAsia="es-ES"/>
        </w:rPr>
        <w:t>an</w:t>
      </w:r>
      <w:r w:rsidR="009567D9" w:rsidRPr="00954547">
        <w:rPr>
          <w:rFonts w:eastAsia="Times New Roman" w:cs="Times New Roman"/>
          <w:iCs/>
          <w:color w:val="auto"/>
          <w:sz w:val="20"/>
          <w:szCs w:val="20"/>
          <w:lang w:val="en-US" w:eastAsia="es-ES"/>
        </w:rPr>
        <w:t xml:space="preserve"> argument to promote recognition of abortion as a right. On this basis, the undersigned expressed his dis</w:t>
      </w:r>
      <w:r w:rsidR="00FF6AD9" w:rsidRPr="00954547">
        <w:rPr>
          <w:rFonts w:eastAsia="Times New Roman" w:cs="Times New Roman"/>
          <w:iCs/>
          <w:color w:val="auto"/>
          <w:sz w:val="20"/>
          <w:szCs w:val="20"/>
          <w:lang w:val="en-US" w:eastAsia="es-ES"/>
        </w:rPr>
        <w:t>crepancy</w:t>
      </w:r>
      <w:r w:rsidR="009567D9" w:rsidRPr="00954547">
        <w:rPr>
          <w:rFonts w:eastAsia="Times New Roman" w:cs="Times New Roman"/>
          <w:iCs/>
          <w:color w:val="auto"/>
          <w:sz w:val="20"/>
          <w:szCs w:val="20"/>
          <w:lang w:val="en-US" w:eastAsia="es-ES"/>
        </w:rPr>
        <w:t xml:space="preserve"> in his corresponding dissenting opinion.</w:t>
      </w:r>
      <w:r w:rsidR="009567D9" w:rsidRPr="00954547">
        <w:rPr>
          <w:rStyle w:val="FootnoteReference"/>
          <w:rFonts w:eastAsia="Calibri" w:cs="Times New Roman"/>
          <w:color w:val="auto"/>
          <w:sz w:val="20"/>
          <w:szCs w:val="20"/>
          <w:lang w:val="en-US" w:eastAsia="de-DE"/>
        </w:rPr>
        <w:footnoteReference w:id="505"/>
      </w:r>
    </w:p>
    <w:p w14:paraId="1D50619F" w14:textId="42FE943C" w:rsidR="00A402C7" w:rsidRPr="00954547" w:rsidRDefault="00A402C7" w:rsidP="009567D9">
      <w:pPr>
        <w:pStyle w:val="Default"/>
        <w:autoSpaceDE/>
        <w:autoSpaceDN/>
        <w:adjustRightInd/>
        <w:jc w:val="both"/>
        <w:rPr>
          <w:color w:val="auto"/>
          <w:sz w:val="20"/>
          <w:szCs w:val="20"/>
          <w:lang w:val="en-US"/>
        </w:rPr>
      </w:pPr>
    </w:p>
    <w:p w14:paraId="4F818121" w14:textId="02A8498F" w:rsidR="00734C98" w:rsidRPr="00954547" w:rsidRDefault="00B65296" w:rsidP="000365EC">
      <w:pPr>
        <w:pStyle w:val="Default"/>
        <w:numPr>
          <w:ilvl w:val="0"/>
          <w:numId w:val="23"/>
        </w:numPr>
        <w:ind w:left="0" w:firstLine="0"/>
        <w:jc w:val="both"/>
        <w:rPr>
          <w:color w:val="auto"/>
          <w:sz w:val="20"/>
          <w:szCs w:val="20"/>
          <w:lang w:val="en-US"/>
        </w:rPr>
      </w:pPr>
      <w:r w:rsidRPr="00954547">
        <w:rPr>
          <w:color w:val="auto"/>
          <w:sz w:val="20"/>
          <w:szCs w:val="20"/>
          <w:lang w:val="en-US"/>
        </w:rPr>
        <w:t xml:space="preserve">Lastly, it is necessary to stress the circumstance that none of those who intervened in this case – that is, victims, State and Commission – included an opinion on abortion in their respective briefs submitted to the Court. In this regard, it could be said that the judgment incurred in </w:t>
      </w:r>
      <w:r w:rsidR="00A402C7" w:rsidRPr="00954547">
        <w:rPr>
          <w:i/>
          <w:color w:val="auto"/>
          <w:sz w:val="20"/>
          <w:szCs w:val="20"/>
          <w:lang w:val="en-US"/>
        </w:rPr>
        <w:t>ultra</w:t>
      </w:r>
      <w:r w:rsidR="00FF6AD9" w:rsidRPr="00954547">
        <w:rPr>
          <w:i/>
          <w:color w:val="auto"/>
          <w:sz w:val="20"/>
          <w:szCs w:val="20"/>
          <w:lang w:val="en-US"/>
        </w:rPr>
        <w:t xml:space="preserve"> </w:t>
      </w:r>
      <w:r w:rsidR="00A402C7" w:rsidRPr="00954547">
        <w:rPr>
          <w:i/>
          <w:color w:val="auto"/>
          <w:sz w:val="20"/>
          <w:szCs w:val="20"/>
          <w:lang w:val="en-US"/>
        </w:rPr>
        <w:t>petita.</w:t>
      </w:r>
      <w:r w:rsidR="00A402C7" w:rsidRPr="00954547">
        <w:rPr>
          <w:color w:val="auto"/>
          <w:sz w:val="20"/>
          <w:szCs w:val="20"/>
          <w:lang w:val="en-US"/>
        </w:rPr>
        <w:t xml:space="preserve"> </w:t>
      </w:r>
    </w:p>
    <w:p w14:paraId="4673B554" w14:textId="77777777" w:rsidR="00734C98" w:rsidRPr="00954547" w:rsidRDefault="00734C98" w:rsidP="009567D9">
      <w:pPr>
        <w:pStyle w:val="ListParagraph"/>
        <w:numPr>
          <w:ilvl w:val="0"/>
          <w:numId w:val="0"/>
        </w:numPr>
        <w:spacing w:before="0" w:after="0"/>
        <w:rPr>
          <w:color w:val="auto"/>
          <w:lang w:val="en-US"/>
        </w:rPr>
      </w:pPr>
    </w:p>
    <w:p w14:paraId="2F6C7016" w14:textId="5BF04393" w:rsidR="00A402C7" w:rsidRPr="00954547" w:rsidRDefault="00B65296" w:rsidP="000365EC">
      <w:pPr>
        <w:pStyle w:val="Default"/>
        <w:numPr>
          <w:ilvl w:val="0"/>
          <w:numId w:val="23"/>
        </w:numPr>
        <w:ind w:left="0" w:firstLine="0"/>
        <w:jc w:val="both"/>
        <w:rPr>
          <w:color w:val="auto"/>
          <w:sz w:val="20"/>
          <w:szCs w:val="20"/>
          <w:lang w:val="en-US"/>
        </w:rPr>
      </w:pPr>
      <w:r w:rsidRPr="00954547">
        <w:rPr>
          <w:color w:val="auto"/>
          <w:sz w:val="20"/>
          <w:szCs w:val="20"/>
          <w:lang w:val="en-US"/>
        </w:rPr>
        <w:t xml:space="preserve">Based on </w:t>
      </w:r>
      <w:r w:rsidR="00FF6AD9" w:rsidRPr="00954547">
        <w:rPr>
          <w:color w:val="auto"/>
          <w:sz w:val="20"/>
          <w:szCs w:val="20"/>
          <w:lang w:val="en-US"/>
        </w:rPr>
        <w:t xml:space="preserve">the </w:t>
      </w:r>
      <w:r w:rsidRPr="00954547">
        <w:rPr>
          <w:color w:val="auto"/>
          <w:sz w:val="20"/>
          <w:szCs w:val="20"/>
          <w:lang w:val="en-US"/>
        </w:rPr>
        <w:t>above, it may be concluded that the allusions to abortion in the judgment are inappropriate and unnecessary, and even weaken the arguments that it includes on the unlawful nature of the State’s conduct with regard to the victim in th</w:t>
      </w:r>
      <w:r w:rsidR="00FF6AD9" w:rsidRPr="00954547">
        <w:rPr>
          <w:color w:val="auto"/>
          <w:sz w:val="20"/>
          <w:szCs w:val="20"/>
          <w:lang w:val="en-US"/>
        </w:rPr>
        <w:t>is</w:t>
      </w:r>
      <w:r w:rsidRPr="00954547">
        <w:rPr>
          <w:color w:val="auto"/>
          <w:sz w:val="20"/>
          <w:szCs w:val="20"/>
          <w:lang w:val="en-US"/>
        </w:rPr>
        <w:t xml:space="preserve"> case.</w:t>
      </w:r>
    </w:p>
    <w:p w14:paraId="6E14C425" w14:textId="38BDF0E1" w:rsidR="00A402C7" w:rsidRPr="00954547" w:rsidRDefault="00A402C7" w:rsidP="00A402C7">
      <w:pPr>
        <w:pStyle w:val="Default"/>
        <w:jc w:val="right"/>
        <w:rPr>
          <w:color w:val="auto"/>
          <w:sz w:val="20"/>
          <w:szCs w:val="20"/>
          <w:lang w:val="en-US"/>
        </w:rPr>
      </w:pPr>
    </w:p>
    <w:p w14:paraId="69CEAB65" w14:textId="77777777" w:rsidR="00E24AFE" w:rsidRPr="00954547" w:rsidRDefault="00E24AFE" w:rsidP="00A402C7">
      <w:pPr>
        <w:pStyle w:val="Default"/>
        <w:jc w:val="right"/>
        <w:rPr>
          <w:color w:val="auto"/>
          <w:sz w:val="20"/>
          <w:szCs w:val="20"/>
          <w:lang w:val="en-US"/>
        </w:rPr>
      </w:pPr>
    </w:p>
    <w:p w14:paraId="233CA658" w14:textId="77777777" w:rsidR="00E24AFE" w:rsidRPr="00954547" w:rsidRDefault="00E24AFE" w:rsidP="00A402C7">
      <w:pPr>
        <w:pStyle w:val="Default"/>
        <w:jc w:val="right"/>
        <w:rPr>
          <w:color w:val="auto"/>
          <w:sz w:val="20"/>
          <w:szCs w:val="20"/>
          <w:lang w:val="en-US"/>
        </w:rPr>
      </w:pPr>
    </w:p>
    <w:p w14:paraId="2DB5BC93" w14:textId="77777777" w:rsidR="00A402C7" w:rsidRPr="00954547" w:rsidRDefault="00A402C7" w:rsidP="00A402C7">
      <w:pPr>
        <w:pStyle w:val="Default"/>
        <w:jc w:val="right"/>
        <w:rPr>
          <w:color w:val="auto"/>
          <w:sz w:val="20"/>
          <w:szCs w:val="20"/>
          <w:lang w:val="pt-BR"/>
        </w:rPr>
      </w:pPr>
      <w:r w:rsidRPr="00954547">
        <w:rPr>
          <w:color w:val="auto"/>
          <w:sz w:val="20"/>
          <w:szCs w:val="20"/>
          <w:lang w:val="pt-BR"/>
        </w:rPr>
        <w:t>Eduardo Vio Grossi</w:t>
      </w:r>
    </w:p>
    <w:p w14:paraId="30101411" w14:textId="24663DFB" w:rsidR="00A402C7" w:rsidRPr="00954547" w:rsidRDefault="00A42A4C" w:rsidP="00A402C7">
      <w:pPr>
        <w:pStyle w:val="Default"/>
        <w:ind w:left="6372" w:firstLine="708"/>
        <w:jc w:val="center"/>
        <w:rPr>
          <w:color w:val="auto"/>
          <w:sz w:val="20"/>
          <w:szCs w:val="20"/>
          <w:lang w:val="pt-BR"/>
        </w:rPr>
      </w:pPr>
      <w:r w:rsidRPr="00954547">
        <w:rPr>
          <w:color w:val="auto"/>
          <w:sz w:val="20"/>
          <w:szCs w:val="20"/>
          <w:lang w:val="pt-BR"/>
        </w:rPr>
        <w:t>Judge</w:t>
      </w:r>
    </w:p>
    <w:p w14:paraId="73DEA0A5" w14:textId="77777777" w:rsidR="00A402C7" w:rsidRPr="00954547" w:rsidRDefault="00A402C7" w:rsidP="00A402C7">
      <w:pPr>
        <w:tabs>
          <w:tab w:val="left" w:pos="2945"/>
        </w:tabs>
        <w:ind w:left="142"/>
        <w:jc w:val="both"/>
        <w:rPr>
          <w:rFonts w:ascii="Verdana" w:hAnsi="Verdana" w:cs="Arial"/>
          <w:i/>
          <w:sz w:val="20"/>
          <w:szCs w:val="20"/>
          <w:shd w:val="clear" w:color="auto" w:fill="FFFFFF"/>
          <w:lang w:val="pt-BR"/>
        </w:rPr>
      </w:pPr>
      <w:r w:rsidRPr="00954547">
        <w:rPr>
          <w:rFonts w:ascii="Verdana" w:hAnsi="Verdana" w:cs="Arial"/>
          <w:i/>
          <w:sz w:val="20"/>
          <w:szCs w:val="20"/>
          <w:shd w:val="clear" w:color="auto" w:fill="FFFFFF"/>
          <w:lang w:val="pt-BR"/>
        </w:rPr>
        <w:tab/>
      </w:r>
    </w:p>
    <w:p w14:paraId="3EC5DD4B" w14:textId="77777777" w:rsidR="00A402C7" w:rsidRPr="00954547" w:rsidRDefault="00A402C7" w:rsidP="00A402C7">
      <w:pPr>
        <w:rPr>
          <w:rFonts w:ascii="Verdana" w:eastAsia="Times" w:hAnsi="Verdana" w:cs="Times"/>
          <w:sz w:val="20"/>
          <w:szCs w:val="20"/>
          <w:lang w:val="pt-BR"/>
        </w:rPr>
      </w:pPr>
      <w:r w:rsidRPr="00954547">
        <w:rPr>
          <w:rFonts w:ascii="Verdana" w:eastAsia="Times" w:hAnsi="Verdana" w:cs="Times"/>
          <w:sz w:val="20"/>
          <w:szCs w:val="20"/>
          <w:lang w:val="pt-BR"/>
        </w:rPr>
        <w:t>Pablo Saavedra Alessandri</w:t>
      </w:r>
    </w:p>
    <w:p w14:paraId="636FEF9B" w14:textId="1985B002" w:rsidR="00A402C7" w:rsidRPr="00954547" w:rsidRDefault="00A42A4C" w:rsidP="00E24AFE">
      <w:pPr>
        <w:ind w:firstLine="708"/>
        <w:rPr>
          <w:rFonts w:ascii="Verdana" w:eastAsia="Times" w:hAnsi="Verdana" w:cs="Times"/>
          <w:sz w:val="20"/>
          <w:szCs w:val="20"/>
        </w:rPr>
      </w:pPr>
      <w:r w:rsidRPr="00954547">
        <w:rPr>
          <w:rFonts w:ascii="Verdana" w:eastAsia="Times" w:hAnsi="Verdana" w:cs="Times"/>
          <w:sz w:val="20"/>
          <w:szCs w:val="20"/>
        </w:rPr>
        <w:t>Secretary</w:t>
      </w:r>
    </w:p>
    <w:p w14:paraId="68BED500" w14:textId="77777777" w:rsidR="005D0AC0" w:rsidRPr="00954547" w:rsidRDefault="005D0AC0" w:rsidP="001F796A">
      <w:pPr>
        <w:pStyle w:val="Numberedparagraphs"/>
        <w:numPr>
          <w:ilvl w:val="0"/>
          <w:numId w:val="0"/>
        </w:numPr>
        <w:tabs>
          <w:tab w:val="left" w:pos="567"/>
        </w:tabs>
        <w:rPr>
          <w:rFonts w:cs="Times"/>
          <w:lang w:val="en-US" w:eastAsia="es-CR"/>
        </w:rPr>
        <w:sectPr w:rsidR="005D0AC0" w:rsidRPr="00954547" w:rsidSect="005A05B2">
          <w:footerReference w:type="default" r:id="rId10"/>
          <w:footnotePr>
            <w:numRestart w:val="eachSect"/>
          </w:footnotePr>
          <w:pgSz w:w="12240" w:h="15840"/>
          <w:pgMar w:top="1417" w:right="1608" w:bottom="1417" w:left="1701" w:header="708" w:footer="708" w:gutter="0"/>
          <w:pgNumType w:start="1"/>
          <w:cols w:space="708"/>
          <w:docGrid w:linePitch="360"/>
        </w:sectPr>
      </w:pPr>
    </w:p>
    <w:p w14:paraId="206B5DB0" w14:textId="77777777" w:rsidR="006B06E2" w:rsidRPr="00954547" w:rsidRDefault="006B06E2" w:rsidP="004110D3">
      <w:pPr>
        <w:tabs>
          <w:tab w:val="left" w:pos="709"/>
        </w:tabs>
        <w:jc w:val="center"/>
        <w:rPr>
          <w:rFonts w:ascii="Verdana" w:hAnsi="Verdana"/>
          <w:b/>
          <w:sz w:val="20"/>
          <w:szCs w:val="20"/>
        </w:rPr>
      </w:pPr>
    </w:p>
    <w:p w14:paraId="3A5E91A7" w14:textId="2B5D4BB9" w:rsidR="006B06E2" w:rsidRPr="00954547" w:rsidRDefault="006B06E2" w:rsidP="00FF6AD9">
      <w:pPr>
        <w:tabs>
          <w:tab w:val="left" w:pos="709"/>
        </w:tabs>
        <w:rPr>
          <w:rFonts w:ascii="Verdana" w:hAnsi="Verdana"/>
          <w:b/>
          <w:sz w:val="20"/>
          <w:szCs w:val="20"/>
        </w:rPr>
      </w:pPr>
    </w:p>
    <w:p w14:paraId="352ED292" w14:textId="77777777" w:rsidR="00FF6AD9" w:rsidRPr="00954547" w:rsidRDefault="00FF6AD9" w:rsidP="00FF6AD9">
      <w:pPr>
        <w:tabs>
          <w:tab w:val="left" w:pos="709"/>
        </w:tabs>
        <w:rPr>
          <w:rFonts w:ascii="Verdana" w:hAnsi="Verdana"/>
          <w:b/>
          <w:sz w:val="20"/>
          <w:szCs w:val="20"/>
        </w:rPr>
      </w:pPr>
    </w:p>
    <w:p w14:paraId="6BB1A2EC" w14:textId="77777777" w:rsidR="006B06E2" w:rsidRPr="00954547" w:rsidRDefault="006B06E2" w:rsidP="004110D3">
      <w:pPr>
        <w:tabs>
          <w:tab w:val="left" w:pos="709"/>
        </w:tabs>
        <w:jc w:val="center"/>
        <w:rPr>
          <w:rFonts w:ascii="Verdana" w:hAnsi="Verdana"/>
          <w:b/>
          <w:sz w:val="20"/>
          <w:szCs w:val="20"/>
        </w:rPr>
      </w:pPr>
    </w:p>
    <w:p w14:paraId="3B58FF04" w14:textId="59068F3B" w:rsidR="005D0AC0" w:rsidRPr="00954547" w:rsidRDefault="002871EC" w:rsidP="004110D3">
      <w:pPr>
        <w:tabs>
          <w:tab w:val="left" w:pos="709"/>
        </w:tabs>
        <w:jc w:val="center"/>
        <w:rPr>
          <w:rFonts w:ascii="Verdana" w:hAnsi="Verdana"/>
          <w:b/>
          <w:sz w:val="20"/>
          <w:szCs w:val="20"/>
        </w:rPr>
      </w:pPr>
      <w:r w:rsidRPr="00954547">
        <w:rPr>
          <w:rFonts w:ascii="Verdana" w:hAnsi="Verdana"/>
          <w:b/>
          <w:sz w:val="20"/>
          <w:szCs w:val="20"/>
        </w:rPr>
        <w:t xml:space="preserve">CONCURRING OPINION OF </w:t>
      </w:r>
      <w:r w:rsidR="00A42A4C" w:rsidRPr="00954547">
        <w:rPr>
          <w:rFonts w:ascii="Verdana" w:hAnsi="Verdana"/>
          <w:b/>
          <w:sz w:val="20"/>
          <w:szCs w:val="20"/>
        </w:rPr>
        <w:t>JUDGE</w:t>
      </w:r>
      <w:r w:rsidR="005D0AC0" w:rsidRPr="00954547">
        <w:rPr>
          <w:rFonts w:ascii="Verdana" w:hAnsi="Verdana"/>
          <w:b/>
          <w:sz w:val="20"/>
          <w:szCs w:val="20"/>
        </w:rPr>
        <w:t xml:space="preserve"> HUMBERTO ANTONIO SIERRA PORTO</w:t>
      </w:r>
    </w:p>
    <w:p w14:paraId="582D19DD" w14:textId="77777777" w:rsidR="006B06E2" w:rsidRPr="00954547" w:rsidRDefault="006B06E2" w:rsidP="004110D3">
      <w:pPr>
        <w:ind w:left="284"/>
        <w:jc w:val="center"/>
        <w:rPr>
          <w:rFonts w:ascii="Verdana" w:eastAsia="MS Mincho" w:hAnsi="Verdana"/>
          <w:b/>
          <w:sz w:val="20"/>
          <w:szCs w:val="20"/>
          <w:lang w:eastAsia="es-CR"/>
        </w:rPr>
      </w:pPr>
    </w:p>
    <w:p w14:paraId="7895566E" w14:textId="5B6BF89A" w:rsidR="005D0AC0" w:rsidRPr="00954547" w:rsidRDefault="003940FE" w:rsidP="004110D3">
      <w:pPr>
        <w:ind w:left="284"/>
        <w:jc w:val="center"/>
        <w:rPr>
          <w:rFonts w:ascii="Verdana" w:eastAsia="MS Mincho" w:hAnsi="Verdana"/>
          <w:b/>
          <w:sz w:val="20"/>
          <w:szCs w:val="20"/>
          <w:lang w:eastAsia="es-CR"/>
        </w:rPr>
      </w:pPr>
      <w:r w:rsidRPr="00954547">
        <w:rPr>
          <w:rFonts w:ascii="Verdana" w:eastAsia="MS Mincho" w:hAnsi="Verdana"/>
          <w:b/>
          <w:sz w:val="20"/>
          <w:szCs w:val="20"/>
          <w:lang w:eastAsia="es-CR"/>
        </w:rPr>
        <w:t>INTER-AMERICAN COURT OF HUMAN RIGHTS</w:t>
      </w:r>
    </w:p>
    <w:p w14:paraId="7E215762" w14:textId="77777777" w:rsidR="006B06E2" w:rsidRPr="00954547" w:rsidRDefault="006B06E2" w:rsidP="004110D3">
      <w:pPr>
        <w:pStyle w:val="NormalWeb"/>
        <w:spacing w:before="0" w:beforeAutospacing="0" w:after="0" w:afterAutospacing="0"/>
        <w:jc w:val="center"/>
        <w:rPr>
          <w:rFonts w:ascii="Verdana" w:hAnsi="Verdana"/>
          <w:b/>
          <w:bCs/>
          <w:sz w:val="20"/>
          <w:szCs w:val="20"/>
          <w:lang w:val="en-US"/>
        </w:rPr>
      </w:pPr>
    </w:p>
    <w:p w14:paraId="1421A5DC" w14:textId="60510720" w:rsidR="005D0AC0" w:rsidRPr="00954547" w:rsidRDefault="005D0AC0" w:rsidP="004110D3">
      <w:pPr>
        <w:pStyle w:val="NormalWeb"/>
        <w:spacing w:before="0" w:beforeAutospacing="0" w:after="0" w:afterAutospacing="0"/>
        <w:jc w:val="center"/>
        <w:rPr>
          <w:rFonts w:ascii="Verdana" w:hAnsi="Verdana"/>
          <w:b/>
          <w:bCs/>
          <w:sz w:val="20"/>
          <w:szCs w:val="20"/>
        </w:rPr>
      </w:pPr>
      <w:r w:rsidRPr="00954547">
        <w:rPr>
          <w:rFonts w:ascii="Verdana" w:hAnsi="Verdana"/>
          <w:b/>
          <w:bCs/>
          <w:sz w:val="20"/>
          <w:szCs w:val="20"/>
        </w:rPr>
        <w:t>CAS</w:t>
      </w:r>
      <w:r w:rsidR="002871EC" w:rsidRPr="00954547">
        <w:rPr>
          <w:rFonts w:ascii="Verdana" w:hAnsi="Verdana"/>
          <w:b/>
          <w:bCs/>
          <w:sz w:val="20"/>
          <w:szCs w:val="20"/>
        </w:rPr>
        <w:t>E OF</w:t>
      </w:r>
      <w:r w:rsidRPr="00954547">
        <w:rPr>
          <w:rFonts w:ascii="Verdana" w:hAnsi="Verdana"/>
          <w:b/>
          <w:bCs/>
          <w:sz w:val="20"/>
          <w:szCs w:val="20"/>
        </w:rPr>
        <w:t xml:space="preserve"> MANUELA </w:t>
      </w:r>
      <w:r w:rsidR="00B8393C" w:rsidRPr="00954547">
        <w:rPr>
          <w:rFonts w:ascii="Verdana" w:hAnsi="Verdana"/>
          <w:b/>
          <w:bCs/>
          <w:i/>
          <w:iCs/>
          <w:sz w:val="20"/>
          <w:szCs w:val="20"/>
        </w:rPr>
        <w:t>ET AL. V.</w:t>
      </w:r>
      <w:r w:rsidRPr="00954547">
        <w:rPr>
          <w:rFonts w:ascii="Verdana" w:hAnsi="Verdana"/>
          <w:b/>
          <w:bCs/>
          <w:sz w:val="20"/>
          <w:szCs w:val="20"/>
        </w:rPr>
        <w:t xml:space="preserve"> EL SALVADOR</w:t>
      </w:r>
    </w:p>
    <w:p w14:paraId="1F8B3988" w14:textId="77777777" w:rsidR="00FF6AD9" w:rsidRPr="00954547" w:rsidRDefault="00FF6AD9" w:rsidP="004110D3">
      <w:pPr>
        <w:pStyle w:val="NormalWeb"/>
        <w:spacing w:before="0" w:beforeAutospacing="0" w:after="0" w:afterAutospacing="0"/>
        <w:jc w:val="center"/>
        <w:rPr>
          <w:rFonts w:ascii="Verdana" w:hAnsi="Verdana"/>
          <w:b/>
          <w:bCs/>
          <w:sz w:val="20"/>
          <w:szCs w:val="20"/>
        </w:rPr>
      </w:pPr>
    </w:p>
    <w:p w14:paraId="69E4B1FA" w14:textId="48A380F2" w:rsidR="005D0AC0" w:rsidRPr="00954547" w:rsidRDefault="003940FE" w:rsidP="004110D3">
      <w:pPr>
        <w:pStyle w:val="NormalWeb"/>
        <w:spacing w:before="0" w:beforeAutospacing="0" w:after="0" w:afterAutospacing="0"/>
        <w:jc w:val="center"/>
        <w:rPr>
          <w:lang w:val="en-US"/>
        </w:rPr>
      </w:pPr>
      <w:r w:rsidRPr="00954547">
        <w:rPr>
          <w:rFonts w:ascii="Verdana" w:hAnsi="Verdana"/>
          <w:b/>
          <w:bCs/>
          <w:sz w:val="20"/>
          <w:szCs w:val="20"/>
          <w:lang w:val="en-US"/>
        </w:rPr>
        <w:t>JUDGMENT OF NOVEMBER 2,</w:t>
      </w:r>
      <w:r w:rsidR="005D0AC0" w:rsidRPr="00954547">
        <w:rPr>
          <w:rFonts w:ascii="Verdana" w:hAnsi="Verdana"/>
          <w:b/>
          <w:bCs/>
          <w:sz w:val="20"/>
          <w:szCs w:val="20"/>
          <w:lang w:val="en-US"/>
        </w:rPr>
        <w:t xml:space="preserve"> 2021</w:t>
      </w:r>
    </w:p>
    <w:p w14:paraId="058CA17C" w14:textId="1B5A7FB3" w:rsidR="005D0AC0" w:rsidRPr="00954547" w:rsidRDefault="005D0AC0" w:rsidP="004110D3">
      <w:pPr>
        <w:jc w:val="center"/>
        <w:rPr>
          <w:rFonts w:ascii="Verdana" w:eastAsia="MS Mincho" w:hAnsi="Verdana"/>
          <w:b/>
          <w:i/>
          <w:sz w:val="20"/>
          <w:szCs w:val="20"/>
          <w:lang w:eastAsia="es-CR"/>
        </w:rPr>
      </w:pPr>
      <w:r w:rsidRPr="00954547">
        <w:rPr>
          <w:rFonts w:ascii="Verdana" w:eastAsia="MS Mincho" w:hAnsi="Verdana"/>
          <w:b/>
          <w:i/>
          <w:sz w:val="20"/>
          <w:szCs w:val="20"/>
          <w:lang w:eastAsia="es-CR"/>
        </w:rPr>
        <w:t>(</w:t>
      </w:r>
      <w:r w:rsidR="00A70DC4" w:rsidRPr="00954547">
        <w:rPr>
          <w:rFonts w:ascii="Verdana" w:eastAsia="MS Mincho" w:hAnsi="Verdana"/>
          <w:b/>
          <w:i/>
          <w:sz w:val="20"/>
          <w:szCs w:val="20"/>
          <w:lang w:eastAsia="es-CR"/>
        </w:rPr>
        <w:t>Preliminary objections</w:t>
      </w:r>
      <w:r w:rsidRPr="00954547">
        <w:rPr>
          <w:rFonts w:ascii="Verdana" w:eastAsia="MS Mincho" w:hAnsi="Verdana"/>
          <w:b/>
          <w:i/>
          <w:sz w:val="20"/>
          <w:szCs w:val="20"/>
          <w:lang w:eastAsia="es-CR"/>
        </w:rPr>
        <w:t xml:space="preserve">, </w:t>
      </w:r>
      <w:r w:rsidR="002871EC" w:rsidRPr="00954547">
        <w:rPr>
          <w:rFonts w:ascii="Verdana" w:eastAsia="MS Mincho" w:hAnsi="Verdana"/>
          <w:b/>
          <w:i/>
          <w:sz w:val="20"/>
          <w:szCs w:val="20"/>
          <w:lang w:eastAsia="es-CR"/>
        </w:rPr>
        <w:t>m</w:t>
      </w:r>
      <w:r w:rsidR="00A70DC4" w:rsidRPr="00954547">
        <w:rPr>
          <w:rFonts w:ascii="Verdana" w:eastAsia="MS Mincho" w:hAnsi="Verdana"/>
          <w:b/>
          <w:i/>
          <w:sz w:val="20"/>
          <w:szCs w:val="20"/>
          <w:lang w:eastAsia="es-CR"/>
        </w:rPr>
        <w:t>erits, reparations and costs</w:t>
      </w:r>
      <w:r w:rsidRPr="00954547">
        <w:rPr>
          <w:rFonts w:ascii="Verdana" w:eastAsia="MS Mincho" w:hAnsi="Verdana"/>
          <w:b/>
          <w:i/>
          <w:sz w:val="20"/>
          <w:szCs w:val="20"/>
          <w:lang w:eastAsia="es-CR"/>
        </w:rPr>
        <w:t>)</w:t>
      </w:r>
    </w:p>
    <w:p w14:paraId="7F1BC778" w14:textId="77777777" w:rsidR="005D0AC0" w:rsidRPr="00954547" w:rsidRDefault="005D0AC0" w:rsidP="005D0AC0">
      <w:pPr>
        <w:spacing w:before="80" w:after="120"/>
        <w:jc w:val="center"/>
        <w:rPr>
          <w:rFonts w:ascii="Verdana" w:eastAsia="Batang" w:hAnsi="Verdana" w:cs="Times"/>
          <w:b/>
          <w:i/>
          <w:smallCaps/>
          <w:sz w:val="20"/>
          <w:szCs w:val="20"/>
          <w:lang w:eastAsia="es-CR"/>
        </w:rPr>
      </w:pPr>
    </w:p>
    <w:p w14:paraId="67C033FD" w14:textId="2909B6B9" w:rsidR="005D0AC0" w:rsidRPr="00954547" w:rsidRDefault="00E411E5" w:rsidP="000365EC">
      <w:pPr>
        <w:pStyle w:val="ListParagraph"/>
        <w:numPr>
          <w:ilvl w:val="0"/>
          <w:numId w:val="24"/>
        </w:numPr>
        <w:autoSpaceDE w:val="0"/>
        <w:autoSpaceDN w:val="0"/>
        <w:adjustRightInd w:val="0"/>
        <w:spacing w:before="0" w:after="0"/>
        <w:ind w:left="0" w:firstLine="0"/>
        <w:contextualSpacing/>
        <w:rPr>
          <w:iCs/>
          <w:lang w:val="en-US"/>
        </w:rPr>
      </w:pPr>
      <w:r w:rsidRPr="00954547">
        <w:rPr>
          <w:rFonts w:cs="Times New Roman"/>
          <w:lang w:val="en-US"/>
        </w:rPr>
        <w:t xml:space="preserve">With my usual respect for the majority decisions </w:t>
      </w:r>
      <w:r w:rsidR="00607E12" w:rsidRPr="00954547">
        <w:rPr>
          <w:lang w:val="en-US"/>
        </w:rPr>
        <w:t xml:space="preserve">of the </w:t>
      </w:r>
      <w:r w:rsidR="00E76B1A" w:rsidRPr="00954547">
        <w:rPr>
          <w:lang w:val="en-US"/>
        </w:rPr>
        <w:t>Inter-American Court of Human Rights</w:t>
      </w:r>
      <w:r w:rsidR="005D0AC0" w:rsidRPr="00954547">
        <w:rPr>
          <w:lang w:val="en-US"/>
        </w:rPr>
        <w:t xml:space="preserve"> (</w:t>
      </w:r>
      <w:r w:rsidR="00A42A4C" w:rsidRPr="00954547">
        <w:rPr>
          <w:lang w:val="en-US"/>
        </w:rPr>
        <w:t>hereinafter</w:t>
      </w:r>
      <w:r w:rsidR="005D0AC0" w:rsidRPr="00954547">
        <w:rPr>
          <w:lang w:val="en-US"/>
        </w:rPr>
        <w:t xml:space="preserve"> “</w:t>
      </w:r>
      <w:r w:rsidR="00E76B1A" w:rsidRPr="00954547">
        <w:rPr>
          <w:lang w:val="en-US"/>
        </w:rPr>
        <w:t>the Court</w:t>
      </w:r>
      <w:r w:rsidR="005D0AC0" w:rsidRPr="00954547">
        <w:rPr>
          <w:lang w:val="en-US"/>
        </w:rPr>
        <w:t xml:space="preserve">”), </w:t>
      </w:r>
      <w:r w:rsidRPr="00954547">
        <w:rPr>
          <w:lang w:val="en-US"/>
        </w:rPr>
        <w:t>th</w:t>
      </w:r>
      <w:r w:rsidR="00FF6AD9" w:rsidRPr="00954547">
        <w:rPr>
          <w:lang w:val="en-US"/>
        </w:rPr>
        <w:t>e</w:t>
      </w:r>
      <w:r w:rsidRPr="00954547">
        <w:rPr>
          <w:lang w:val="en-US"/>
        </w:rPr>
        <w:t xml:space="preserve"> purpose of this opinion is to explain my partial discrepancy with the </w:t>
      </w:r>
      <w:r w:rsidR="00F00ACF" w:rsidRPr="00954547">
        <w:rPr>
          <w:lang w:val="en-US"/>
        </w:rPr>
        <w:t>fifth</w:t>
      </w:r>
      <w:r w:rsidRPr="00954547">
        <w:rPr>
          <w:lang w:val="en-US"/>
        </w:rPr>
        <w:t xml:space="preserve"> operative paragraph in which the international responsibility of the State of El Salvador (hereinafter “the State” or “El Salvador”) is declared for the joint violation of the rights to life, personal integrity, privacy, equality before the law and</w:t>
      </w:r>
      <w:r w:rsidR="00176125" w:rsidRPr="00954547">
        <w:rPr>
          <w:lang w:val="en-US"/>
        </w:rPr>
        <w:t xml:space="preserve"> </w:t>
      </w:r>
      <w:r w:rsidRPr="00954547">
        <w:rPr>
          <w:lang w:val="en-US"/>
        </w:rPr>
        <w:t>health in relation to the obligations to respect and to ensure these rights without discrimination and the duty to adopt domestic legal provisions, to the detriment of Manuela. This opinion supplements the position I have already expressed in my partial</w:t>
      </w:r>
      <w:r w:rsidR="00FF6AD9" w:rsidRPr="00954547">
        <w:rPr>
          <w:lang w:val="en-US"/>
        </w:rPr>
        <w:t>ly</w:t>
      </w:r>
      <w:r w:rsidRPr="00954547">
        <w:rPr>
          <w:lang w:val="en-US"/>
        </w:rPr>
        <w:t xml:space="preserve"> dissenting opinions in the cases of </w:t>
      </w:r>
      <w:r w:rsidR="005D0AC0" w:rsidRPr="00954547">
        <w:rPr>
          <w:i/>
          <w:lang w:val="en-US"/>
        </w:rPr>
        <w:t xml:space="preserve">Lagos del Campo </w:t>
      </w:r>
      <w:r w:rsidRPr="00954547">
        <w:rPr>
          <w:i/>
          <w:lang w:val="en-US"/>
        </w:rPr>
        <w:t>v.</w:t>
      </w:r>
      <w:r w:rsidR="005D0AC0" w:rsidRPr="00954547">
        <w:rPr>
          <w:i/>
          <w:lang w:val="en-US"/>
        </w:rPr>
        <w:t xml:space="preserve"> </w:t>
      </w:r>
      <w:r w:rsidRPr="00954547">
        <w:rPr>
          <w:i/>
          <w:lang w:val="en-US"/>
        </w:rPr>
        <w:t>Peru,</w:t>
      </w:r>
      <w:r w:rsidR="005D0AC0" w:rsidRPr="00954547">
        <w:rPr>
          <w:vertAlign w:val="superscript"/>
          <w:lang w:val="en-US"/>
        </w:rPr>
        <w:footnoteReference w:id="506"/>
      </w:r>
      <w:r w:rsidRPr="00954547">
        <w:rPr>
          <w:lang w:val="en-US"/>
        </w:rPr>
        <w:t xml:space="preserve"> the </w:t>
      </w:r>
      <w:r w:rsidRPr="00954547">
        <w:rPr>
          <w:i/>
          <w:iCs/>
          <w:lang w:val="en-US"/>
        </w:rPr>
        <w:t xml:space="preserve">Dismissed </w:t>
      </w:r>
      <w:r w:rsidR="00F00ACF" w:rsidRPr="00954547">
        <w:rPr>
          <w:i/>
          <w:iCs/>
          <w:lang w:val="en-US"/>
        </w:rPr>
        <w:t>Employees</w:t>
      </w:r>
      <w:r w:rsidRPr="00954547">
        <w:rPr>
          <w:i/>
          <w:iCs/>
          <w:lang w:val="en-US"/>
        </w:rPr>
        <w:t xml:space="preserve"> of</w:t>
      </w:r>
      <w:r w:rsidR="005D0AC0" w:rsidRPr="00954547">
        <w:rPr>
          <w:i/>
          <w:iCs/>
          <w:lang w:val="en-US"/>
        </w:rPr>
        <w:t xml:space="preserve"> Petro</w:t>
      </w:r>
      <w:r w:rsidRPr="00954547">
        <w:rPr>
          <w:i/>
          <w:iCs/>
          <w:lang w:val="en-US"/>
        </w:rPr>
        <w:t>Peru</w:t>
      </w:r>
      <w:r w:rsidR="005D0AC0" w:rsidRPr="00954547">
        <w:rPr>
          <w:i/>
          <w:lang w:val="en-US"/>
        </w:rPr>
        <w:t xml:space="preserve"> </w:t>
      </w:r>
      <w:r w:rsidR="00B8393C" w:rsidRPr="00954547">
        <w:rPr>
          <w:i/>
          <w:lang w:val="en-US"/>
        </w:rPr>
        <w:t>et al. v.</w:t>
      </w:r>
      <w:r w:rsidR="005D0AC0" w:rsidRPr="00954547">
        <w:rPr>
          <w:i/>
          <w:lang w:val="en-US"/>
        </w:rPr>
        <w:t xml:space="preserve"> </w:t>
      </w:r>
      <w:r w:rsidRPr="00954547">
        <w:rPr>
          <w:i/>
          <w:lang w:val="en-US"/>
        </w:rPr>
        <w:t>Peru,</w:t>
      </w:r>
      <w:r w:rsidR="005D0AC0" w:rsidRPr="00954547">
        <w:rPr>
          <w:vertAlign w:val="superscript"/>
          <w:lang w:val="en-US"/>
        </w:rPr>
        <w:footnoteReference w:id="507"/>
      </w:r>
      <w:r w:rsidR="005D0AC0" w:rsidRPr="00954547">
        <w:rPr>
          <w:lang w:val="en-US"/>
        </w:rPr>
        <w:t xml:space="preserve"> </w:t>
      </w:r>
      <w:r w:rsidR="005D0AC0" w:rsidRPr="00954547">
        <w:rPr>
          <w:i/>
          <w:lang w:val="en-US"/>
        </w:rPr>
        <w:t>San Miguel Sosa</w:t>
      </w:r>
      <w:r w:rsidR="0078694F" w:rsidRPr="00954547">
        <w:rPr>
          <w:i/>
          <w:lang w:val="en-US"/>
        </w:rPr>
        <w:t xml:space="preserve"> </w:t>
      </w:r>
      <w:r w:rsidRPr="00954547">
        <w:rPr>
          <w:i/>
          <w:lang w:val="en-US"/>
        </w:rPr>
        <w:t>et al.</w:t>
      </w:r>
      <w:r w:rsidR="005D0AC0" w:rsidRPr="00954547">
        <w:rPr>
          <w:i/>
          <w:lang w:val="en-US"/>
        </w:rPr>
        <w:t xml:space="preserve"> </w:t>
      </w:r>
      <w:r w:rsidRPr="00954547">
        <w:rPr>
          <w:i/>
          <w:lang w:val="en-US"/>
        </w:rPr>
        <w:t>v.</w:t>
      </w:r>
      <w:r w:rsidR="005D0AC0" w:rsidRPr="00954547">
        <w:rPr>
          <w:i/>
          <w:lang w:val="en-US"/>
        </w:rPr>
        <w:t xml:space="preserve"> Venezuela</w:t>
      </w:r>
      <w:r w:rsidRPr="00954547">
        <w:rPr>
          <w:i/>
          <w:lang w:val="en-US"/>
        </w:rPr>
        <w:t>,</w:t>
      </w:r>
      <w:r w:rsidR="005D0AC0" w:rsidRPr="00954547">
        <w:rPr>
          <w:vertAlign w:val="superscript"/>
          <w:lang w:val="en-US"/>
        </w:rPr>
        <w:footnoteReference w:id="508"/>
      </w:r>
      <w:r w:rsidR="005D0AC0" w:rsidRPr="00954547">
        <w:rPr>
          <w:lang w:val="en-US"/>
        </w:rPr>
        <w:t xml:space="preserve"> </w:t>
      </w:r>
      <w:r w:rsidR="005D0AC0" w:rsidRPr="00954547">
        <w:rPr>
          <w:i/>
          <w:lang w:val="en-US"/>
        </w:rPr>
        <w:t xml:space="preserve">Cuscul Pivaral </w:t>
      </w:r>
      <w:r w:rsidR="00B8393C" w:rsidRPr="00954547">
        <w:rPr>
          <w:i/>
          <w:lang w:val="en-US"/>
        </w:rPr>
        <w:t>et al. v.</w:t>
      </w:r>
      <w:r w:rsidR="005D0AC0" w:rsidRPr="00954547">
        <w:rPr>
          <w:i/>
          <w:lang w:val="en-US"/>
        </w:rPr>
        <w:t xml:space="preserve"> Guatemala</w:t>
      </w:r>
      <w:r w:rsidRPr="00954547">
        <w:rPr>
          <w:i/>
          <w:lang w:val="en-US"/>
        </w:rPr>
        <w:t>,</w:t>
      </w:r>
      <w:r w:rsidR="005D0AC0" w:rsidRPr="00954547">
        <w:rPr>
          <w:vertAlign w:val="superscript"/>
          <w:lang w:val="en-US"/>
        </w:rPr>
        <w:footnoteReference w:id="509"/>
      </w:r>
      <w:r w:rsidR="005D0AC0" w:rsidRPr="00954547">
        <w:rPr>
          <w:lang w:val="en-US"/>
        </w:rPr>
        <w:t xml:space="preserve"> </w:t>
      </w:r>
      <w:r w:rsidR="005D0AC0" w:rsidRPr="00954547">
        <w:rPr>
          <w:i/>
          <w:lang w:val="en-US"/>
        </w:rPr>
        <w:t xml:space="preserve">Muelle Flores </w:t>
      </w:r>
      <w:r w:rsidRPr="00954547">
        <w:rPr>
          <w:i/>
          <w:lang w:val="en-US"/>
        </w:rPr>
        <w:t>v.</w:t>
      </w:r>
      <w:r w:rsidR="005D0AC0" w:rsidRPr="00954547">
        <w:rPr>
          <w:i/>
          <w:lang w:val="en-US"/>
        </w:rPr>
        <w:t xml:space="preserve"> </w:t>
      </w:r>
      <w:r w:rsidRPr="00954547">
        <w:rPr>
          <w:i/>
          <w:lang w:val="en-US"/>
        </w:rPr>
        <w:t>Peru,</w:t>
      </w:r>
      <w:r w:rsidR="005D0AC0" w:rsidRPr="00954547">
        <w:rPr>
          <w:vertAlign w:val="superscript"/>
          <w:lang w:val="en-US"/>
        </w:rPr>
        <w:footnoteReference w:id="510"/>
      </w:r>
      <w:r w:rsidR="001D4E6E" w:rsidRPr="00954547">
        <w:rPr>
          <w:i/>
          <w:lang w:val="en-US"/>
        </w:rPr>
        <w:t xml:space="preserve"> the National Association of Discharged and Retired Employees of the National Tax Administration Superintendence </w:t>
      </w:r>
      <w:r w:rsidR="005D0AC0" w:rsidRPr="00954547">
        <w:rPr>
          <w:i/>
          <w:lang w:val="en-US"/>
        </w:rPr>
        <w:t xml:space="preserve">(ANCEJUB-SUNAT) </w:t>
      </w:r>
      <w:r w:rsidRPr="00954547">
        <w:rPr>
          <w:i/>
          <w:lang w:val="en-US"/>
        </w:rPr>
        <w:t>v.</w:t>
      </w:r>
      <w:r w:rsidR="005D0AC0" w:rsidRPr="00954547">
        <w:rPr>
          <w:i/>
          <w:lang w:val="en-US"/>
        </w:rPr>
        <w:t xml:space="preserve"> </w:t>
      </w:r>
      <w:r w:rsidRPr="00954547">
        <w:rPr>
          <w:i/>
          <w:lang w:val="en-US"/>
        </w:rPr>
        <w:t>Peru,</w:t>
      </w:r>
      <w:r w:rsidR="005D0AC0" w:rsidRPr="00954547">
        <w:rPr>
          <w:vertAlign w:val="superscript"/>
          <w:lang w:val="en-US"/>
        </w:rPr>
        <w:footnoteReference w:id="511"/>
      </w:r>
      <w:r w:rsidR="005D0AC0" w:rsidRPr="00954547">
        <w:rPr>
          <w:lang w:val="en-US"/>
        </w:rPr>
        <w:t xml:space="preserve"> </w:t>
      </w:r>
      <w:r w:rsidR="005D0AC0" w:rsidRPr="00954547">
        <w:rPr>
          <w:i/>
          <w:lang w:val="en-US"/>
        </w:rPr>
        <w:t xml:space="preserve">Hernández </w:t>
      </w:r>
      <w:r w:rsidRPr="00954547">
        <w:rPr>
          <w:i/>
          <w:lang w:val="en-US"/>
        </w:rPr>
        <w:t>v.</w:t>
      </w:r>
      <w:r w:rsidR="005D0AC0" w:rsidRPr="00954547">
        <w:rPr>
          <w:i/>
          <w:lang w:val="en-US"/>
        </w:rPr>
        <w:t xml:space="preserve"> Argentina</w:t>
      </w:r>
      <w:r w:rsidRPr="00954547">
        <w:rPr>
          <w:i/>
          <w:lang w:val="en-US"/>
        </w:rPr>
        <w:t>,</w:t>
      </w:r>
      <w:r w:rsidR="005D0AC0" w:rsidRPr="00954547">
        <w:rPr>
          <w:vertAlign w:val="superscript"/>
          <w:lang w:val="en-US"/>
        </w:rPr>
        <w:footnoteReference w:id="512"/>
      </w:r>
      <w:r w:rsidRPr="00954547">
        <w:rPr>
          <w:lang w:val="en-US"/>
        </w:rPr>
        <w:t xml:space="preserve"> the</w:t>
      </w:r>
      <w:r w:rsidRPr="00954547">
        <w:rPr>
          <w:i/>
          <w:iCs/>
          <w:lang w:val="en-US"/>
        </w:rPr>
        <w:t xml:space="preserve"> Indigenous Communities of the Lhaka Honhat (Our Land) Association</w:t>
      </w:r>
      <w:r w:rsidRPr="00954547">
        <w:rPr>
          <w:i/>
          <w:lang w:val="en-US"/>
        </w:rPr>
        <w:t xml:space="preserve"> v.</w:t>
      </w:r>
      <w:r w:rsidR="005D0AC0" w:rsidRPr="00954547">
        <w:rPr>
          <w:i/>
          <w:lang w:val="en-US"/>
        </w:rPr>
        <w:t xml:space="preserve"> Argentina</w:t>
      </w:r>
      <w:r w:rsidRPr="00954547">
        <w:rPr>
          <w:i/>
          <w:lang w:val="en-US"/>
        </w:rPr>
        <w:t>,</w:t>
      </w:r>
      <w:r w:rsidR="005D0AC0" w:rsidRPr="00954547">
        <w:rPr>
          <w:vertAlign w:val="superscript"/>
          <w:lang w:val="en-US"/>
        </w:rPr>
        <w:footnoteReference w:id="513"/>
      </w:r>
      <w:r w:rsidR="005D0AC0" w:rsidRPr="00954547">
        <w:rPr>
          <w:i/>
          <w:lang w:val="en-US"/>
        </w:rPr>
        <w:t xml:space="preserve"> Guachalá Chimbo </w:t>
      </w:r>
      <w:r w:rsidR="00B8393C" w:rsidRPr="00954547">
        <w:rPr>
          <w:i/>
          <w:lang w:val="en-US"/>
        </w:rPr>
        <w:t>et al. v.</w:t>
      </w:r>
      <w:r w:rsidR="005D0AC0" w:rsidRPr="00954547">
        <w:rPr>
          <w:i/>
          <w:lang w:val="en-US"/>
        </w:rPr>
        <w:t xml:space="preserve"> Ecuador</w:t>
      </w:r>
      <w:r w:rsidR="005D0AC0" w:rsidRPr="00954547">
        <w:rPr>
          <w:rStyle w:val="FootnoteReference"/>
          <w:i/>
          <w:lang w:val="en-US"/>
        </w:rPr>
        <w:footnoteReference w:id="514"/>
      </w:r>
      <w:r w:rsidR="005D0AC0" w:rsidRPr="00954547">
        <w:rPr>
          <w:lang w:val="en-US"/>
        </w:rPr>
        <w:t xml:space="preserve">; </w:t>
      </w:r>
      <w:r w:rsidRPr="00954547">
        <w:rPr>
          <w:lang w:val="en-US"/>
        </w:rPr>
        <w:t xml:space="preserve">as well an in my concurring opinions in the cases of </w:t>
      </w:r>
      <w:r w:rsidR="005D0AC0" w:rsidRPr="00954547">
        <w:rPr>
          <w:i/>
          <w:lang w:val="en-US"/>
        </w:rPr>
        <w:t xml:space="preserve">Gonzales Lluy </w:t>
      </w:r>
      <w:r w:rsidR="00B8393C" w:rsidRPr="00954547">
        <w:rPr>
          <w:i/>
          <w:lang w:val="en-US"/>
        </w:rPr>
        <w:t>et al. v.</w:t>
      </w:r>
      <w:r w:rsidR="005D0AC0" w:rsidRPr="00954547">
        <w:rPr>
          <w:i/>
          <w:lang w:val="en-US"/>
        </w:rPr>
        <w:t xml:space="preserve"> Ecuador</w:t>
      </w:r>
      <w:r w:rsidRPr="00954547">
        <w:rPr>
          <w:i/>
          <w:lang w:val="en-US"/>
        </w:rPr>
        <w:t>,</w:t>
      </w:r>
      <w:r w:rsidR="005D0AC0" w:rsidRPr="00954547">
        <w:rPr>
          <w:vertAlign w:val="superscript"/>
          <w:lang w:val="en-US"/>
        </w:rPr>
        <w:footnoteReference w:id="515"/>
      </w:r>
      <w:r w:rsidR="005D0AC0" w:rsidRPr="00954547">
        <w:rPr>
          <w:lang w:val="en-US"/>
        </w:rPr>
        <w:t xml:space="preserve"> </w:t>
      </w:r>
      <w:r w:rsidR="005D0AC0" w:rsidRPr="00954547">
        <w:rPr>
          <w:i/>
          <w:lang w:val="en-US"/>
        </w:rPr>
        <w:t xml:space="preserve">Poblete Vilches </w:t>
      </w:r>
      <w:r w:rsidR="00B8393C" w:rsidRPr="00954547">
        <w:rPr>
          <w:i/>
          <w:lang w:val="en-US"/>
        </w:rPr>
        <w:t>et al. v.</w:t>
      </w:r>
      <w:r w:rsidR="005D0AC0" w:rsidRPr="00954547">
        <w:rPr>
          <w:i/>
          <w:lang w:val="en-US"/>
        </w:rPr>
        <w:t xml:space="preserve"> Chile</w:t>
      </w:r>
      <w:r w:rsidRPr="00954547">
        <w:rPr>
          <w:i/>
          <w:lang w:val="en-US"/>
        </w:rPr>
        <w:t>,</w:t>
      </w:r>
      <w:r w:rsidR="005D0AC0" w:rsidRPr="00954547">
        <w:rPr>
          <w:vertAlign w:val="superscript"/>
          <w:lang w:val="en-US"/>
        </w:rPr>
        <w:footnoteReference w:id="516"/>
      </w:r>
      <w:r w:rsidR="005D0AC0" w:rsidRPr="00954547">
        <w:rPr>
          <w:i/>
          <w:lang w:val="en-US"/>
        </w:rPr>
        <w:t xml:space="preserve">  Casa Nina v. </w:t>
      </w:r>
      <w:r w:rsidRPr="00954547">
        <w:rPr>
          <w:i/>
          <w:lang w:val="en-US"/>
        </w:rPr>
        <w:t>Peru</w:t>
      </w:r>
      <w:r w:rsidR="005D0AC0" w:rsidRPr="00954547">
        <w:rPr>
          <w:rStyle w:val="FootnoteReference"/>
          <w:lang w:val="en-US"/>
        </w:rPr>
        <w:footnoteReference w:id="517"/>
      </w:r>
      <w:r w:rsidR="0078694F" w:rsidRPr="00954547">
        <w:rPr>
          <w:lang w:val="en-US"/>
        </w:rPr>
        <w:t xml:space="preserve"> and </w:t>
      </w:r>
      <w:r w:rsidR="005D0AC0" w:rsidRPr="00954547">
        <w:rPr>
          <w:i/>
          <w:lang w:val="en-US"/>
        </w:rPr>
        <w:t xml:space="preserve">Vera Rojas </w:t>
      </w:r>
      <w:r w:rsidR="00B8393C" w:rsidRPr="00954547">
        <w:rPr>
          <w:i/>
          <w:lang w:val="en-US"/>
        </w:rPr>
        <w:t>et al. v.</w:t>
      </w:r>
      <w:r w:rsidR="005D0AC0" w:rsidRPr="00954547">
        <w:rPr>
          <w:i/>
          <w:lang w:val="en-US"/>
        </w:rPr>
        <w:t xml:space="preserve"> Chile</w:t>
      </w:r>
      <w:r w:rsidR="005D0AC0" w:rsidRPr="00954547">
        <w:rPr>
          <w:rStyle w:val="FootnoteReference"/>
          <w:lang w:val="en-US"/>
        </w:rPr>
        <w:footnoteReference w:id="518"/>
      </w:r>
      <w:r w:rsidR="005D0AC0" w:rsidRPr="00954547">
        <w:rPr>
          <w:i/>
          <w:lang w:val="en-US"/>
        </w:rPr>
        <w:t xml:space="preserve"> </w:t>
      </w:r>
      <w:r w:rsidRPr="00954547">
        <w:rPr>
          <w:iCs/>
          <w:lang w:val="en-US"/>
        </w:rPr>
        <w:t>in relation to justiciability</w:t>
      </w:r>
      <w:r w:rsidR="005D0AC0" w:rsidRPr="00954547">
        <w:rPr>
          <w:iCs/>
          <w:lang w:val="en-US"/>
        </w:rPr>
        <w:t xml:space="preserve"> </w:t>
      </w:r>
      <w:r w:rsidR="00041C12" w:rsidRPr="00954547">
        <w:rPr>
          <w:iCs/>
          <w:lang w:val="en-US"/>
        </w:rPr>
        <w:t>of Article</w:t>
      </w:r>
      <w:r w:rsidR="005D0AC0" w:rsidRPr="00954547">
        <w:rPr>
          <w:iCs/>
          <w:lang w:val="en-US"/>
        </w:rPr>
        <w:t xml:space="preserve"> 26</w:t>
      </w:r>
      <w:r w:rsidR="00607E12" w:rsidRPr="00954547">
        <w:rPr>
          <w:iCs/>
          <w:lang w:val="en-US"/>
        </w:rPr>
        <w:t xml:space="preserve"> of the </w:t>
      </w:r>
      <w:r w:rsidR="00A42A4C" w:rsidRPr="00954547">
        <w:rPr>
          <w:iCs/>
          <w:lang w:val="en-US"/>
        </w:rPr>
        <w:t>American Convention on Human Rights</w:t>
      </w:r>
      <w:r w:rsidR="005D0AC0" w:rsidRPr="00954547">
        <w:rPr>
          <w:lang w:val="en-US"/>
        </w:rPr>
        <w:t xml:space="preserve"> (</w:t>
      </w:r>
      <w:r w:rsidR="00A42A4C" w:rsidRPr="00954547">
        <w:rPr>
          <w:lang w:val="en-US"/>
        </w:rPr>
        <w:t>hereinafter</w:t>
      </w:r>
      <w:r w:rsidR="005D0AC0" w:rsidRPr="00954547">
        <w:rPr>
          <w:lang w:val="en-US"/>
        </w:rPr>
        <w:t xml:space="preserve"> “</w:t>
      </w:r>
      <w:r w:rsidR="00901EB6" w:rsidRPr="00954547">
        <w:rPr>
          <w:lang w:val="en-US"/>
        </w:rPr>
        <w:t>the Convention</w:t>
      </w:r>
      <w:r w:rsidR="005D0AC0" w:rsidRPr="00954547">
        <w:rPr>
          <w:lang w:val="en-US"/>
        </w:rPr>
        <w:t>” o</w:t>
      </w:r>
      <w:r w:rsidRPr="00954547">
        <w:rPr>
          <w:lang w:val="en-US"/>
        </w:rPr>
        <w:t>r</w:t>
      </w:r>
      <w:r w:rsidR="005D0AC0" w:rsidRPr="00954547">
        <w:rPr>
          <w:lang w:val="en-US"/>
        </w:rPr>
        <w:t xml:space="preserve"> “</w:t>
      </w:r>
      <w:r w:rsidRPr="00954547">
        <w:rPr>
          <w:lang w:val="en-US"/>
        </w:rPr>
        <w:t>the ACHR</w:t>
      </w:r>
      <w:r w:rsidR="005D0AC0" w:rsidRPr="00954547">
        <w:rPr>
          <w:lang w:val="en-US"/>
        </w:rPr>
        <w:t>)”</w:t>
      </w:r>
      <w:r w:rsidR="005D0AC0" w:rsidRPr="00954547">
        <w:rPr>
          <w:iCs/>
          <w:lang w:val="en-US"/>
        </w:rPr>
        <w:t xml:space="preserve">. </w:t>
      </w:r>
    </w:p>
    <w:p w14:paraId="5397523E" w14:textId="77777777" w:rsidR="005D0AC0" w:rsidRPr="00954547" w:rsidRDefault="005D0AC0" w:rsidP="006867E5">
      <w:pPr>
        <w:pStyle w:val="ListParagraph"/>
        <w:numPr>
          <w:ilvl w:val="0"/>
          <w:numId w:val="0"/>
        </w:numPr>
        <w:autoSpaceDE w:val="0"/>
        <w:autoSpaceDN w:val="0"/>
        <w:adjustRightInd w:val="0"/>
        <w:spacing w:before="0" w:after="0"/>
        <w:rPr>
          <w:iCs/>
          <w:lang w:val="en-US"/>
        </w:rPr>
      </w:pPr>
    </w:p>
    <w:p w14:paraId="6F3AEC7D" w14:textId="3D83E4BA" w:rsidR="005D0AC0" w:rsidRPr="00954547" w:rsidRDefault="002E081D" w:rsidP="000365EC">
      <w:pPr>
        <w:pStyle w:val="ListParagraph"/>
        <w:numPr>
          <w:ilvl w:val="0"/>
          <w:numId w:val="24"/>
        </w:numPr>
        <w:autoSpaceDE w:val="0"/>
        <w:autoSpaceDN w:val="0"/>
        <w:adjustRightInd w:val="0"/>
        <w:spacing w:before="0" w:after="0"/>
        <w:ind w:left="0" w:firstLine="0"/>
        <w:contextualSpacing/>
        <w:rPr>
          <w:iCs/>
          <w:lang w:val="en-US"/>
        </w:rPr>
      </w:pPr>
      <w:r w:rsidRPr="00954547">
        <w:rPr>
          <w:iCs/>
          <w:lang w:val="en-US"/>
        </w:rPr>
        <w:t>I have been consistent in maintaining that the direct</w:t>
      </w:r>
      <w:r w:rsidR="005D0AC0" w:rsidRPr="00954547">
        <w:rPr>
          <w:iCs/>
          <w:lang w:val="en-US"/>
        </w:rPr>
        <w:t xml:space="preserve"> </w:t>
      </w:r>
      <w:r w:rsidR="00E411E5" w:rsidRPr="00954547">
        <w:rPr>
          <w:iCs/>
          <w:lang w:val="en-US"/>
        </w:rPr>
        <w:t>justiciability</w:t>
      </w:r>
      <w:r w:rsidR="005D0AC0" w:rsidRPr="00954547">
        <w:rPr>
          <w:iCs/>
          <w:lang w:val="en-US"/>
        </w:rPr>
        <w:t xml:space="preserve"> </w:t>
      </w:r>
      <w:r w:rsidRPr="00954547">
        <w:rPr>
          <w:iCs/>
          <w:lang w:val="en-US"/>
        </w:rPr>
        <w:t>of the economic, social, cultural and environmental rights</w:t>
      </w:r>
      <w:r w:rsidR="005D0AC0" w:rsidRPr="00954547">
        <w:rPr>
          <w:iCs/>
          <w:lang w:val="en-US"/>
        </w:rPr>
        <w:t xml:space="preserve"> </w:t>
      </w:r>
      <w:r w:rsidR="005D0AC0" w:rsidRPr="00954547">
        <w:rPr>
          <w:lang w:val="en-US"/>
        </w:rPr>
        <w:t>(</w:t>
      </w:r>
      <w:r w:rsidR="00A42A4C" w:rsidRPr="00954547">
        <w:rPr>
          <w:lang w:val="en-US"/>
        </w:rPr>
        <w:t>hereinafter</w:t>
      </w:r>
      <w:r w:rsidR="005D0AC0" w:rsidRPr="00954547">
        <w:rPr>
          <w:lang w:val="en-US"/>
        </w:rPr>
        <w:t xml:space="preserve"> “</w:t>
      </w:r>
      <w:r w:rsidRPr="00954547">
        <w:rPr>
          <w:lang w:val="en-US"/>
        </w:rPr>
        <w:t xml:space="preserve">the </w:t>
      </w:r>
      <w:r w:rsidR="00E411E5" w:rsidRPr="00954547">
        <w:rPr>
          <w:lang w:val="en-US"/>
        </w:rPr>
        <w:t>ESCER</w:t>
      </w:r>
      <w:r w:rsidR="005D0AC0" w:rsidRPr="00954547">
        <w:rPr>
          <w:lang w:val="en-US"/>
        </w:rPr>
        <w:t xml:space="preserve">”) </w:t>
      </w:r>
      <w:r w:rsidRPr="00954547">
        <w:rPr>
          <w:lang w:val="en-US"/>
        </w:rPr>
        <w:t>through</w:t>
      </w:r>
      <w:r w:rsidR="00041C12" w:rsidRPr="00954547">
        <w:rPr>
          <w:lang w:val="en-US"/>
        </w:rPr>
        <w:t xml:space="preserve"> Article</w:t>
      </w:r>
      <w:r w:rsidR="005D0AC0" w:rsidRPr="00954547">
        <w:rPr>
          <w:lang w:val="en-US"/>
        </w:rPr>
        <w:t xml:space="preserve"> 26</w:t>
      </w:r>
      <w:r w:rsidR="005E0FD1" w:rsidRPr="00954547">
        <w:rPr>
          <w:lang w:val="en-US"/>
        </w:rPr>
        <w:t xml:space="preserve"> of the American Convention</w:t>
      </w:r>
      <w:r w:rsidR="005D0AC0" w:rsidRPr="00954547">
        <w:rPr>
          <w:lang w:val="en-US"/>
        </w:rPr>
        <w:t xml:space="preserve"> </w:t>
      </w:r>
      <w:r w:rsidRPr="00954547">
        <w:rPr>
          <w:lang w:val="en-US"/>
        </w:rPr>
        <w:t>suffers from numerous logical and legal inconsistencies.</w:t>
      </w:r>
      <w:r w:rsidR="00557AB5" w:rsidRPr="00954547">
        <w:rPr>
          <w:lang w:val="en-US"/>
        </w:rPr>
        <w:t xml:space="preserve"> </w:t>
      </w:r>
      <w:r w:rsidRPr="00954547">
        <w:rPr>
          <w:lang w:val="en-US"/>
        </w:rPr>
        <w:t xml:space="preserve">Among others, this position taken in the Court’s case law disregards the literal meaning </w:t>
      </w:r>
      <w:r w:rsidR="005E0FD1" w:rsidRPr="00954547">
        <w:rPr>
          <w:iCs/>
          <w:lang w:val="en-US"/>
        </w:rPr>
        <w:t>of the American Convention</w:t>
      </w:r>
      <w:r w:rsidRPr="00954547">
        <w:rPr>
          <w:iCs/>
          <w:lang w:val="en-US"/>
        </w:rPr>
        <w:t>;</w:t>
      </w:r>
      <w:r w:rsidR="005D0AC0" w:rsidRPr="00954547">
        <w:rPr>
          <w:rStyle w:val="FootnoteReference"/>
          <w:iCs/>
          <w:lang w:val="en-US"/>
        </w:rPr>
        <w:footnoteReference w:id="519"/>
      </w:r>
      <w:r w:rsidR="005D0AC0" w:rsidRPr="00954547">
        <w:rPr>
          <w:iCs/>
          <w:lang w:val="en-US"/>
        </w:rPr>
        <w:t xml:space="preserve"> ignor</w:t>
      </w:r>
      <w:r w:rsidRPr="00954547">
        <w:rPr>
          <w:iCs/>
          <w:lang w:val="en-US"/>
        </w:rPr>
        <w:t xml:space="preserve">es the rules of interpretation </w:t>
      </w:r>
      <w:r w:rsidR="005E0FD1" w:rsidRPr="00954547">
        <w:rPr>
          <w:iCs/>
          <w:lang w:val="en-US"/>
        </w:rPr>
        <w:t xml:space="preserve">of the </w:t>
      </w:r>
      <w:r w:rsidRPr="00954547">
        <w:rPr>
          <w:iCs/>
          <w:lang w:val="en-US"/>
        </w:rPr>
        <w:t xml:space="preserve">Vienna </w:t>
      </w:r>
      <w:r w:rsidR="005E0FD1" w:rsidRPr="00954547">
        <w:rPr>
          <w:iCs/>
          <w:lang w:val="en-US"/>
        </w:rPr>
        <w:t>Convention</w:t>
      </w:r>
      <w:r w:rsidR="005D0AC0" w:rsidRPr="00954547">
        <w:rPr>
          <w:iCs/>
          <w:lang w:val="en-US"/>
        </w:rPr>
        <w:t xml:space="preserve"> </w:t>
      </w:r>
      <w:r w:rsidRPr="00954547">
        <w:rPr>
          <w:iCs/>
          <w:lang w:val="en-US"/>
        </w:rPr>
        <w:t>on the Law of Treaties;</w:t>
      </w:r>
      <w:r w:rsidR="005D0AC0" w:rsidRPr="00954547">
        <w:rPr>
          <w:rStyle w:val="FootnoteReference"/>
          <w:iCs/>
          <w:lang w:val="en-US"/>
        </w:rPr>
        <w:footnoteReference w:id="520"/>
      </w:r>
      <w:r w:rsidRPr="00954547">
        <w:rPr>
          <w:iCs/>
          <w:lang w:val="en-US"/>
        </w:rPr>
        <w:t xml:space="preserve"> changes the nature of the obligation of progressivity;</w:t>
      </w:r>
      <w:r w:rsidR="005D0AC0" w:rsidRPr="00954547">
        <w:rPr>
          <w:rStyle w:val="FootnoteReference"/>
          <w:iCs/>
          <w:lang w:val="en-US"/>
        </w:rPr>
        <w:footnoteReference w:id="521"/>
      </w:r>
      <w:r w:rsidR="005D0AC0" w:rsidRPr="00954547">
        <w:rPr>
          <w:iCs/>
          <w:lang w:val="en-US"/>
        </w:rPr>
        <w:t xml:space="preserve"> ignor</w:t>
      </w:r>
      <w:r w:rsidRPr="00954547">
        <w:rPr>
          <w:iCs/>
          <w:lang w:val="en-US"/>
        </w:rPr>
        <w:t xml:space="preserve">es the intention of the States contained in </w:t>
      </w:r>
      <w:r w:rsidR="00A17F8C" w:rsidRPr="00954547">
        <w:rPr>
          <w:iCs/>
          <w:lang w:val="en-US"/>
        </w:rPr>
        <w:t>Article</w:t>
      </w:r>
      <w:r w:rsidR="005D0AC0" w:rsidRPr="00954547">
        <w:rPr>
          <w:iCs/>
          <w:lang w:val="en-US"/>
        </w:rPr>
        <w:t xml:space="preserve"> 19 </w:t>
      </w:r>
      <w:r w:rsidRPr="00954547">
        <w:rPr>
          <w:iCs/>
          <w:lang w:val="en-US"/>
        </w:rPr>
        <w:t>of the Protocol of</w:t>
      </w:r>
      <w:r w:rsidR="005D0AC0" w:rsidRPr="00954547">
        <w:rPr>
          <w:iCs/>
          <w:lang w:val="en-US"/>
        </w:rPr>
        <w:t xml:space="preserve"> San Salvador</w:t>
      </w:r>
      <w:r w:rsidR="005D0AC0" w:rsidRPr="00954547">
        <w:rPr>
          <w:rStyle w:val="FootnoteReference"/>
          <w:iCs/>
          <w:lang w:val="en-US"/>
        </w:rPr>
        <w:footnoteReference w:id="522"/>
      </w:r>
      <w:r w:rsidR="0078694F" w:rsidRPr="00954547">
        <w:rPr>
          <w:iCs/>
          <w:lang w:val="en-US"/>
        </w:rPr>
        <w:t xml:space="preserve"> and </w:t>
      </w:r>
      <w:r w:rsidRPr="00954547">
        <w:rPr>
          <w:iCs/>
          <w:lang w:val="en-US"/>
        </w:rPr>
        <w:t>undermines the Court’s legitimacy in the regional sphere.</w:t>
      </w:r>
      <w:r w:rsidR="005D0AC0" w:rsidRPr="00954547">
        <w:rPr>
          <w:rStyle w:val="FootnoteReference"/>
          <w:iCs/>
          <w:lang w:val="en-US"/>
        </w:rPr>
        <w:footnoteReference w:id="523"/>
      </w:r>
      <w:r w:rsidRPr="00954547">
        <w:rPr>
          <w:iCs/>
          <w:lang w:val="en-US"/>
        </w:rPr>
        <w:t xml:space="preserve"> All the foregoing prevents me from voting in favor of the declaration of </w:t>
      </w:r>
      <w:r w:rsidR="00557AB5" w:rsidRPr="00954547">
        <w:rPr>
          <w:iCs/>
          <w:lang w:val="en-US"/>
        </w:rPr>
        <w:t xml:space="preserve">the </w:t>
      </w:r>
      <w:r w:rsidR="00F00ACF" w:rsidRPr="00954547">
        <w:rPr>
          <w:iCs/>
          <w:lang w:val="en-US"/>
        </w:rPr>
        <w:t>responsibility</w:t>
      </w:r>
      <w:r w:rsidR="00557AB5" w:rsidRPr="00954547">
        <w:rPr>
          <w:iCs/>
          <w:lang w:val="en-US"/>
        </w:rPr>
        <w:t xml:space="preserve"> of a State founded on the direct and autonomous violation of the </w:t>
      </w:r>
      <w:r w:rsidR="00E411E5" w:rsidRPr="00954547">
        <w:rPr>
          <w:iCs/>
          <w:lang w:val="en-US"/>
        </w:rPr>
        <w:t>ESCER</w:t>
      </w:r>
      <w:r w:rsidR="005D0AC0" w:rsidRPr="00954547">
        <w:rPr>
          <w:iCs/>
          <w:lang w:val="en-US"/>
        </w:rPr>
        <w:t xml:space="preserve"> </w:t>
      </w:r>
      <w:r w:rsidR="00557AB5" w:rsidRPr="00954547">
        <w:rPr>
          <w:iCs/>
          <w:lang w:val="en-US"/>
        </w:rPr>
        <w:t>through</w:t>
      </w:r>
      <w:r w:rsidR="00041C12" w:rsidRPr="00954547">
        <w:rPr>
          <w:iCs/>
          <w:lang w:val="en-US"/>
        </w:rPr>
        <w:t xml:space="preserve"> Article</w:t>
      </w:r>
      <w:r w:rsidR="005D0AC0" w:rsidRPr="00954547">
        <w:rPr>
          <w:iCs/>
          <w:lang w:val="en-US"/>
        </w:rPr>
        <w:t xml:space="preserve"> 26 </w:t>
      </w:r>
      <w:r w:rsidR="00557AB5" w:rsidRPr="00954547">
        <w:rPr>
          <w:iCs/>
          <w:lang w:val="en-US"/>
        </w:rPr>
        <w:t>of the Convention.</w:t>
      </w:r>
      <w:r w:rsidR="005D0AC0" w:rsidRPr="00954547">
        <w:rPr>
          <w:iCs/>
          <w:lang w:val="en-US"/>
        </w:rPr>
        <w:t xml:space="preserve"> </w:t>
      </w:r>
    </w:p>
    <w:p w14:paraId="428F5AB1" w14:textId="77777777" w:rsidR="005D0AC0" w:rsidRPr="00954547" w:rsidRDefault="005D0AC0" w:rsidP="006867E5">
      <w:pPr>
        <w:pStyle w:val="ListParagraph"/>
        <w:numPr>
          <w:ilvl w:val="0"/>
          <w:numId w:val="0"/>
        </w:numPr>
        <w:autoSpaceDE w:val="0"/>
        <w:autoSpaceDN w:val="0"/>
        <w:adjustRightInd w:val="0"/>
        <w:spacing w:before="0" w:after="0"/>
        <w:rPr>
          <w:iCs/>
          <w:lang w:val="en-US"/>
        </w:rPr>
      </w:pPr>
    </w:p>
    <w:p w14:paraId="109705B4" w14:textId="0A3F8FFA" w:rsidR="005D0AC0" w:rsidRPr="00954547" w:rsidRDefault="00557AB5" w:rsidP="000365EC">
      <w:pPr>
        <w:pStyle w:val="ListParagraph"/>
        <w:numPr>
          <w:ilvl w:val="0"/>
          <w:numId w:val="24"/>
        </w:numPr>
        <w:autoSpaceDE w:val="0"/>
        <w:autoSpaceDN w:val="0"/>
        <w:adjustRightInd w:val="0"/>
        <w:spacing w:before="0" w:after="0"/>
        <w:ind w:left="0" w:firstLine="0"/>
        <w:contextualSpacing/>
        <w:outlineLvl w:val="0"/>
        <w:rPr>
          <w:rFonts w:cs="Arial"/>
          <w:b/>
          <w:lang w:val="en-US"/>
        </w:rPr>
      </w:pPr>
      <w:bookmarkStart w:id="206" w:name="_Toc106353952"/>
      <w:r w:rsidRPr="00954547">
        <w:rPr>
          <w:iCs/>
          <w:lang w:val="en-US"/>
        </w:rPr>
        <w:t>In this regard, I have indicated</w:t>
      </w:r>
      <w:r w:rsidR="005D0AC0" w:rsidRPr="00954547">
        <w:rPr>
          <w:rStyle w:val="FootnoteReference"/>
          <w:lang w:val="en-US"/>
        </w:rPr>
        <w:footnoteReference w:id="524"/>
      </w:r>
      <w:r w:rsidR="005D0AC0" w:rsidRPr="00954547">
        <w:rPr>
          <w:iCs/>
          <w:lang w:val="en-US"/>
        </w:rPr>
        <w:t xml:space="preserve"> </w:t>
      </w:r>
      <w:r w:rsidRPr="00954547">
        <w:rPr>
          <w:iCs/>
          <w:lang w:val="en-US"/>
        </w:rPr>
        <w:t>the difficulties that result from the practice adopted by the Court to assemble in a single operative paragraph all</w:t>
      </w:r>
      <w:r w:rsidR="0049034A" w:rsidRPr="00954547">
        <w:rPr>
          <w:iCs/>
          <w:lang w:val="en-US"/>
        </w:rPr>
        <w:t>,</w:t>
      </w:r>
      <w:r w:rsidRPr="00954547">
        <w:rPr>
          <w:iCs/>
          <w:lang w:val="en-US"/>
        </w:rPr>
        <w:t xml:space="preserve"> or an important group</w:t>
      </w:r>
      <w:r w:rsidR="0049034A" w:rsidRPr="00954547">
        <w:rPr>
          <w:iCs/>
          <w:lang w:val="en-US"/>
        </w:rPr>
        <w:t>,</w:t>
      </w:r>
      <w:r w:rsidRPr="00954547">
        <w:rPr>
          <w:iCs/>
          <w:lang w:val="en-US"/>
        </w:rPr>
        <w:t xml:space="preserve"> of the violation of the Convention-based </w:t>
      </w:r>
      <w:r w:rsidR="0049034A" w:rsidRPr="00954547">
        <w:rPr>
          <w:iCs/>
          <w:lang w:val="en-US"/>
        </w:rPr>
        <w:t>obligation</w:t>
      </w:r>
      <w:r w:rsidRPr="00954547">
        <w:rPr>
          <w:iCs/>
          <w:lang w:val="en-US"/>
        </w:rPr>
        <w:t>s, reducing the ability of the judges to express their discrepanc</w:t>
      </w:r>
      <w:r w:rsidR="0049034A" w:rsidRPr="00954547">
        <w:rPr>
          <w:iCs/>
          <w:lang w:val="en-US"/>
        </w:rPr>
        <w:t>y</w:t>
      </w:r>
      <w:r w:rsidRPr="00954547">
        <w:rPr>
          <w:iCs/>
          <w:lang w:val="en-US"/>
        </w:rPr>
        <w:t xml:space="preserve"> in relation to the </w:t>
      </w:r>
      <w:r w:rsidRPr="00954547">
        <w:rPr>
          <w:bCs/>
          <w:lang w:val="en-US"/>
        </w:rPr>
        <w:t xml:space="preserve">justiciability of the ESCER. It is this reasoning that underlines my separate opinion because, although </w:t>
      </w:r>
      <w:r w:rsidR="0049034A" w:rsidRPr="00954547">
        <w:rPr>
          <w:bCs/>
          <w:lang w:val="en-US"/>
        </w:rPr>
        <w:t xml:space="preserve">I </w:t>
      </w:r>
      <w:r w:rsidRPr="00954547">
        <w:rPr>
          <w:bCs/>
          <w:lang w:val="en-US"/>
        </w:rPr>
        <w:t>am in agreement with the fact that the Court has declared the violation of Articles</w:t>
      </w:r>
      <w:r w:rsidRPr="00954547">
        <w:rPr>
          <w:lang w:val="en-US"/>
        </w:rPr>
        <w:t xml:space="preserve"> </w:t>
      </w:r>
      <w:r w:rsidRPr="00954547">
        <w:rPr>
          <w:bCs/>
          <w:lang w:val="en-US"/>
        </w:rPr>
        <w:t>4, 5, 11 and 24 in relation to Articles 1(1) and 2 of the American Convention, as well as the obligations under Article 7(a) of the Convention of Belém do Pará,</w:t>
      </w:r>
      <w:r w:rsidR="00D702F0" w:rsidRPr="00954547">
        <w:rPr>
          <w:bCs/>
          <w:lang w:val="en-US"/>
        </w:rPr>
        <w:t xml:space="preserve"> because it is evident that the State disregarded its obligations to respect and to ensure Manuela’s right</w:t>
      </w:r>
      <w:r w:rsidR="0049034A" w:rsidRPr="00954547">
        <w:rPr>
          <w:bCs/>
          <w:lang w:val="en-US"/>
        </w:rPr>
        <w:t>s</w:t>
      </w:r>
      <w:r w:rsidR="00D702F0" w:rsidRPr="00954547">
        <w:rPr>
          <w:bCs/>
          <w:lang w:val="en-US"/>
        </w:rPr>
        <w:t xml:space="preserve"> – and I therefore voted in favor of the fifth operative paragraph, I must express my position which is contrary to the </w:t>
      </w:r>
      <w:r w:rsidR="00E411E5" w:rsidRPr="00954547">
        <w:rPr>
          <w:bCs/>
          <w:lang w:val="en-US"/>
        </w:rPr>
        <w:t>justiciability</w:t>
      </w:r>
      <w:r w:rsidR="005D0AC0" w:rsidRPr="00954547">
        <w:rPr>
          <w:bCs/>
          <w:lang w:val="en-US"/>
        </w:rPr>
        <w:t xml:space="preserve"> </w:t>
      </w:r>
      <w:r w:rsidR="00D702F0" w:rsidRPr="00954547">
        <w:rPr>
          <w:bCs/>
          <w:lang w:val="en-US"/>
        </w:rPr>
        <w:t>of the</w:t>
      </w:r>
      <w:r w:rsidR="005D0AC0" w:rsidRPr="00954547">
        <w:rPr>
          <w:bCs/>
          <w:lang w:val="en-US"/>
        </w:rPr>
        <w:t xml:space="preserve"> </w:t>
      </w:r>
      <w:r w:rsidR="00B562B1" w:rsidRPr="00954547">
        <w:rPr>
          <w:bCs/>
          <w:lang w:val="en-US"/>
        </w:rPr>
        <w:t>right to health</w:t>
      </w:r>
      <w:r w:rsidR="005D0AC0" w:rsidRPr="00954547">
        <w:rPr>
          <w:bCs/>
          <w:lang w:val="en-US"/>
        </w:rPr>
        <w:t xml:space="preserve"> </w:t>
      </w:r>
      <w:r w:rsidR="00D702F0" w:rsidRPr="00954547">
        <w:rPr>
          <w:bCs/>
          <w:lang w:val="en-US"/>
        </w:rPr>
        <w:t>through</w:t>
      </w:r>
      <w:r w:rsidR="00041C12" w:rsidRPr="00954547">
        <w:rPr>
          <w:bCs/>
          <w:lang w:val="en-US"/>
        </w:rPr>
        <w:t xml:space="preserve"> Article</w:t>
      </w:r>
      <w:r w:rsidR="005D0AC0" w:rsidRPr="00954547">
        <w:rPr>
          <w:bCs/>
          <w:lang w:val="en-US"/>
        </w:rPr>
        <w:t xml:space="preserve"> 26</w:t>
      </w:r>
      <w:r w:rsidR="005E0FD1" w:rsidRPr="00954547">
        <w:rPr>
          <w:bCs/>
          <w:lang w:val="en-US"/>
        </w:rPr>
        <w:t xml:space="preserve"> of the American Convention</w:t>
      </w:r>
      <w:r w:rsidR="005D0AC0" w:rsidRPr="00954547">
        <w:rPr>
          <w:bCs/>
          <w:lang w:val="en-US"/>
        </w:rPr>
        <w:t>.</w:t>
      </w:r>
      <w:bookmarkEnd w:id="206"/>
    </w:p>
    <w:p w14:paraId="0CC29639" w14:textId="77777777" w:rsidR="005D0AC0" w:rsidRPr="00954547" w:rsidRDefault="005D0AC0" w:rsidP="006867E5">
      <w:pPr>
        <w:pStyle w:val="ListParagraph"/>
        <w:numPr>
          <w:ilvl w:val="0"/>
          <w:numId w:val="0"/>
        </w:numPr>
        <w:autoSpaceDE w:val="0"/>
        <w:autoSpaceDN w:val="0"/>
        <w:adjustRightInd w:val="0"/>
        <w:spacing w:before="0" w:after="0"/>
        <w:outlineLvl w:val="0"/>
        <w:rPr>
          <w:rFonts w:cs="Arial"/>
          <w:b/>
          <w:lang w:val="en-US"/>
        </w:rPr>
      </w:pPr>
    </w:p>
    <w:p w14:paraId="2009B54B" w14:textId="43BD978E" w:rsidR="005D0AC0" w:rsidRPr="00954547" w:rsidRDefault="00D702F0" w:rsidP="000365EC">
      <w:pPr>
        <w:pStyle w:val="ListParagraph"/>
        <w:numPr>
          <w:ilvl w:val="0"/>
          <w:numId w:val="24"/>
        </w:numPr>
        <w:autoSpaceDE w:val="0"/>
        <w:autoSpaceDN w:val="0"/>
        <w:adjustRightInd w:val="0"/>
        <w:spacing w:before="0" w:after="0"/>
        <w:ind w:left="0" w:firstLine="0"/>
        <w:contextualSpacing/>
        <w:rPr>
          <w:iCs/>
          <w:lang w:val="en-US"/>
        </w:rPr>
      </w:pPr>
      <w:r w:rsidRPr="00954547">
        <w:rPr>
          <w:iCs/>
          <w:lang w:val="en-US"/>
        </w:rPr>
        <w:t>I am repeating the foregoing because I consider it essential to state that, even</w:t>
      </w:r>
      <w:r w:rsidR="006B06E2" w:rsidRPr="00954547">
        <w:rPr>
          <w:iCs/>
          <w:lang w:val="en-US"/>
        </w:rPr>
        <w:t xml:space="preserve"> though</w:t>
      </w:r>
      <w:r w:rsidRPr="00954547">
        <w:rPr>
          <w:iCs/>
          <w:lang w:val="en-US"/>
        </w:rPr>
        <w:t xml:space="preserve"> this position is being reiterated constantly in inter-American case law and, thus, has acquired a sort of legal </w:t>
      </w:r>
      <w:r w:rsidR="006B06E2" w:rsidRPr="00954547">
        <w:rPr>
          <w:iCs/>
          <w:lang w:val="en-US"/>
        </w:rPr>
        <w:t xml:space="preserve">effect, the reasons on which it is grounded still suffer from the contradictions that I have expressed since the case of </w:t>
      </w:r>
      <w:r w:rsidR="005D0AC0" w:rsidRPr="00954547">
        <w:rPr>
          <w:i/>
          <w:lang w:val="en-US"/>
        </w:rPr>
        <w:t xml:space="preserve">Lagos del Campo v. </w:t>
      </w:r>
      <w:r w:rsidR="00E411E5" w:rsidRPr="00954547">
        <w:rPr>
          <w:i/>
          <w:lang w:val="en-US"/>
        </w:rPr>
        <w:t>Peru</w:t>
      </w:r>
      <w:r w:rsidR="005D0AC0" w:rsidRPr="00954547">
        <w:rPr>
          <w:iCs/>
          <w:lang w:val="en-US"/>
        </w:rPr>
        <w:t xml:space="preserve">.  </w:t>
      </w:r>
    </w:p>
    <w:p w14:paraId="30B2CDDD" w14:textId="77777777" w:rsidR="005D0AC0" w:rsidRPr="00954547" w:rsidRDefault="005D0AC0" w:rsidP="006867E5">
      <w:pPr>
        <w:pStyle w:val="ListParagraph"/>
        <w:numPr>
          <w:ilvl w:val="0"/>
          <w:numId w:val="0"/>
        </w:numPr>
        <w:autoSpaceDE w:val="0"/>
        <w:autoSpaceDN w:val="0"/>
        <w:adjustRightInd w:val="0"/>
        <w:spacing w:before="0" w:after="0"/>
        <w:outlineLvl w:val="0"/>
        <w:rPr>
          <w:rFonts w:cs="Arial"/>
          <w:bCs/>
          <w:lang w:val="en-US"/>
        </w:rPr>
      </w:pPr>
    </w:p>
    <w:p w14:paraId="5690741F" w14:textId="77777777" w:rsidR="005D0AC0" w:rsidRPr="00954547" w:rsidRDefault="005D0AC0" w:rsidP="006867E5">
      <w:pPr>
        <w:jc w:val="both"/>
        <w:rPr>
          <w:rFonts w:ascii="Verdana" w:eastAsia="Batang" w:hAnsi="Verdana" w:cs="Times"/>
          <w:sz w:val="20"/>
          <w:szCs w:val="20"/>
        </w:rPr>
      </w:pPr>
    </w:p>
    <w:p w14:paraId="7EC3A51F" w14:textId="77777777" w:rsidR="005D0AC0" w:rsidRPr="00954547" w:rsidRDefault="005D0AC0" w:rsidP="006867E5">
      <w:pPr>
        <w:autoSpaceDE w:val="0"/>
        <w:autoSpaceDN w:val="0"/>
        <w:adjustRightInd w:val="0"/>
        <w:outlineLvl w:val="0"/>
        <w:rPr>
          <w:rFonts w:eastAsia="Times" w:cs="Times"/>
        </w:rPr>
      </w:pPr>
    </w:p>
    <w:p w14:paraId="32A28AA0" w14:textId="77777777" w:rsidR="005D0AC0" w:rsidRPr="00954547" w:rsidRDefault="005D0AC0" w:rsidP="006867E5">
      <w:pPr>
        <w:autoSpaceDE w:val="0"/>
        <w:autoSpaceDN w:val="0"/>
        <w:adjustRightInd w:val="0"/>
        <w:outlineLvl w:val="0"/>
        <w:rPr>
          <w:rFonts w:eastAsia="Times" w:cs="Times"/>
        </w:rPr>
      </w:pPr>
    </w:p>
    <w:p w14:paraId="475699AD" w14:textId="77777777" w:rsidR="0049034A" w:rsidRPr="00954547" w:rsidRDefault="005D0AC0" w:rsidP="0049034A">
      <w:pPr>
        <w:pStyle w:val="ListParagraph"/>
        <w:numPr>
          <w:ilvl w:val="0"/>
          <w:numId w:val="0"/>
        </w:numPr>
        <w:tabs>
          <w:tab w:val="left" w:pos="7020"/>
        </w:tabs>
        <w:autoSpaceDE w:val="0"/>
        <w:autoSpaceDN w:val="0"/>
        <w:adjustRightInd w:val="0"/>
        <w:spacing w:before="0" w:after="0"/>
        <w:ind w:left="5760"/>
        <w:outlineLvl w:val="0"/>
        <w:rPr>
          <w:rFonts w:eastAsia="Times" w:cs="Times"/>
          <w:lang w:val="en-US"/>
        </w:rPr>
      </w:pPr>
      <w:bookmarkStart w:id="207" w:name="_Toc106353953"/>
      <w:r w:rsidRPr="00954547">
        <w:rPr>
          <w:rFonts w:eastAsia="Times" w:cs="Times"/>
          <w:lang w:val="en-US"/>
        </w:rPr>
        <w:t>Humberto Antonio Sierra Porto</w:t>
      </w:r>
      <w:bookmarkEnd w:id="207"/>
      <w:r w:rsidRPr="00954547">
        <w:rPr>
          <w:rFonts w:eastAsia="Times" w:cs="Times"/>
          <w:lang w:val="en-US"/>
        </w:rPr>
        <w:t xml:space="preserve">   </w:t>
      </w:r>
      <w:r w:rsidR="0049034A" w:rsidRPr="00954547">
        <w:rPr>
          <w:rFonts w:eastAsia="Times" w:cs="Times"/>
          <w:lang w:val="en-US"/>
        </w:rPr>
        <w:t xml:space="preserve"> </w:t>
      </w:r>
    </w:p>
    <w:p w14:paraId="26E91075" w14:textId="2E868A68" w:rsidR="005D0AC0" w:rsidRPr="00954547" w:rsidRDefault="0049034A" w:rsidP="0049034A">
      <w:pPr>
        <w:pStyle w:val="ListParagraph"/>
        <w:numPr>
          <w:ilvl w:val="0"/>
          <w:numId w:val="0"/>
        </w:numPr>
        <w:tabs>
          <w:tab w:val="left" w:pos="7020"/>
        </w:tabs>
        <w:autoSpaceDE w:val="0"/>
        <w:autoSpaceDN w:val="0"/>
        <w:adjustRightInd w:val="0"/>
        <w:spacing w:before="0" w:after="0"/>
        <w:ind w:left="5760"/>
        <w:outlineLvl w:val="0"/>
        <w:rPr>
          <w:rFonts w:eastAsia="Times" w:cs="Times"/>
          <w:lang w:val="en-US"/>
        </w:rPr>
      </w:pPr>
      <w:r w:rsidRPr="00954547">
        <w:rPr>
          <w:rFonts w:eastAsia="Times" w:cs="Times"/>
          <w:lang w:val="en-US"/>
        </w:rPr>
        <w:t xml:space="preserve">               </w:t>
      </w:r>
      <w:bookmarkStart w:id="208" w:name="_Toc106353954"/>
      <w:r w:rsidR="00A42A4C" w:rsidRPr="00954547">
        <w:rPr>
          <w:rFonts w:eastAsia="Times" w:cs="Times"/>
          <w:lang w:val="en-US"/>
        </w:rPr>
        <w:t>Judge</w:t>
      </w:r>
      <w:bookmarkEnd w:id="208"/>
    </w:p>
    <w:p w14:paraId="56290DC7" w14:textId="77777777" w:rsidR="005D0AC0" w:rsidRPr="00954547" w:rsidRDefault="005D0AC0" w:rsidP="006867E5">
      <w:pPr>
        <w:rPr>
          <w:rFonts w:ascii="Verdana" w:eastAsia="Times" w:hAnsi="Verdana" w:cs="Times"/>
          <w:sz w:val="20"/>
          <w:szCs w:val="20"/>
        </w:rPr>
      </w:pPr>
    </w:p>
    <w:p w14:paraId="00026AC1" w14:textId="77777777" w:rsidR="005D0AC0" w:rsidRPr="00954547" w:rsidRDefault="005D0AC0" w:rsidP="006867E5">
      <w:pPr>
        <w:rPr>
          <w:rFonts w:ascii="Verdana" w:eastAsia="Times" w:hAnsi="Verdana" w:cs="Times"/>
          <w:sz w:val="20"/>
          <w:szCs w:val="20"/>
        </w:rPr>
      </w:pPr>
    </w:p>
    <w:p w14:paraId="77C63152" w14:textId="77777777" w:rsidR="005D0AC0" w:rsidRPr="00954547" w:rsidRDefault="005D0AC0" w:rsidP="006867E5">
      <w:pPr>
        <w:rPr>
          <w:rFonts w:ascii="Verdana" w:eastAsia="Times" w:hAnsi="Verdana" w:cs="Times"/>
          <w:sz w:val="20"/>
          <w:szCs w:val="20"/>
        </w:rPr>
      </w:pPr>
      <w:r w:rsidRPr="00954547">
        <w:rPr>
          <w:rFonts w:ascii="Verdana" w:eastAsia="Times" w:hAnsi="Verdana" w:cs="Times"/>
          <w:sz w:val="20"/>
          <w:szCs w:val="20"/>
        </w:rPr>
        <w:t>Pablo Saavedra Alessandri</w:t>
      </w:r>
    </w:p>
    <w:p w14:paraId="095F1460" w14:textId="1B0855E5" w:rsidR="005D0AC0" w:rsidRPr="00954547" w:rsidRDefault="005D0AC0" w:rsidP="006867E5">
      <w:pPr>
        <w:rPr>
          <w:rFonts w:ascii="Verdana" w:eastAsia="Times" w:hAnsi="Verdana" w:cs="Times"/>
          <w:sz w:val="20"/>
          <w:szCs w:val="20"/>
        </w:rPr>
      </w:pPr>
      <w:r w:rsidRPr="00954547">
        <w:rPr>
          <w:rFonts w:ascii="Verdana" w:eastAsia="Times" w:hAnsi="Verdana" w:cs="Times"/>
          <w:sz w:val="20"/>
          <w:szCs w:val="20"/>
        </w:rPr>
        <w:t xml:space="preserve">            </w:t>
      </w:r>
      <w:r w:rsidR="00A42A4C" w:rsidRPr="00954547">
        <w:rPr>
          <w:rFonts w:ascii="Verdana" w:eastAsia="Times" w:hAnsi="Verdana" w:cs="Times"/>
          <w:sz w:val="20"/>
          <w:szCs w:val="20"/>
        </w:rPr>
        <w:t>Secretary</w:t>
      </w:r>
    </w:p>
    <w:p w14:paraId="1F9D5269" w14:textId="77777777" w:rsidR="005D0AC0" w:rsidRPr="00954547" w:rsidRDefault="005D0AC0" w:rsidP="006867E5">
      <w:pPr>
        <w:autoSpaceDE w:val="0"/>
        <w:autoSpaceDN w:val="0"/>
        <w:adjustRightInd w:val="0"/>
        <w:jc w:val="both"/>
        <w:outlineLvl w:val="0"/>
        <w:rPr>
          <w:rFonts w:ascii="Verdana" w:hAnsi="Verdana" w:cs="Arial"/>
          <w:bCs/>
          <w:sz w:val="20"/>
          <w:szCs w:val="20"/>
        </w:rPr>
      </w:pPr>
    </w:p>
    <w:p w14:paraId="528C551E" w14:textId="77777777" w:rsidR="006867E5" w:rsidRPr="00954547" w:rsidRDefault="006867E5" w:rsidP="006867E5">
      <w:pPr>
        <w:pStyle w:val="Numberedparagraphs"/>
        <w:numPr>
          <w:ilvl w:val="0"/>
          <w:numId w:val="0"/>
        </w:numPr>
        <w:tabs>
          <w:tab w:val="left" w:pos="567"/>
        </w:tabs>
        <w:spacing w:before="0" w:after="0"/>
        <w:rPr>
          <w:rFonts w:cs="Times"/>
          <w:lang w:val="en-US" w:eastAsia="es-CR"/>
        </w:rPr>
        <w:sectPr w:rsidR="006867E5" w:rsidRPr="00954547" w:rsidSect="005A05B2">
          <w:footerReference w:type="default" r:id="rId11"/>
          <w:footnotePr>
            <w:numRestart w:val="eachSect"/>
          </w:footnotePr>
          <w:pgSz w:w="12240" w:h="15840" w:code="1"/>
          <w:pgMar w:top="1417" w:right="1701" w:bottom="1417" w:left="1701" w:header="708" w:footer="708" w:gutter="0"/>
          <w:pgNumType w:start="1"/>
          <w:cols w:space="708"/>
          <w:docGrid w:linePitch="360"/>
        </w:sectPr>
      </w:pPr>
    </w:p>
    <w:p w14:paraId="36726C79" w14:textId="20092B86" w:rsidR="001129DE" w:rsidRPr="00954547" w:rsidRDefault="003940FE" w:rsidP="001129DE">
      <w:pPr>
        <w:spacing w:line="276" w:lineRule="auto"/>
        <w:jc w:val="center"/>
        <w:rPr>
          <w:rFonts w:ascii="Verdana" w:hAnsi="Verdana"/>
          <w:b/>
          <w:sz w:val="20"/>
          <w:szCs w:val="20"/>
        </w:rPr>
      </w:pPr>
      <w:r w:rsidRPr="00954547">
        <w:rPr>
          <w:rFonts w:ascii="Verdana" w:hAnsi="Verdana"/>
          <w:b/>
          <w:sz w:val="20"/>
          <w:szCs w:val="20"/>
        </w:rPr>
        <w:t>CONCURRING OPINION OF</w:t>
      </w:r>
      <w:r w:rsidR="001129DE" w:rsidRPr="00954547">
        <w:rPr>
          <w:rFonts w:ascii="Verdana" w:hAnsi="Verdana"/>
          <w:b/>
          <w:sz w:val="20"/>
          <w:szCs w:val="20"/>
        </w:rPr>
        <w:t xml:space="preserve"> </w:t>
      </w:r>
      <w:r w:rsidR="00A42A4C" w:rsidRPr="00954547">
        <w:rPr>
          <w:rFonts w:ascii="Verdana" w:hAnsi="Verdana"/>
          <w:b/>
          <w:sz w:val="20"/>
          <w:szCs w:val="20"/>
        </w:rPr>
        <w:t>JUDGE</w:t>
      </w:r>
      <w:r w:rsidR="001129DE" w:rsidRPr="00954547">
        <w:rPr>
          <w:rFonts w:ascii="Verdana" w:hAnsi="Verdana"/>
          <w:b/>
          <w:sz w:val="20"/>
          <w:szCs w:val="20"/>
        </w:rPr>
        <w:t xml:space="preserve"> EUGENIO RAÚL ZAFFARONI</w:t>
      </w:r>
    </w:p>
    <w:p w14:paraId="772A3B15" w14:textId="77777777" w:rsidR="00643AA2" w:rsidRPr="00954547" w:rsidRDefault="00643AA2" w:rsidP="001129DE">
      <w:pPr>
        <w:spacing w:line="276" w:lineRule="auto"/>
        <w:jc w:val="center"/>
        <w:rPr>
          <w:rFonts w:ascii="Verdana" w:hAnsi="Verdana"/>
          <w:b/>
          <w:sz w:val="20"/>
          <w:szCs w:val="20"/>
        </w:rPr>
      </w:pPr>
    </w:p>
    <w:p w14:paraId="5EB837CB" w14:textId="0D6BAF21" w:rsidR="001129DE" w:rsidRPr="00954547" w:rsidRDefault="003940FE" w:rsidP="001129DE">
      <w:pPr>
        <w:spacing w:line="276" w:lineRule="auto"/>
        <w:jc w:val="center"/>
        <w:rPr>
          <w:rFonts w:ascii="Verdana" w:hAnsi="Verdana"/>
          <w:b/>
          <w:sz w:val="20"/>
          <w:szCs w:val="20"/>
        </w:rPr>
      </w:pPr>
      <w:r w:rsidRPr="00954547">
        <w:rPr>
          <w:rFonts w:ascii="Verdana" w:hAnsi="Verdana"/>
          <w:b/>
          <w:sz w:val="20"/>
          <w:szCs w:val="20"/>
        </w:rPr>
        <w:t>INTER-AMERICAN COURT OF HUMAN RIGHTS</w:t>
      </w:r>
      <w:r w:rsidR="001129DE" w:rsidRPr="00954547">
        <w:rPr>
          <w:rFonts w:ascii="Verdana" w:hAnsi="Verdana"/>
          <w:b/>
          <w:sz w:val="20"/>
          <w:szCs w:val="20"/>
        </w:rPr>
        <w:t>,</w:t>
      </w:r>
    </w:p>
    <w:p w14:paraId="5963DA57" w14:textId="77777777" w:rsidR="0012211D" w:rsidRPr="00954547" w:rsidRDefault="0012211D" w:rsidP="001129DE">
      <w:pPr>
        <w:spacing w:line="276" w:lineRule="auto"/>
        <w:jc w:val="center"/>
        <w:rPr>
          <w:rFonts w:ascii="Verdana" w:hAnsi="Verdana"/>
          <w:b/>
          <w:sz w:val="20"/>
          <w:szCs w:val="20"/>
        </w:rPr>
      </w:pPr>
    </w:p>
    <w:p w14:paraId="5C415EC8" w14:textId="7A788747" w:rsidR="001129DE" w:rsidRPr="00954547" w:rsidRDefault="001129DE" w:rsidP="001129DE">
      <w:pPr>
        <w:spacing w:line="276" w:lineRule="auto"/>
        <w:jc w:val="center"/>
        <w:rPr>
          <w:rFonts w:ascii="Verdana" w:hAnsi="Verdana"/>
          <w:b/>
          <w:sz w:val="20"/>
          <w:szCs w:val="20"/>
          <w:lang w:val="es-CR"/>
        </w:rPr>
      </w:pPr>
      <w:r w:rsidRPr="00954547">
        <w:rPr>
          <w:rFonts w:ascii="Verdana" w:hAnsi="Verdana"/>
          <w:b/>
          <w:sz w:val="20"/>
          <w:szCs w:val="20"/>
          <w:lang w:val="es-CR"/>
        </w:rPr>
        <w:t>CAS</w:t>
      </w:r>
      <w:r w:rsidR="003940FE" w:rsidRPr="00954547">
        <w:rPr>
          <w:rFonts w:ascii="Verdana" w:hAnsi="Verdana"/>
          <w:b/>
          <w:sz w:val="20"/>
          <w:szCs w:val="20"/>
          <w:lang w:val="es-CR"/>
        </w:rPr>
        <w:t>E OF</w:t>
      </w:r>
      <w:r w:rsidRPr="00954547">
        <w:rPr>
          <w:rFonts w:ascii="Verdana" w:hAnsi="Verdana"/>
          <w:b/>
          <w:sz w:val="20"/>
          <w:szCs w:val="20"/>
          <w:lang w:val="es-CR"/>
        </w:rPr>
        <w:t xml:space="preserve"> MANUELA </w:t>
      </w:r>
      <w:r w:rsidR="00B8393C" w:rsidRPr="00954547">
        <w:rPr>
          <w:rFonts w:ascii="Verdana" w:hAnsi="Verdana"/>
          <w:b/>
          <w:i/>
          <w:iCs/>
          <w:sz w:val="20"/>
          <w:szCs w:val="20"/>
          <w:lang w:val="es-CR"/>
        </w:rPr>
        <w:t>ET AL. V.</w:t>
      </w:r>
      <w:r w:rsidRPr="00954547">
        <w:rPr>
          <w:rFonts w:ascii="Verdana" w:hAnsi="Verdana"/>
          <w:b/>
          <w:sz w:val="20"/>
          <w:szCs w:val="20"/>
          <w:lang w:val="es-CR"/>
        </w:rPr>
        <w:t xml:space="preserve"> EL SALVADOR</w:t>
      </w:r>
    </w:p>
    <w:p w14:paraId="7CEAA447" w14:textId="77777777" w:rsidR="0049034A" w:rsidRPr="00954547" w:rsidRDefault="0049034A" w:rsidP="001129DE">
      <w:pPr>
        <w:spacing w:line="276" w:lineRule="auto"/>
        <w:jc w:val="center"/>
        <w:rPr>
          <w:rFonts w:ascii="Verdana" w:hAnsi="Verdana"/>
          <w:b/>
          <w:sz w:val="20"/>
          <w:szCs w:val="20"/>
          <w:lang w:val="es-CR"/>
        </w:rPr>
      </w:pPr>
    </w:p>
    <w:p w14:paraId="52DDF80B" w14:textId="01A803E3" w:rsidR="001129DE" w:rsidRPr="00954547" w:rsidRDefault="003940FE" w:rsidP="001129DE">
      <w:pPr>
        <w:spacing w:line="276" w:lineRule="auto"/>
        <w:jc w:val="center"/>
        <w:rPr>
          <w:rFonts w:ascii="Verdana" w:hAnsi="Verdana"/>
          <w:b/>
          <w:sz w:val="20"/>
          <w:szCs w:val="20"/>
        </w:rPr>
      </w:pPr>
      <w:r w:rsidRPr="00954547">
        <w:rPr>
          <w:rFonts w:ascii="Verdana" w:hAnsi="Verdana"/>
          <w:b/>
          <w:sz w:val="20"/>
          <w:szCs w:val="20"/>
        </w:rPr>
        <w:t>JUDGMENT OF NOVEMBER 2,</w:t>
      </w:r>
      <w:r w:rsidR="001129DE" w:rsidRPr="00954547">
        <w:rPr>
          <w:rFonts w:ascii="Verdana" w:hAnsi="Verdana"/>
          <w:b/>
          <w:sz w:val="20"/>
          <w:szCs w:val="20"/>
        </w:rPr>
        <w:t xml:space="preserve"> 2021</w:t>
      </w:r>
    </w:p>
    <w:p w14:paraId="2881B296" w14:textId="236362CB" w:rsidR="001129DE" w:rsidRPr="00954547" w:rsidRDefault="001129DE" w:rsidP="001129DE">
      <w:pPr>
        <w:spacing w:line="276" w:lineRule="auto"/>
        <w:jc w:val="center"/>
        <w:rPr>
          <w:rFonts w:ascii="Verdana" w:hAnsi="Verdana"/>
          <w:b/>
          <w:sz w:val="20"/>
          <w:szCs w:val="20"/>
        </w:rPr>
      </w:pPr>
      <w:r w:rsidRPr="00954547">
        <w:rPr>
          <w:rFonts w:ascii="Verdana" w:hAnsi="Verdana"/>
          <w:b/>
          <w:sz w:val="20"/>
          <w:szCs w:val="20"/>
        </w:rPr>
        <w:t>(</w:t>
      </w:r>
      <w:r w:rsidR="00A70DC4" w:rsidRPr="00954547">
        <w:rPr>
          <w:rFonts w:ascii="Verdana" w:hAnsi="Verdana"/>
          <w:b/>
          <w:i/>
          <w:sz w:val="20"/>
          <w:szCs w:val="20"/>
        </w:rPr>
        <w:t>Preliminary objections</w:t>
      </w:r>
      <w:r w:rsidRPr="00954547">
        <w:rPr>
          <w:rFonts w:ascii="Verdana" w:hAnsi="Verdana"/>
          <w:b/>
          <w:i/>
          <w:sz w:val="20"/>
          <w:szCs w:val="20"/>
        </w:rPr>
        <w:t xml:space="preserve">, </w:t>
      </w:r>
      <w:r w:rsidR="003940FE" w:rsidRPr="00954547">
        <w:rPr>
          <w:rFonts w:ascii="Verdana" w:hAnsi="Verdana"/>
          <w:b/>
          <w:i/>
          <w:sz w:val="20"/>
          <w:szCs w:val="20"/>
        </w:rPr>
        <w:t>m</w:t>
      </w:r>
      <w:r w:rsidR="00A70DC4" w:rsidRPr="00954547">
        <w:rPr>
          <w:rFonts w:ascii="Verdana" w:hAnsi="Verdana"/>
          <w:b/>
          <w:i/>
          <w:sz w:val="20"/>
          <w:szCs w:val="20"/>
        </w:rPr>
        <w:t>erits, reparations and costs</w:t>
      </w:r>
      <w:r w:rsidRPr="00954547">
        <w:rPr>
          <w:rFonts w:ascii="Verdana" w:hAnsi="Verdana"/>
          <w:b/>
          <w:sz w:val="20"/>
          <w:szCs w:val="20"/>
        </w:rPr>
        <w:t>)</w:t>
      </w:r>
    </w:p>
    <w:p w14:paraId="12ACF03F" w14:textId="77777777" w:rsidR="001129DE" w:rsidRPr="00954547" w:rsidRDefault="001129DE" w:rsidP="001129DE">
      <w:pPr>
        <w:ind w:firstLine="709"/>
        <w:rPr>
          <w:rFonts w:ascii="Comic Sans MS" w:hAnsi="Comic Sans MS"/>
          <w:b/>
          <w:sz w:val="32"/>
          <w:szCs w:val="32"/>
          <w:u w:val="single"/>
        </w:rPr>
      </w:pPr>
    </w:p>
    <w:p w14:paraId="0F896CDE" w14:textId="4733963B" w:rsidR="001129DE" w:rsidRPr="00954547" w:rsidRDefault="00710868" w:rsidP="000365EC">
      <w:pPr>
        <w:pStyle w:val="ListParagraph"/>
        <w:numPr>
          <w:ilvl w:val="0"/>
          <w:numId w:val="25"/>
        </w:numPr>
        <w:tabs>
          <w:tab w:val="clear" w:pos="567"/>
        </w:tabs>
        <w:spacing w:before="240" w:after="160"/>
        <w:ind w:left="0" w:firstLine="0"/>
        <w:rPr>
          <w:lang w:val="en-US"/>
        </w:rPr>
      </w:pPr>
      <w:r w:rsidRPr="00954547">
        <w:rPr>
          <w:lang w:val="en-US"/>
        </w:rPr>
        <w:t>I consider</w:t>
      </w:r>
      <w:r w:rsidR="001129DE" w:rsidRPr="00954547">
        <w:rPr>
          <w:lang w:val="en-US"/>
        </w:rPr>
        <w:t xml:space="preserve"> </w:t>
      </w:r>
      <w:r w:rsidRPr="00954547">
        <w:rPr>
          <w:lang w:val="en-US"/>
        </w:rPr>
        <w:t xml:space="preserve">it appropriate to indicate – as </w:t>
      </w:r>
      <w:r w:rsidR="001129DE" w:rsidRPr="00954547">
        <w:rPr>
          <w:i/>
          <w:lang w:val="en-US"/>
        </w:rPr>
        <w:t>obiter dicta</w:t>
      </w:r>
      <w:r w:rsidRPr="00954547">
        <w:rPr>
          <w:i/>
          <w:lang w:val="en-US"/>
        </w:rPr>
        <w:t xml:space="preserve"> </w:t>
      </w:r>
      <w:r w:rsidRPr="00954547">
        <w:rPr>
          <w:iCs/>
          <w:lang w:val="en-US"/>
        </w:rPr>
        <w:t>– two aspects relating to this judgment.</w:t>
      </w:r>
      <w:r w:rsidR="001129DE" w:rsidRPr="00954547">
        <w:rPr>
          <w:i/>
          <w:lang w:val="en-US"/>
        </w:rPr>
        <w:t xml:space="preserve"> </w:t>
      </w:r>
    </w:p>
    <w:p w14:paraId="26223B2B" w14:textId="3DCF28B9" w:rsidR="001129DE" w:rsidRPr="00954547" w:rsidRDefault="00710868" w:rsidP="000365EC">
      <w:pPr>
        <w:pStyle w:val="ListParagraph"/>
        <w:numPr>
          <w:ilvl w:val="0"/>
          <w:numId w:val="25"/>
        </w:numPr>
        <w:tabs>
          <w:tab w:val="clear" w:pos="567"/>
        </w:tabs>
        <w:spacing w:before="240" w:after="160"/>
        <w:ind w:left="0" w:firstLine="0"/>
        <w:rPr>
          <w:lang w:val="en-US"/>
        </w:rPr>
      </w:pPr>
      <w:r w:rsidRPr="00954547">
        <w:rPr>
          <w:lang w:val="en-US"/>
        </w:rPr>
        <w:t xml:space="preserve">Above all, I note that the arguments that resulted in the operative paragraphs find and </w:t>
      </w:r>
      <w:r w:rsidR="00A17173" w:rsidRPr="00954547">
        <w:rPr>
          <w:lang w:val="en-US"/>
        </w:rPr>
        <w:t>relate to</w:t>
      </w:r>
      <w:r w:rsidRPr="00954547">
        <w:rPr>
          <w:lang w:val="en-US"/>
        </w:rPr>
        <w:t xml:space="preserve"> an evident contradiction in the laws of El Salvador </w:t>
      </w:r>
      <w:r w:rsidR="00A17173" w:rsidRPr="00954547">
        <w:rPr>
          <w:lang w:val="en-US"/>
        </w:rPr>
        <w:t>with regard to</w:t>
      </w:r>
      <w:r w:rsidRPr="00954547">
        <w:rPr>
          <w:lang w:val="en-US"/>
        </w:rPr>
        <w:t xml:space="preserve"> the general obligation </w:t>
      </w:r>
      <w:r w:rsidR="007C3753" w:rsidRPr="00954547">
        <w:rPr>
          <w:lang w:val="en-US"/>
        </w:rPr>
        <w:t>to report offenses subject to public prosecution</w:t>
      </w:r>
      <w:r w:rsidR="001129DE" w:rsidRPr="00954547">
        <w:rPr>
          <w:lang w:val="en-US"/>
        </w:rPr>
        <w:t xml:space="preserve">. </w:t>
      </w:r>
    </w:p>
    <w:p w14:paraId="6705E1AB" w14:textId="4BAA711D" w:rsidR="007C3753" w:rsidRPr="00954547" w:rsidRDefault="007C3753" w:rsidP="000365EC">
      <w:pPr>
        <w:pStyle w:val="ListParagraph"/>
        <w:numPr>
          <w:ilvl w:val="0"/>
          <w:numId w:val="25"/>
        </w:numPr>
        <w:tabs>
          <w:tab w:val="clear" w:pos="567"/>
        </w:tabs>
        <w:spacing w:before="240" w:after="160"/>
        <w:ind w:left="0" w:firstLine="0"/>
        <w:rPr>
          <w:lang w:val="en-US"/>
        </w:rPr>
      </w:pPr>
      <w:r w:rsidRPr="00954547">
        <w:rPr>
          <w:lang w:val="en-US"/>
        </w:rPr>
        <w:t>Although, ultimately, this incoherence has no practical effects – or at least they are not revealed – it is useful to point this out for a better understanding of that legislation in light of international law, in case at another time and in other circumstances it is sought to derive any punitive effects from it.</w:t>
      </w:r>
    </w:p>
    <w:p w14:paraId="55769A37" w14:textId="2832F424" w:rsidR="007C3753" w:rsidRPr="00954547" w:rsidRDefault="00A17F8C" w:rsidP="000365EC">
      <w:pPr>
        <w:pStyle w:val="ListParagraph"/>
        <w:numPr>
          <w:ilvl w:val="0"/>
          <w:numId w:val="25"/>
        </w:numPr>
        <w:tabs>
          <w:tab w:val="clear" w:pos="567"/>
        </w:tabs>
        <w:spacing w:before="240" w:after="160"/>
        <w:ind w:left="0" w:firstLine="0"/>
        <w:rPr>
          <w:i/>
          <w:lang w:val="en-US"/>
        </w:rPr>
      </w:pPr>
      <w:r w:rsidRPr="00954547">
        <w:rPr>
          <w:lang w:val="en-US"/>
        </w:rPr>
        <w:t>Article</w:t>
      </w:r>
      <w:r w:rsidR="001129DE" w:rsidRPr="00954547">
        <w:rPr>
          <w:lang w:val="en-US"/>
        </w:rPr>
        <w:t xml:space="preserve"> 241</w:t>
      </w:r>
      <w:r w:rsidR="007C3753" w:rsidRPr="00954547">
        <w:rPr>
          <w:lang w:val="en-US"/>
        </w:rPr>
        <w:t xml:space="preserve"> of the Constitution</w:t>
      </w:r>
      <w:r w:rsidR="00607E12" w:rsidRPr="00954547">
        <w:rPr>
          <w:lang w:val="en-US"/>
        </w:rPr>
        <w:t xml:space="preserve"> of the </w:t>
      </w:r>
      <w:r w:rsidR="00B8393C" w:rsidRPr="00954547">
        <w:rPr>
          <w:lang w:val="en-US"/>
        </w:rPr>
        <w:t>Republic of</w:t>
      </w:r>
      <w:r w:rsidR="001129DE" w:rsidRPr="00954547">
        <w:rPr>
          <w:lang w:val="en-US"/>
        </w:rPr>
        <w:t xml:space="preserve"> El Salvador</w:t>
      </w:r>
      <w:r w:rsidR="007C3753" w:rsidRPr="00954547">
        <w:rPr>
          <w:lang w:val="en-US"/>
        </w:rPr>
        <w:t xml:space="preserve"> establishes that: “Public, civil and military officials who become aware of official offenses committed by officials or employees who are </w:t>
      </w:r>
      <w:r w:rsidR="00C41E97" w:rsidRPr="00954547">
        <w:rPr>
          <w:lang w:val="en-US"/>
        </w:rPr>
        <w:t>their subordinates shall communicate this to the competent authorities as soon as possible for their prosecution, and if they do not do so promptly, they shall be considered accessories and shall incur the corresponding criminal responsibilities.”</w:t>
      </w:r>
    </w:p>
    <w:p w14:paraId="415239D5" w14:textId="77777777" w:rsidR="007F1DBA" w:rsidRPr="00954547" w:rsidRDefault="001129DE" w:rsidP="000365EC">
      <w:pPr>
        <w:pStyle w:val="ListParagraph"/>
        <w:numPr>
          <w:ilvl w:val="0"/>
          <w:numId w:val="25"/>
        </w:numPr>
        <w:tabs>
          <w:tab w:val="clear" w:pos="567"/>
        </w:tabs>
        <w:spacing w:before="240" w:after="160"/>
        <w:ind w:left="0" w:firstLine="0"/>
        <w:rPr>
          <w:i/>
          <w:lang w:val="en-US"/>
        </w:rPr>
      </w:pPr>
      <w:r w:rsidRPr="00954547">
        <w:rPr>
          <w:lang w:val="en-US"/>
        </w:rPr>
        <w:t>Coherent</w:t>
      </w:r>
      <w:r w:rsidR="00CC60C2" w:rsidRPr="00954547">
        <w:rPr>
          <w:lang w:val="en-US"/>
        </w:rPr>
        <w:t>ly with this</w:t>
      </w:r>
      <w:r w:rsidRPr="00954547">
        <w:rPr>
          <w:lang w:val="en-US"/>
        </w:rPr>
        <w:t xml:space="preserve">, </w:t>
      </w:r>
      <w:r w:rsidR="00CC60C2" w:rsidRPr="00954547">
        <w:rPr>
          <w:lang w:val="en-US"/>
        </w:rPr>
        <w:t>a</w:t>
      </w:r>
      <w:r w:rsidR="00A17F8C" w:rsidRPr="00954547">
        <w:rPr>
          <w:lang w:val="en-US"/>
        </w:rPr>
        <w:t>rticle</w:t>
      </w:r>
      <w:r w:rsidRPr="00954547">
        <w:rPr>
          <w:lang w:val="en-US"/>
        </w:rPr>
        <w:t xml:space="preserve"> 312 </w:t>
      </w:r>
      <w:r w:rsidR="00CC60C2" w:rsidRPr="00954547">
        <w:rPr>
          <w:lang w:val="en-US"/>
        </w:rPr>
        <w:t>of</w:t>
      </w:r>
      <w:r w:rsidR="007D7721" w:rsidRPr="00954547">
        <w:rPr>
          <w:lang w:val="en-US"/>
        </w:rPr>
        <w:t xml:space="preserve"> the Criminal Code</w:t>
      </w:r>
      <w:r w:rsidRPr="00954547">
        <w:rPr>
          <w:lang w:val="en-US"/>
        </w:rPr>
        <w:t xml:space="preserve"> </w:t>
      </w:r>
      <w:r w:rsidR="00CC60C2" w:rsidRPr="00954547">
        <w:rPr>
          <w:lang w:val="en-US"/>
        </w:rPr>
        <w:t>es</w:t>
      </w:r>
      <w:r w:rsidR="00216AC9" w:rsidRPr="00954547">
        <w:rPr>
          <w:lang w:val="en-US"/>
        </w:rPr>
        <w:t>t</w:t>
      </w:r>
      <w:r w:rsidR="00CC60C2" w:rsidRPr="00954547">
        <w:rPr>
          <w:lang w:val="en-US"/>
        </w:rPr>
        <w:t>ablishes penalties for the violation of this provisions: “</w:t>
      </w:r>
      <w:r w:rsidR="007F1DBA" w:rsidRPr="00954547">
        <w:rPr>
          <w:lang w:val="en-US"/>
        </w:rPr>
        <w:t xml:space="preserve">The public official or employee, law enforcement agent or public authority who, in the exercise of his functions or due to them, becomes aware that a punishable act has been perpetrated and fails to report this to the competent official within twenty-four hours shall be sanctioned with a penalty of fifty to one hundred days-fine [Note: a fine based on the income of the person concerned]. The same punishment shall be imposed on the head or person in charge of a hospital, clinic or other similar public or private establishment, who fails to inform the competent official within eight hours that an injured person has been admitted, in cases in which it is reasonable to consider that the injuries originated from an offense.” </w:t>
      </w:r>
    </w:p>
    <w:p w14:paraId="1F990ED8" w14:textId="16B2243F" w:rsidR="00CC60C2" w:rsidRPr="00954547" w:rsidRDefault="00CC60C2" w:rsidP="008919C8">
      <w:pPr>
        <w:pStyle w:val="ListParagraph"/>
        <w:numPr>
          <w:ilvl w:val="0"/>
          <w:numId w:val="25"/>
        </w:numPr>
        <w:tabs>
          <w:tab w:val="clear" w:pos="567"/>
        </w:tabs>
        <w:spacing w:before="240" w:after="160"/>
        <w:ind w:left="0" w:firstLine="0"/>
        <w:rPr>
          <w:i/>
          <w:lang w:val="en-US"/>
        </w:rPr>
      </w:pPr>
      <w:r w:rsidRPr="00954547">
        <w:rPr>
          <w:lang w:val="en-US"/>
        </w:rPr>
        <w:t>In accordance with the foregoing,</w:t>
      </w:r>
      <w:r w:rsidR="001129DE" w:rsidRPr="00954547">
        <w:rPr>
          <w:lang w:val="en-US"/>
        </w:rPr>
        <w:t xml:space="preserve"> </w:t>
      </w:r>
      <w:r w:rsidRPr="00954547">
        <w:rPr>
          <w:lang w:val="en-US"/>
        </w:rPr>
        <w:t>a</w:t>
      </w:r>
      <w:r w:rsidR="00A17F8C" w:rsidRPr="00954547">
        <w:rPr>
          <w:lang w:val="en-US"/>
        </w:rPr>
        <w:t>rticle</w:t>
      </w:r>
      <w:r w:rsidR="001129DE" w:rsidRPr="00954547">
        <w:rPr>
          <w:lang w:val="en-US"/>
        </w:rPr>
        <w:t xml:space="preserve"> 232</w:t>
      </w:r>
      <w:r w:rsidR="00053A7C" w:rsidRPr="00954547">
        <w:rPr>
          <w:lang w:val="en-US"/>
        </w:rPr>
        <w:t xml:space="preserve"> of the </w:t>
      </w:r>
      <w:r w:rsidR="00BA4784" w:rsidRPr="00954547">
        <w:rPr>
          <w:lang w:val="en-US"/>
        </w:rPr>
        <w:t>Code of Criminal Procedure</w:t>
      </w:r>
      <w:r w:rsidR="001129DE" w:rsidRPr="00954547">
        <w:rPr>
          <w:lang w:val="en-US"/>
        </w:rPr>
        <w:t xml:space="preserve"> </w:t>
      </w:r>
      <w:r w:rsidR="00F00ACF" w:rsidRPr="00954547">
        <w:rPr>
          <w:lang w:val="en-US"/>
        </w:rPr>
        <w:t>in</w:t>
      </w:r>
      <w:r w:rsidRPr="00954547">
        <w:rPr>
          <w:lang w:val="en-US"/>
        </w:rPr>
        <w:t xml:space="preserve"> forc</w:t>
      </w:r>
      <w:r w:rsidR="00F15DE9" w:rsidRPr="00954547">
        <w:rPr>
          <w:lang w:val="en-US"/>
        </w:rPr>
        <w:t>e</w:t>
      </w:r>
      <w:r w:rsidRPr="00954547">
        <w:rPr>
          <w:lang w:val="en-US"/>
        </w:rPr>
        <w:t xml:space="preserve"> at the time of the facts established that: “The following are obliged to report offenses subject to public prosecution: (i) </w:t>
      </w:r>
      <w:r w:rsidR="00F15DE9" w:rsidRPr="00954547">
        <w:rPr>
          <w:lang w:val="en-US"/>
        </w:rPr>
        <w:t xml:space="preserve">Officials who become aware of </w:t>
      </w:r>
      <w:r w:rsidR="008919C8" w:rsidRPr="00954547">
        <w:rPr>
          <w:lang w:val="en-US"/>
        </w:rPr>
        <w:t>such offenses</w:t>
      </w:r>
      <w:r w:rsidR="00F15DE9" w:rsidRPr="00954547">
        <w:rPr>
          <w:lang w:val="en-US"/>
        </w:rPr>
        <w:t xml:space="preserve"> in the exercise of their functions. They shall also report official offenses committed by officials or employees who are their subordinates and if they do not do so promptly, they shall incur criminal responsibility; (2) </w:t>
      </w:r>
      <w:r w:rsidR="007F1DBA" w:rsidRPr="00954547">
        <w:rPr>
          <w:lang w:val="en-US"/>
        </w:rPr>
        <w:t>“physicians, pharmacists, nurses and other persons who exercise health-related professions and who learn […] [of actionable offenses] when providing the assistance required o</w:t>
      </w:r>
      <w:r w:rsidR="008919C8" w:rsidRPr="00954547">
        <w:rPr>
          <w:lang w:val="en-US"/>
        </w:rPr>
        <w:t>f</w:t>
      </w:r>
      <w:r w:rsidR="007F1DBA" w:rsidRPr="00954547">
        <w:rPr>
          <w:lang w:val="en-US"/>
        </w:rPr>
        <w:t xml:space="preserve"> their profession, unless the knowledge they acquire is protected by professional secrecy</w:t>
      </w:r>
      <w:r w:rsidR="00F15DE9" w:rsidRPr="00954547">
        <w:rPr>
          <w:lang w:val="en-US"/>
        </w:rPr>
        <w:t xml:space="preserve">, and (3) Persons who, by an order of the law, of the authority, or by a legal measure, are responsible for the management, administration, care or control of the goods or interests of an institution, entity or person, in relation </w:t>
      </w:r>
      <w:r w:rsidR="00216AC9" w:rsidRPr="00954547">
        <w:rPr>
          <w:lang w:val="en-US"/>
        </w:rPr>
        <w:t xml:space="preserve">to an offense committed to its detriment, or </w:t>
      </w:r>
      <w:r w:rsidR="008919C8" w:rsidRPr="00954547">
        <w:rPr>
          <w:lang w:val="en-US"/>
        </w:rPr>
        <w:t xml:space="preserve">to </w:t>
      </w:r>
      <w:r w:rsidR="00216AC9" w:rsidRPr="00954547">
        <w:rPr>
          <w:lang w:val="en-US"/>
        </w:rPr>
        <w:t xml:space="preserve">that of the assets or patrimony under </w:t>
      </w:r>
      <w:r w:rsidR="008919C8" w:rsidRPr="00954547">
        <w:rPr>
          <w:lang w:val="en-US"/>
        </w:rPr>
        <w:t>their</w:t>
      </w:r>
      <w:r w:rsidR="00216AC9" w:rsidRPr="00954547">
        <w:rPr>
          <w:lang w:val="en-US"/>
        </w:rPr>
        <w:t xml:space="preserve"> responsibility or control provided that </w:t>
      </w:r>
      <w:r w:rsidR="008919C8" w:rsidRPr="00954547">
        <w:rPr>
          <w:lang w:val="en-US"/>
        </w:rPr>
        <w:t>they</w:t>
      </w:r>
      <w:r w:rsidR="00216AC9" w:rsidRPr="00954547">
        <w:rPr>
          <w:lang w:val="en-US"/>
        </w:rPr>
        <w:t xml:space="preserve"> learns of the fact due to the exercise of </w:t>
      </w:r>
      <w:r w:rsidR="008919C8" w:rsidRPr="00954547">
        <w:rPr>
          <w:lang w:val="en-US"/>
        </w:rPr>
        <w:t>their</w:t>
      </w:r>
      <w:r w:rsidR="00216AC9" w:rsidRPr="00954547">
        <w:rPr>
          <w:lang w:val="en-US"/>
        </w:rPr>
        <w:t xml:space="preserve"> functions, unless</w:t>
      </w:r>
      <w:r w:rsidR="008919C8" w:rsidRPr="00954547">
        <w:rPr>
          <w:lang w:val="en-US"/>
        </w:rPr>
        <w:t xml:space="preserve"> </w:t>
      </w:r>
      <w:r w:rsidR="00216AC9" w:rsidRPr="00954547">
        <w:rPr>
          <w:lang w:val="en-US"/>
        </w:rPr>
        <w:t>offense</w:t>
      </w:r>
      <w:r w:rsidR="008919C8" w:rsidRPr="00954547">
        <w:rPr>
          <w:lang w:val="en-US"/>
        </w:rPr>
        <w:t>s</w:t>
      </w:r>
      <w:r w:rsidR="00216AC9" w:rsidRPr="00954547">
        <w:rPr>
          <w:lang w:val="en-US"/>
        </w:rPr>
        <w:t xml:space="preserve"> that do not have a serious impact on those assets </w:t>
      </w:r>
      <w:r w:rsidR="008919C8" w:rsidRPr="00954547">
        <w:rPr>
          <w:lang w:val="en-US"/>
        </w:rPr>
        <w:t>are</w:t>
      </w:r>
      <w:r w:rsidR="00216AC9" w:rsidRPr="00954547">
        <w:rPr>
          <w:lang w:val="en-US"/>
        </w:rPr>
        <w:t xml:space="preserve"> involved. In all the foregoing case</w:t>
      </w:r>
      <w:r w:rsidR="008919C8" w:rsidRPr="00954547">
        <w:rPr>
          <w:lang w:val="en-US"/>
        </w:rPr>
        <w:t>s</w:t>
      </w:r>
      <w:r w:rsidR="00216AC9" w:rsidRPr="00954547">
        <w:rPr>
          <w:lang w:val="en-US"/>
        </w:rPr>
        <w:t>, the report is not compulsory if there is a reasonable risk of criminal prosecution of the person making the report, or their spouse or ascendants, descendants, siblings or life companion or partner.”</w:t>
      </w:r>
    </w:p>
    <w:p w14:paraId="6C9A47E8" w14:textId="22831AB9" w:rsidR="001129DE" w:rsidRPr="00954547" w:rsidRDefault="00216AC9" w:rsidP="000365EC">
      <w:pPr>
        <w:pStyle w:val="ListParagraph"/>
        <w:numPr>
          <w:ilvl w:val="0"/>
          <w:numId w:val="25"/>
        </w:numPr>
        <w:tabs>
          <w:tab w:val="clear" w:pos="567"/>
        </w:tabs>
        <w:spacing w:before="240" w:after="160"/>
        <w:ind w:left="0" w:firstLine="0"/>
        <w:rPr>
          <w:lang w:val="en-US"/>
        </w:rPr>
      </w:pPr>
      <w:r w:rsidRPr="00954547">
        <w:rPr>
          <w:lang w:val="en-US"/>
        </w:rPr>
        <w:t>All the</w:t>
      </w:r>
      <w:r w:rsidR="008919C8" w:rsidRPr="00954547">
        <w:rPr>
          <w:lang w:val="en-US"/>
        </w:rPr>
        <w:t xml:space="preserve"> foregoing</w:t>
      </w:r>
      <w:r w:rsidRPr="00954547">
        <w:rPr>
          <w:lang w:val="en-US"/>
        </w:rPr>
        <w:t xml:space="preserve"> provisions, although not </w:t>
      </w:r>
      <w:r w:rsidR="007E314E" w:rsidRPr="00954547">
        <w:rPr>
          <w:lang w:val="en-US"/>
        </w:rPr>
        <w:t>totally in conformity with each other</w:t>
      </w:r>
      <w:r w:rsidRPr="00954547">
        <w:rPr>
          <w:lang w:val="en-US"/>
        </w:rPr>
        <w:t>, may be harmonized perfectly pursuant to the sound rules of interpretation</w:t>
      </w:r>
      <w:r w:rsidR="001129DE" w:rsidRPr="00954547">
        <w:rPr>
          <w:lang w:val="en-US"/>
        </w:rPr>
        <w:t xml:space="preserve">. </w:t>
      </w:r>
    </w:p>
    <w:p w14:paraId="356DF71C" w14:textId="00AB39CF" w:rsidR="00FC003F" w:rsidRPr="00954547" w:rsidRDefault="00216AC9" w:rsidP="00DA2A82">
      <w:pPr>
        <w:pStyle w:val="ListParagraph"/>
        <w:numPr>
          <w:ilvl w:val="0"/>
          <w:numId w:val="25"/>
        </w:numPr>
        <w:tabs>
          <w:tab w:val="clear" w:pos="567"/>
        </w:tabs>
        <w:spacing w:before="240" w:after="160"/>
        <w:ind w:left="0" w:firstLine="0"/>
        <w:rPr>
          <w:i/>
          <w:lang w:val="en-US"/>
        </w:rPr>
      </w:pPr>
      <w:r w:rsidRPr="00954547">
        <w:rPr>
          <w:lang w:val="en-US"/>
        </w:rPr>
        <w:t xml:space="preserve">Nevertheless, </w:t>
      </w:r>
      <w:r w:rsidR="00BA4784" w:rsidRPr="00954547">
        <w:rPr>
          <w:lang w:val="en-US"/>
        </w:rPr>
        <w:t>the Code of Criminal Procedure</w:t>
      </w:r>
      <w:r w:rsidR="001129DE" w:rsidRPr="00954547">
        <w:rPr>
          <w:lang w:val="en-US"/>
        </w:rPr>
        <w:t xml:space="preserve"> </w:t>
      </w:r>
      <w:r w:rsidR="00FC003F" w:rsidRPr="00954547">
        <w:rPr>
          <w:lang w:val="en-US"/>
        </w:rPr>
        <w:t>in force at the time of the facts is surprising by including an article that disrupts this harmony – article 229: “</w:t>
      </w:r>
      <w:r w:rsidR="007E314E" w:rsidRPr="00954547">
        <w:rPr>
          <w:lang w:val="en-US"/>
        </w:rPr>
        <w:t xml:space="preserve">Anyone who witnesses the perpetration of an offense subject to public prosecution is obliged to immediately inform the Prosecutor General, the police or the nearest magistrate. If the knowledge originates from news stories or reports, the complaint is optional. If the offense depends on an individual complaint, it is not possible to proceed without this, except for acts that require urgent investigation.” </w:t>
      </w:r>
      <w:r w:rsidR="00FC003F" w:rsidRPr="00954547">
        <w:rPr>
          <w:lang w:val="en-US"/>
        </w:rPr>
        <w:t>This provision has been retained in article 216 of the procedural code currently in force.</w:t>
      </w:r>
    </w:p>
    <w:p w14:paraId="0003AF9D" w14:textId="28245FF6" w:rsidR="00FC003F" w:rsidRPr="00954547" w:rsidRDefault="00FC003F" w:rsidP="000365EC">
      <w:pPr>
        <w:pStyle w:val="ListParagraph"/>
        <w:numPr>
          <w:ilvl w:val="0"/>
          <w:numId w:val="25"/>
        </w:numPr>
        <w:tabs>
          <w:tab w:val="clear" w:pos="567"/>
        </w:tabs>
        <w:spacing w:before="240" w:after="160"/>
        <w:ind w:left="0" w:firstLine="0"/>
        <w:rPr>
          <w:lang w:val="en-US"/>
        </w:rPr>
      </w:pPr>
      <w:r w:rsidRPr="00954547">
        <w:rPr>
          <w:lang w:val="en-US"/>
        </w:rPr>
        <w:t>Th</w:t>
      </w:r>
      <w:r w:rsidR="00C65CE4" w:rsidRPr="00954547">
        <w:rPr>
          <w:lang w:val="en-US"/>
        </w:rPr>
        <w:t>is</w:t>
      </w:r>
      <w:r w:rsidRPr="00954547">
        <w:rPr>
          <w:lang w:val="en-US"/>
        </w:rPr>
        <w:t xml:space="preserve"> article seeks to impose </w:t>
      </w:r>
      <w:r w:rsidR="00DA2A82" w:rsidRPr="00954547">
        <w:rPr>
          <w:lang w:val="en-US"/>
        </w:rPr>
        <w:t xml:space="preserve">a reporting obligation on </w:t>
      </w:r>
      <w:r w:rsidRPr="00954547">
        <w:rPr>
          <w:lang w:val="en-US"/>
        </w:rPr>
        <w:t xml:space="preserve">any individual, </w:t>
      </w:r>
      <w:r w:rsidR="00DA2A82" w:rsidRPr="00954547">
        <w:rPr>
          <w:lang w:val="en-US"/>
        </w:rPr>
        <w:t xml:space="preserve">above and </w:t>
      </w:r>
      <w:r w:rsidRPr="00954547">
        <w:rPr>
          <w:lang w:val="en-US"/>
        </w:rPr>
        <w:t xml:space="preserve">beyond </w:t>
      </w:r>
      <w:r w:rsidR="00DA2A82" w:rsidRPr="00954547">
        <w:rPr>
          <w:lang w:val="en-US"/>
        </w:rPr>
        <w:t>the provisions of</w:t>
      </w:r>
      <w:r w:rsidRPr="00954547">
        <w:rPr>
          <w:lang w:val="en-US"/>
        </w:rPr>
        <w:t xml:space="preserve"> the State’s Constitution. </w:t>
      </w:r>
      <w:r w:rsidR="00C11924" w:rsidRPr="00954547">
        <w:rPr>
          <w:lang w:val="en-US"/>
        </w:rPr>
        <w:t>Th</w:t>
      </w:r>
      <w:r w:rsidR="00C65CE4" w:rsidRPr="00954547">
        <w:rPr>
          <w:lang w:val="en-US"/>
        </w:rPr>
        <w:t>e said</w:t>
      </w:r>
      <w:r w:rsidR="00C11924" w:rsidRPr="00954547">
        <w:rPr>
          <w:lang w:val="en-US"/>
        </w:rPr>
        <w:t xml:space="preserve"> provision is incompatible with the model of a republican and democratic State at the service of the citizen</w:t>
      </w:r>
      <w:r w:rsidR="00C65CE4" w:rsidRPr="00954547">
        <w:rPr>
          <w:lang w:val="en-US"/>
        </w:rPr>
        <w:t>;</w:t>
      </w:r>
      <w:r w:rsidR="00C11924" w:rsidRPr="00954547">
        <w:rPr>
          <w:lang w:val="en-US"/>
        </w:rPr>
        <w:t xml:space="preserve"> rather </w:t>
      </w:r>
      <w:r w:rsidR="00C65CE4" w:rsidRPr="00954547">
        <w:rPr>
          <w:lang w:val="en-US"/>
        </w:rPr>
        <w:t xml:space="preserve">it reflects </w:t>
      </w:r>
      <w:r w:rsidR="00C11924" w:rsidRPr="00954547">
        <w:rPr>
          <w:lang w:val="en-US"/>
        </w:rPr>
        <w:t xml:space="preserve">the </w:t>
      </w:r>
      <w:r w:rsidR="00C65CE4" w:rsidRPr="00954547">
        <w:rPr>
          <w:lang w:val="en-US"/>
        </w:rPr>
        <w:t>contrary</w:t>
      </w:r>
      <w:r w:rsidR="006936A9" w:rsidRPr="00954547">
        <w:rPr>
          <w:lang w:val="en-US"/>
        </w:rPr>
        <w:t>.</w:t>
      </w:r>
      <w:r w:rsidR="00C11924" w:rsidRPr="00954547">
        <w:rPr>
          <w:lang w:val="en-US"/>
        </w:rPr>
        <w:t xml:space="preserve"> </w:t>
      </w:r>
      <w:r w:rsidR="006936A9" w:rsidRPr="00954547">
        <w:rPr>
          <w:lang w:val="en-US"/>
        </w:rPr>
        <w:t>T</w:t>
      </w:r>
      <w:r w:rsidR="00C11924" w:rsidRPr="00954547">
        <w:rPr>
          <w:lang w:val="en-US"/>
        </w:rPr>
        <w:t xml:space="preserve">he State and the law are </w:t>
      </w:r>
      <w:r w:rsidR="00C65CE4" w:rsidRPr="00954547">
        <w:rPr>
          <w:lang w:val="en-US"/>
        </w:rPr>
        <w:t>at the service of the</w:t>
      </w:r>
      <w:r w:rsidR="00C11924" w:rsidRPr="00954547">
        <w:rPr>
          <w:lang w:val="en-US"/>
        </w:rPr>
        <w:t xml:space="preserve"> </w:t>
      </w:r>
      <w:r w:rsidR="00C65CE4" w:rsidRPr="00954547">
        <w:rPr>
          <w:lang w:val="en-US"/>
        </w:rPr>
        <w:t>individual</w:t>
      </w:r>
      <w:r w:rsidR="00C11924" w:rsidRPr="00954547">
        <w:rPr>
          <w:lang w:val="en-US"/>
        </w:rPr>
        <w:t xml:space="preserve"> it is not the </w:t>
      </w:r>
      <w:r w:rsidR="00C65CE4" w:rsidRPr="00954547">
        <w:rPr>
          <w:lang w:val="en-US"/>
        </w:rPr>
        <w:t>individual</w:t>
      </w:r>
      <w:r w:rsidR="00C11924" w:rsidRPr="00954547">
        <w:rPr>
          <w:lang w:val="en-US"/>
        </w:rPr>
        <w:t xml:space="preserve"> </w:t>
      </w:r>
      <w:r w:rsidR="00C65CE4" w:rsidRPr="00954547">
        <w:rPr>
          <w:lang w:val="en-US"/>
        </w:rPr>
        <w:t>who</w:t>
      </w:r>
      <w:r w:rsidR="00C11924" w:rsidRPr="00954547">
        <w:rPr>
          <w:lang w:val="en-US"/>
        </w:rPr>
        <w:t xml:space="preserve"> is</w:t>
      </w:r>
      <w:r w:rsidR="00C65CE4" w:rsidRPr="00954547">
        <w:rPr>
          <w:lang w:val="en-US"/>
        </w:rPr>
        <w:t xml:space="preserve"> at the service of</w:t>
      </w:r>
      <w:r w:rsidR="00C11924" w:rsidRPr="00954547">
        <w:rPr>
          <w:lang w:val="en-US"/>
        </w:rPr>
        <w:t xml:space="preserve"> the State </w:t>
      </w:r>
      <w:r w:rsidR="00C65CE4" w:rsidRPr="00954547">
        <w:rPr>
          <w:lang w:val="en-US"/>
        </w:rPr>
        <w:t>or</w:t>
      </w:r>
      <w:r w:rsidR="00C11924" w:rsidRPr="00954547">
        <w:rPr>
          <w:lang w:val="en-US"/>
        </w:rPr>
        <w:t xml:space="preserve"> the law.</w:t>
      </w:r>
    </w:p>
    <w:p w14:paraId="3A113DD3" w14:textId="22F0F062" w:rsidR="001129DE" w:rsidRPr="00954547" w:rsidRDefault="00E12234" w:rsidP="000365EC">
      <w:pPr>
        <w:pStyle w:val="ListParagraph"/>
        <w:numPr>
          <w:ilvl w:val="0"/>
          <w:numId w:val="25"/>
        </w:numPr>
        <w:tabs>
          <w:tab w:val="clear" w:pos="567"/>
        </w:tabs>
        <w:spacing w:before="240" w:after="160"/>
        <w:ind w:left="0" w:firstLine="0"/>
        <w:rPr>
          <w:lang w:val="en-US"/>
        </w:rPr>
      </w:pPr>
      <w:r w:rsidRPr="00954547">
        <w:rPr>
          <w:lang w:val="en-US"/>
        </w:rPr>
        <w:t>The citizen</w:t>
      </w:r>
      <w:r w:rsidR="001129DE" w:rsidRPr="00954547">
        <w:rPr>
          <w:lang w:val="en-US"/>
        </w:rPr>
        <w:t xml:space="preserve"> o</w:t>
      </w:r>
      <w:r w:rsidRPr="00954547">
        <w:rPr>
          <w:lang w:val="en-US"/>
        </w:rPr>
        <w:t>r inhabitant has a duty to respect the law, but he is not a police officer or an agent of justice of the State. Evidently, the case of the official who assumes a particular responsibility by engaging in the exercise of the power or the administration of the State is different, because he occupies a particular position of guarantor</w:t>
      </w:r>
      <w:r w:rsidR="001129DE" w:rsidRPr="00954547">
        <w:rPr>
          <w:lang w:val="en-US"/>
        </w:rPr>
        <w:t xml:space="preserve">. </w:t>
      </w:r>
    </w:p>
    <w:p w14:paraId="0B507C6D" w14:textId="3BFC8DB5" w:rsidR="005A244E" w:rsidRPr="00954547" w:rsidRDefault="00E12234" w:rsidP="000365EC">
      <w:pPr>
        <w:pStyle w:val="ListParagraph"/>
        <w:numPr>
          <w:ilvl w:val="0"/>
          <w:numId w:val="25"/>
        </w:numPr>
        <w:tabs>
          <w:tab w:val="clear" w:pos="567"/>
        </w:tabs>
        <w:spacing w:before="240" w:after="160"/>
        <w:ind w:left="0" w:firstLine="0"/>
        <w:rPr>
          <w:lang w:val="en-US"/>
        </w:rPr>
      </w:pPr>
      <w:r w:rsidRPr="00954547">
        <w:rPr>
          <w:lang w:val="en-US"/>
        </w:rPr>
        <w:t xml:space="preserve">The </w:t>
      </w:r>
      <w:r w:rsidR="005A244E" w:rsidRPr="00954547">
        <w:rPr>
          <w:lang w:val="en-US"/>
        </w:rPr>
        <w:t xml:space="preserve">attempt to impose the duties inherent to agents of its criminal justice system or </w:t>
      </w:r>
      <w:r w:rsidR="006936A9" w:rsidRPr="00954547">
        <w:rPr>
          <w:lang w:val="en-US"/>
        </w:rPr>
        <w:t>to</w:t>
      </w:r>
      <w:r w:rsidR="005A244E" w:rsidRPr="00954547">
        <w:rPr>
          <w:lang w:val="en-US"/>
        </w:rPr>
        <w:t xml:space="preserve"> </w:t>
      </w:r>
      <w:r w:rsidR="006936A9" w:rsidRPr="00954547">
        <w:rPr>
          <w:lang w:val="en-US"/>
        </w:rPr>
        <w:t xml:space="preserve">the </w:t>
      </w:r>
      <w:r w:rsidR="005A244E" w:rsidRPr="00954547">
        <w:rPr>
          <w:lang w:val="en-US"/>
        </w:rPr>
        <w:t>State</w:t>
      </w:r>
      <w:r w:rsidR="006936A9" w:rsidRPr="00954547">
        <w:rPr>
          <w:lang w:val="en-US"/>
        </w:rPr>
        <w:t>’s</w:t>
      </w:r>
      <w:r w:rsidR="005A244E" w:rsidRPr="00954547">
        <w:rPr>
          <w:lang w:val="en-US"/>
        </w:rPr>
        <w:t xml:space="preserve"> officials on every inhabitant signifies considering that the latter have an obligation of </w:t>
      </w:r>
      <w:r w:rsidR="005A244E" w:rsidRPr="00954547">
        <w:rPr>
          <w:i/>
          <w:iCs/>
          <w:lang w:val="en-US"/>
        </w:rPr>
        <w:t xml:space="preserve">total </w:t>
      </w:r>
      <w:r w:rsidR="005F3E2A" w:rsidRPr="00954547">
        <w:rPr>
          <w:i/>
          <w:iCs/>
          <w:lang w:val="en-US"/>
        </w:rPr>
        <w:t>loyal</w:t>
      </w:r>
      <w:r w:rsidR="00D421D9" w:rsidRPr="00954547">
        <w:rPr>
          <w:i/>
          <w:iCs/>
          <w:lang w:val="en-US"/>
        </w:rPr>
        <w:t>ty</w:t>
      </w:r>
      <w:r w:rsidR="005A244E" w:rsidRPr="00954547">
        <w:rPr>
          <w:lang w:val="en-US"/>
        </w:rPr>
        <w:t xml:space="preserve"> to the State, and this is not in the nature of an inconsequential concept of law; rather it belongs to an anthropomorphic </w:t>
      </w:r>
      <w:r w:rsidR="00D421D9" w:rsidRPr="00954547">
        <w:rPr>
          <w:lang w:val="en-US"/>
        </w:rPr>
        <w:t>or organization-oriented conception of the State in which the citizens are reduced to the condition of cells, entities or subsystems at its service.</w:t>
      </w:r>
    </w:p>
    <w:p w14:paraId="66AC6755" w14:textId="65DE051A" w:rsidR="001129DE" w:rsidRPr="00954547" w:rsidRDefault="00D421D9" w:rsidP="000365EC">
      <w:pPr>
        <w:pStyle w:val="ListParagraph"/>
        <w:numPr>
          <w:ilvl w:val="0"/>
          <w:numId w:val="25"/>
        </w:numPr>
        <w:tabs>
          <w:tab w:val="clear" w:pos="567"/>
        </w:tabs>
        <w:spacing w:before="240" w:after="160"/>
        <w:ind w:left="0" w:firstLine="0"/>
        <w:rPr>
          <w:lang w:val="en-US"/>
        </w:rPr>
      </w:pPr>
      <w:r w:rsidRPr="00954547">
        <w:rPr>
          <w:lang w:val="en-US"/>
        </w:rPr>
        <w:t xml:space="preserve">This requirement of </w:t>
      </w:r>
      <w:r w:rsidRPr="00954547">
        <w:rPr>
          <w:i/>
          <w:iCs/>
          <w:lang w:val="en-US"/>
        </w:rPr>
        <w:t xml:space="preserve">total </w:t>
      </w:r>
      <w:r w:rsidR="005F3E2A" w:rsidRPr="00954547">
        <w:rPr>
          <w:i/>
          <w:iCs/>
          <w:lang w:val="en-US"/>
        </w:rPr>
        <w:t>loyalty</w:t>
      </w:r>
      <w:r w:rsidRPr="00954547">
        <w:rPr>
          <w:lang w:val="en-US"/>
        </w:rPr>
        <w:t xml:space="preserve"> was the famous</w:t>
      </w:r>
      <w:r w:rsidR="001129DE" w:rsidRPr="00954547">
        <w:rPr>
          <w:lang w:val="en-US"/>
        </w:rPr>
        <w:t xml:space="preserve"> </w:t>
      </w:r>
      <w:r w:rsidR="001129DE" w:rsidRPr="00954547">
        <w:rPr>
          <w:i/>
          <w:lang w:val="en-US"/>
        </w:rPr>
        <w:t xml:space="preserve">Treue </w:t>
      </w:r>
      <w:r w:rsidRPr="00954547">
        <w:rPr>
          <w:lang w:val="en-US"/>
        </w:rPr>
        <w:t xml:space="preserve">of Nazi law, the violation of which – </w:t>
      </w:r>
      <w:r w:rsidR="005F3E2A" w:rsidRPr="00954547">
        <w:rPr>
          <w:lang w:val="en-US"/>
        </w:rPr>
        <w:t>disloyalty</w:t>
      </w:r>
      <w:r w:rsidRPr="00954547">
        <w:rPr>
          <w:lang w:val="en-US"/>
        </w:rPr>
        <w:t xml:space="preserve"> or </w:t>
      </w:r>
      <w:r w:rsidR="001129DE" w:rsidRPr="00954547">
        <w:rPr>
          <w:i/>
          <w:lang w:val="en-US"/>
        </w:rPr>
        <w:t>Untreue</w:t>
      </w:r>
      <w:r w:rsidRPr="00954547">
        <w:rPr>
          <w:lang w:val="en-US"/>
        </w:rPr>
        <w:t xml:space="preserve"> – was considered</w:t>
      </w:r>
      <w:r w:rsidR="007D20CD" w:rsidRPr="00954547">
        <w:rPr>
          <w:lang w:val="en-US"/>
        </w:rPr>
        <w:t xml:space="preserve"> the ultimate essence of any offense, because it involved the violation</w:t>
      </w:r>
      <w:r w:rsidR="00133B35" w:rsidRPr="00954547">
        <w:rPr>
          <w:lang w:val="en-US"/>
        </w:rPr>
        <w:t>,</w:t>
      </w:r>
      <w:r w:rsidR="007D20CD" w:rsidRPr="00954547">
        <w:rPr>
          <w:lang w:val="en-US"/>
        </w:rPr>
        <w:t xml:space="preserve"> by omission</w:t>
      </w:r>
      <w:r w:rsidR="00133B35" w:rsidRPr="00954547">
        <w:rPr>
          <w:lang w:val="en-US"/>
        </w:rPr>
        <w:t>,</w:t>
      </w:r>
      <w:r w:rsidR="007D20CD" w:rsidRPr="00954547">
        <w:rPr>
          <w:lang w:val="en-US"/>
        </w:rPr>
        <w:t xml:space="preserve"> of the supposed ethical mandates that emanated from the </w:t>
      </w:r>
      <w:r w:rsidR="007D20CD" w:rsidRPr="00954547">
        <w:rPr>
          <w:i/>
          <w:iCs/>
          <w:lang w:val="en-US"/>
        </w:rPr>
        <w:t>people’s community</w:t>
      </w:r>
      <w:r w:rsidR="001129DE" w:rsidRPr="00954547">
        <w:rPr>
          <w:lang w:val="en-US"/>
        </w:rPr>
        <w:t xml:space="preserve"> (</w:t>
      </w:r>
      <w:r w:rsidR="001129DE" w:rsidRPr="00954547">
        <w:rPr>
          <w:i/>
          <w:lang w:val="en-US"/>
        </w:rPr>
        <w:t>Volksgemeinschaft</w:t>
      </w:r>
      <w:r w:rsidR="001129DE" w:rsidRPr="00954547">
        <w:rPr>
          <w:lang w:val="en-US"/>
        </w:rPr>
        <w:t>),</w:t>
      </w:r>
      <w:r w:rsidR="007D20CD" w:rsidRPr="00954547">
        <w:rPr>
          <w:lang w:val="en-US"/>
        </w:rPr>
        <w:t xml:space="preserve"> into which the individuality of every </w:t>
      </w:r>
      <w:r w:rsidR="00133B35" w:rsidRPr="00954547">
        <w:rPr>
          <w:lang w:val="en-US"/>
        </w:rPr>
        <w:t>human being</w:t>
      </w:r>
      <w:r w:rsidR="007D20CD" w:rsidRPr="00954547">
        <w:rPr>
          <w:lang w:val="en-US"/>
        </w:rPr>
        <w:t xml:space="preserve"> of the same </w:t>
      </w:r>
      <w:r w:rsidR="007D20CD" w:rsidRPr="00954547">
        <w:rPr>
          <w:i/>
          <w:iCs/>
          <w:lang w:val="en-US"/>
        </w:rPr>
        <w:t xml:space="preserve">race </w:t>
      </w:r>
      <w:r w:rsidR="007D20CD" w:rsidRPr="00954547">
        <w:rPr>
          <w:lang w:val="en-US"/>
        </w:rPr>
        <w:t>melted</w:t>
      </w:r>
      <w:r w:rsidR="001129DE" w:rsidRPr="00954547">
        <w:rPr>
          <w:lang w:val="en-US"/>
        </w:rPr>
        <w:t>.</w:t>
      </w:r>
    </w:p>
    <w:p w14:paraId="5A2267DF" w14:textId="1F84F4BD" w:rsidR="002E4693" w:rsidRPr="00954547" w:rsidRDefault="007D20CD" w:rsidP="000365EC">
      <w:pPr>
        <w:pStyle w:val="ListParagraph"/>
        <w:numPr>
          <w:ilvl w:val="0"/>
          <w:numId w:val="25"/>
        </w:numPr>
        <w:tabs>
          <w:tab w:val="clear" w:pos="567"/>
        </w:tabs>
        <w:spacing w:before="240" w:after="160"/>
        <w:ind w:left="0" w:firstLine="0"/>
        <w:rPr>
          <w:lang w:val="en-US"/>
        </w:rPr>
      </w:pPr>
      <w:r w:rsidRPr="00954547">
        <w:rPr>
          <w:lang w:val="en-US"/>
        </w:rPr>
        <w:t>W</w:t>
      </w:r>
      <w:r w:rsidR="002E4693" w:rsidRPr="00954547">
        <w:rPr>
          <w:lang w:val="en-US"/>
        </w:rPr>
        <w:t>e</w:t>
      </w:r>
      <w:r w:rsidRPr="00954547">
        <w:rPr>
          <w:lang w:val="en-US"/>
        </w:rPr>
        <w:t xml:space="preserve"> could continue to examine totalitarianisms</w:t>
      </w:r>
      <w:r w:rsidR="002E4693" w:rsidRPr="00954547">
        <w:rPr>
          <w:lang w:val="en-US"/>
        </w:rPr>
        <w:t xml:space="preserve"> and find similar requirements of extreme </w:t>
      </w:r>
      <w:r w:rsidR="002E4693" w:rsidRPr="00954547">
        <w:rPr>
          <w:i/>
          <w:iCs/>
          <w:lang w:val="en-US"/>
        </w:rPr>
        <w:t xml:space="preserve">total </w:t>
      </w:r>
      <w:r w:rsidR="00133B35" w:rsidRPr="00954547">
        <w:rPr>
          <w:i/>
          <w:iCs/>
          <w:lang w:val="en-US"/>
        </w:rPr>
        <w:t>loyalty</w:t>
      </w:r>
      <w:r w:rsidR="002E4693" w:rsidRPr="00954547">
        <w:rPr>
          <w:lang w:val="en-US"/>
        </w:rPr>
        <w:t xml:space="preserve"> to the State </w:t>
      </w:r>
      <w:r w:rsidR="00133B35" w:rsidRPr="00954547">
        <w:rPr>
          <w:lang w:val="en-US"/>
        </w:rPr>
        <w:t>by</w:t>
      </w:r>
      <w:r w:rsidR="002E4693" w:rsidRPr="00954547">
        <w:rPr>
          <w:lang w:val="en-US"/>
        </w:rPr>
        <w:t xml:space="preserve"> the Stalinist </w:t>
      </w:r>
      <w:r w:rsidR="002E4693" w:rsidRPr="00954547">
        <w:rPr>
          <w:i/>
          <w:iCs/>
          <w:lang w:val="en-US"/>
        </w:rPr>
        <w:t>dictatorship of the proletariat</w:t>
      </w:r>
      <w:r w:rsidR="002E4693" w:rsidRPr="00954547">
        <w:rPr>
          <w:lang w:val="en-US"/>
        </w:rPr>
        <w:t xml:space="preserve"> or to the </w:t>
      </w:r>
      <w:r w:rsidR="00133B35" w:rsidRPr="00954547">
        <w:rPr>
          <w:lang w:val="en-US"/>
        </w:rPr>
        <w:t>F</w:t>
      </w:r>
      <w:r w:rsidR="002E4693" w:rsidRPr="00954547">
        <w:rPr>
          <w:lang w:val="en-US"/>
        </w:rPr>
        <w:t xml:space="preserve">ascist enterprise as a synthesis of past, present and future generations. But this requirement of </w:t>
      </w:r>
      <w:r w:rsidR="002E4693" w:rsidRPr="00954547">
        <w:rPr>
          <w:i/>
          <w:iCs/>
          <w:lang w:val="en-US"/>
        </w:rPr>
        <w:t xml:space="preserve">total </w:t>
      </w:r>
      <w:r w:rsidR="00133B35" w:rsidRPr="00954547">
        <w:rPr>
          <w:i/>
          <w:iCs/>
          <w:lang w:val="en-US"/>
        </w:rPr>
        <w:t>loyalt</w:t>
      </w:r>
      <w:r w:rsidR="002E4693" w:rsidRPr="00954547">
        <w:rPr>
          <w:i/>
          <w:iCs/>
          <w:lang w:val="en-US"/>
        </w:rPr>
        <w:t xml:space="preserve">y </w:t>
      </w:r>
      <w:r w:rsidR="002E4693" w:rsidRPr="00954547">
        <w:rPr>
          <w:lang w:val="en-US"/>
        </w:rPr>
        <w:t xml:space="preserve">has no place within the framework of the democratic and republic rule of law, where its inhabitants are </w:t>
      </w:r>
      <w:r w:rsidR="002E4693" w:rsidRPr="00954547">
        <w:rPr>
          <w:i/>
          <w:iCs/>
          <w:lang w:val="en-US"/>
        </w:rPr>
        <w:t xml:space="preserve">individuals </w:t>
      </w:r>
      <w:r w:rsidR="002E4693" w:rsidRPr="00954547">
        <w:rPr>
          <w:lang w:val="en-US"/>
        </w:rPr>
        <w:t xml:space="preserve">to whom the State must ensure </w:t>
      </w:r>
      <w:r w:rsidR="002E4693" w:rsidRPr="00954547">
        <w:rPr>
          <w:i/>
          <w:iCs/>
          <w:lang w:val="en-US"/>
        </w:rPr>
        <w:t>the means for self-realization</w:t>
      </w:r>
      <w:r w:rsidR="002E4693" w:rsidRPr="00954547">
        <w:rPr>
          <w:lang w:val="en-US"/>
        </w:rPr>
        <w:t xml:space="preserve"> </w:t>
      </w:r>
      <w:r w:rsidR="00E45630" w:rsidRPr="00954547">
        <w:rPr>
          <w:lang w:val="en-US"/>
        </w:rPr>
        <w:t xml:space="preserve">(so that everyone may become what they wish based on their existential choice) and they may never be used as a medium for the supposed realization of any transcendent or </w:t>
      </w:r>
      <w:r w:rsidR="00E45630" w:rsidRPr="00954547">
        <w:rPr>
          <w:i/>
          <w:iCs/>
          <w:lang w:val="en-US"/>
        </w:rPr>
        <w:t xml:space="preserve">supra-personal </w:t>
      </w:r>
      <w:r w:rsidR="00E45630" w:rsidRPr="00954547">
        <w:rPr>
          <w:lang w:val="en-US"/>
        </w:rPr>
        <w:t xml:space="preserve">entity such as </w:t>
      </w:r>
      <w:r w:rsidR="00E45630" w:rsidRPr="00954547">
        <w:rPr>
          <w:i/>
          <w:lang w:val="en-US"/>
        </w:rPr>
        <w:t>Volksgemeinschaft</w:t>
      </w:r>
      <w:r w:rsidR="00E45630" w:rsidRPr="00954547">
        <w:rPr>
          <w:lang w:val="en-US"/>
        </w:rPr>
        <w:t>, the dictatorship of the proletariat, the corporate State, national security or any similar ideological construct.</w:t>
      </w:r>
    </w:p>
    <w:p w14:paraId="03E25F2D" w14:textId="49E28ED1" w:rsidR="001129DE" w:rsidRPr="00954547" w:rsidRDefault="00861C07" w:rsidP="000365EC">
      <w:pPr>
        <w:pStyle w:val="ListParagraph"/>
        <w:numPr>
          <w:ilvl w:val="0"/>
          <w:numId w:val="25"/>
        </w:numPr>
        <w:tabs>
          <w:tab w:val="clear" w:pos="567"/>
        </w:tabs>
        <w:spacing w:before="240" w:after="160"/>
        <w:ind w:left="0" w:firstLine="0"/>
        <w:rPr>
          <w:lang w:val="en-US"/>
        </w:rPr>
      </w:pPr>
      <w:r w:rsidRPr="00954547">
        <w:rPr>
          <w:lang w:val="en-US"/>
        </w:rPr>
        <w:t xml:space="preserve">Be that as it may, it </w:t>
      </w:r>
      <w:r w:rsidR="00133B35" w:rsidRPr="00954547">
        <w:rPr>
          <w:lang w:val="en-US"/>
        </w:rPr>
        <w:t>should be</w:t>
      </w:r>
      <w:r w:rsidRPr="00954547">
        <w:rPr>
          <w:lang w:val="en-US"/>
        </w:rPr>
        <w:t xml:space="preserve"> emphasize</w:t>
      </w:r>
      <w:r w:rsidR="00133B35" w:rsidRPr="00954547">
        <w:rPr>
          <w:lang w:val="en-US"/>
        </w:rPr>
        <w:t>d</w:t>
      </w:r>
      <w:r w:rsidRPr="00954547">
        <w:rPr>
          <w:lang w:val="en-US"/>
        </w:rPr>
        <w:t xml:space="preserve"> that, even though the provisions of article 229 of the Code of Criminal Procedure of El Salvador are contrary to the dignity of the person established in the American Convention, it is not necessary to </w:t>
      </w:r>
      <w:r w:rsidR="00133B35" w:rsidRPr="00954547">
        <w:rPr>
          <w:lang w:val="en-US"/>
        </w:rPr>
        <w:t>censure</w:t>
      </w:r>
      <w:r w:rsidRPr="00954547">
        <w:rPr>
          <w:lang w:val="en-US"/>
        </w:rPr>
        <w:t xml:space="preserve"> </w:t>
      </w:r>
      <w:r w:rsidR="00133B35" w:rsidRPr="00954547">
        <w:rPr>
          <w:lang w:val="en-US"/>
        </w:rPr>
        <w:t>it</w:t>
      </w:r>
      <w:r w:rsidRPr="00954547">
        <w:rPr>
          <w:lang w:val="en-US"/>
        </w:rPr>
        <w:t xml:space="preserve"> as such, because </w:t>
      </w:r>
      <w:r w:rsidR="00133B35" w:rsidRPr="00954547">
        <w:rPr>
          <w:lang w:val="en-US"/>
        </w:rPr>
        <w:t>it has</w:t>
      </w:r>
      <w:r w:rsidRPr="00954547">
        <w:rPr>
          <w:lang w:val="en-US"/>
        </w:rPr>
        <w:t xml:space="preserve"> the very curious particularity of not being a real legal norm, because </w:t>
      </w:r>
      <w:r w:rsidR="00133B35" w:rsidRPr="00954547">
        <w:rPr>
          <w:lang w:val="en-US"/>
        </w:rPr>
        <w:t>it</w:t>
      </w:r>
      <w:r w:rsidRPr="00954547">
        <w:rPr>
          <w:lang w:val="en-US"/>
        </w:rPr>
        <w:t xml:space="preserve"> lack</w:t>
      </w:r>
      <w:r w:rsidR="00133B35" w:rsidRPr="00954547">
        <w:rPr>
          <w:lang w:val="en-US"/>
        </w:rPr>
        <w:t>s</w:t>
      </w:r>
      <w:r w:rsidRPr="00954547">
        <w:rPr>
          <w:lang w:val="en-US"/>
        </w:rPr>
        <w:t xml:space="preserve"> a sanction</w:t>
      </w:r>
      <w:r w:rsidR="00133B35" w:rsidRPr="00954547">
        <w:rPr>
          <w:lang w:val="en-US"/>
        </w:rPr>
        <w:t xml:space="preserve"> since </w:t>
      </w:r>
      <w:r w:rsidRPr="00954547">
        <w:rPr>
          <w:lang w:val="en-US"/>
        </w:rPr>
        <w:t>this is not contemplated in a</w:t>
      </w:r>
      <w:r w:rsidR="00A17F8C" w:rsidRPr="00954547">
        <w:rPr>
          <w:lang w:val="en-US"/>
        </w:rPr>
        <w:t>rticle</w:t>
      </w:r>
      <w:r w:rsidR="001129DE" w:rsidRPr="00954547">
        <w:rPr>
          <w:lang w:val="en-US"/>
        </w:rPr>
        <w:t xml:space="preserve"> 312 </w:t>
      </w:r>
      <w:r w:rsidRPr="00954547">
        <w:rPr>
          <w:lang w:val="en-US"/>
        </w:rPr>
        <w:t>of</w:t>
      </w:r>
      <w:r w:rsidR="007D7721" w:rsidRPr="00954547">
        <w:rPr>
          <w:lang w:val="en-US"/>
        </w:rPr>
        <w:t xml:space="preserve"> the Criminal Code</w:t>
      </w:r>
      <w:r w:rsidR="001129DE" w:rsidRPr="00954547">
        <w:rPr>
          <w:lang w:val="en-US"/>
        </w:rPr>
        <w:t xml:space="preserve">, </w:t>
      </w:r>
      <w:r w:rsidRPr="00954547">
        <w:rPr>
          <w:lang w:val="en-US"/>
        </w:rPr>
        <w:t xml:space="preserve">which falls within the framework indicated by </w:t>
      </w:r>
      <w:r w:rsidR="007C3753" w:rsidRPr="00954547">
        <w:rPr>
          <w:lang w:val="en-US"/>
        </w:rPr>
        <w:t>the Constitution</w:t>
      </w:r>
      <w:r w:rsidR="001129DE" w:rsidRPr="00954547">
        <w:rPr>
          <w:lang w:val="en-US"/>
        </w:rPr>
        <w:t xml:space="preserve">. </w:t>
      </w:r>
    </w:p>
    <w:p w14:paraId="1E69F054" w14:textId="1FFCFFB7" w:rsidR="001129DE" w:rsidRPr="00954547" w:rsidRDefault="00861C07" w:rsidP="000365EC">
      <w:pPr>
        <w:pStyle w:val="ListParagraph"/>
        <w:numPr>
          <w:ilvl w:val="0"/>
          <w:numId w:val="25"/>
        </w:numPr>
        <w:tabs>
          <w:tab w:val="clear" w:pos="567"/>
        </w:tabs>
        <w:spacing w:before="240" w:after="160"/>
        <w:ind w:left="0" w:firstLine="0"/>
        <w:rPr>
          <w:lang w:val="en-US"/>
        </w:rPr>
      </w:pPr>
      <w:r w:rsidRPr="00954547">
        <w:rPr>
          <w:lang w:val="en-US"/>
        </w:rPr>
        <w:t>Th</w:t>
      </w:r>
      <w:r w:rsidR="00AB068F" w:rsidRPr="00954547">
        <w:rPr>
          <w:lang w:val="en-US"/>
        </w:rPr>
        <w:t>at</w:t>
      </w:r>
      <w:r w:rsidRPr="00954547">
        <w:rPr>
          <w:lang w:val="en-US"/>
        </w:rPr>
        <w:t xml:space="preserve"> </w:t>
      </w:r>
      <w:r w:rsidR="00AB068F" w:rsidRPr="00954547">
        <w:rPr>
          <w:lang w:val="en-US"/>
        </w:rPr>
        <w:t xml:space="preserve">article </w:t>
      </w:r>
      <w:r w:rsidRPr="00954547">
        <w:rPr>
          <w:lang w:val="en-US"/>
        </w:rPr>
        <w:t>appear</w:t>
      </w:r>
      <w:r w:rsidR="00AB068F" w:rsidRPr="00954547">
        <w:rPr>
          <w:lang w:val="en-US"/>
        </w:rPr>
        <w:t>s</w:t>
      </w:r>
      <w:r w:rsidRPr="00954547">
        <w:rPr>
          <w:lang w:val="en-US"/>
        </w:rPr>
        <w:t xml:space="preserve"> to be merely an expression of </w:t>
      </w:r>
      <w:r w:rsidR="00AB068F" w:rsidRPr="00954547">
        <w:rPr>
          <w:lang w:val="en-US"/>
        </w:rPr>
        <w:t>aspirations</w:t>
      </w:r>
      <w:r w:rsidRPr="00954547">
        <w:rPr>
          <w:lang w:val="en-US"/>
        </w:rPr>
        <w:t xml:space="preserve">, because any precept without a sanction is a sort of </w:t>
      </w:r>
      <w:r w:rsidR="00436091" w:rsidRPr="00954547">
        <w:rPr>
          <w:lang w:val="en-US"/>
        </w:rPr>
        <w:t xml:space="preserve">bell without a clapper or a guitar without strings, but in any case </w:t>
      </w:r>
      <w:r w:rsidR="00D011F6" w:rsidRPr="00954547">
        <w:rPr>
          <w:lang w:val="en-US"/>
        </w:rPr>
        <w:t xml:space="preserve">it is out of place </w:t>
      </w:r>
      <w:r w:rsidR="00436091" w:rsidRPr="00954547">
        <w:rPr>
          <w:lang w:val="en-US"/>
        </w:rPr>
        <w:t xml:space="preserve">in a democratic and republican legal system, </w:t>
      </w:r>
      <w:r w:rsidR="00D011F6" w:rsidRPr="00954547">
        <w:rPr>
          <w:lang w:val="en-US"/>
        </w:rPr>
        <w:t>and</w:t>
      </w:r>
      <w:r w:rsidR="00436091" w:rsidRPr="00954547">
        <w:rPr>
          <w:lang w:val="en-US"/>
        </w:rPr>
        <w:t xml:space="preserve"> it is necessary to </w:t>
      </w:r>
      <w:r w:rsidR="00D011F6" w:rsidRPr="00954547">
        <w:rPr>
          <w:lang w:val="en-US"/>
        </w:rPr>
        <w:t>highlight this in order</w:t>
      </w:r>
      <w:r w:rsidR="00436091" w:rsidRPr="00954547">
        <w:rPr>
          <w:lang w:val="en-US"/>
        </w:rPr>
        <w:t xml:space="preserve"> to avoid any practical consequence</w:t>
      </w:r>
      <w:r w:rsidR="00DE6061" w:rsidRPr="00954547">
        <w:rPr>
          <w:lang w:val="en-US"/>
        </w:rPr>
        <w:t>s</w:t>
      </w:r>
      <w:r w:rsidR="00436091" w:rsidRPr="00954547">
        <w:rPr>
          <w:lang w:val="en-US"/>
        </w:rPr>
        <w:t xml:space="preserve"> of its undesirable presence in the law.</w:t>
      </w:r>
      <w:r w:rsidR="001129DE" w:rsidRPr="00954547">
        <w:rPr>
          <w:lang w:val="en-US"/>
        </w:rPr>
        <w:t xml:space="preserve">   </w:t>
      </w:r>
    </w:p>
    <w:p w14:paraId="1161BF9C" w14:textId="41136B0A" w:rsidR="00DE6061" w:rsidRPr="00954547" w:rsidRDefault="00DE6061" w:rsidP="000365EC">
      <w:pPr>
        <w:pStyle w:val="ListParagraph"/>
        <w:numPr>
          <w:ilvl w:val="0"/>
          <w:numId w:val="25"/>
        </w:numPr>
        <w:tabs>
          <w:tab w:val="clear" w:pos="567"/>
        </w:tabs>
        <w:spacing w:before="240" w:after="160"/>
        <w:ind w:left="0" w:firstLine="0"/>
        <w:rPr>
          <w:lang w:val="en-US"/>
        </w:rPr>
      </w:pPr>
      <w:r w:rsidRPr="00954547">
        <w:rPr>
          <w:lang w:val="en-US"/>
        </w:rPr>
        <w:t>On a separate issue – and also</w:t>
      </w:r>
      <w:r w:rsidR="001129DE" w:rsidRPr="00954547">
        <w:rPr>
          <w:lang w:val="en-US"/>
        </w:rPr>
        <w:t xml:space="preserve"> </w:t>
      </w:r>
      <w:r w:rsidR="001129DE" w:rsidRPr="00954547">
        <w:rPr>
          <w:i/>
          <w:lang w:val="en-US"/>
        </w:rPr>
        <w:t>obiter dictum</w:t>
      </w:r>
      <w:r w:rsidRPr="00954547">
        <w:rPr>
          <w:i/>
          <w:lang w:val="en-US"/>
        </w:rPr>
        <w:t xml:space="preserve"> </w:t>
      </w:r>
      <w:r w:rsidRPr="00954547">
        <w:rPr>
          <w:iCs/>
          <w:lang w:val="en-US"/>
        </w:rPr>
        <w:t xml:space="preserve">– I consider it necessary to </w:t>
      </w:r>
      <w:r w:rsidR="00E31CFF" w:rsidRPr="00954547">
        <w:rPr>
          <w:iCs/>
          <w:lang w:val="en-US"/>
        </w:rPr>
        <w:t>state</w:t>
      </w:r>
      <w:r w:rsidRPr="00954547">
        <w:rPr>
          <w:iCs/>
          <w:lang w:val="en-US"/>
        </w:rPr>
        <w:t xml:space="preserve"> that, as a general </w:t>
      </w:r>
      <w:r w:rsidR="00E31CFF" w:rsidRPr="00954547">
        <w:rPr>
          <w:iCs/>
          <w:lang w:val="en-US"/>
        </w:rPr>
        <w:t>principle</w:t>
      </w:r>
      <w:r w:rsidRPr="00954547">
        <w:rPr>
          <w:iCs/>
          <w:lang w:val="en-US"/>
        </w:rPr>
        <w:t xml:space="preserve"> </w:t>
      </w:r>
      <w:r w:rsidR="00D011F6" w:rsidRPr="00954547">
        <w:rPr>
          <w:iCs/>
          <w:lang w:val="en-US"/>
        </w:rPr>
        <w:t>limiting</w:t>
      </w:r>
      <w:r w:rsidRPr="00954547">
        <w:rPr>
          <w:iCs/>
          <w:lang w:val="en-US"/>
        </w:rPr>
        <w:t xml:space="preserve"> any obligation to report an offense, the basic rule </w:t>
      </w:r>
      <w:r w:rsidR="00650EDE" w:rsidRPr="00954547">
        <w:rPr>
          <w:iCs/>
          <w:lang w:val="en-US"/>
        </w:rPr>
        <w:t xml:space="preserve">that </w:t>
      </w:r>
      <w:r w:rsidRPr="00954547">
        <w:rPr>
          <w:iCs/>
          <w:lang w:val="en-US"/>
        </w:rPr>
        <w:t xml:space="preserve">must be </w:t>
      </w:r>
      <w:r w:rsidR="00E31CFF" w:rsidRPr="00954547">
        <w:rPr>
          <w:iCs/>
          <w:lang w:val="en-US"/>
        </w:rPr>
        <w:t>followed</w:t>
      </w:r>
      <w:r w:rsidR="00650EDE" w:rsidRPr="00954547">
        <w:rPr>
          <w:iCs/>
          <w:lang w:val="en-US"/>
        </w:rPr>
        <w:t xml:space="preserve"> is</w:t>
      </w:r>
      <w:r w:rsidRPr="00954547">
        <w:rPr>
          <w:iCs/>
          <w:lang w:val="en-US"/>
        </w:rPr>
        <w:t xml:space="preserve"> </w:t>
      </w:r>
      <w:r w:rsidR="00E31CFF" w:rsidRPr="00954547">
        <w:rPr>
          <w:iCs/>
          <w:lang w:val="en-US"/>
        </w:rPr>
        <w:t xml:space="preserve">that </w:t>
      </w:r>
      <w:r w:rsidRPr="00954547">
        <w:rPr>
          <w:iCs/>
          <w:lang w:val="en-US"/>
        </w:rPr>
        <w:t>this obligation</w:t>
      </w:r>
      <w:r w:rsidR="00E31CFF" w:rsidRPr="00954547">
        <w:rPr>
          <w:iCs/>
          <w:lang w:val="en-US"/>
        </w:rPr>
        <w:t xml:space="preserve"> must never</w:t>
      </w:r>
      <w:r w:rsidRPr="00954547">
        <w:rPr>
          <w:iCs/>
          <w:lang w:val="en-US"/>
        </w:rPr>
        <w:t xml:space="preserve"> be taken to the extreme of placing a person in the dilemma of being punished or </w:t>
      </w:r>
      <w:r w:rsidR="00E31CFF" w:rsidRPr="00954547">
        <w:rPr>
          <w:iCs/>
          <w:lang w:val="en-US"/>
        </w:rPr>
        <w:t>letting themselves die.</w:t>
      </w:r>
    </w:p>
    <w:p w14:paraId="2B463427" w14:textId="3D7E39D6" w:rsidR="00E31CFF" w:rsidRPr="00954547" w:rsidRDefault="00E31CFF" w:rsidP="000365EC">
      <w:pPr>
        <w:pStyle w:val="ListParagraph"/>
        <w:numPr>
          <w:ilvl w:val="0"/>
          <w:numId w:val="25"/>
        </w:numPr>
        <w:tabs>
          <w:tab w:val="clear" w:pos="567"/>
        </w:tabs>
        <w:spacing w:before="240" w:after="160"/>
        <w:ind w:left="0" w:firstLine="0"/>
        <w:rPr>
          <w:lang w:val="en-US"/>
        </w:rPr>
      </w:pPr>
      <w:r w:rsidRPr="00954547">
        <w:rPr>
          <w:lang w:val="en-US"/>
        </w:rPr>
        <w:t xml:space="preserve">The human rights hierarchy necessarily places life above the requirements for efficiency of any administration of justice and, if there is a conflict, the right to life must evidently have priority over the interests of the State in punishing </w:t>
      </w:r>
      <w:r w:rsidR="00161983" w:rsidRPr="00954547">
        <w:rPr>
          <w:lang w:val="en-US"/>
        </w:rPr>
        <w:t>those who break its laws.</w:t>
      </w:r>
    </w:p>
    <w:p w14:paraId="0895CF80" w14:textId="0C723397" w:rsidR="00161983" w:rsidRPr="00954547" w:rsidRDefault="00161983" w:rsidP="000365EC">
      <w:pPr>
        <w:pStyle w:val="ListParagraph"/>
        <w:numPr>
          <w:ilvl w:val="0"/>
          <w:numId w:val="25"/>
        </w:numPr>
        <w:tabs>
          <w:tab w:val="clear" w:pos="567"/>
        </w:tabs>
        <w:spacing w:before="240" w:after="160"/>
        <w:ind w:left="0" w:firstLine="0"/>
        <w:rPr>
          <w:lang w:val="en-US"/>
        </w:rPr>
      </w:pPr>
      <w:r w:rsidRPr="00954547">
        <w:rPr>
          <w:lang w:val="en-US"/>
        </w:rPr>
        <w:t>It can be seen that a</w:t>
      </w:r>
      <w:r w:rsidR="00A17F8C" w:rsidRPr="00954547">
        <w:rPr>
          <w:lang w:val="en-US"/>
        </w:rPr>
        <w:t>rticle</w:t>
      </w:r>
      <w:r w:rsidR="001129DE" w:rsidRPr="00954547">
        <w:rPr>
          <w:lang w:val="en-US"/>
        </w:rPr>
        <w:t xml:space="preserve"> 312 </w:t>
      </w:r>
      <w:r w:rsidRPr="00954547">
        <w:rPr>
          <w:lang w:val="en-US"/>
        </w:rPr>
        <w:t>of</w:t>
      </w:r>
      <w:r w:rsidR="007D7721" w:rsidRPr="00954547">
        <w:rPr>
          <w:lang w:val="en-US"/>
        </w:rPr>
        <w:t xml:space="preserve"> the Criminal Code</w:t>
      </w:r>
      <w:r w:rsidR="001129DE" w:rsidRPr="00954547">
        <w:rPr>
          <w:lang w:val="en-US"/>
        </w:rPr>
        <w:t xml:space="preserve"> </w:t>
      </w:r>
      <w:r w:rsidRPr="00954547">
        <w:rPr>
          <w:lang w:val="en-US"/>
        </w:rPr>
        <w:t xml:space="preserve">did not violate this rule because it establishes the reporting obligation of the physician when the injuries </w:t>
      </w:r>
      <w:r w:rsidRPr="00954547">
        <w:rPr>
          <w:i/>
          <w:iCs/>
          <w:lang w:val="en-US"/>
        </w:rPr>
        <w:t xml:space="preserve">should reasonably be considered to result from an </w:t>
      </w:r>
      <w:r w:rsidRPr="00954547">
        <w:rPr>
          <w:lang w:val="en-US"/>
        </w:rPr>
        <w:t>offense</w:t>
      </w:r>
      <w:r w:rsidR="00650EDE" w:rsidRPr="00954547">
        <w:rPr>
          <w:lang w:val="en-US"/>
        </w:rPr>
        <w:t xml:space="preserve"> - t</w:t>
      </w:r>
      <w:r w:rsidRPr="00954547">
        <w:rPr>
          <w:lang w:val="en-US"/>
        </w:rPr>
        <w:t xml:space="preserve">he injuries suffered </w:t>
      </w:r>
      <w:r w:rsidRPr="00954547">
        <w:rPr>
          <w:i/>
          <w:iCs/>
          <w:lang w:val="en-US"/>
        </w:rPr>
        <w:t>result from an offense</w:t>
      </w:r>
      <w:r w:rsidR="00C64A9F" w:rsidRPr="00954547">
        <w:rPr>
          <w:lang w:val="en-US"/>
        </w:rPr>
        <w:t>; i</w:t>
      </w:r>
      <w:r w:rsidR="00650EDE" w:rsidRPr="00954547">
        <w:rPr>
          <w:lang w:val="en-US"/>
        </w:rPr>
        <w:t>n other words,</w:t>
      </w:r>
      <w:r w:rsidRPr="00954547">
        <w:rPr>
          <w:lang w:val="en-US"/>
        </w:rPr>
        <w:t xml:space="preserve"> injuries that someone </w:t>
      </w:r>
      <w:r w:rsidR="00650EDE" w:rsidRPr="00954547">
        <w:rPr>
          <w:lang w:val="en-US"/>
        </w:rPr>
        <w:t xml:space="preserve">has </w:t>
      </w:r>
      <w:r w:rsidRPr="00954547">
        <w:rPr>
          <w:lang w:val="en-US"/>
        </w:rPr>
        <w:t>inflicted on the patient</w:t>
      </w:r>
      <w:r w:rsidR="00C64A9F" w:rsidRPr="00954547">
        <w:rPr>
          <w:lang w:val="en-US"/>
        </w:rPr>
        <w:t>. Thus,</w:t>
      </w:r>
      <w:r w:rsidRPr="00954547">
        <w:rPr>
          <w:lang w:val="en-US"/>
        </w:rPr>
        <w:t xml:space="preserve"> in principle</w:t>
      </w:r>
      <w:r w:rsidR="00650EDE" w:rsidRPr="00954547">
        <w:rPr>
          <w:lang w:val="en-US"/>
        </w:rPr>
        <w:t>,</w:t>
      </w:r>
      <w:r w:rsidRPr="00954547">
        <w:rPr>
          <w:lang w:val="en-US"/>
        </w:rPr>
        <w:t xml:space="preserve"> this only refers to the injuries of a victim, a provision that is especially relevant in cases of domestic violence or of </w:t>
      </w:r>
      <w:r w:rsidR="00F458A5" w:rsidRPr="00954547">
        <w:rPr>
          <w:lang w:val="en-US"/>
        </w:rPr>
        <w:t>incapacitated</w:t>
      </w:r>
      <w:r w:rsidRPr="00954547">
        <w:rPr>
          <w:lang w:val="en-US"/>
        </w:rPr>
        <w:t xml:space="preserve"> victims.</w:t>
      </w:r>
      <w:r w:rsidR="00F458A5" w:rsidRPr="00954547">
        <w:rPr>
          <w:lang w:val="en-US"/>
        </w:rPr>
        <w:t xml:space="preserve"> </w:t>
      </w:r>
      <w:r w:rsidR="00650EDE" w:rsidRPr="00954547">
        <w:rPr>
          <w:lang w:val="en-US"/>
        </w:rPr>
        <w:t>For example, t</w:t>
      </w:r>
      <w:r w:rsidR="00F458A5" w:rsidRPr="00954547">
        <w:rPr>
          <w:lang w:val="en-US"/>
        </w:rPr>
        <w:t xml:space="preserve">he injuries that someone suffers as a result of a defensive action </w:t>
      </w:r>
      <w:r w:rsidR="00650EDE" w:rsidRPr="00954547">
        <w:rPr>
          <w:lang w:val="en-US"/>
        </w:rPr>
        <w:t>by</w:t>
      </w:r>
      <w:r w:rsidR="00F458A5" w:rsidRPr="00954547">
        <w:rPr>
          <w:lang w:val="en-US"/>
        </w:rPr>
        <w:t xml:space="preserve"> the police </w:t>
      </w:r>
      <w:r w:rsidR="00F458A5" w:rsidRPr="00954547">
        <w:rPr>
          <w:i/>
          <w:iCs/>
          <w:lang w:val="en-US"/>
        </w:rPr>
        <w:t>do not result from an offense</w:t>
      </w:r>
      <w:r w:rsidR="00F458A5" w:rsidRPr="00954547">
        <w:rPr>
          <w:lang w:val="en-US"/>
        </w:rPr>
        <w:t xml:space="preserve">, because the </w:t>
      </w:r>
      <w:r w:rsidR="00650EDE" w:rsidRPr="00954547">
        <w:rPr>
          <w:lang w:val="en-US"/>
        </w:rPr>
        <w:t xml:space="preserve">action of the </w:t>
      </w:r>
      <w:r w:rsidR="00F458A5" w:rsidRPr="00954547">
        <w:rPr>
          <w:lang w:val="en-US"/>
        </w:rPr>
        <w:t>police in legitimate defense is not a crime.</w:t>
      </w:r>
    </w:p>
    <w:p w14:paraId="0A47A29B" w14:textId="0B4FEEBE" w:rsidR="00F458A5" w:rsidRPr="00954547" w:rsidRDefault="00F458A5" w:rsidP="000365EC">
      <w:pPr>
        <w:pStyle w:val="ListParagraph"/>
        <w:numPr>
          <w:ilvl w:val="0"/>
          <w:numId w:val="25"/>
        </w:numPr>
        <w:tabs>
          <w:tab w:val="clear" w:pos="567"/>
        </w:tabs>
        <w:spacing w:before="240" w:after="160"/>
        <w:ind w:left="0" w:firstLine="0"/>
        <w:rPr>
          <w:lang w:val="en-US"/>
        </w:rPr>
      </w:pPr>
      <w:r w:rsidRPr="00954547">
        <w:rPr>
          <w:lang w:val="en-US"/>
        </w:rPr>
        <w:t xml:space="preserve">Article 232 of the Procedural Code does not violate the aforementioned basic rule because it exempts from the reporting obligation cases in which </w:t>
      </w:r>
      <w:r w:rsidR="00C64A9F" w:rsidRPr="00954547">
        <w:rPr>
          <w:lang w:val="en-US"/>
        </w:rPr>
        <w:t>it</w:t>
      </w:r>
      <w:r w:rsidRPr="00954547">
        <w:rPr>
          <w:lang w:val="en-US"/>
        </w:rPr>
        <w:t xml:space="preserve"> is </w:t>
      </w:r>
      <w:r w:rsidR="00C64A9F" w:rsidRPr="00954547">
        <w:rPr>
          <w:lang w:val="en-US"/>
        </w:rPr>
        <w:t>precluded</w:t>
      </w:r>
      <w:r w:rsidRPr="00954547">
        <w:rPr>
          <w:lang w:val="en-US"/>
        </w:rPr>
        <w:t xml:space="preserve"> by professional </w:t>
      </w:r>
      <w:r w:rsidR="00C64A9F" w:rsidRPr="00954547">
        <w:rPr>
          <w:lang w:val="en-US"/>
        </w:rPr>
        <w:t>secrecy</w:t>
      </w:r>
      <w:r w:rsidRPr="00954547">
        <w:rPr>
          <w:lang w:val="en-US"/>
        </w:rPr>
        <w:t xml:space="preserve">, </w:t>
      </w:r>
      <w:r w:rsidR="00C64A9F" w:rsidRPr="00954547">
        <w:rPr>
          <w:lang w:val="en-US"/>
        </w:rPr>
        <w:t>and this</w:t>
      </w:r>
      <w:r w:rsidRPr="00954547">
        <w:rPr>
          <w:lang w:val="en-US"/>
        </w:rPr>
        <w:t xml:space="preserve"> includes the situation in which report</w:t>
      </w:r>
      <w:r w:rsidR="00C64A9F" w:rsidRPr="00954547">
        <w:rPr>
          <w:lang w:val="en-US"/>
        </w:rPr>
        <w:t>ing</w:t>
      </w:r>
      <w:r w:rsidRPr="00954547">
        <w:rPr>
          <w:lang w:val="en-US"/>
        </w:rPr>
        <w:t xml:space="preserve"> </w:t>
      </w:r>
      <w:r w:rsidR="00C64A9F" w:rsidRPr="00954547">
        <w:rPr>
          <w:lang w:val="en-US"/>
        </w:rPr>
        <w:t>confronts someone</w:t>
      </w:r>
      <w:r w:rsidRPr="00954547">
        <w:rPr>
          <w:lang w:val="en-US"/>
        </w:rPr>
        <w:t xml:space="preserve"> with th</w:t>
      </w:r>
      <w:r w:rsidR="00C64A9F" w:rsidRPr="00954547">
        <w:rPr>
          <w:lang w:val="en-US"/>
        </w:rPr>
        <w:t>at</w:t>
      </w:r>
      <w:r w:rsidRPr="00954547">
        <w:rPr>
          <w:lang w:val="en-US"/>
        </w:rPr>
        <w:t xml:space="preserve"> dilemma.</w:t>
      </w:r>
    </w:p>
    <w:p w14:paraId="4775B119" w14:textId="40535182" w:rsidR="00F458A5" w:rsidRPr="00954547" w:rsidRDefault="00F458A5" w:rsidP="000365EC">
      <w:pPr>
        <w:pStyle w:val="ListParagraph"/>
        <w:numPr>
          <w:ilvl w:val="0"/>
          <w:numId w:val="25"/>
        </w:numPr>
        <w:tabs>
          <w:tab w:val="clear" w:pos="567"/>
        </w:tabs>
        <w:spacing w:before="240" w:after="160"/>
        <w:ind w:left="0" w:firstLine="0"/>
        <w:rPr>
          <w:lang w:val="en-US"/>
        </w:rPr>
      </w:pPr>
      <w:r w:rsidRPr="00954547">
        <w:rPr>
          <w:lang w:val="en-US"/>
        </w:rPr>
        <w:t>Any</w:t>
      </w:r>
      <w:r w:rsidR="001129DE" w:rsidRPr="00954547">
        <w:rPr>
          <w:lang w:val="en-US"/>
        </w:rPr>
        <w:t xml:space="preserve"> </w:t>
      </w:r>
      <w:r w:rsidR="001129DE" w:rsidRPr="00954547">
        <w:rPr>
          <w:i/>
          <w:lang w:val="en-US"/>
        </w:rPr>
        <w:t xml:space="preserve">notitia criminis </w:t>
      </w:r>
      <w:r w:rsidRPr="00954547">
        <w:rPr>
          <w:lang w:val="en-US"/>
        </w:rPr>
        <w:t xml:space="preserve">that resulted in a trial based on a </w:t>
      </w:r>
      <w:r w:rsidR="00C64A9F" w:rsidRPr="00954547">
        <w:rPr>
          <w:lang w:val="en-US"/>
        </w:rPr>
        <w:t>complaint filed</w:t>
      </w:r>
      <w:r w:rsidRPr="00954547">
        <w:rPr>
          <w:lang w:val="en-US"/>
        </w:rPr>
        <w:t xml:space="preserve"> in violation of the obligation of professional secrecy would constitute a reason for its nullity pursuant to the principle that </w:t>
      </w:r>
      <w:r w:rsidR="002D01F6" w:rsidRPr="00954547">
        <w:rPr>
          <w:lang w:val="en-US"/>
        </w:rPr>
        <w:t>a criminal action can never be undertaken – or a sentence executed – based on an unlawful act.</w:t>
      </w:r>
    </w:p>
    <w:p w14:paraId="2ED45145" w14:textId="5E37559B" w:rsidR="002D01F6" w:rsidRPr="00954547" w:rsidRDefault="002D01F6" w:rsidP="000365EC">
      <w:pPr>
        <w:pStyle w:val="ListParagraph"/>
        <w:numPr>
          <w:ilvl w:val="0"/>
          <w:numId w:val="25"/>
        </w:numPr>
        <w:tabs>
          <w:tab w:val="clear" w:pos="567"/>
        </w:tabs>
        <w:spacing w:before="240" w:after="160"/>
        <w:ind w:left="0" w:firstLine="0"/>
        <w:rPr>
          <w:i/>
          <w:lang w:val="en-US"/>
        </w:rPr>
      </w:pPr>
      <w:r w:rsidRPr="00954547">
        <w:rPr>
          <w:lang w:val="en-US"/>
        </w:rPr>
        <w:t>The latter principle, according to which the effectiveness of the law cannot be sought by means of its violation, encompasses all criminal procedural law, because many other consequences that le</w:t>
      </w:r>
      <w:r w:rsidR="007810DE" w:rsidRPr="00954547">
        <w:rPr>
          <w:lang w:val="en-US"/>
        </w:rPr>
        <w:t>a</w:t>
      </w:r>
      <w:r w:rsidRPr="00954547">
        <w:rPr>
          <w:lang w:val="en-US"/>
        </w:rPr>
        <w:t xml:space="preserve">d to nullities </w:t>
      </w:r>
      <w:r w:rsidR="007810DE" w:rsidRPr="00954547">
        <w:rPr>
          <w:lang w:val="en-US"/>
        </w:rPr>
        <w:t>arise from</w:t>
      </w:r>
      <w:r w:rsidRPr="00954547">
        <w:rPr>
          <w:lang w:val="en-US"/>
        </w:rPr>
        <w:t xml:space="preserve"> this, such as </w:t>
      </w:r>
      <w:r w:rsidR="003B6372" w:rsidRPr="00954547">
        <w:rPr>
          <w:lang w:val="en-US"/>
        </w:rPr>
        <w:t xml:space="preserve">the consequences </w:t>
      </w:r>
      <w:r w:rsidR="007810DE" w:rsidRPr="00954547">
        <w:rPr>
          <w:lang w:val="en-US"/>
        </w:rPr>
        <w:t>emanating from</w:t>
      </w:r>
      <w:r w:rsidR="003B6372" w:rsidRPr="00954547">
        <w:rPr>
          <w:lang w:val="en-US"/>
        </w:rPr>
        <w:t xml:space="preserve"> the </w:t>
      </w:r>
      <w:r w:rsidR="003B6372" w:rsidRPr="00954547">
        <w:rPr>
          <w:i/>
          <w:lang w:val="en-US"/>
        </w:rPr>
        <w:t>fruit of the poisonous tree</w:t>
      </w:r>
      <w:r w:rsidR="003B6372" w:rsidRPr="00954547">
        <w:rPr>
          <w:iCs/>
          <w:lang w:val="en-US"/>
        </w:rPr>
        <w:t xml:space="preserve"> doctrine of the United States Supreme Court and the rejection of the </w:t>
      </w:r>
      <w:r w:rsidR="007810DE" w:rsidRPr="00954547">
        <w:rPr>
          <w:iCs/>
          <w:lang w:val="en-US"/>
        </w:rPr>
        <w:t xml:space="preserve">strange </w:t>
      </w:r>
      <w:r w:rsidR="003B6372" w:rsidRPr="00954547">
        <w:rPr>
          <w:iCs/>
          <w:lang w:val="en-US"/>
        </w:rPr>
        <w:t xml:space="preserve">doctrine of </w:t>
      </w:r>
      <w:r w:rsidR="003B6372" w:rsidRPr="00954547">
        <w:rPr>
          <w:i/>
          <w:lang w:val="en-US"/>
        </w:rPr>
        <w:t xml:space="preserve">male captus bene detentus </w:t>
      </w:r>
      <w:r w:rsidR="003B6372" w:rsidRPr="00954547">
        <w:rPr>
          <w:lang w:val="en-US"/>
        </w:rPr>
        <w:t>or, a little</w:t>
      </w:r>
      <w:r w:rsidR="004207A6" w:rsidRPr="00954547">
        <w:rPr>
          <w:lang w:val="en-US"/>
        </w:rPr>
        <w:t xml:space="preserve"> more remotely, in the case of the </w:t>
      </w:r>
      <w:r w:rsidR="004207A6" w:rsidRPr="00954547">
        <w:rPr>
          <w:i/>
          <w:iCs/>
          <w:lang w:val="en-US"/>
        </w:rPr>
        <w:t xml:space="preserve">agent provocateur </w:t>
      </w:r>
      <w:r w:rsidR="004207A6" w:rsidRPr="00954547">
        <w:rPr>
          <w:lang w:val="en-US"/>
        </w:rPr>
        <w:t>and the more problematic undercover agent.</w:t>
      </w:r>
    </w:p>
    <w:p w14:paraId="69D4E940" w14:textId="1FABD5B8" w:rsidR="001129DE" w:rsidRPr="00954547" w:rsidRDefault="004207A6" w:rsidP="000365EC">
      <w:pPr>
        <w:pStyle w:val="ListParagraph"/>
        <w:numPr>
          <w:ilvl w:val="0"/>
          <w:numId w:val="25"/>
        </w:numPr>
        <w:tabs>
          <w:tab w:val="clear" w:pos="567"/>
        </w:tabs>
        <w:spacing w:before="240" w:after="160" w:line="259" w:lineRule="auto"/>
        <w:ind w:left="0" w:firstLine="0"/>
        <w:rPr>
          <w:lang w:val="en-US"/>
        </w:rPr>
      </w:pPr>
      <w:r w:rsidRPr="00954547">
        <w:rPr>
          <w:lang w:val="en-US"/>
        </w:rPr>
        <w:t>I consider that these reflections</w:t>
      </w:r>
      <w:r w:rsidR="001129DE" w:rsidRPr="00954547">
        <w:rPr>
          <w:lang w:val="en-US"/>
        </w:rPr>
        <w:t xml:space="preserve"> </w:t>
      </w:r>
      <w:r w:rsidR="001129DE" w:rsidRPr="00954547">
        <w:rPr>
          <w:i/>
          <w:lang w:val="en-US"/>
        </w:rPr>
        <w:t>obiter dicta</w:t>
      </w:r>
      <w:r w:rsidR="001129DE" w:rsidRPr="00954547">
        <w:rPr>
          <w:lang w:val="en-US"/>
        </w:rPr>
        <w:t xml:space="preserve"> </w:t>
      </w:r>
      <w:r w:rsidRPr="00954547">
        <w:rPr>
          <w:lang w:val="en-US"/>
        </w:rPr>
        <w:t xml:space="preserve">define the scope of the findings made </w:t>
      </w:r>
      <w:r w:rsidR="009A0FBE" w:rsidRPr="00954547">
        <w:rPr>
          <w:lang w:val="en-US"/>
        </w:rPr>
        <w:t>in this judgment</w:t>
      </w:r>
      <w:r w:rsidR="001129DE" w:rsidRPr="00954547">
        <w:rPr>
          <w:lang w:val="en-US"/>
        </w:rPr>
        <w:t xml:space="preserve">, </w:t>
      </w:r>
      <w:r w:rsidRPr="00954547">
        <w:rPr>
          <w:lang w:val="en-US"/>
        </w:rPr>
        <w:t>and this is why I have made them.</w:t>
      </w:r>
    </w:p>
    <w:p w14:paraId="28053B2E" w14:textId="00EBF30D" w:rsidR="001129DE" w:rsidRPr="00954547" w:rsidRDefault="004207A6" w:rsidP="001129DE">
      <w:pPr>
        <w:spacing w:before="240"/>
        <w:ind w:left="709"/>
        <w:rPr>
          <w:rFonts w:ascii="Verdana" w:hAnsi="Verdana"/>
          <w:sz w:val="20"/>
          <w:szCs w:val="20"/>
        </w:rPr>
      </w:pPr>
      <w:r w:rsidRPr="00954547">
        <w:rPr>
          <w:rFonts w:ascii="Verdana" w:hAnsi="Verdana"/>
          <w:sz w:val="20"/>
          <w:szCs w:val="20"/>
        </w:rPr>
        <w:t>This is</w:t>
      </w:r>
      <w:r w:rsidR="007A0463" w:rsidRPr="00954547">
        <w:rPr>
          <w:rFonts w:ascii="Verdana" w:hAnsi="Verdana"/>
          <w:sz w:val="20"/>
          <w:szCs w:val="20"/>
        </w:rPr>
        <w:t xml:space="preserve"> </w:t>
      </w:r>
      <w:r w:rsidRPr="00954547">
        <w:rPr>
          <w:rFonts w:ascii="Verdana" w:hAnsi="Verdana"/>
          <w:sz w:val="20"/>
          <w:szCs w:val="20"/>
        </w:rPr>
        <w:t>how I have voted.</w:t>
      </w:r>
    </w:p>
    <w:p w14:paraId="6BBC2202" w14:textId="77777777" w:rsidR="001129DE" w:rsidRPr="00954547" w:rsidRDefault="001129DE" w:rsidP="001129DE">
      <w:pPr>
        <w:ind w:firstLine="709"/>
        <w:rPr>
          <w:rFonts w:ascii="Verdana" w:hAnsi="Verdana"/>
          <w:sz w:val="20"/>
          <w:szCs w:val="20"/>
        </w:rPr>
      </w:pPr>
      <w:r w:rsidRPr="00954547">
        <w:rPr>
          <w:rFonts w:ascii="Verdana" w:hAnsi="Verdana"/>
          <w:sz w:val="20"/>
          <w:szCs w:val="20"/>
        </w:rPr>
        <w:t xml:space="preserve"> </w:t>
      </w:r>
    </w:p>
    <w:p w14:paraId="410CB66B" w14:textId="77777777" w:rsidR="001129DE" w:rsidRPr="00954547" w:rsidRDefault="001129DE" w:rsidP="003940FE">
      <w:pPr>
        <w:rPr>
          <w:rFonts w:ascii="Verdana" w:hAnsi="Verdana"/>
          <w:sz w:val="20"/>
          <w:szCs w:val="20"/>
        </w:rPr>
      </w:pPr>
    </w:p>
    <w:p w14:paraId="1FBF0821" w14:textId="77777777" w:rsidR="001129DE" w:rsidRPr="00954547" w:rsidRDefault="001129DE" w:rsidP="001129DE">
      <w:pPr>
        <w:ind w:firstLine="709"/>
        <w:rPr>
          <w:rFonts w:ascii="Verdana" w:hAnsi="Verdana"/>
          <w:sz w:val="20"/>
          <w:szCs w:val="20"/>
        </w:rPr>
      </w:pPr>
    </w:p>
    <w:p w14:paraId="7EA7AAFB" w14:textId="77777777" w:rsidR="001129DE" w:rsidRPr="00954547" w:rsidRDefault="001129DE" w:rsidP="001129DE">
      <w:pPr>
        <w:ind w:left="5664"/>
        <w:rPr>
          <w:rFonts w:ascii="Verdana" w:eastAsia="Batang" w:hAnsi="Verdana" w:cs="Times"/>
          <w:sz w:val="20"/>
          <w:szCs w:val="20"/>
        </w:rPr>
      </w:pPr>
      <w:r w:rsidRPr="00954547">
        <w:rPr>
          <w:rFonts w:ascii="Verdana" w:eastAsia="Batang" w:hAnsi="Verdana" w:cs="Times"/>
          <w:sz w:val="20"/>
          <w:szCs w:val="20"/>
        </w:rPr>
        <w:t>Eugenio Raúl Zaffaroni</w:t>
      </w:r>
    </w:p>
    <w:p w14:paraId="01576CF4" w14:textId="4DEF8CC5" w:rsidR="001129DE" w:rsidRPr="00954547" w:rsidRDefault="001129DE" w:rsidP="001129DE">
      <w:pPr>
        <w:ind w:left="6372"/>
        <w:rPr>
          <w:rFonts w:ascii="Verdana" w:eastAsia="Batang" w:hAnsi="Verdana" w:cs="Times"/>
          <w:sz w:val="20"/>
          <w:szCs w:val="20"/>
        </w:rPr>
      </w:pPr>
      <w:r w:rsidRPr="00954547">
        <w:rPr>
          <w:rFonts w:ascii="Verdana" w:eastAsia="Batang" w:hAnsi="Verdana" w:cs="Times"/>
          <w:sz w:val="20"/>
          <w:szCs w:val="20"/>
        </w:rPr>
        <w:t xml:space="preserve">    </w:t>
      </w:r>
      <w:r w:rsidR="00A42A4C" w:rsidRPr="00954547">
        <w:rPr>
          <w:rFonts w:ascii="Verdana" w:eastAsia="Batang" w:hAnsi="Verdana" w:cs="Times"/>
          <w:sz w:val="20"/>
          <w:szCs w:val="20"/>
        </w:rPr>
        <w:t>Judge</w:t>
      </w:r>
    </w:p>
    <w:p w14:paraId="11FB733B" w14:textId="77777777" w:rsidR="001129DE" w:rsidRPr="00954547" w:rsidRDefault="001129DE" w:rsidP="001129DE">
      <w:pPr>
        <w:rPr>
          <w:rFonts w:ascii="Verdana" w:eastAsia="Times" w:hAnsi="Verdana" w:cs="Times"/>
          <w:sz w:val="20"/>
          <w:szCs w:val="20"/>
        </w:rPr>
      </w:pPr>
    </w:p>
    <w:p w14:paraId="768066D0" w14:textId="77777777" w:rsidR="001129DE" w:rsidRPr="00954547" w:rsidRDefault="001129DE" w:rsidP="001129DE">
      <w:pPr>
        <w:rPr>
          <w:rFonts w:ascii="Verdana" w:eastAsia="Times" w:hAnsi="Verdana" w:cs="Times"/>
          <w:sz w:val="20"/>
          <w:szCs w:val="20"/>
        </w:rPr>
      </w:pPr>
      <w:r w:rsidRPr="00954547">
        <w:rPr>
          <w:rFonts w:ascii="Verdana" w:eastAsia="Times" w:hAnsi="Verdana" w:cs="Times"/>
          <w:sz w:val="20"/>
          <w:szCs w:val="20"/>
        </w:rPr>
        <w:t>Pablo Saavedra Alessandri</w:t>
      </w:r>
    </w:p>
    <w:p w14:paraId="36F530BD" w14:textId="0947F059" w:rsidR="001129DE" w:rsidRPr="00954547" w:rsidRDefault="001129DE" w:rsidP="001129DE">
      <w:pPr>
        <w:rPr>
          <w:rFonts w:ascii="Verdana" w:eastAsia="Times" w:hAnsi="Verdana" w:cs="Times"/>
          <w:sz w:val="20"/>
          <w:szCs w:val="20"/>
        </w:rPr>
      </w:pPr>
      <w:r w:rsidRPr="00954547">
        <w:rPr>
          <w:rFonts w:ascii="Verdana" w:eastAsia="Times" w:hAnsi="Verdana" w:cs="Times"/>
          <w:sz w:val="20"/>
          <w:szCs w:val="20"/>
        </w:rPr>
        <w:t xml:space="preserve">          </w:t>
      </w:r>
      <w:r w:rsidR="00A42A4C" w:rsidRPr="00954547">
        <w:rPr>
          <w:rFonts w:ascii="Verdana" w:eastAsia="Times" w:hAnsi="Verdana" w:cs="Times"/>
          <w:sz w:val="20"/>
          <w:szCs w:val="20"/>
        </w:rPr>
        <w:t>Secretary</w:t>
      </w:r>
    </w:p>
    <w:p w14:paraId="0623BEC7" w14:textId="77777777" w:rsidR="005B47F3" w:rsidRPr="00954547" w:rsidRDefault="005B47F3" w:rsidP="006867E5">
      <w:pPr>
        <w:pStyle w:val="Numberedparagraphs"/>
        <w:numPr>
          <w:ilvl w:val="0"/>
          <w:numId w:val="0"/>
        </w:numPr>
        <w:tabs>
          <w:tab w:val="left" w:pos="567"/>
        </w:tabs>
        <w:spacing w:before="0" w:after="0"/>
        <w:rPr>
          <w:rFonts w:cs="Times"/>
          <w:lang w:val="en-US" w:eastAsia="es-CR"/>
        </w:rPr>
        <w:sectPr w:rsidR="005B47F3" w:rsidRPr="00954547" w:rsidSect="005E56C5">
          <w:footerReference w:type="default" r:id="rId12"/>
          <w:pgSz w:w="11906" w:h="16838"/>
          <w:pgMar w:top="1440" w:right="1440" w:bottom="1440" w:left="1440" w:header="708" w:footer="708" w:gutter="0"/>
          <w:cols w:space="708"/>
          <w:docGrid w:linePitch="360"/>
        </w:sectPr>
      </w:pPr>
    </w:p>
    <w:p w14:paraId="23EBC87E" w14:textId="7CCC280C" w:rsidR="005B47F3" w:rsidRPr="00954547" w:rsidRDefault="003940FE" w:rsidP="003940FE">
      <w:pPr>
        <w:ind w:hanging="2"/>
        <w:contextualSpacing/>
        <w:jc w:val="center"/>
        <w:rPr>
          <w:rFonts w:ascii="Verdana" w:hAnsi="Verdana"/>
          <w:sz w:val="20"/>
          <w:szCs w:val="20"/>
        </w:rPr>
      </w:pPr>
      <w:bookmarkStart w:id="209" w:name="_heading=h.gjdgxs" w:colFirst="0" w:colLast="0"/>
      <w:bookmarkEnd w:id="209"/>
      <w:r w:rsidRPr="00954547">
        <w:rPr>
          <w:rFonts w:ascii="Verdana" w:hAnsi="Verdana"/>
          <w:b/>
          <w:sz w:val="20"/>
          <w:szCs w:val="20"/>
        </w:rPr>
        <w:t>CONCURRING OPINION OF</w:t>
      </w:r>
      <w:r w:rsidRPr="00954547">
        <w:rPr>
          <w:rFonts w:ascii="Verdana" w:hAnsi="Verdana"/>
          <w:sz w:val="20"/>
          <w:szCs w:val="20"/>
        </w:rPr>
        <w:t xml:space="preserve"> </w:t>
      </w:r>
      <w:r w:rsidR="00A42A4C" w:rsidRPr="00954547">
        <w:rPr>
          <w:rFonts w:ascii="Verdana" w:hAnsi="Verdana"/>
          <w:b/>
          <w:sz w:val="20"/>
          <w:szCs w:val="20"/>
        </w:rPr>
        <w:t>JUDGE</w:t>
      </w:r>
      <w:r w:rsidR="005B47F3" w:rsidRPr="00954547">
        <w:rPr>
          <w:rFonts w:ascii="Verdana" w:hAnsi="Verdana"/>
          <w:b/>
          <w:sz w:val="20"/>
          <w:szCs w:val="20"/>
        </w:rPr>
        <w:t xml:space="preserve"> RICARDO C. PÉREZ MANRIQUE</w:t>
      </w:r>
    </w:p>
    <w:p w14:paraId="27A04DE3" w14:textId="77777777" w:rsidR="00DE2B6D" w:rsidRPr="00954547" w:rsidRDefault="00DE2B6D" w:rsidP="003940FE">
      <w:pPr>
        <w:ind w:hanging="2"/>
        <w:contextualSpacing/>
        <w:jc w:val="center"/>
        <w:rPr>
          <w:rFonts w:ascii="Verdana" w:hAnsi="Verdana"/>
          <w:b/>
          <w:sz w:val="20"/>
          <w:szCs w:val="20"/>
        </w:rPr>
      </w:pPr>
    </w:p>
    <w:p w14:paraId="0D69258A" w14:textId="51B1A8A9" w:rsidR="003940FE" w:rsidRPr="00954547" w:rsidRDefault="003940FE" w:rsidP="003940FE">
      <w:pPr>
        <w:ind w:hanging="2"/>
        <w:contextualSpacing/>
        <w:jc w:val="center"/>
        <w:rPr>
          <w:rFonts w:ascii="Verdana" w:hAnsi="Verdana"/>
          <w:b/>
          <w:sz w:val="20"/>
          <w:szCs w:val="20"/>
        </w:rPr>
      </w:pPr>
      <w:r w:rsidRPr="00954547">
        <w:rPr>
          <w:rFonts w:ascii="Verdana" w:hAnsi="Verdana"/>
          <w:b/>
          <w:sz w:val="20"/>
          <w:szCs w:val="20"/>
        </w:rPr>
        <w:t>INTER-AMERICAN COURT OF HUMAN RIGHTS</w:t>
      </w:r>
    </w:p>
    <w:p w14:paraId="562DBB03" w14:textId="77777777" w:rsidR="00DE2B6D" w:rsidRPr="00954547" w:rsidRDefault="00DE2B6D" w:rsidP="003940FE">
      <w:pPr>
        <w:ind w:hanging="2"/>
        <w:contextualSpacing/>
        <w:jc w:val="center"/>
        <w:rPr>
          <w:rFonts w:ascii="Verdana" w:hAnsi="Verdana"/>
          <w:b/>
          <w:i/>
          <w:sz w:val="20"/>
          <w:szCs w:val="20"/>
        </w:rPr>
      </w:pPr>
    </w:p>
    <w:p w14:paraId="2BC350C7" w14:textId="39EF4789" w:rsidR="003940FE" w:rsidRPr="00954547" w:rsidRDefault="005B47F3" w:rsidP="003940FE">
      <w:pPr>
        <w:ind w:hanging="2"/>
        <w:contextualSpacing/>
        <w:jc w:val="center"/>
        <w:rPr>
          <w:rFonts w:ascii="Verdana" w:hAnsi="Verdana"/>
          <w:b/>
          <w:i/>
          <w:sz w:val="20"/>
          <w:szCs w:val="20"/>
          <w:lang w:val="es-CR"/>
        </w:rPr>
      </w:pPr>
      <w:r w:rsidRPr="00954547">
        <w:rPr>
          <w:rFonts w:ascii="Verdana" w:hAnsi="Verdana"/>
          <w:b/>
          <w:i/>
          <w:sz w:val="20"/>
          <w:szCs w:val="20"/>
          <w:lang w:val="es-CR"/>
        </w:rPr>
        <w:t>CAS</w:t>
      </w:r>
      <w:r w:rsidR="003940FE" w:rsidRPr="00954547">
        <w:rPr>
          <w:rFonts w:ascii="Verdana" w:hAnsi="Verdana"/>
          <w:b/>
          <w:i/>
          <w:sz w:val="20"/>
          <w:szCs w:val="20"/>
          <w:lang w:val="es-CR"/>
        </w:rPr>
        <w:t>E OF</w:t>
      </w:r>
      <w:r w:rsidRPr="00954547">
        <w:rPr>
          <w:rFonts w:ascii="Verdana" w:hAnsi="Verdana"/>
          <w:b/>
          <w:i/>
          <w:sz w:val="20"/>
          <w:szCs w:val="20"/>
          <w:lang w:val="es-CR"/>
        </w:rPr>
        <w:t xml:space="preserve"> MANUELA </w:t>
      </w:r>
      <w:r w:rsidR="00B8393C" w:rsidRPr="00954547">
        <w:rPr>
          <w:rFonts w:ascii="Verdana" w:hAnsi="Verdana"/>
          <w:b/>
          <w:i/>
          <w:sz w:val="20"/>
          <w:szCs w:val="20"/>
          <w:lang w:val="es-CR"/>
        </w:rPr>
        <w:t>ET AL. V.</w:t>
      </w:r>
      <w:r w:rsidRPr="00954547">
        <w:rPr>
          <w:rFonts w:ascii="Verdana" w:hAnsi="Verdana"/>
          <w:b/>
          <w:i/>
          <w:sz w:val="20"/>
          <w:szCs w:val="20"/>
          <w:lang w:val="es-CR"/>
        </w:rPr>
        <w:t xml:space="preserve"> EL SALVADOR</w:t>
      </w:r>
    </w:p>
    <w:p w14:paraId="07B30171" w14:textId="77777777" w:rsidR="00CD6FB8" w:rsidRPr="00954547" w:rsidRDefault="00CD6FB8" w:rsidP="003940FE">
      <w:pPr>
        <w:ind w:hanging="2"/>
        <w:contextualSpacing/>
        <w:jc w:val="center"/>
        <w:rPr>
          <w:rFonts w:ascii="Verdana" w:hAnsi="Verdana"/>
          <w:b/>
          <w:i/>
          <w:sz w:val="20"/>
          <w:szCs w:val="20"/>
          <w:lang w:val="es-CR"/>
        </w:rPr>
      </w:pPr>
    </w:p>
    <w:p w14:paraId="41861750" w14:textId="4CFC60E7" w:rsidR="005B47F3" w:rsidRPr="00954547" w:rsidRDefault="003940FE" w:rsidP="005B47F3">
      <w:pPr>
        <w:ind w:hanging="2"/>
        <w:contextualSpacing/>
        <w:jc w:val="center"/>
        <w:rPr>
          <w:rFonts w:ascii="Verdana" w:hAnsi="Verdana"/>
          <w:sz w:val="20"/>
          <w:szCs w:val="20"/>
        </w:rPr>
      </w:pPr>
      <w:bookmarkStart w:id="210" w:name="_heading=h.30j0zll" w:colFirst="0" w:colLast="0"/>
      <w:bookmarkEnd w:id="210"/>
      <w:r w:rsidRPr="00954547">
        <w:rPr>
          <w:rFonts w:ascii="Verdana" w:hAnsi="Verdana"/>
          <w:b/>
          <w:sz w:val="20"/>
          <w:szCs w:val="20"/>
        </w:rPr>
        <w:t>JUDGMENT OF NOVEMBER 2,</w:t>
      </w:r>
      <w:r w:rsidR="005B47F3" w:rsidRPr="00954547">
        <w:rPr>
          <w:rFonts w:ascii="Verdana" w:hAnsi="Verdana"/>
          <w:b/>
          <w:sz w:val="20"/>
          <w:szCs w:val="20"/>
        </w:rPr>
        <w:t xml:space="preserve"> 2021</w:t>
      </w:r>
    </w:p>
    <w:p w14:paraId="503936C5" w14:textId="4F01BB62" w:rsidR="005B47F3" w:rsidRPr="00954547" w:rsidRDefault="005B47F3" w:rsidP="005B47F3">
      <w:pPr>
        <w:ind w:hanging="2"/>
        <w:contextualSpacing/>
        <w:jc w:val="center"/>
        <w:rPr>
          <w:rFonts w:ascii="Verdana" w:hAnsi="Verdana"/>
          <w:b/>
          <w:sz w:val="20"/>
          <w:szCs w:val="20"/>
        </w:rPr>
      </w:pPr>
      <w:r w:rsidRPr="00954547">
        <w:rPr>
          <w:rFonts w:ascii="Verdana" w:hAnsi="Verdana"/>
          <w:b/>
          <w:sz w:val="20"/>
          <w:szCs w:val="20"/>
        </w:rPr>
        <w:t>(</w:t>
      </w:r>
      <w:r w:rsidR="00A70DC4" w:rsidRPr="00954547">
        <w:rPr>
          <w:rFonts w:ascii="Verdana" w:hAnsi="Verdana"/>
          <w:b/>
          <w:i/>
          <w:sz w:val="20"/>
          <w:szCs w:val="20"/>
        </w:rPr>
        <w:t>Preliminary objections</w:t>
      </w:r>
      <w:r w:rsidRPr="00954547">
        <w:rPr>
          <w:rFonts w:ascii="Verdana" w:hAnsi="Verdana"/>
          <w:b/>
          <w:i/>
          <w:sz w:val="20"/>
          <w:szCs w:val="20"/>
        </w:rPr>
        <w:t xml:space="preserve">, </w:t>
      </w:r>
      <w:r w:rsidR="003940FE" w:rsidRPr="00954547">
        <w:rPr>
          <w:rFonts w:ascii="Verdana" w:hAnsi="Verdana"/>
          <w:b/>
          <w:i/>
          <w:sz w:val="20"/>
          <w:szCs w:val="20"/>
        </w:rPr>
        <w:t>m</w:t>
      </w:r>
      <w:r w:rsidR="00A70DC4" w:rsidRPr="00954547">
        <w:rPr>
          <w:rFonts w:ascii="Verdana" w:hAnsi="Verdana"/>
          <w:b/>
          <w:i/>
          <w:sz w:val="20"/>
          <w:szCs w:val="20"/>
        </w:rPr>
        <w:t>erits, reparations and costs</w:t>
      </w:r>
      <w:r w:rsidRPr="00954547">
        <w:rPr>
          <w:rFonts w:ascii="Verdana" w:hAnsi="Verdana"/>
          <w:b/>
          <w:sz w:val="20"/>
          <w:szCs w:val="20"/>
        </w:rPr>
        <w:t>)</w:t>
      </w:r>
    </w:p>
    <w:p w14:paraId="107E7778" w14:textId="77777777" w:rsidR="00A61BF5" w:rsidRPr="00954547" w:rsidRDefault="00A61BF5" w:rsidP="005B47F3">
      <w:pPr>
        <w:ind w:hanging="2"/>
        <w:contextualSpacing/>
        <w:jc w:val="center"/>
        <w:rPr>
          <w:rFonts w:ascii="Verdana" w:hAnsi="Verdana"/>
          <w:b/>
          <w:sz w:val="20"/>
          <w:szCs w:val="20"/>
        </w:rPr>
      </w:pPr>
    </w:p>
    <w:p w14:paraId="1E5A0C3A" w14:textId="77777777" w:rsidR="00BD178C" w:rsidRPr="00954547" w:rsidRDefault="00BD178C" w:rsidP="005B47F3">
      <w:pPr>
        <w:ind w:hanging="2"/>
        <w:contextualSpacing/>
        <w:jc w:val="center"/>
        <w:rPr>
          <w:rFonts w:ascii="Verdana" w:hAnsi="Verdana"/>
          <w:sz w:val="20"/>
          <w:szCs w:val="20"/>
        </w:rPr>
      </w:pPr>
    </w:p>
    <w:p w14:paraId="64961247" w14:textId="08A16E61" w:rsidR="00BD178C" w:rsidRPr="00954547" w:rsidRDefault="005B47F3" w:rsidP="000365EC">
      <w:pPr>
        <w:pStyle w:val="ListParagraph"/>
        <w:keepNext/>
        <w:keepLines/>
        <w:numPr>
          <w:ilvl w:val="0"/>
          <w:numId w:val="18"/>
        </w:numPr>
        <w:tabs>
          <w:tab w:val="clear" w:pos="567"/>
        </w:tabs>
        <w:spacing w:before="0" w:after="0"/>
        <w:ind w:left="720"/>
        <w:rPr>
          <w:b/>
          <w:lang w:val="en-US"/>
        </w:rPr>
      </w:pPr>
      <w:r w:rsidRPr="00954547">
        <w:rPr>
          <w:b/>
          <w:lang w:val="en-US"/>
        </w:rPr>
        <w:t>INTRODUC</w:t>
      </w:r>
      <w:r w:rsidR="003940FE" w:rsidRPr="00954547">
        <w:rPr>
          <w:b/>
          <w:lang w:val="en-US"/>
        </w:rPr>
        <w:t>TIO</w:t>
      </w:r>
      <w:r w:rsidRPr="00954547">
        <w:rPr>
          <w:b/>
          <w:lang w:val="en-US"/>
        </w:rPr>
        <w:t>N</w:t>
      </w:r>
    </w:p>
    <w:p w14:paraId="3414315E" w14:textId="77777777" w:rsidR="004D4009" w:rsidRPr="00954547" w:rsidRDefault="004D4009" w:rsidP="004D4009">
      <w:pPr>
        <w:pStyle w:val="ListParagraph"/>
        <w:keepNext/>
        <w:keepLines/>
        <w:numPr>
          <w:ilvl w:val="0"/>
          <w:numId w:val="0"/>
        </w:numPr>
        <w:tabs>
          <w:tab w:val="clear" w:pos="567"/>
        </w:tabs>
        <w:spacing w:before="0" w:after="0"/>
        <w:ind w:left="720"/>
        <w:rPr>
          <w:b/>
          <w:lang w:val="en-US"/>
        </w:rPr>
      </w:pPr>
    </w:p>
    <w:p w14:paraId="4ACE2923" w14:textId="3178B9E0" w:rsidR="005B47F3" w:rsidRPr="00954547" w:rsidRDefault="0012211D" w:rsidP="000365EC">
      <w:pPr>
        <w:pStyle w:val="ListParagraph"/>
        <w:numPr>
          <w:ilvl w:val="3"/>
          <w:numId w:val="18"/>
        </w:numPr>
        <w:spacing w:before="0" w:after="0"/>
        <w:ind w:left="0" w:firstLine="0"/>
        <w:rPr>
          <w:lang w:val="en-US"/>
        </w:rPr>
      </w:pPr>
      <w:r w:rsidRPr="00954547">
        <w:rPr>
          <w:lang w:val="en-US"/>
        </w:rPr>
        <w:t xml:space="preserve">The judgment considers that </w:t>
      </w:r>
      <w:r w:rsidR="00A94F95" w:rsidRPr="00954547">
        <w:rPr>
          <w:lang w:val="en-US"/>
        </w:rPr>
        <w:t>the State</w:t>
      </w:r>
      <w:r w:rsidR="009E6B43" w:rsidRPr="00954547">
        <w:rPr>
          <w:lang w:val="en-US"/>
        </w:rPr>
        <w:t xml:space="preserve"> of El </w:t>
      </w:r>
      <w:r w:rsidR="005B47F3" w:rsidRPr="00954547">
        <w:rPr>
          <w:lang w:val="en-US"/>
        </w:rPr>
        <w:t xml:space="preserve">Salvador </w:t>
      </w:r>
      <w:r w:rsidRPr="00954547">
        <w:rPr>
          <w:lang w:val="en-US"/>
        </w:rPr>
        <w:t xml:space="preserve">is responsible for the violation </w:t>
      </w:r>
      <w:r w:rsidR="00F6091D" w:rsidRPr="00954547">
        <w:rPr>
          <w:lang w:val="en-US"/>
        </w:rPr>
        <w:t xml:space="preserve">of the </w:t>
      </w:r>
      <w:r w:rsidR="00105F3F" w:rsidRPr="00954547">
        <w:rPr>
          <w:lang w:val="en-US"/>
        </w:rPr>
        <w:t>right</w:t>
      </w:r>
      <w:r w:rsidRPr="00954547">
        <w:rPr>
          <w:lang w:val="en-US"/>
        </w:rPr>
        <w:t>s</w:t>
      </w:r>
      <w:r w:rsidR="00BC7072" w:rsidRPr="00954547">
        <w:rPr>
          <w:lang w:val="en-US"/>
        </w:rPr>
        <w:t xml:space="preserve"> to</w:t>
      </w:r>
      <w:r w:rsidR="005B47F3" w:rsidRPr="00954547">
        <w:rPr>
          <w:lang w:val="en-US"/>
        </w:rPr>
        <w:t xml:space="preserve"> </w:t>
      </w:r>
      <w:r w:rsidR="0078694F" w:rsidRPr="00954547">
        <w:rPr>
          <w:lang w:val="en-US"/>
        </w:rPr>
        <w:t xml:space="preserve">personal liberty and </w:t>
      </w:r>
      <w:r w:rsidRPr="00954547">
        <w:rPr>
          <w:lang w:val="en-US"/>
        </w:rPr>
        <w:t xml:space="preserve">the </w:t>
      </w:r>
      <w:r w:rsidR="00144817" w:rsidRPr="00954547">
        <w:rPr>
          <w:lang w:val="en-US"/>
        </w:rPr>
        <w:t>presumption of innocence</w:t>
      </w:r>
      <w:r w:rsidR="005B47F3" w:rsidRPr="00954547">
        <w:rPr>
          <w:lang w:val="en-US"/>
        </w:rPr>
        <w:t xml:space="preserve"> </w:t>
      </w:r>
      <w:r w:rsidRPr="00954547">
        <w:rPr>
          <w:lang w:val="en-US"/>
        </w:rPr>
        <w:t xml:space="preserve">pursuant to </w:t>
      </w:r>
      <w:r w:rsidR="00A17F8C" w:rsidRPr="00954547">
        <w:rPr>
          <w:lang w:val="en-US"/>
        </w:rPr>
        <w:t>Articles</w:t>
      </w:r>
      <w:r w:rsidR="005B47F3" w:rsidRPr="00954547">
        <w:rPr>
          <w:lang w:val="en-US"/>
        </w:rPr>
        <w:t xml:space="preserve"> </w:t>
      </w:r>
      <w:r w:rsidR="00A17F8C" w:rsidRPr="00954547">
        <w:rPr>
          <w:lang w:val="en-US"/>
        </w:rPr>
        <w:t>7(1)</w:t>
      </w:r>
      <w:r w:rsidR="005B47F3" w:rsidRPr="00954547">
        <w:rPr>
          <w:lang w:val="en-US"/>
        </w:rPr>
        <w:t xml:space="preserve">, </w:t>
      </w:r>
      <w:r w:rsidR="005E0FD1" w:rsidRPr="00954547">
        <w:rPr>
          <w:lang w:val="en-US"/>
        </w:rPr>
        <w:t>7(3)</w:t>
      </w:r>
      <w:r w:rsidR="0078694F" w:rsidRPr="00954547">
        <w:rPr>
          <w:lang w:val="en-US"/>
        </w:rPr>
        <w:t xml:space="preserve"> and </w:t>
      </w:r>
      <w:r w:rsidR="00CE421C" w:rsidRPr="00954547">
        <w:rPr>
          <w:lang w:val="en-US"/>
        </w:rPr>
        <w:t>8(2)</w:t>
      </w:r>
      <w:r w:rsidR="00607E12" w:rsidRPr="00954547">
        <w:rPr>
          <w:lang w:val="en-US"/>
        </w:rPr>
        <w:t xml:space="preserve"> of the </w:t>
      </w:r>
      <w:r w:rsidR="00A42A4C" w:rsidRPr="00954547">
        <w:rPr>
          <w:lang w:val="en-US"/>
        </w:rPr>
        <w:t>American Convention on Human Rights</w:t>
      </w:r>
      <w:r w:rsidR="005B47F3" w:rsidRPr="00954547">
        <w:rPr>
          <w:lang w:val="en-US"/>
        </w:rPr>
        <w:t xml:space="preserve"> (</w:t>
      </w:r>
      <w:r w:rsidR="00901EB6" w:rsidRPr="00954547">
        <w:rPr>
          <w:lang w:val="en-US"/>
        </w:rPr>
        <w:t>the Convention</w:t>
      </w:r>
      <w:r w:rsidR="005B47F3" w:rsidRPr="00954547">
        <w:rPr>
          <w:lang w:val="en-US"/>
        </w:rPr>
        <w:t xml:space="preserve">) </w:t>
      </w:r>
      <w:r w:rsidR="00144817" w:rsidRPr="00954547">
        <w:rPr>
          <w:lang w:val="en-US"/>
        </w:rPr>
        <w:t>in relation to the obligations</w:t>
      </w:r>
      <w:r w:rsidR="005B47F3" w:rsidRPr="00954547">
        <w:rPr>
          <w:lang w:val="en-US"/>
        </w:rPr>
        <w:t xml:space="preserve"> </w:t>
      </w:r>
      <w:r w:rsidRPr="00954547">
        <w:rPr>
          <w:lang w:val="en-US"/>
        </w:rPr>
        <w:t xml:space="preserve">to respect and to ensure these rights and </w:t>
      </w:r>
      <w:r w:rsidR="00BC7072" w:rsidRPr="00954547">
        <w:rPr>
          <w:lang w:val="en-US"/>
        </w:rPr>
        <w:t xml:space="preserve">the </w:t>
      </w:r>
      <w:r w:rsidRPr="00954547">
        <w:rPr>
          <w:lang w:val="en-US"/>
        </w:rPr>
        <w:t xml:space="preserve">duty to adopt domestic legal provisions established in </w:t>
      </w:r>
      <w:r w:rsidR="00A17F8C" w:rsidRPr="00954547">
        <w:rPr>
          <w:lang w:val="en-US"/>
        </w:rPr>
        <w:t xml:space="preserve">Articles 1(1) </w:t>
      </w:r>
      <w:r w:rsidR="0078694F" w:rsidRPr="00954547">
        <w:rPr>
          <w:lang w:val="en-US"/>
        </w:rPr>
        <w:t xml:space="preserve">and </w:t>
      </w:r>
      <w:r w:rsidR="005B47F3" w:rsidRPr="00954547">
        <w:rPr>
          <w:lang w:val="en-US"/>
        </w:rPr>
        <w:t xml:space="preserve">2 </w:t>
      </w:r>
      <w:r w:rsidR="00A17F8C" w:rsidRPr="00954547">
        <w:rPr>
          <w:lang w:val="en-US"/>
        </w:rPr>
        <w:t>of this instrument</w:t>
      </w:r>
      <w:r w:rsidR="005B47F3" w:rsidRPr="00954547">
        <w:rPr>
          <w:lang w:val="en-US"/>
        </w:rPr>
        <w:t xml:space="preserve">, </w:t>
      </w:r>
      <w:r w:rsidR="0078694F" w:rsidRPr="00954547">
        <w:rPr>
          <w:lang w:val="en-US"/>
        </w:rPr>
        <w:t>to the detriment of</w:t>
      </w:r>
      <w:r w:rsidR="005B47F3" w:rsidRPr="00954547">
        <w:rPr>
          <w:lang w:val="en-US"/>
        </w:rPr>
        <w:t xml:space="preserve"> Manuela. </w:t>
      </w:r>
      <w:r w:rsidRPr="00954547">
        <w:rPr>
          <w:lang w:val="en-US"/>
        </w:rPr>
        <w:t xml:space="preserve">It also considers that the State is responsible for the violation </w:t>
      </w:r>
      <w:r w:rsidR="00F6091D" w:rsidRPr="00954547">
        <w:rPr>
          <w:lang w:val="en-US"/>
        </w:rPr>
        <w:t xml:space="preserve">of the </w:t>
      </w:r>
      <w:r w:rsidR="00D4015D" w:rsidRPr="00954547">
        <w:rPr>
          <w:lang w:val="en-US"/>
        </w:rPr>
        <w:t>right to defense</w:t>
      </w:r>
      <w:r w:rsidR="005B47F3" w:rsidRPr="00954547">
        <w:rPr>
          <w:lang w:val="en-US"/>
        </w:rPr>
        <w:t xml:space="preserve">, </w:t>
      </w:r>
      <w:r w:rsidRPr="00954547">
        <w:rPr>
          <w:lang w:val="en-US"/>
        </w:rPr>
        <w:t xml:space="preserve">the right to be tried by an impartial court, the </w:t>
      </w:r>
      <w:r w:rsidR="00144817" w:rsidRPr="00954547">
        <w:rPr>
          <w:lang w:val="en-US"/>
        </w:rPr>
        <w:t>presumption of innocence</w:t>
      </w:r>
      <w:r w:rsidR="005B47F3" w:rsidRPr="00954547">
        <w:rPr>
          <w:lang w:val="en-US"/>
        </w:rPr>
        <w:t xml:space="preserve">, </w:t>
      </w:r>
      <w:r w:rsidRPr="00954547">
        <w:rPr>
          <w:lang w:val="en-US"/>
        </w:rPr>
        <w:t xml:space="preserve">the duty to provide the reasons for a decision, the obligation not to apply the law in a discriminatory manner, the right not to be subjected to </w:t>
      </w:r>
      <w:r w:rsidR="005903D2" w:rsidRPr="00954547">
        <w:rPr>
          <w:lang w:val="en-US"/>
        </w:rPr>
        <w:t>cruel, inhuman or degrading punishment</w:t>
      </w:r>
      <w:r w:rsidR="0078694F" w:rsidRPr="00954547">
        <w:rPr>
          <w:lang w:val="en-US"/>
        </w:rPr>
        <w:t xml:space="preserve"> and </w:t>
      </w:r>
      <w:r w:rsidRPr="00954547">
        <w:rPr>
          <w:lang w:val="en-US"/>
        </w:rPr>
        <w:t xml:space="preserve">the obligation to ensure that the purpose of a prison sentence is the reform and social rehabilitation of the person convicted pursuant to </w:t>
      </w:r>
      <w:r w:rsidR="00A17F8C" w:rsidRPr="00954547">
        <w:rPr>
          <w:lang w:val="en-US"/>
        </w:rPr>
        <w:t>Articles</w:t>
      </w:r>
      <w:r w:rsidR="005B47F3" w:rsidRPr="00954547">
        <w:rPr>
          <w:lang w:val="en-US"/>
        </w:rPr>
        <w:t xml:space="preserve"> </w:t>
      </w:r>
      <w:r w:rsidR="00A17F8C" w:rsidRPr="00954547">
        <w:rPr>
          <w:lang w:val="en-US"/>
        </w:rPr>
        <w:t>8(1)</w:t>
      </w:r>
      <w:r w:rsidR="005B47F3" w:rsidRPr="00954547">
        <w:rPr>
          <w:lang w:val="en-US"/>
        </w:rPr>
        <w:t xml:space="preserve">, </w:t>
      </w:r>
      <w:r w:rsidR="00CE421C" w:rsidRPr="00954547">
        <w:rPr>
          <w:lang w:val="en-US"/>
        </w:rPr>
        <w:t>8(2)</w:t>
      </w:r>
      <w:r w:rsidR="005B47F3" w:rsidRPr="00954547">
        <w:rPr>
          <w:lang w:val="en-US"/>
        </w:rPr>
        <w:t xml:space="preserve">, </w:t>
      </w:r>
      <w:r w:rsidR="00CE421C" w:rsidRPr="00954547">
        <w:rPr>
          <w:lang w:val="en-US"/>
        </w:rPr>
        <w:t>8(2)(d)</w:t>
      </w:r>
      <w:r w:rsidR="005B47F3" w:rsidRPr="00954547">
        <w:rPr>
          <w:lang w:val="en-US"/>
        </w:rPr>
        <w:t xml:space="preserve">, </w:t>
      </w:r>
      <w:r w:rsidR="00CE421C" w:rsidRPr="00954547">
        <w:rPr>
          <w:lang w:val="en-US"/>
        </w:rPr>
        <w:t>8(2)</w:t>
      </w:r>
      <w:r w:rsidRPr="00954547">
        <w:rPr>
          <w:lang w:val="en-US"/>
        </w:rPr>
        <w:t>(</w:t>
      </w:r>
      <w:r w:rsidR="005B47F3" w:rsidRPr="00954547">
        <w:rPr>
          <w:lang w:val="en-US"/>
        </w:rPr>
        <w:t>e</w:t>
      </w:r>
      <w:r w:rsidRPr="00954547">
        <w:rPr>
          <w:lang w:val="en-US"/>
        </w:rPr>
        <w:t>)</w:t>
      </w:r>
      <w:r w:rsidR="005B47F3" w:rsidRPr="00954547">
        <w:rPr>
          <w:lang w:val="en-US"/>
        </w:rPr>
        <w:t>,</w:t>
      </w:r>
      <w:r w:rsidR="00743A03" w:rsidRPr="00954547">
        <w:rPr>
          <w:lang w:val="en-US"/>
        </w:rPr>
        <w:t xml:space="preserve"> </w:t>
      </w:r>
      <w:r w:rsidR="005B47F3" w:rsidRPr="00954547">
        <w:rPr>
          <w:lang w:val="en-US"/>
        </w:rPr>
        <w:t xml:space="preserve">24, </w:t>
      </w:r>
      <w:r w:rsidR="005903D2" w:rsidRPr="00954547">
        <w:rPr>
          <w:lang w:val="en-US"/>
        </w:rPr>
        <w:t>5(2)</w:t>
      </w:r>
      <w:r w:rsidR="0078694F" w:rsidRPr="00954547">
        <w:rPr>
          <w:lang w:val="en-US"/>
        </w:rPr>
        <w:t xml:space="preserve"> and </w:t>
      </w:r>
      <w:r w:rsidR="005903D2" w:rsidRPr="00954547">
        <w:rPr>
          <w:lang w:val="en-US"/>
        </w:rPr>
        <w:t>5(6)</w:t>
      </w:r>
      <w:r w:rsidR="005B47F3" w:rsidRPr="00954547">
        <w:rPr>
          <w:lang w:val="en-US"/>
        </w:rPr>
        <w:t xml:space="preserve"> </w:t>
      </w:r>
      <w:r w:rsidR="005E0FD1" w:rsidRPr="00954547">
        <w:rPr>
          <w:lang w:val="en-US"/>
        </w:rPr>
        <w:t>of the Convention</w:t>
      </w:r>
      <w:r w:rsidR="005B47F3" w:rsidRPr="00954547">
        <w:rPr>
          <w:lang w:val="en-US"/>
        </w:rPr>
        <w:t xml:space="preserve">, </w:t>
      </w:r>
      <w:r w:rsidR="00743A03" w:rsidRPr="00954547">
        <w:rPr>
          <w:lang w:val="en-US"/>
        </w:rPr>
        <w:t xml:space="preserve">in relation to the obligations to respect and to ensure these rights without discrimination, and the duty to adopt domestic legal provisions established in </w:t>
      </w:r>
      <w:r w:rsidR="00A17F8C" w:rsidRPr="00954547">
        <w:rPr>
          <w:lang w:val="en-US"/>
        </w:rPr>
        <w:t xml:space="preserve">Articles 1(1) </w:t>
      </w:r>
      <w:r w:rsidR="0078694F" w:rsidRPr="00954547">
        <w:rPr>
          <w:lang w:val="en-US"/>
        </w:rPr>
        <w:t xml:space="preserve">and </w:t>
      </w:r>
      <w:r w:rsidR="005B47F3" w:rsidRPr="00954547">
        <w:rPr>
          <w:lang w:val="en-US"/>
        </w:rPr>
        <w:t xml:space="preserve">2 </w:t>
      </w:r>
      <w:r w:rsidR="00A17F8C" w:rsidRPr="00954547">
        <w:rPr>
          <w:lang w:val="en-US"/>
        </w:rPr>
        <w:t>of this instrument</w:t>
      </w:r>
      <w:r w:rsidR="005B47F3" w:rsidRPr="00954547">
        <w:rPr>
          <w:lang w:val="en-US"/>
        </w:rPr>
        <w:t xml:space="preserve">. </w:t>
      </w:r>
      <w:r w:rsidR="00743A03" w:rsidRPr="00954547">
        <w:rPr>
          <w:lang w:val="en-US"/>
        </w:rPr>
        <w:t xml:space="preserve">Furthermore, it considers the State responsible for violating </w:t>
      </w:r>
      <w:r w:rsidR="00F6091D" w:rsidRPr="00954547">
        <w:rPr>
          <w:lang w:val="en-US"/>
        </w:rPr>
        <w:t xml:space="preserve">the </w:t>
      </w:r>
      <w:r w:rsidR="003634C1" w:rsidRPr="00954547">
        <w:rPr>
          <w:lang w:val="en-US"/>
        </w:rPr>
        <w:t>right</w:t>
      </w:r>
      <w:r w:rsidR="00743A03" w:rsidRPr="00954547">
        <w:rPr>
          <w:lang w:val="en-US"/>
        </w:rPr>
        <w:t>s</w:t>
      </w:r>
      <w:r w:rsidR="003634C1" w:rsidRPr="00954547">
        <w:rPr>
          <w:lang w:val="en-US"/>
        </w:rPr>
        <w:t xml:space="preserve"> to life</w:t>
      </w:r>
      <w:r w:rsidR="005B47F3" w:rsidRPr="00954547">
        <w:rPr>
          <w:lang w:val="en-US"/>
        </w:rPr>
        <w:t xml:space="preserve">, </w:t>
      </w:r>
      <w:r w:rsidR="00144817" w:rsidRPr="00954547">
        <w:rPr>
          <w:lang w:val="en-US"/>
        </w:rPr>
        <w:t>personal integrity</w:t>
      </w:r>
      <w:r w:rsidR="005B47F3" w:rsidRPr="00954547">
        <w:rPr>
          <w:lang w:val="en-US"/>
        </w:rPr>
        <w:t xml:space="preserve">, </w:t>
      </w:r>
      <w:r w:rsidR="0078694F" w:rsidRPr="00954547">
        <w:rPr>
          <w:lang w:val="en-US"/>
        </w:rPr>
        <w:t>privacy</w:t>
      </w:r>
      <w:r w:rsidR="005B47F3" w:rsidRPr="00954547">
        <w:rPr>
          <w:lang w:val="en-US"/>
        </w:rPr>
        <w:t xml:space="preserve">, </w:t>
      </w:r>
      <w:r w:rsidR="0078694F" w:rsidRPr="00954547">
        <w:rPr>
          <w:lang w:val="en-US"/>
        </w:rPr>
        <w:t>equality before the law and health</w:t>
      </w:r>
      <w:r w:rsidR="005B47F3" w:rsidRPr="00954547">
        <w:rPr>
          <w:lang w:val="en-US"/>
        </w:rPr>
        <w:t xml:space="preserve">, </w:t>
      </w:r>
      <w:r w:rsidR="00743A03" w:rsidRPr="00954547">
        <w:rPr>
          <w:lang w:val="en-US"/>
        </w:rPr>
        <w:t>pursuant to</w:t>
      </w:r>
      <w:r w:rsidR="005B47F3" w:rsidRPr="00954547">
        <w:rPr>
          <w:lang w:val="en-US"/>
        </w:rPr>
        <w:t xml:space="preserve"> </w:t>
      </w:r>
      <w:r w:rsidR="00A17F8C" w:rsidRPr="00954547">
        <w:rPr>
          <w:lang w:val="en-US"/>
        </w:rPr>
        <w:t>Articles</w:t>
      </w:r>
      <w:r w:rsidR="005B47F3" w:rsidRPr="00954547">
        <w:rPr>
          <w:lang w:val="en-US"/>
        </w:rPr>
        <w:t xml:space="preserve"> 4, 5, 11, 24</w:t>
      </w:r>
      <w:r w:rsidR="0078694F" w:rsidRPr="00954547">
        <w:rPr>
          <w:lang w:val="en-US"/>
        </w:rPr>
        <w:t xml:space="preserve"> and </w:t>
      </w:r>
      <w:r w:rsidR="005B47F3" w:rsidRPr="00954547">
        <w:rPr>
          <w:lang w:val="en-US"/>
        </w:rPr>
        <w:t xml:space="preserve">26 </w:t>
      </w:r>
      <w:r w:rsidR="005E0FD1" w:rsidRPr="00954547">
        <w:rPr>
          <w:lang w:val="en-US"/>
        </w:rPr>
        <w:t>of the Convention</w:t>
      </w:r>
      <w:r w:rsidR="005B47F3" w:rsidRPr="00954547">
        <w:rPr>
          <w:lang w:val="en-US"/>
        </w:rPr>
        <w:t xml:space="preserve"> </w:t>
      </w:r>
      <w:r w:rsidR="00743A03" w:rsidRPr="00954547">
        <w:rPr>
          <w:lang w:val="en-US"/>
        </w:rPr>
        <w:t xml:space="preserve">in relation to the obligations to respect and to ensure these rights without discrimination, and the duty to adopt domestic legal provisions established in </w:t>
      </w:r>
      <w:r w:rsidR="00A17F8C" w:rsidRPr="00954547">
        <w:rPr>
          <w:lang w:val="en-US"/>
        </w:rPr>
        <w:t xml:space="preserve">Articles 1(1) </w:t>
      </w:r>
      <w:r w:rsidR="0078694F" w:rsidRPr="00954547">
        <w:rPr>
          <w:lang w:val="en-US"/>
        </w:rPr>
        <w:t xml:space="preserve">and </w:t>
      </w:r>
      <w:r w:rsidR="005B47F3" w:rsidRPr="00954547">
        <w:rPr>
          <w:lang w:val="en-US"/>
        </w:rPr>
        <w:t xml:space="preserve">2 </w:t>
      </w:r>
      <w:r w:rsidR="00A17F8C" w:rsidRPr="00954547">
        <w:rPr>
          <w:lang w:val="en-US"/>
        </w:rPr>
        <w:t>of this instrument</w:t>
      </w:r>
      <w:r w:rsidR="005B47F3" w:rsidRPr="00954547">
        <w:rPr>
          <w:lang w:val="en-US"/>
        </w:rPr>
        <w:t xml:space="preserve">, </w:t>
      </w:r>
      <w:r w:rsidR="00743A03" w:rsidRPr="00954547">
        <w:rPr>
          <w:lang w:val="en-US"/>
        </w:rPr>
        <w:t xml:space="preserve">and also for failing to comply with its obligations under </w:t>
      </w:r>
      <w:r w:rsidR="00A17F8C" w:rsidRPr="00954547">
        <w:rPr>
          <w:lang w:val="en-US"/>
        </w:rPr>
        <w:t>Article</w:t>
      </w:r>
      <w:r w:rsidR="005B47F3" w:rsidRPr="00954547">
        <w:rPr>
          <w:lang w:val="en-US"/>
        </w:rPr>
        <w:t xml:space="preserve"> 7</w:t>
      </w:r>
      <w:r w:rsidR="00743A03" w:rsidRPr="00954547">
        <w:rPr>
          <w:lang w:val="en-US"/>
        </w:rPr>
        <w:t>(</w:t>
      </w:r>
      <w:r w:rsidR="005B47F3" w:rsidRPr="00954547">
        <w:rPr>
          <w:lang w:val="en-US"/>
        </w:rPr>
        <w:t xml:space="preserve">a) </w:t>
      </w:r>
      <w:r w:rsidR="005E0FD1" w:rsidRPr="00954547">
        <w:rPr>
          <w:lang w:val="en-US"/>
        </w:rPr>
        <w:t>of the Convention of Belém</w:t>
      </w:r>
      <w:r w:rsidR="005B47F3" w:rsidRPr="00954547">
        <w:rPr>
          <w:lang w:val="en-US"/>
        </w:rPr>
        <w:t xml:space="preserve"> do Pará, </w:t>
      </w:r>
      <w:r w:rsidR="0078694F" w:rsidRPr="00954547">
        <w:rPr>
          <w:lang w:val="en-US"/>
        </w:rPr>
        <w:t>to the detriment of</w:t>
      </w:r>
      <w:r w:rsidR="005B47F3" w:rsidRPr="00954547">
        <w:rPr>
          <w:lang w:val="en-US"/>
        </w:rPr>
        <w:t xml:space="preserve"> Manuela.  </w:t>
      </w:r>
      <w:r w:rsidR="00743A03" w:rsidRPr="00954547">
        <w:rPr>
          <w:lang w:val="en-US"/>
        </w:rPr>
        <w:t xml:space="preserve">Lastly, it considers </w:t>
      </w:r>
      <w:r w:rsidR="00A94F95" w:rsidRPr="00954547">
        <w:rPr>
          <w:lang w:val="en-US"/>
        </w:rPr>
        <w:t>the State</w:t>
      </w:r>
      <w:r w:rsidR="005B47F3" w:rsidRPr="00954547">
        <w:rPr>
          <w:lang w:val="en-US"/>
        </w:rPr>
        <w:t xml:space="preserve"> respons</w:t>
      </w:r>
      <w:r w:rsidR="00743A03" w:rsidRPr="00954547">
        <w:rPr>
          <w:lang w:val="en-US"/>
        </w:rPr>
        <w:t>i</w:t>
      </w:r>
      <w:r w:rsidR="005B47F3" w:rsidRPr="00954547">
        <w:rPr>
          <w:lang w:val="en-US"/>
        </w:rPr>
        <w:t xml:space="preserve">ble </w:t>
      </w:r>
      <w:r w:rsidR="00743A03" w:rsidRPr="00954547">
        <w:rPr>
          <w:lang w:val="en-US"/>
        </w:rPr>
        <w:t xml:space="preserve">for </w:t>
      </w:r>
      <w:r w:rsidR="00A737D6" w:rsidRPr="00954547">
        <w:rPr>
          <w:lang w:val="en-US"/>
        </w:rPr>
        <w:t>violating</w:t>
      </w:r>
      <w:r w:rsidR="00F6091D" w:rsidRPr="00954547">
        <w:rPr>
          <w:lang w:val="en-US"/>
        </w:rPr>
        <w:t xml:space="preserve"> the </w:t>
      </w:r>
      <w:r w:rsidR="00BC7072" w:rsidRPr="00954547">
        <w:rPr>
          <w:lang w:val="en-US"/>
        </w:rPr>
        <w:t>right to</w:t>
      </w:r>
      <w:r w:rsidR="005B47F3" w:rsidRPr="00954547">
        <w:rPr>
          <w:lang w:val="en-US"/>
        </w:rPr>
        <w:t xml:space="preserve"> </w:t>
      </w:r>
      <w:r w:rsidR="00144817" w:rsidRPr="00954547">
        <w:rPr>
          <w:lang w:val="en-US"/>
        </w:rPr>
        <w:t>personal integrity</w:t>
      </w:r>
      <w:r w:rsidR="005B47F3" w:rsidRPr="00954547">
        <w:rPr>
          <w:lang w:val="en-US"/>
        </w:rPr>
        <w:t xml:space="preserve">, </w:t>
      </w:r>
      <w:r w:rsidR="00743A03" w:rsidRPr="00954547">
        <w:rPr>
          <w:lang w:val="en-US"/>
        </w:rPr>
        <w:t>recognized in</w:t>
      </w:r>
      <w:r w:rsidR="005B47F3" w:rsidRPr="00954547">
        <w:rPr>
          <w:lang w:val="en-US"/>
        </w:rPr>
        <w:t xml:space="preserve"> </w:t>
      </w:r>
      <w:r w:rsidR="00A17F8C" w:rsidRPr="00954547">
        <w:rPr>
          <w:lang w:val="en-US"/>
        </w:rPr>
        <w:t>Article</w:t>
      </w:r>
      <w:r w:rsidR="005B47F3" w:rsidRPr="00954547">
        <w:rPr>
          <w:lang w:val="en-US"/>
        </w:rPr>
        <w:t xml:space="preserve"> </w:t>
      </w:r>
      <w:r w:rsidR="007C78A8" w:rsidRPr="00954547">
        <w:rPr>
          <w:lang w:val="en-US"/>
        </w:rPr>
        <w:t>5(1)</w:t>
      </w:r>
      <w:r w:rsidR="005B47F3" w:rsidRPr="00954547">
        <w:rPr>
          <w:lang w:val="en-US"/>
        </w:rPr>
        <w:t xml:space="preserve"> </w:t>
      </w:r>
      <w:r w:rsidR="005E0FD1" w:rsidRPr="00954547">
        <w:rPr>
          <w:lang w:val="en-US"/>
        </w:rPr>
        <w:t>of the Convention</w:t>
      </w:r>
      <w:r w:rsidR="005B47F3" w:rsidRPr="00954547">
        <w:rPr>
          <w:lang w:val="en-US"/>
        </w:rPr>
        <w:t xml:space="preserve"> </w:t>
      </w:r>
      <w:r w:rsidR="00743A03" w:rsidRPr="00954547">
        <w:rPr>
          <w:lang w:val="en-US"/>
        </w:rPr>
        <w:t>in relation to</w:t>
      </w:r>
      <w:r w:rsidR="005B47F3" w:rsidRPr="00954547">
        <w:rPr>
          <w:lang w:val="en-US"/>
        </w:rPr>
        <w:t xml:space="preserve"> </w:t>
      </w:r>
      <w:r w:rsidR="00A17F8C" w:rsidRPr="00954547">
        <w:rPr>
          <w:lang w:val="en-US"/>
        </w:rPr>
        <w:t>Article 1(1) of this instrument</w:t>
      </w:r>
      <w:r w:rsidR="005B47F3" w:rsidRPr="00954547">
        <w:rPr>
          <w:lang w:val="en-US"/>
        </w:rPr>
        <w:t xml:space="preserve">, </w:t>
      </w:r>
      <w:r w:rsidR="0078694F" w:rsidRPr="00954547">
        <w:rPr>
          <w:lang w:val="en-US"/>
        </w:rPr>
        <w:t>to the detriment of</w:t>
      </w:r>
      <w:r w:rsidR="005B47F3" w:rsidRPr="00954547">
        <w:rPr>
          <w:lang w:val="en-US"/>
        </w:rPr>
        <w:t xml:space="preserve"> </w:t>
      </w:r>
      <w:r w:rsidR="00743A03" w:rsidRPr="00954547">
        <w:rPr>
          <w:lang w:val="en-US"/>
        </w:rPr>
        <w:t>Manuela’s mother, father, and older and younger sons.</w:t>
      </w:r>
    </w:p>
    <w:p w14:paraId="1981B406" w14:textId="77777777" w:rsidR="00BD178C" w:rsidRPr="00954547" w:rsidRDefault="00BD178C" w:rsidP="004D4009">
      <w:pPr>
        <w:jc w:val="both"/>
        <w:rPr>
          <w:rFonts w:ascii="Verdana" w:hAnsi="Verdana"/>
          <w:sz w:val="20"/>
          <w:szCs w:val="20"/>
        </w:rPr>
      </w:pPr>
    </w:p>
    <w:p w14:paraId="4639A8AF" w14:textId="0A6DF910" w:rsidR="001E7AC9" w:rsidRPr="00954547" w:rsidRDefault="00743A03" w:rsidP="000365EC">
      <w:pPr>
        <w:pStyle w:val="ListParagraph"/>
        <w:numPr>
          <w:ilvl w:val="3"/>
          <w:numId w:val="18"/>
        </w:numPr>
        <w:spacing w:before="0" w:after="0"/>
        <w:ind w:left="0" w:firstLine="0"/>
        <w:rPr>
          <w:lang w:val="en-US"/>
        </w:rPr>
      </w:pPr>
      <w:r w:rsidRPr="00954547">
        <w:rPr>
          <w:lang w:val="en-US"/>
        </w:rPr>
        <w:t>In this opinion, I concur with the judgment and examine the way in which I consider that the IACtHR</w:t>
      </w:r>
      <w:r w:rsidR="005B47F3" w:rsidRPr="00954547">
        <w:rPr>
          <w:lang w:val="en-US"/>
        </w:rPr>
        <w:t xml:space="preserve"> </w:t>
      </w:r>
      <w:r w:rsidR="001E7AC9" w:rsidRPr="00954547">
        <w:rPr>
          <w:lang w:val="en-US"/>
        </w:rPr>
        <w:t xml:space="preserve">should address cases </w:t>
      </w:r>
      <w:r w:rsidR="00A737D6" w:rsidRPr="00954547">
        <w:rPr>
          <w:lang w:val="en-US"/>
        </w:rPr>
        <w:t>involving</w:t>
      </w:r>
      <w:r w:rsidR="001E7AC9" w:rsidRPr="00954547">
        <w:rPr>
          <w:lang w:val="en-US"/>
        </w:rPr>
        <w:t xml:space="preserve"> violations of the economic, social, cultural and environmental rights</w:t>
      </w:r>
      <w:r w:rsidR="00A737D6" w:rsidRPr="00954547">
        <w:rPr>
          <w:lang w:val="en-US"/>
        </w:rPr>
        <w:t>,</w:t>
      </w:r>
      <w:r w:rsidR="001E7AC9" w:rsidRPr="00954547">
        <w:rPr>
          <w:lang w:val="en-US"/>
        </w:rPr>
        <w:t xml:space="preserve"> based on the universality, indivisibility, interdependence and interrelation of all human rights as grounds for their justiciability. Then, I will examine the intersectionality of vulnerabilities and the structural discrimination of which Manuela was a victim. Lastly, I will analyze the importance of including a gender perspective when adjudicating a case such as that of Manuela.</w:t>
      </w:r>
    </w:p>
    <w:p w14:paraId="01F30B4A" w14:textId="77777777" w:rsidR="001E7AC9" w:rsidRPr="00954547" w:rsidRDefault="001E7AC9" w:rsidP="004D4009">
      <w:pPr>
        <w:jc w:val="both"/>
        <w:rPr>
          <w:rFonts w:ascii="Verdana" w:hAnsi="Verdana"/>
          <w:sz w:val="20"/>
          <w:szCs w:val="20"/>
        </w:rPr>
      </w:pPr>
    </w:p>
    <w:p w14:paraId="2950AC46" w14:textId="05B6AA7C" w:rsidR="005B47F3" w:rsidRPr="00954547" w:rsidRDefault="004D4009" w:rsidP="004D4009">
      <w:pPr>
        <w:pStyle w:val="ListParagraph"/>
        <w:numPr>
          <w:ilvl w:val="0"/>
          <w:numId w:val="0"/>
        </w:numPr>
        <w:tabs>
          <w:tab w:val="clear" w:pos="567"/>
          <w:tab w:val="left" w:pos="630"/>
        </w:tabs>
        <w:spacing w:before="0" w:after="0"/>
        <w:rPr>
          <w:b/>
          <w:i/>
          <w:iCs/>
          <w:lang w:val="en-US"/>
        </w:rPr>
      </w:pPr>
      <w:r w:rsidRPr="00954547">
        <w:rPr>
          <w:b/>
          <w:lang w:val="en-US"/>
        </w:rPr>
        <w:t>II.</w:t>
      </w:r>
      <w:r w:rsidRPr="00954547">
        <w:rPr>
          <w:b/>
          <w:lang w:val="en-US"/>
        </w:rPr>
        <w:tab/>
      </w:r>
      <w:r w:rsidR="001E7AC9" w:rsidRPr="00954547">
        <w:rPr>
          <w:b/>
          <w:lang w:val="en-US"/>
        </w:rPr>
        <w:t xml:space="preserve">THE ISSUE OF THE </w:t>
      </w:r>
      <w:r w:rsidR="00B562B1" w:rsidRPr="00954547">
        <w:rPr>
          <w:b/>
          <w:lang w:val="en-US"/>
        </w:rPr>
        <w:t>RIGHT TO HEALTH</w:t>
      </w:r>
      <w:r w:rsidR="005B47F3" w:rsidRPr="00954547">
        <w:rPr>
          <w:b/>
          <w:lang w:val="en-US"/>
        </w:rPr>
        <w:t xml:space="preserve"> </w:t>
      </w:r>
      <w:r w:rsidR="001E7AC9" w:rsidRPr="00954547">
        <w:rPr>
          <w:b/>
          <w:lang w:val="en-US"/>
        </w:rPr>
        <w:t>OF</w:t>
      </w:r>
      <w:r w:rsidR="005B47F3" w:rsidRPr="00954547">
        <w:rPr>
          <w:b/>
          <w:lang w:val="en-US"/>
        </w:rPr>
        <w:t xml:space="preserve"> MANUELA </w:t>
      </w:r>
      <w:r w:rsidR="001E7AC9" w:rsidRPr="00954547">
        <w:rPr>
          <w:b/>
          <w:lang w:val="en-US"/>
        </w:rPr>
        <w:t xml:space="preserve">AS AN ECONOMIC, SOCIAL AND CULTURAL RIGHT </w:t>
      </w:r>
      <w:r w:rsidR="005B47F3" w:rsidRPr="00954547">
        <w:rPr>
          <w:b/>
          <w:lang w:val="en-US"/>
        </w:rPr>
        <w:t xml:space="preserve">JUSTICIABLE </w:t>
      </w:r>
      <w:r w:rsidR="005B47F3" w:rsidRPr="00954547">
        <w:rPr>
          <w:b/>
          <w:i/>
          <w:iCs/>
          <w:lang w:val="en-US"/>
        </w:rPr>
        <w:t>PER SE</w:t>
      </w:r>
    </w:p>
    <w:p w14:paraId="4BB70786" w14:textId="77777777" w:rsidR="004D4009" w:rsidRPr="00954547" w:rsidRDefault="004D4009" w:rsidP="004D4009">
      <w:pPr>
        <w:pStyle w:val="ListParagraph"/>
        <w:numPr>
          <w:ilvl w:val="0"/>
          <w:numId w:val="0"/>
        </w:numPr>
        <w:tabs>
          <w:tab w:val="clear" w:pos="567"/>
          <w:tab w:val="left" w:pos="630"/>
        </w:tabs>
        <w:spacing w:before="0" w:after="0"/>
        <w:rPr>
          <w:strike/>
          <w:lang w:val="en-US"/>
        </w:rPr>
      </w:pPr>
    </w:p>
    <w:p w14:paraId="16EDC8C8" w14:textId="5DA31BE8" w:rsidR="005B47F3" w:rsidRPr="00954547" w:rsidRDefault="008A467A" w:rsidP="000365EC">
      <w:pPr>
        <w:pStyle w:val="PrrafodeSentencia"/>
        <w:numPr>
          <w:ilvl w:val="3"/>
          <w:numId w:val="18"/>
        </w:numPr>
        <w:ind w:left="0" w:firstLine="0"/>
        <w:rPr>
          <w:szCs w:val="20"/>
          <w:lang w:val="en-US"/>
        </w:rPr>
      </w:pPr>
      <w:r w:rsidRPr="00954547">
        <w:rPr>
          <w:szCs w:val="20"/>
          <w:lang w:val="en-US"/>
        </w:rPr>
        <w:t>As I have argued in previous opinions, and reiterating the rationale proposed in them,</w:t>
      </w:r>
      <w:r w:rsidR="005B47F3" w:rsidRPr="00954547">
        <w:rPr>
          <w:rStyle w:val="FootnoteReference"/>
          <w:szCs w:val="20"/>
          <w:lang w:val="en-US"/>
        </w:rPr>
        <w:footnoteReference w:id="525"/>
      </w:r>
      <w:r w:rsidR="005B47F3" w:rsidRPr="00954547">
        <w:rPr>
          <w:szCs w:val="20"/>
          <w:lang w:val="en-US"/>
        </w:rPr>
        <w:t xml:space="preserve"> </w:t>
      </w:r>
      <w:r w:rsidRPr="00954547">
        <w:rPr>
          <w:szCs w:val="20"/>
          <w:lang w:val="en-US"/>
        </w:rPr>
        <w:t>based on the universality, indivisibility, interdependence and interrelation of human rights</w:t>
      </w:r>
      <w:r w:rsidR="005B47F3" w:rsidRPr="00954547">
        <w:rPr>
          <w:szCs w:val="20"/>
          <w:lang w:val="en-US"/>
        </w:rPr>
        <w:t>,</w:t>
      </w:r>
      <w:r w:rsidRPr="00954547">
        <w:rPr>
          <w:szCs w:val="20"/>
          <w:lang w:val="en-US"/>
        </w:rPr>
        <w:t xml:space="preserve"> I maintain the Court’s competence to examine individual violations of the economic, social, cultural and environmental rights</w:t>
      </w:r>
      <w:r w:rsidR="005B47F3" w:rsidRPr="00954547">
        <w:rPr>
          <w:szCs w:val="20"/>
          <w:lang w:val="en-US"/>
        </w:rPr>
        <w:t xml:space="preserve">. </w:t>
      </w:r>
      <w:r w:rsidRPr="00954547">
        <w:rPr>
          <w:szCs w:val="20"/>
          <w:lang w:val="en-US"/>
        </w:rPr>
        <w:t>I do so in the belie</w:t>
      </w:r>
      <w:r w:rsidR="00C71F96" w:rsidRPr="00954547">
        <w:rPr>
          <w:szCs w:val="20"/>
          <w:lang w:val="en-US"/>
        </w:rPr>
        <w:t>f</w:t>
      </w:r>
      <w:r w:rsidRPr="00954547">
        <w:rPr>
          <w:szCs w:val="20"/>
          <w:lang w:val="en-US"/>
        </w:rPr>
        <w:t xml:space="preserve"> that human rights are interdependent and indivisible</w:t>
      </w:r>
      <w:r w:rsidR="00C71F96" w:rsidRPr="00954547">
        <w:rPr>
          <w:szCs w:val="20"/>
          <w:lang w:val="en-US"/>
        </w:rPr>
        <w:t xml:space="preserve"> and, therefore,</w:t>
      </w:r>
      <w:r w:rsidRPr="00954547">
        <w:rPr>
          <w:szCs w:val="20"/>
          <w:lang w:val="en-US"/>
        </w:rPr>
        <w:t xml:space="preserve"> </w:t>
      </w:r>
      <w:r w:rsidR="00C71F96" w:rsidRPr="00954547">
        <w:rPr>
          <w:szCs w:val="20"/>
          <w:lang w:val="en-US"/>
        </w:rPr>
        <w:t xml:space="preserve">as in this case, </w:t>
      </w:r>
      <w:r w:rsidRPr="00954547">
        <w:rPr>
          <w:szCs w:val="20"/>
          <w:lang w:val="en-US"/>
        </w:rPr>
        <w:t>civil and political rights are interwoven with economic, social, cultural and environmental rights</w:t>
      </w:r>
      <w:r w:rsidR="005B47F3" w:rsidRPr="00954547">
        <w:rPr>
          <w:szCs w:val="20"/>
          <w:lang w:val="en-US"/>
        </w:rPr>
        <w:t xml:space="preserve">, </w:t>
      </w:r>
      <w:r w:rsidRPr="00954547">
        <w:rPr>
          <w:szCs w:val="20"/>
          <w:lang w:val="en-US"/>
        </w:rPr>
        <w:t>and cannot be separated</w:t>
      </w:r>
      <w:r w:rsidR="00C71F96" w:rsidRPr="00954547">
        <w:rPr>
          <w:szCs w:val="20"/>
          <w:lang w:val="en-US"/>
        </w:rPr>
        <w:t>.</w:t>
      </w:r>
    </w:p>
    <w:p w14:paraId="3EA4A6CD" w14:textId="77777777" w:rsidR="004D4009" w:rsidRPr="00954547" w:rsidRDefault="004D4009" w:rsidP="004D4009">
      <w:pPr>
        <w:rPr>
          <w:lang w:eastAsia="es-MX"/>
        </w:rPr>
      </w:pPr>
    </w:p>
    <w:p w14:paraId="73430DDF" w14:textId="0DB0D604" w:rsidR="00EC3254" w:rsidRPr="00954547" w:rsidRDefault="00C71F96" w:rsidP="000365EC">
      <w:pPr>
        <w:pStyle w:val="PrrafodeSentencia"/>
        <w:numPr>
          <w:ilvl w:val="3"/>
          <w:numId w:val="18"/>
        </w:numPr>
        <w:ind w:left="0" w:firstLine="0"/>
        <w:rPr>
          <w:rFonts w:eastAsia="Times New Roman" w:cs="Tahoma"/>
          <w:szCs w:val="20"/>
          <w:lang w:val="en-US"/>
        </w:rPr>
      </w:pPr>
      <w:r w:rsidRPr="00954547">
        <w:rPr>
          <w:szCs w:val="20"/>
          <w:lang w:val="en-US"/>
        </w:rPr>
        <w:t>Consequently</w:t>
      </w:r>
      <w:r w:rsidR="00357596" w:rsidRPr="00954547">
        <w:rPr>
          <w:szCs w:val="20"/>
          <w:lang w:val="en-US"/>
        </w:rPr>
        <w:t>, I have asserted that this interdependence and indivisibility allow</w:t>
      </w:r>
      <w:r w:rsidRPr="00954547">
        <w:rPr>
          <w:szCs w:val="20"/>
          <w:lang w:val="en-US"/>
        </w:rPr>
        <w:t>s</w:t>
      </w:r>
      <w:r w:rsidR="00357596" w:rsidRPr="00954547">
        <w:rPr>
          <w:szCs w:val="20"/>
          <w:lang w:val="en-US"/>
        </w:rPr>
        <w:t xml:space="preserve"> the </w:t>
      </w:r>
      <w:r w:rsidRPr="00954547">
        <w:rPr>
          <w:szCs w:val="20"/>
          <w:lang w:val="en-US"/>
        </w:rPr>
        <w:t>human being</w:t>
      </w:r>
      <w:r w:rsidR="00357596" w:rsidRPr="00954547">
        <w:rPr>
          <w:szCs w:val="20"/>
          <w:lang w:val="en-US"/>
        </w:rPr>
        <w:t xml:space="preserve"> to be seen </w:t>
      </w:r>
      <w:r w:rsidRPr="00954547">
        <w:rPr>
          <w:szCs w:val="20"/>
          <w:lang w:val="en-US"/>
        </w:rPr>
        <w:t>integrally,</w:t>
      </w:r>
      <w:r w:rsidR="00357596" w:rsidRPr="00954547">
        <w:rPr>
          <w:szCs w:val="20"/>
          <w:lang w:val="en-US"/>
        </w:rPr>
        <w:t xml:space="preserve"> as </w:t>
      </w:r>
      <w:r w:rsidRPr="00954547">
        <w:rPr>
          <w:szCs w:val="20"/>
          <w:lang w:val="en-US"/>
        </w:rPr>
        <w:t xml:space="preserve">fully </w:t>
      </w:r>
      <w:r w:rsidR="00357596" w:rsidRPr="00954547">
        <w:rPr>
          <w:szCs w:val="20"/>
          <w:lang w:val="en-US"/>
        </w:rPr>
        <w:t>entitled to all rights</w:t>
      </w:r>
      <w:r w:rsidRPr="00954547">
        <w:rPr>
          <w:szCs w:val="20"/>
          <w:lang w:val="en-US"/>
        </w:rPr>
        <w:t>,</w:t>
      </w:r>
      <w:r w:rsidR="00357596" w:rsidRPr="00954547">
        <w:rPr>
          <w:szCs w:val="20"/>
          <w:lang w:val="en-US"/>
        </w:rPr>
        <w:t xml:space="preserve"> and this has an impact on the justiciability of his rights. A similar vision is set forth in the Preamble to the Protocol of San Salvador: “</w:t>
      </w:r>
      <w:r w:rsidR="00EC3254" w:rsidRPr="00954547">
        <w:rPr>
          <w:rFonts w:eastAsia="Times New Roman" w:cs="Tahoma"/>
          <w:szCs w:val="20"/>
          <w:lang w:val="en-US"/>
        </w:rPr>
        <w:t>Considering the close relationship that exists between economic, social and cultural rights, and civil and political rights, in that the different categories of rights constitute an indivisible whole based on the recognition of the dignity of the human person, for which reason both require permanent protection and promotion if they are to be fully realized, and the violation of some rights in favor of the realization of others can never be justified.”</w:t>
      </w:r>
    </w:p>
    <w:p w14:paraId="0AC05F7A" w14:textId="77777777" w:rsidR="004D4009" w:rsidRPr="00954547" w:rsidRDefault="004D4009" w:rsidP="004D4009">
      <w:pPr>
        <w:rPr>
          <w:lang w:eastAsia="es-MX"/>
        </w:rPr>
      </w:pPr>
    </w:p>
    <w:p w14:paraId="68A81516" w14:textId="4B4B75A2" w:rsidR="004D4009" w:rsidRPr="00954547" w:rsidRDefault="00EC3254" w:rsidP="000365EC">
      <w:pPr>
        <w:pStyle w:val="ListParagraph"/>
        <w:numPr>
          <w:ilvl w:val="3"/>
          <w:numId w:val="18"/>
        </w:numPr>
        <w:spacing w:before="0" w:after="0"/>
        <w:ind w:left="0" w:firstLine="0"/>
        <w:rPr>
          <w:lang w:val="en-US"/>
        </w:rPr>
      </w:pPr>
      <w:r w:rsidRPr="00954547">
        <w:rPr>
          <w:lang w:val="en-US"/>
        </w:rPr>
        <w:t xml:space="preserve">From this perspective, </w:t>
      </w:r>
      <w:r w:rsidR="00A17F8C" w:rsidRPr="00954547">
        <w:rPr>
          <w:lang w:val="en-US"/>
        </w:rPr>
        <w:t>Article</w:t>
      </w:r>
      <w:r w:rsidR="005B47F3" w:rsidRPr="00954547">
        <w:rPr>
          <w:lang w:val="en-US"/>
        </w:rPr>
        <w:t xml:space="preserve"> 26 </w:t>
      </w:r>
      <w:r w:rsidR="005E0FD1" w:rsidRPr="00954547">
        <w:rPr>
          <w:lang w:val="en-US"/>
        </w:rPr>
        <w:t>of the Convention</w:t>
      </w:r>
      <w:r w:rsidR="005B47F3" w:rsidRPr="00954547">
        <w:rPr>
          <w:lang w:val="en-US"/>
        </w:rPr>
        <w:t xml:space="preserve"> </w:t>
      </w:r>
      <w:r w:rsidRPr="00954547">
        <w:rPr>
          <w:lang w:val="en-US"/>
        </w:rPr>
        <w:t xml:space="preserve">acts as a framework article, in the understanding that it makes a general allusion to the </w:t>
      </w:r>
      <w:r w:rsidR="008A467A" w:rsidRPr="00954547">
        <w:rPr>
          <w:lang w:val="en-US"/>
        </w:rPr>
        <w:t>economic, social, cultural and environmental rights</w:t>
      </w:r>
      <w:r w:rsidR="005B47F3" w:rsidRPr="00954547">
        <w:rPr>
          <w:lang w:val="en-US"/>
        </w:rPr>
        <w:t xml:space="preserve">, </w:t>
      </w:r>
      <w:r w:rsidRPr="00954547">
        <w:rPr>
          <w:lang w:val="en-US"/>
        </w:rPr>
        <w:t>for the description and determination of which, it refers us to the OAS Charter.</w:t>
      </w:r>
      <w:r w:rsidR="005B47F3" w:rsidRPr="00954547">
        <w:rPr>
          <w:lang w:val="en-US"/>
        </w:rPr>
        <w:t xml:space="preserve"> </w:t>
      </w:r>
      <w:r w:rsidRPr="00954547">
        <w:rPr>
          <w:lang w:val="en-US"/>
        </w:rPr>
        <w:t>T</w:t>
      </w:r>
      <w:r w:rsidR="002E081D" w:rsidRPr="00954547">
        <w:rPr>
          <w:lang w:val="en-US"/>
        </w:rPr>
        <w:t>he Protocol of</w:t>
      </w:r>
      <w:r w:rsidR="005B47F3" w:rsidRPr="00954547">
        <w:rPr>
          <w:lang w:val="en-US"/>
        </w:rPr>
        <w:t xml:space="preserve"> San Salvador individualiz</w:t>
      </w:r>
      <w:r w:rsidRPr="00954547">
        <w:rPr>
          <w:lang w:val="en-US"/>
        </w:rPr>
        <w:t xml:space="preserve">es and provides content to the </w:t>
      </w:r>
      <w:r w:rsidR="0078694F" w:rsidRPr="00954547">
        <w:rPr>
          <w:lang w:val="en-US"/>
        </w:rPr>
        <w:t xml:space="preserve"> </w:t>
      </w:r>
      <w:r w:rsidR="008A467A" w:rsidRPr="00954547">
        <w:rPr>
          <w:lang w:val="en-US"/>
        </w:rPr>
        <w:t>economic, social, cultural and environmental rights</w:t>
      </w:r>
      <w:r w:rsidR="005B47F3" w:rsidRPr="00954547">
        <w:rPr>
          <w:lang w:val="en-US"/>
        </w:rPr>
        <w:t xml:space="preserve">. </w:t>
      </w:r>
      <w:r w:rsidRPr="00954547">
        <w:rPr>
          <w:lang w:val="en-US"/>
        </w:rPr>
        <w:t xml:space="preserve">This Protocol </w:t>
      </w:r>
      <w:r w:rsidR="00C71F96" w:rsidRPr="00954547">
        <w:rPr>
          <w:lang w:val="en-US"/>
        </w:rPr>
        <w:t>underlines the importance</w:t>
      </w:r>
      <w:r w:rsidRPr="00954547">
        <w:rPr>
          <w:lang w:val="en-US"/>
        </w:rPr>
        <w:t xml:space="preserve"> that these (rights) </w:t>
      </w:r>
      <w:r w:rsidR="00C71F96" w:rsidRPr="00954547">
        <w:rPr>
          <w:lang w:val="en-US"/>
        </w:rPr>
        <w:t>be</w:t>
      </w:r>
      <w:r w:rsidRPr="00954547">
        <w:rPr>
          <w:lang w:val="en-US"/>
        </w:rPr>
        <w:t xml:space="preserve"> reaffirmed, developed, perfected and protected (see Preamble). Lastly, a series of instruments exist </w:t>
      </w:r>
      <w:r w:rsidR="00681C86" w:rsidRPr="00954547">
        <w:rPr>
          <w:lang w:val="en-US"/>
        </w:rPr>
        <w:t>in the inter-American</w:t>
      </w:r>
      <w:r w:rsidR="005B47F3" w:rsidRPr="00954547">
        <w:rPr>
          <w:lang w:val="en-US"/>
        </w:rPr>
        <w:t xml:space="preserve"> </w:t>
      </w:r>
      <w:r w:rsidR="005B47F3" w:rsidRPr="00954547">
        <w:rPr>
          <w:i/>
          <w:lang w:val="en-US"/>
        </w:rPr>
        <w:t>corpus juris</w:t>
      </w:r>
      <w:r w:rsidR="005B47F3" w:rsidRPr="00954547">
        <w:rPr>
          <w:lang w:val="en-US"/>
        </w:rPr>
        <w:t xml:space="preserve"> </w:t>
      </w:r>
      <w:r w:rsidR="00681C86" w:rsidRPr="00954547">
        <w:rPr>
          <w:lang w:val="en-US"/>
        </w:rPr>
        <w:t xml:space="preserve">that also refer to the </w:t>
      </w:r>
      <w:r w:rsidR="00E411E5" w:rsidRPr="00954547">
        <w:rPr>
          <w:lang w:val="en-US"/>
        </w:rPr>
        <w:t>ESCER</w:t>
      </w:r>
      <w:r w:rsidR="005B47F3" w:rsidRPr="00954547">
        <w:rPr>
          <w:lang w:val="en-US"/>
        </w:rPr>
        <w:t>.</w:t>
      </w:r>
    </w:p>
    <w:p w14:paraId="4897B7C2" w14:textId="77777777" w:rsidR="004D4009" w:rsidRPr="00954547" w:rsidRDefault="004D4009" w:rsidP="004D4009">
      <w:pPr>
        <w:pStyle w:val="ListParagraph"/>
        <w:numPr>
          <w:ilvl w:val="0"/>
          <w:numId w:val="0"/>
        </w:numPr>
        <w:spacing w:before="0" w:after="0"/>
        <w:rPr>
          <w:lang w:val="en-US"/>
        </w:rPr>
      </w:pPr>
    </w:p>
    <w:p w14:paraId="26036790" w14:textId="40224222" w:rsidR="005B47F3" w:rsidRPr="00954547" w:rsidRDefault="00B64A38" w:rsidP="000365EC">
      <w:pPr>
        <w:pStyle w:val="ListParagraph"/>
        <w:numPr>
          <w:ilvl w:val="3"/>
          <w:numId w:val="18"/>
        </w:numPr>
        <w:spacing w:before="0" w:after="0"/>
        <w:ind w:left="0" w:firstLine="0"/>
        <w:rPr>
          <w:lang w:val="en-US"/>
        </w:rPr>
      </w:pPr>
      <w:r w:rsidRPr="00954547">
        <w:rPr>
          <w:lang w:val="en-US"/>
        </w:rPr>
        <w:t xml:space="preserve">Thus, I consider that this judgment reveals the coexistence of several rights of the victims that are indivisible and </w:t>
      </w:r>
      <w:r w:rsidR="005B47F3" w:rsidRPr="00954547">
        <w:rPr>
          <w:lang w:val="en-US"/>
        </w:rPr>
        <w:t>justiciable</w:t>
      </w:r>
      <w:r w:rsidRPr="00954547">
        <w:rPr>
          <w:lang w:val="en-US"/>
        </w:rPr>
        <w:t xml:space="preserve"> before the Court</w:t>
      </w:r>
      <w:r w:rsidR="005B47F3" w:rsidRPr="00954547">
        <w:rPr>
          <w:lang w:val="en-US"/>
        </w:rPr>
        <w:t xml:space="preserve"> </w:t>
      </w:r>
      <w:r w:rsidR="005B47F3" w:rsidRPr="00954547">
        <w:rPr>
          <w:i/>
          <w:lang w:val="en-US"/>
        </w:rPr>
        <w:t>per se</w:t>
      </w:r>
      <w:r w:rsidR="005B47F3" w:rsidRPr="00954547">
        <w:rPr>
          <w:lang w:val="en-US"/>
        </w:rPr>
        <w:t xml:space="preserve"> </w:t>
      </w:r>
      <w:r w:rsidRPr="00954547">
        <w:rPr>
          <w:lang w:val="en-US"/>
        </w:rPr>
        <w:t>as explained in paragraphs 180 and</w:t>
      </w:r>
      <w:r w:rsidRPr="00954547">
        <w:rPr>
          <w:i/>
          <w:iCs/>
          <w:lang w:val="en-US"/>
        </w:rPr>
        <w:t xml:space="preserve"> ff.</w:t>
      </w:r>
      <w:r w:rsidRPr="00954547">
        <w:rPr>
          <w:lang w:val="en-US"/>
        </w:rPr>
        <w:t xml:space="preserve"> </w:t>
      </w:r>
      <w:r w:rsidR="0052125E" w:rsidRPr="00954547">
        <w:rPr>
          <w:lang w:val="en-US"/>
        </w:rPr>
        <w:t>of the judgment</w:t>
      </w:r>
      <w:r w:rsidR="005B47F3" w:rsidRPr="00954547">
        <w:rPr>
          <w:lang w:val="en-US"/>
        </w:rPr>
        <w:t xml:space="preserve">. </w:t>
      </w:r>
      <w:r w:rsidRPr="00954547">
        <w:rPr>
          <w:lang w:val="en-US"/>
        </w:rPr>
        <w:t>Consequently,</w:t>
      </w:r>
      <w:r w:rsidR="005B47F3" w:rsidRPr="00954547">
        <w:rPr>
          <w:lang w:val="en-US"/>
        </w:rPr>
        <w:t xml:space="preserve"> </w:t>
      </w:r>
      <w:r w:rsidR="00A17F8C" w:rsidRPr="00954547">
        <w:rPr>
          <w:lang w:val="en-US"/>
        </w:rPr>
        <w:t>Article</w:t>
      </w:r>
      <w:r w:rsidR="005B47F3" w:rsidRPr="00954547">
        <w:rPr>
          <w:lang w:val="en-US"/>
        </w:rPr>
        <w:t xml:space="preserve"> 19</w:t>
      </w:r>
      <w:r w:rsidRPr="00954547">
        <w:rPr>
          <w:lang w:val="en-US"/>
        </w:rPr>
        <w:t>(</w:t>
      </w:r>
      <w:r w:rsidR="005B47F3" w:rsidRPr="00954547">
        <w:rPr>
          <w:lang w:val="en-US"/>
        </w:rPr>
        <w:t>6</w:t>
      </w:r>
      <w:r w:rsidRPr="00954547">
        <w:rPr>
          <w:lang w:val="en-US"/>
        </w:rPr>
        <w:t>)</w:t>
      </w:r>
      <w:r w:rsidR="005B47F3" w:rsidRPr="00954547">
        <w:rPr>
          <w:lang w:val="en-US"/>
        </w:rPr>
        <w:t xml:space="preserve"> </w:t>
      </w:r>
      <w:r w:rsidR="002E081D" w:rsidRPr="00954547">
        <w:rPr>
          <w:lang w:val="en-US"/>
        </w:rPr>
        <w:t>of the Protocol of</w:t>
      </w:r>
      <w:r w:rsidR="005B47F3" w:rsidRPr="00954547">
        <w:rPr>
          <w:lang w:val="en-US"/>
        </w:rPr>
        <w:t xml:space="preserve"> San Salvador </w:t>
      </w:r>
      <w:r w:rsidRPr="00954547">
        <w:rPr>
          <w:lang w:val="en-US"/>
        </w:rPr>
        <w:t>does not constitute an impediment of any kind for the Court to consider their joint violation</w:t>
      </w:r>
      <w:r w:rsidR="00D11C03" w:rsidRPr="00954547">
        <w:rPr>
          <w:lang w:val="en-US"/>
        </w:rPr>
        <w:t xml:space="preserve"> in this case</w:t>
      </w:r>
      <w:r w:rsidRPr="00954547">
        <w:rPr>
          <w:lang w:val="en-US"/>
        </w:rPr>
        <w:t xml:space="preserve">. </w:t>
      </w:r>
    </w:p>
    <w:p w14:paraId="65AC2175" w14:textId="77777777" w:rsidR="00BD178C" w:rsidRPr="00954547" w:rsidRDefault="00BD178C" w:rsidP="004D4009">
      <w:pPr>
        <w:jc w:val="both"/>
        <w:rPr>
          <w:rFonts w:ascii="Verdana" w:hAnsi="Verdana"/>
          <w:sz w:val="20"/>
          <w:szCs w:val="20"/>
        </w:rPr>
      </w:pPr>
    </w:p>
    <w:p w14:paraId="4F208086" w14:textId="72E41C5C" w:rsidR="00CE1DFE" w:rsidRPr="00954547" w:rsidRDefault="00D11C03" w:rsidP="000365EC">
      <w:pPr>
        <w:pStyle w:val="ListParagraph"/>
        <w:numPr>
          <w:ilvl w:val="3"/>
          <w:numId w:val="18"/>
        </w:numPr>
        <w:spacing w:before="0" w:after="0"/>
        <w:ind w:left="0" w:firstLine="0"/>
        <w:rPr>
          <w:lang w:val="en-US"/>
        </w:rPr>
      </w:pPr>
      <w:r w:rsidRPr="00954547">
        <w:rPr>
          <w:lang w:val="en-US"/>
        </w:rPr>
        <w:t>As</w:t>
      </w:r>
      <w:r w:rsidR="00B64A38" w:rsidRPr="00954547">
        <w:rPr>
          <w:lang w:val="en-US"/>
        </w:rPr>
        <w:t xml:space="preserve"> indicated in the third, fourth and fifth operative paragraphs, it is declared that the rights to life, personal integrity, privacy, equality before the law, and health were violated </w:t>
      </w:r>
      <w:r w:rsidRPr="00954547">
        <w:rPr>
          <w:lang w:val="en-US"/>
        </w:rPr>
        <w:t xml:space="preserve">in this case </w:t>
      </w:r>
      <w:r w:rsidR="00B64A38" w:rsidRPr="00954547">
        <w:rPr>
          <w:lang w:val="en-US"/>
        </w:rPr>
        <w:t xml:space="preserve">pursuant to </w:t>
      </w:r>
      <w:r w:rsidR="00A17F8C" w:rsidRPr="00954547">
        <w:rPr>
          <w:lang w:val="en-US"/>
        </w:rPr>
        <w:t>Articles</w:t>
      </w:r>
      <w:r w:rsidR="005B47F3" w:rsidRPr="00954547">
        <w:rPr>
          <w:lang w:val="en-US"/>
        </w:rPr>
        <w:t xml:space="preserve"> 4, 5, </w:t>
      </w:r>
      <w:r w:rsidR="00A17F8C" w:rsidRPr="00954547">
        <w:rPr>
          <w:lang w:val="en-US"/>
        </w:rPr>
        <w:t>7(1)</w:t>
      </w:r>
      <w:r w:rsidR="005B47F3" w:rsidRPr="00954547">
        <w:rPr>
          <w:lang w:val="en-US"/>
        </w:rPr>
        <w:t xml:space="preserve">, </w:t>
      </w:r>
      <w:r w:rsidR="005E0FD1" w:rsidRPr="00954547">
        <w:rPr>
          <w:lang w:val="en-US"/>
        </w:rPr>
        <w:t>7(3)</w:t>
      </w:r>
      <w:r w:rsidR="005B47F3" w:rsidRPr="00954547">
        <w:rPr>
          <w:lang w:val="en-US"/>
        </w:rPr>
        <w:t xml:space="preserve">, </w:t>
      </w:r>
      <w:r w:rsidR="00CE421C" w:rsidRPr="00954547">
        <w:rPr>
          <w:lang w:val="en-US"/>
        </w:rPr>
        <w:t>8(2)</w:t>
      </w:r>
      <w:r w:rsidR="005B47F3" w:rsidRPr="00954547">
        <w:rPr>
          <w:lang w:val="en-US"/>
        </w:rPr>
        <w:t xml:space="preserve">, </w:t>
      </w:r>
      <w:r w:rsidR="00A17F8C" w:rsidRPr="00954547">
        <w:rPr>
          <w:lang w:val="en-US"/>
        </w:rPr>
        <w:t>8(1)</w:t>
      </w:r>
      <w:r w:rsidR="005B47F3" w:rsidRPr="00954547">
        <w:rPr>
          <w:lang w:val="en-US"/>
        </w:rPr>
        <w:t xml:space="preserve">, </w:t>
      </w:r>
      <w:r w:rsidR="00CE421C" w:rsidRPr="00954547">
        <w:rPr>
          <w:lang w:val="en-US"/>
        </w:rPr>
        <w:t>8(2)</w:t>
      </w:r>
      <w:r w:rsidR="005B47F3" w:rsidRPr="00954547">
        <w:rPr>
          <w:lang w:val="en-US"/>
        </w:rPr>
        <w:t xml:space="preserve">, </w:t>
      </w:r>
      <w:r w:rsidR="00CE421C" w:rsidRPr="00954547">
        <w:rPr>
          <w:lang w:val="en-US"/>
        </w:rPr>
        <w:t>8(2)(d)</w:t>
      </w:r>
      <w:r w:rsidR="005B47F3" w:rsidRPr="00954547">
        <w:rPr>
          <w:lang w:val="en-US"/>
        </w:rPr>
        <w:t xml:space="preserve">, </w:t>
      </w:r>
      <w:r w:rsidR="00CE421C" w:rsidRPr="00954547">
        <w:rPr>
          <w:lang w:val="en-US"/>
        </w:rPr>
        <w:t>8(2)</w:t>
      </w:r>
      <w:r w:rsidR="00B64A38" w:rsidRPr="00954547">
        <w:rPr>
          <w:lang w:val="en-US"/>
        </w:rPr>
        <w:t>(</w:t>
      </w:r>
      <w:r w:rsidR="005B47F3" w:rsidRPr="00954547">
        <w:rPr>
          <w:lang w:val="en-US"/>
        </w:rPr>
        <w:t>e</w:t>
      </w:r>
      <w:r w:rsidR="00B64A38" w:rsidRPr="00954547">
        <w:rPr>
          <w:lang w:val="en-US"/>
        </w:rPr>
        <w:t>)</w:t>
      </w:r>
      <w:r w:rsidR="005B47F3" w:rsidRPr="00954547">
        <w:rPr>
          <w:lang w:val="en-US"/>
        </w:rPr>
        <w:t>, 11</w:t>
      </w:r>
      <w:r w:rsidR="0078694F" w:rsidRPr="00954547">
        <w:rPr>
          <w:lang w:val="en-US"/>
        </w:rPr>
        <w:t xml:space="preserve"> and </w:t>
      </w:r>
      <w:r w:rsidR="005B47F3" w:rsidRPr="00954547">
        <w:rPr>
          <w:lang w:val="en-US"/>
        </w:rPr>
        <w:t xml:space="preserve">24 </w:t>
      </w:r>
      <w:r w:rsidR="005E0FD1" w:rsidRPr="00954547">
        <w:rPr>
          <w:lang w:val="en-US"/>
        </w:rPr>
        <w:t>of the Convention</w:t>
      </w:r>
      <w:r w:rsidR="005B47F3" w:rsidRPr="00954547">
        <w:rPr>
          <w:lang w:val="en-US"/>
        </w:rPr>
        <w:t xml:space="preserve">, </w:t>
      </w:r>
      <w:r w:rsidR="00144817" w:rsidRPr="00954547">
        <w:rPr>
          <w:lang w:val="en-US"/>
        </w:rPr>
        <w:t>in relation to the obligations</w:t>
      </w:r>
      <w:r w:rsidR="005B47F3" w:rsidRPr="00954547">
        <w:rPr>
          <w:lang w:val="en-US"/>
        </w:rPr>
        <w:t xml:space="preserve"> </w:t>
      </w:r>
      <w:r w:rsidR="00B64A38" w:rsidRPr="00954547">
        <w:rPr>
          <w:lang w:val="en-US"/>
        </w:rPr>
        <w:t xml:space="preserve">to respect and ensure rights, and the duty to </w:t>
      </w:r>
      <w:r w:rsidR="00144817" w:rsidRPr="00954547">
        <w:rPr>
          <w:lang w:val="en-US"/>
        </w:rPr>
        <w:t>adopt domestic legal provisions</w:t>
      </w:r>
      <w:r w:rsidR="005B47F3" w:rsidRPr="00954547">
        <w:rPr>
          <w:lang w:val="en-US"/>
        </w:rPr>
        <w:t xml:space="preserve"> </w:t>
      </w:r>
      <w:r w:rsidR="00B64A38" w:rsidRPr="00954547">
        <w:rPr>
          <w:lang w:val="en-US"/>
        </w:rPr>
        <w:t>contained in</w:t>
      </w:r>
      <w:r w:rsidR="005B47F3" w:rsidRPr="00954547">
        <w:rPr>
          <w:lang w:val="en-US"/>
        </w:rPr>
        <w:t xml:space="preserve"> </w:t>
      </w:r>
      <w:r w:rsidR="00A17F8C" w:rsidRPr="00954547">
        <w:rPr>
          <w:lang w:val="en-US"/>
        </w:rPr>
        <w:t>Articles</w:t>
      </w:r>
      <w:r w:rsidR="005B47F3" w:rsidRPr="00954547">
        <w:rPr>
          <w:lang w:val="en-US"/>
        </w:rPr>
        <w:t xml:space="preserve"> 1</w:t>
      </w:r>
      <w:r w:rsidR="00B64A38" w:rsidRPr="00954547">
        <w:rPr>
          <w:lang w:val="en-US"/>
        </w:rPr>
        <w:t>(</w:t>
      </w:r>
      <w:r w:rsidR="005B47F3" w:rsidRPr="00954547">
        <w:rPr>
          <w:lang w:val="en-US"/>
        </w:rPr>
        <w:t>1</w:t>
      </w:r>
      <w:r w:rsidR="00B64A38" w:rsidRPr="00954547">
        <w:rPr>
          <w:lang w:val="en-US"/>
        </w:rPr>
        <w:t>)</w:t>
      </w:r>
      <w:r w:rsidR="0078694F" w:rsidRPr="00954547">
        <w:rPr>
          <w:lang w:val="en-US"/>
        </w:rPr>
        <w:t xml:space="preserve"> and </w:t>
      </w:r>
      <w:r w:rsidR="005B47F3" w:rsidRPr="00954547">
        <w:rPr>
          <w:lang w:val="en-US"/>
        </w:rPr>
        <w:t xml:space="preserve">2 </w:t>
      </w:r>
      <w:r w:rsidR="00D33B29" w:rsidRPr="00954547">
        <w:rPr>
          <w:lang w:val="en-US"/>
        </w:rPr>
        <w:t>of this instrument. Therefore, I understand that based on the concept that I have maintained regarding the interpretation and application of the American Convention, the right to health is justiciable owing to the coexistence of the violation of several Convention-based rights, without any need to resort to justifications based on the autonomous citing of Article 26 of the Convention.</w:t>
      </w:r>
    </w:p>
    <w:p w14:paraId="48303EAB" w14:textId="77777777" w:rsidR="00A63CB8" w:rsidRPr="00954547" w:rsidRDefault="00A63CB8" w:rsidP="00D11C03">
      <w:pPr>
        <w:pStyle w:val="ListParagraph"/>
        <w:numPr>
          <w:ilvl w:val="0"/>
          <w:numId w:val="0"/>
        </w:numPr>
        <w:spacing w:before="0" w:after="0"/>
        <w:rPr>
          <w:lang w:val="en-US"/>
        </w:rPr>
      </w:pPr>
    </w:p>
    <w:p w14:paraId="67E92ED9" w14:textId="5116E9E4" w:rsidR="00A63CB8" w:rsidRPr="00954547" w:rsidRDefault="00A63CB8" w:rsidP="00D11C03">
      <w:pPr>
        <w:jc w:val="both"/>
        <w:rPr>
          <w:rFonts w:ascii="Verdana" w:hAnsi="Verdana"/>
          <w:b/>
          <w:sz w:val="20"/>
          <w:szCs w:val="20"/>
        </w:rPr>
      </w:pPr>
      <w:r w:rsidRPr="00954547">
        <w:rPr>
          <w:rFonts w:ascii="Verdana" w:hAnsi="Verdana"/>
          <w:b/>
          <w:sz w:val="20"/>
          <w:szCs w:val="20"/>
        </w:rPr>
        <w:t xml:space="preserve">III. THE INTERSECTIONALITY AND STRUCTURAL DISCRIMINATION </w:t>
      </w:r>
      <w:r w:rsidR="00D11C03" w:rsidRPr="00954547">
        <w:rPr>
          <w:rFonts w:ascii="Verdana" w:hAnsi="Verdana"/>
          <w:b/>
          <w:sz w:val="20"/>
          <w:szCs w:val="20"/>
        </w:rPr>
        <w:t>THAT</w:t>
      </w:r>
      <w:r w:rsidRPr="00954547">
        <w:rPr>
          <w:rFonts w:ascii="Verdana" w:hAnsi="Verdana"/>
          <w:b/>
          <w:sz w:val="20"/>
          <w:szCs w:val="20"/>
        </w:rPr>
        <w:t xml:space="preserve"> MANUELA WAS A VICTIM </w:t>
      </w:r>
      <w:r w:rsidR="00D11C03" w:rsidRPr="00954547">
        <w:rPr>
          <w:rFonts w:ascii="Verdana" w:hAnsi="Verdana"/>
          <w:b/>
          <w:sz w:val="20"/>
          <w:szCs w:val="20"/>
        </w:rPr>
        <w:t xml:space="preserve">OF </w:t>
      </w:r>
      <w:r w:rsidRPr="00954547">
        <w:rPr>
          <w:rFonts w:ascii="Verdana" w:hAnsi="Verdana"/>
          <w:b/>
          <w:sz w:val="20"/>
          <w:szCs w:val="20"/>
        </w:rPr>
        <w:t>PLACED HER IN A SITUATION OF SPECIAL VULNERABILITY</w:t>
      </w:r>
    </w:p>
    <w:p w14:paraId="48702A9B" w14:textId="77777777" w:rsidR="00CE1DFE" w:rsidRPr="00954547" w:rsidRDefault="00CE1DFE" w:rsidP="00A63CB8">
      <w:pPr>
        <w:pStyle w:val="ListParagraph"/>
        <w:numPr>
          <w:ilvl w:val="0"/>
          <w:numId w:val="0"/>
        </w:numPr>
        <w:spacing w:before="0" w:after="0"/>
        <w:rPr>
          <w:lang w:val="en-US"/>
        </w:rPr>
      </w:pPr>
    </w:p>
    <w:p w14:paraId="5E8CD466" w14:textId="7C614B44" w:rsidR="00A63CB8" w:rsidRPr="00954547" w:rsidRDefault="00CE1DFE" w:rsidP="000365EC">
      <w:pPr>
        <w:pStyle w:val="ListParagraph"/>
        <w:numPr>
          <w:ilvl w:val="3"/>
          <w:numId w:val="18"/>
        </w:numPr>
        <w:spacing w:before="0" w:after="0"/>
        <w:ind w:left="0" w:firstLine="0"/>
        <w:rPr>
          <w:lang w:val="en-US"/>
        </w:rPr>
      </w:pPr>
      <w:r w:rsidRPr="00954547">
        <w:rPr>
          <w:lang w:val="en-US"/>
        </w:rPr>
        <w:t>Paragraph 253 of the judgment indicates that "</w:t>
      </w:r>
      <w:r w:rsidR="00620DC0" w:rsidRPr="00954547">
        <w:rPr>
          <w:lang w:val="en-US"/>
        </w:rPr>
        <w:t>various structural disadvantages coalesced in Manuela and had an impact on her victimization. In particular, the Court underscores that Manuela was a poor illiterate woman who lived in a rural area. If the discrimination that has been alleged in this case is verified, these factors of vulnerability or sources of discrimination would have coalesced intersectionally, increasing the presumed victim’s comparative disadvantages and causing a specific form of discrimination due to the confluence of all those factors</w:t>
      </w:r>
      <w:r w:rsidRPr="00954547">
        <w:rPr>
          <w:i/>
          <w:lang w:val="en-US"/>
        </w:rPr>
        <w:t>."</w:t>
      </w:r>
      <w:r w:rsidRPr="00954547">
        <w:rPr>
          <w:lang w:val="en-US"/>
        </w:rPr>
        <w:t xml:space="preserve"> Added to this, in the same paragraph, the Court considers that </w:t>
      </w:r>
      <w:r w:rsidR="00620DC0" w:rsidRPr="00954547">
        <w:rPr>
          <w:lang w:val="en-US"/>
        </w:rPr>
        <w:t xml:space="preserve">“those factors of discrimination coincide with the profile of most of the women who have been tried for abortion or aggravated homicide in </w:t>
      </w:r>
      <w:r w:rsidR="00620DC0" w:rsidRPr="00954547">
        <w:rPr>
          <w:rFonts w:eastAsiaTheme="minorHAnsi"/>
          <w:lang w:val="en-US"/>
        </w:rPr>
        <w:t>El Salvador; they have little or no income, hardly any schooling, and reside in rural or marginal urban areas</w:t>
      </w:r>
      <w:r w:rsidRPr="00954547">
        <w:rPr>
          <w:i/>
          <w:lang w:val="en-US"/>
        </w:rPr>
        <w:t>.</w:t>
      </w:r>
      <w:r w:rsidRPr="00954547">
        <w:rPr>
          <w:lang w:val="en-US"/>
        </w:rPr>
        <w:t>" Consequently, in this section, I will analyze the importance of taking into account the intersectionality of vulnerabilities and structural discrimination that prejudiced Manuela.</w:t>
      </w:r>
    </w:p>
    <w:p w14:paraId="4ED1E918" w14:textId="451D6D24" w:rsidR="00010A58" w:rsidRPr="00954547" w:rsidRDefault="00CE1DFE" w:rsidP="000365EC">
      <w:pPr>
        <w:pStyle w:val="ListParagraph"/>
        <w:numPr>
          <w:ilvl w:val="3"/>
          <w:numId w:val="18"/>
        </w:numPr>
        <w:spacing w:before="0" w:after="0"/>
        <w:ind w:left="0" w:firstLine="0"/>
        <w:rPr>
          <w:lang w:val="en-US"/>
        </w:rPr>
      </w:pPr>
      <w:r w:rsidRPr="00954547">
        <w:rPr>
          <w:lang w:val="en-US"/>
        </w:rPr>
        <w:t xml:space="preserve"> </w:t>
      </w:r>
      <w:r w:rsidR="00DE2AE8" w:rsidRPr="00954547">
        <w:rPr>
          <w:lang w:val="en-US"/>
        </w:rPr>
        <w:t>As I mentioned previously, in my concurring opinion in the</w:t>
      </w:r>
      <w:r w:rsidR="005B47F3" w:rsidRPr="00954547">
        <w:rPr>
          <w:lang w:val="en-US"/>
        </w:rPr>
        <w:t xml:space="preserve"> </w:t>
      </w:r>
      <w:r w:rsidR="00DE2AE8" w:rsidRPr="00954547">
        <w:rPr>
          <w:lang w:val="en-US"/>
        </w:rPr>
        <w:t>j</w:t>
      </w:r>
      <w:r w:rsidR="00B8393C" w:rsidRPr="00954547">
        <w:rPr>
          <w:lang w:val="en-US"/>
        </w:rPr>
        <w:t>udgment</w:t>
      </w:r>
      <w:r w:rsidR="009A0FBE" w:rsidRPr="00954547">
        <w:rPr>
          <w:lang w:val="en-US"/>
        </w:rPr>
        <w:t xml:space="preserve"> </w:t>
      </w:r>
      <w:r w:rsidR="00DE2AE8" w:rsidRPr="00954547">
        <w:rPr>
          <w:lang w:val="en-US"/>
        </w:rPr>
        <w:t>in</w:t>
      </w:r>
      <w:r w:rsidR="009A0FBE" w:rsidRPr="00954547">
        <w:rPr>
          <w:lang w:val="en-US"/>
        </w:rPr>
        <w:t xml:space="preserve"> the </w:t>
      </w:r>
      <w:r w:rsidR="005B47F3" w:rsidRPr="00954547">
        <w:rPr>
          <w:i/>
          <w:lang w:val="en-US"/>
        </w:rPr>
        <w:t>Cas</w:t>
      </w:r>
      <w:r w:rsidR="00DE2AE8" w:rsidRPr="00954547">
        <w:rPr>
          <w:i/>
          <w:lang w:val="en-US"/>
        </w:rPr>
        <w:t>e of the Workers of the Fireworks Factory in</w:t>
      </w:r>
      <w:r w:rsidR="005B47F3" w:rsidRPr="00954547">
        <w:rPr>
          <w:i/>
          <w:lang w:val="en-US"/>
        </w:rPr>
        <w:t xml:space="preserve"> Santo Antônio de Jesus</w:t>
      </w:r>
      <w:r w:rsidR="0078694F" w:rsidRPr="00954547">
        <w:rPr>
          <w:i/>
          <w:lang w:val="en-US"/>
        </w:rPr>
        <w:t xml:space="preserve"> and </w:t>
      </w:r>
      <w:r w:rsidR="00DE2AE8" w:rsidRPr="00954547">
        <w:rPr>
          <w:i/>
          <w:lang w:val="en-US"/>
        </w:rPr>
        <w:t>their families</w:t>
      </w:r>
      <w:r w:rsidR="005B47F3" w:rsidRPr="00954547">
        <w:rPr>
          <w:i/>
          <w:lang w:val="en-US"/>
        </w:rPr>
        <w:t xml:space="preserve"> </w:t>
      </w:r>
      <w:r w:rsidR="00E411E5" w:rsidRPr="00954547">
        <w:rPr>
          <w:i/>
          <w:lang w:val="en-US"/>
        </w:rPr>
        <w:t>v.</w:t>
      </w:r>
      <w:r w:rsidR="005B47F3" w:rsidRPr="00954547">
        <w:rPr>
          <w:i/>
          <w:lang w:val="en-US"/>
        </w:rPr>
        <w:t xml:space="preserve"> Bra</w:t>
      </w:r>
      <w:r w:rsidR="00DE2AE8" w:rsidRPr="00954547">
        <w:rPr>
          <w:i/>
          <w:lang w:val="en-US"/>
        </w:rPr>
        <w:t>z</w:t>
      </w:r>
      <w:r w:rsidR="005B47F3" w:rsidRPr="00954547">
        <w:rPr>
          <w:i/>
          <w:lang w:val="en-US"/>
        </w:rPr>
        <w:t>il</w:t>
      </w:r>
      <w:r w:rsidR="00DE2AE8" w:rsidRPr="00954547">
        <w:rPr>
          <w:i/>
          <w:lang w:val="en-US"/>
        </w:rPr>
        <w:t>,</w:t>
      </w:r>
      <w:r w:rsidR="005B47F3" w:rsidRPr="00954547">
        <w:rPr>
          <w:rStyle w:val="FootnoteReference"/>
          <w:lang w:val="en-US"/>
        </w:rPr>
        <w:footnoteReference w:id="526"/>
      </w:r>
      <w:r w:rsidR="005B47F3" w:rsidRPr="00954547">
        <w:rPr>
          <w:lang w:val="en-US"/>
        </w:rPr>
        <w:t xml:space="preserve"> </w:t>
      </w:r>
      <w:r w:rsidR="008A23FA" w:rsidRPr="00954547">
        <w:rPr>
          <w:lang w:val="en-US"/>
        </w:rPr>
        <w:t>I understand intersectionality as the confluence in a single person or group of persons, of the violation of different rights, which makes them victims of enhanced discrimination.</w:t>
      </w:r>
      <w:r w:rsidR="00010A58" w:rsidRPr="00954547">
        <w:rPr>
          <w:lang w:val="en-US"/>
        </w:rPr>
        <w:t xml:space="preserve"> T</w:t>
      </w:r>
      <w:r w:rsidR="008A23FA" w:rsidRPr="00954547">
        <w:rPr>
          <w:lang w:val="en-US"/>
        </w:rPr>
        <w:t xml:space="preserve">he confluence of </w:t>
      </w:r>
      <w:r w:rsidR="00010A58" w:rsidRPr="00954547">
        <w:rPr>
          <w:lang w:val="en-US"/>
        </w:rPr>
        <w:t>numerous</w:t>
      </w:r>
      <w:r w:rsidR="008A23FA" w:rsidRPr="00954547">
        <w:rPr>
          <w:lang w:val="en-US"/>
        </w:rPr>
        <w:t xml:space="preserve"> discriminations increases the devastating effects on the human dignity of the persons who suffer from them and result</w:t>
      </w:r>
      <w:r w:rsidR="00010A58" w:rsidRPr="00954547">
        <w:rPr>
          <w:lang w:val="en-US"/>
        </w:rPr>
        <w:t>s</w:t>
      </w:r>
      <w:r w:rsidR="008A23FA" w:rsidRPr="00954547">
        <w:rPr>
          <w:lang w:val="en-US"/>
        </w:rPr>
        <w:t xml:space="preserve"> in a greater and more diverse violation of rights than when these discriminations are constituted in relation to a single righ</w:t>
      </w:r>
      <w:r w:rsidR="00010A58" w:rsidRPr="00954547">
        <w:rPr>
          <w:lang w:val="en-US"/>
        </w:rPr>
        <w:t>t</w:t>
      </w:r>
      <w:r w:rsidR="005B47F3" w:rsidRPr="00954547">
        <w:rPr>
          <w:lang w:val="en-US"/>
        </w:rPr>
        <w:t>.</w:t>
      </w:r>
    </w:p>
    <w:p w14:paraId="14F0D380" w14:textId="77777777" w:rsidR="00A63CB8" w:rsidRPr="00954547" w:rsidRDefault="00A63CB8" w:rsidP="00A63CB8">
      <w:pPr>
        <w:pStyle w:val="ListParagraph"/>
        <w:numPr>
          <w:ilvl w:val="0"/>
          <w:numId w:val="0"/>
        </w:numPr>
        <w:spacing w:before="0" w:after="0"/>
        <w:rPr>
          <w:lang w:val="en-US"/>
        </w:rPr>
      </w:pPr>
    </w:p>
    <w:p w14:paraId="5B712BD6" w14:textId="77777777" w:rsidR="00A63CB8" w:rsidRPr="00954547" w:rsidRDefault="00010A58" w:rsidP="000365EC">
      <w:pPr>
        <w:pStyle w:val="ListParagraph"/>
        <w:numPr>
          <w:ilvl w:val="3"/>
          <w:numId w:val="18"/>
        </w:numPr>
        <w:spacing w:before="0" w:after="0"/>
        <w:ind w:left="0" w:firstLine="0"/>
        <w:rPr>
          <w:lang w:val="en-US"/>
        </w:rPr>
      </w:pPr>
      <w:r w:rsidRPr="00954547">
        <w:rPr>
          <w:lang w:val="en-US"/>
        </w:rPr>
        <w:t>The first person to address the concept of intersectionality was Kimberle Crenshaw when indicating that black women encounter combined race and sex discrimination. Thus, compared to a white woman or an Afro-descendant man, their situation may be similar or different, but involves greater vulnerability.</w:t>
      </w:r>
      <w:r w:rsidR="005B47F3" w:rsidRPr="00954547">
        <w:rPr>
          <w:rStyle w:val="FootnoteReference"/>
          <w:lang w:val="en-US"/>
        </w:rPr>
        <w:footnoteReference w:id="527"/>
      </w:r>
      <w:r w:rsidRPr="00954547">
        <w:rPr>
          <w:lang w:val="en-US"/>
        </w:rPr>
        <w:t xml:space="preserve"> She also developed the importance of its significance when designing and evaluating policies in order to avoid remedies focused on the acceptance of the predominant factor of discrimination that make the intersection of other factors of discrimination invisible.</w:t>
      </w:r>
      <w:r w:rsidR="005B47F3" w:rsidRPr="00954547">
        <w:rPr>
          <w:rStyle w:val="FootnoteReference"/>
          <w:lang w:val="en-US"/>
        </w:rPr>
        <w:footnoteReference w:id="528"/>
      </w:r>
    </w:p>
    <w:p w14:paraId="1FAB8F61" w14:textId="77777777" w:rsidR="00A63CB8" w:rsidRPr="00954547" w:rsidRDefault="00A63CB8" w:rsidP="00A63CB8">
      <w:pPr>
        <w:pStyle w:val="ListParagraph"/>
        <w:numPr>
          <w:ilvl w:val="0"/>
          <w:numId w:val="0"/>
        </w:numPr>
        <w:spacing w:before="0" w:after="0"/>
        <w:rPr>
          <w:lang w:val="en-US"/>
        </w:rPr>
      </w:pPr>
    </w:p>
    <w:p w14:paraId="114B958B" w14:textId="4BF6D097" w:rsidR="00A63CB8" w:rsidRPr="00954547" w:rsidRDefault="005B47F3" w:rsidP="000365EC">
      <w:pPr>
        <w:pStyle w:val="ListParagraph"/>
        <w:numPr>
          <w:ilvl w:val="3"/>
          <w:numId w:val="18"/>
        </w:numPr>
        <w:spacing w:before="0" w:after="0"/>
        <w:ind w:left="0" w:firstLine="0"/>
        <w:rPr>
          <w:lang w:val="en-US"/>
        </w:rPr>
      </w:pPr>
      <w:r w:rsidRPr="00954547">
        <w:rPr>
          <w:lang w:val="en-US"/>
        </w:rPr>
        <w:t xml:space="preserve"> </w:t>
      </w:r>
      <w:r w:rsidR="00010A58" w:rsidRPr="00954547">
        <w:rPr>
          <w:lang w:val="en-US"/>
        </w:rPr>
        <w:t xml:space="preserve">The concept of intersectionality, as a hermeneutic element, allows the Court to determine persons or groups who suffer discrimination and analyze the causes of this situation. As it has in this judgment, the assessment of this phenomenon, the adequate understanding of its severity and the analysis of its causes and effects for the individual, helps the Court decide the merits of the cases submitted to its consideration and, also, provides the necessary perspective for establishing reparations that include, </w:t>
      </w:r>
      <w:r w:rsidR="00010A58" w:rsidRPr="00954547">
        <w:rPr>
          <w:i/>
          <w:iCs/>
          <w:lang w:val="en-US"/>
        </w:rPr>
        <w:t>inter alia</w:t>
      </w:r>
      <w:r w:rsidR="00010A58" w:rsidRPr="00954547">
        <w:rPr>
          <w:lang w:val="en-US"/>
        </w:rPr>
        <w:t xml:space="preserve">, appropriate measures of non-repetition that impose on the States </w:t>
      </w:r>
      <w:r w:rsidR="004D4009" w:rsidRPr="00954547">
        <w:rPr>
          <w:lang w:val="en-US"/>
        </w:rPr>
        <w:t>lines of action</w:t>
      </w:r>
      <w:r w:rsidR="00010A58" w:rsidRPr="00954547">
        <w:rPr>
          <w:lang w:val="en-US"/>
        </w:rPr>
        <w:t xml:space="preserve"> aimed at overcoming discrimination and the violation of rights.</w:t>
      </w:r>
    </w:p>
    <w:p w14:paraId="56AD1256" w14:textId="77777777" w:rsidR="00A63CB8" w:rsidRPr="00954547" w:rsidRDefault="00A63CB8" w:rsidP="00A63CB8">
      <w:pPr>
        <w:pStyle w:val="ListParagraph"/>
        <w:numPr>
          <w:ilvl w:val="0"/>
          <w:numId w:val="0"/>
        </w:numPr>
        <w:spacing w:before="0" w:after="0"/>
        <w:rPr>
          <w:lang w:val="en-US"/>
        </w:rPr>
      </w:pPr>
    </w:p>
    <w:p w14:paraId="64DE7303" w14:textId="5321A85E" w:rsidR="005B47F3" w:rsidRPr="00954547" w:rsidRDefault="00E76B1A" w:rsidP="000365EC">
      <w:pPr>
        <w:pStyle w:val="ListParagraph"/>
        <w:numPr>
          <w:ilvl w:val="3"/>
          <w:numId w:val="18"/>
        </w:numPr>
        <w:spacing w:before="0" w:after="0"/>
        <w:ind w:left="0" w:firstLine="0"/>
        <w:rPr>
          <w:lang w:val="en-US"/>
        </w:rPr>
      </w:pPr>
      <w:r w:rsidRPr="00954547">
        <w:rPr>
          <w:lang w:val="en-US"/>
        </w:rPr>
        <w:t xml:space="preserve">The </w:t>
      </w:r>
      <w:r w:rsidR="00743A03" w:rsidRPr="00954547">
        <w:rPr>
          <w:lang w:val="en-US"/>
        </w:rPr>
        <w:t>IACtHR</w:t>
      </w:r>
      <w:r w:rsidR="005B47F3" w:rsidRPr="00954547">
        <w:rPr>
          <w:lang w:val="en-US"/>
        </w:rPr>
        <w:t xml:space="preserve"> </w:t>
      </w:r>
      <w:r w:rsidR="004D4009" w:rsidRPr="00954547">
        <w:rPr>
          <w:lang w:val="en-US"/>
        </w:rPr>
        <w:t xml:space="preserve">used the concept of “intersectionality” for the first time in the analysis of the discrimination suffered by a child in access to education in </w:t>
      </w:r>
      <w:r w:rsidR="00A63CB8" w:rsidRPr="00954547">
        <w:rPr>
          <w:lang w:val="en-US"/>
        </w:rPr>
        <w:t>the case of</w:t>
      </w:r>
      <w:r w:rsidR="005B47F3" w:rsidRPr="00954547">
        <w:rPr>
          <w:lang w:val="en-US"/>
        </w:rPr>
        <w:t xml:space="preserve"> </w:t>
      </w:r>
      <w:r w:rsidR="005B47F3" w:rsidRPr="00954547">
        <w:rPr>
          <w:i/>
          <w:lang w:val="en-US"/>
        </w:rPr>
        <w:t xml:space="preserve">Gonzales Lluy </w:t>
      </w:r>
      <w:r w:rsidR="00B8393C" w:rsidRPr="00954547">
        <w:rPr>
          <w:i/>
          <w:lang w:val="en-US"/>
        </w:rPr>
        <w:t>et al. v.</w:t>
      </w:r>
      <w:r w:rsidR="005B47F3" w:rsidRPr="00954547">
        <w:rPr>
          <w:i/>
          <w:lang w:val="en-US"/>
        </w:rPr>
        <w:t xml:space="preserve"> Ecuador</w:t>
      </w:r>
      <w:r w:rsidR="00A63CB8" w:rsidRPr="00954547">
        <w:rPr>
          <w:i/>
          <w:lang w:val="en-US"/>
        </w:rPr>
        <w:t>.</w:t>
      </w:r>
      <w:r w:rsidR="005B47F3" w:rsidRPr="00954547">
        <w:rPr>
          <w:rStyle w:val="FootnoteReference"/>
          <w:lang w:val="en-US"/>
        </w:rPr>
        <w:footnoteReference w:id="529"/>
      </w:r>
      <w:r w:rsidR="005B47F3" w:rsidRPr="00954547">
        <w:rPr>
          <w:lang w:val="en-US"/>
        </w:rPr>
        <w:t xml:space="preserve"> </w:t>
      </w:r>
      <w:r w:rsidR="008E0CCD" w:rsidRPr="00954547">
        <w:rPr>
          <w:lang w:val="en-US"/>
        </w:rPr>
        <w:t>I</w:t>
      </w:r>
      <w:r w:rsidR="00B55BD4" w:rsidRPr="00954547">
        <w:rPr>
          <w:lang w:val="en-US"/>
        </w:rPr>
        <w:t>n</w:t>
      </w:r>
      <w:r w:rsidR="008E0CCD" w:rsidRPr="00954547">
        <w:rPr>
          <w:lang w:val="en-US"/>
        </w:rPr>
        <w:t xml:space="preserve"> that case, it asserted that: “</w:t>
      </w:r>
      <w:r w:rsidR="008E0CCD" w:rsidRPr="00954547">
        <w:rPr>
          <w:rFonts w:cs="Arial"/>
          <w:lang w:val="en-US"/>
        </w:rPr>
        <w:t>numerous factors of vulnerability and risk of discrimination intersected that were associated with her condition as a minor, a female, a person living in poverty, and a person living with HIV. The discrimination experienced by Talía was caused not only by numerous factors, but also arose from a specific form of discrimination that resulted from the intersection of those factors; in other words, if one of those factors had not existed, the discrimination would have been different. Indeed, the poverty had an impact on the initial access to health care that was not of the best quality and that, to the contrary, resulted in the infection with HIV. The situation of poverty also had an impact on the difficulties to gain access to the education system and to lead a decent life.</w:t>
      </w:r>
      <w:r w:rsidR="005B47F3" w:rsidRPr="00954547">
        <w:rPr>
          <w:i/>
          <w:lang w:val="en-US"/>
        </w:rPr>
        <w:t>”</w:t>
      </w:r>
      <w:r w:rsidR="005B47F3" w:rsidRPr="00954547">
        <w:rPr>
          <w:rStyle w:val="FootnoteReference"/>
          <w:lang w:val="en-US"/>
        </w:rPr>
        <w:footnoteReference w:id="530"/>
      </w:r>
      <w:r w:rsidR="005B47F3" w:rsidRPr="00954547">
        <w:rPr>
          <w:lang w:val="en-US"/>
        </w:rPr>
        <w:t xml:space="preserve"> </w:t>
      </w:r>
    </w:p>
    <w:p w14:paraId="7D126311" w14:textId="77777777" w:rsidR="00A63CB8" w:rsidRPr="00954547" w:rsidRDefault="00A63CB8" w:rsidP="00A63CB8">
      <w:pPr>
        <w:pStyle w:val="ListParagraph"/>
        <w:numPr>
          <w:ilvl w:val="0"/>
          <w:numId w:val="0"/>
        </w:numPr>
        <w:spacing w:before="0" w:after="0"/>
        <w:rPr>
          <w:lang w:val="en-US"/>
        </w:rPr>
      </w:pPr>
    </w:p>
    <w:p w14:paraId="44EF38B8" w14:textId="2E2F9147" w:rsidR="005B47F3" w:rsidRPr="00954547" w:rsidRDefault="008E0CCD" w:rsidP="000365EC">
      <w:pPr>
        <w:pStyle w:val="ListParagraph"/>
        <w:numPr>
          <w:ilvl w:val="3"/>
          <w:numId w:val="18"/>
        </w:numPr>
        <w:spacing w:before="0" w:after="0"/>
        <w:ind w:left="0" w:firstLine="0"/>
        <w:rPr>
          <w:lang w:val="en-US"/>
        </w:rPr>
      </w:pPr>
      <w:r w:rsidRPr="00954547">
        <w:rPr>
          <w:lang w:val="en-US"/>
        </w:rPr>
        <w:t>In addition, the Commission, in an analysis of poverty,</w:t>
      </w:r>
      <w:r w:rsidRPr="00954547">
        <w:rPr>
          <w:rStyle w:val="FootnoteReference"/>
          <w:lang w:val="en-US"/>
        </w:rPr>
        <w:footnoteReference w:id="531"/>
      </w:r>
      <w:r w:rsidRPr="00954547">
        <w:rPr>
          <w:lang w:val="en-US"/>
        </w:rPr>
        <w:t xml:space="preserve"> has referred to the differentiated impact of poverty as a factor of vulnerability that is increased and exacerbated when it is added to the vulnerability of certain groups of the population such as women.</w:t>
      </w:r>
    </w:p>
    <w:p w14:paraId="285FC3A3" w14:textId="5B258CB8" w:rsidR="005B47F3" w:rsidRPr="00954547" w:rsidRDefault="008E0CCD" w:rsidP="000365EC">
      <w:pPr>
        <w:pStyle w:val="ListParagraph"/>
        <w:numPr>
          <w:ilvl w:val="3"/>
          <w:numId w:val="18"/>
        </w:numPr>
        <w:spacing w:before="0" w:after="0"/>
        <w:ind w:left="0" w:firstLine="0"/>
        <w:rPr>
          <w:lang w:val="en-US"/>
        </w:rPr>
      </w:pPr>
      <w:r w:rsidRPr="00954547">
        <w:rPr>
          <w:lang w:val="en-US"/>
        </w:rPr>
        <w:t xml:space="preserve">Within the universal system for the protection of human rights, added to what has been mentioned in the judgment, the United Nations High Commissioner for Human Rights,  in his 2017 report to the Human Rights Council, referred to the effects of </w:t>
      </w:r>
      <w:r w:rsidRPr="00954547">
        <w:rPr>
          <w:rFonts w:cs="Arial"/>
          <w:lang w:val="en-US"/>
        </w:rPr>
        <w:t>multiple and intersecting forms of discrimination and violence in the context of racism, racial discrimination, xenophobia and related intolerance on the full enjoyment of all human rights by women and girls</w:t>
      </w:r>
      <w:r w:rsidRPr="00954547">
        <w:rPr>
          <w:lang w:val="en-US"/>
        </w:rPr>
        <w:t>.</w:t>
      </w:r>
      <w:r w:rsidRPr="00954547">
        <w:rPr>
          <w:rStyle w:val="FootnoteReference"/>
          <w:lang w:val="en-US"/>
        </w:rPr>
        <w:footnoteReference w:id="532"/>
      </w:r>
      <w:r w:rsidRPr="00954547">
        <w:rPr>
          <w:lang w:val="en-US"/>
        </w:rPr>
        <w:t xml:space="preserve"> He also indicated the need to offer special protection, adapted to the needs of women and girls, emphasizing the violation of rights owing to socio-economic exclusion and poverty</w:t>
      </w:r>
      <w:r w:rsidR="005B47F3" w:rsidRPr="00954547">
        <w:rPr>
          <w:lang w:val="en-US"/>
        </w:rPr>
        <w:t>.</w:t>
      </w:r>
    </w:p>
    <w:p w14:paraId="4A9461A2" w14:textId="77777777" w:rsidR="002D10DB" w:rsidRPr="00954547" w:rsidRDefault="002D10DB" w:rsidP="002D10DB">
      <w:pPr>
        <w:pStyle w:val="ListParagraph"/>
        <w:numPr>
          <w:ilvl w:val="0"/>
          <w:numId w:val="0"/>
        </w:numPr>
        <w:spacing w:before="0" w:after="0"/>
        <w:rPr>
          <w:lang w:val="en-US"/>
        </w:rPr>
      </w:pPr>
    </w:p>
    <w:p w14:paraId="169CA5EC" w14:textId="76111073" w:rsidR="002D10DB" w:rsidRPr="00954547" w:rsidRDefault="00EA50CA" w:rsidP="000365EC">
      <w:pPr>
        <w:pStyle w:val="ListParagraph"/>
        <w:numPr>
          <w:ilvl w:val="3"/>
          <w:numId w:val="18"/>
        </w:numPr>
        <w:shd w:val="clear" w:color="auto" w:fill="FFFFFF"/>
        <w:suppressAutoHyphens/>
        <w:spacing w:before="0" w:after="240"/>
        <w:ind w:left="0" w:firstLine="0"/>
        <w:textDirection w:val="btLr"/>
        <w:textAlignment w:val="top"/>
        <w:outlineLvl w:val="0"/>
        <w:rPr>
          <w:lang w:val="en-US"/>
        </w:rPr>
      </w:pPr>
      <w:bookmarkStart w:id="211" w:name="_Toc106353955"/>
      <w:r w:rsidRPr="00954547">
        <w:rPr>
          <w:lang w:val="en-US"/>
        </w:rPr>
        <w:t>The</w:t>
      </w:r>
      <w:r w:rsidR="002D10DB" w:rsidRPr="00954547">
        <w:rPr>
          <w:lang w:val="en-US"/>
        </w:rPr>
        <w:t xml:space="preserve"> Committee for the Elimination of Discrimination against Women (hereinafter “CEDAW”) has indicated that “discrimination against women is compounded by intersecting factors that affect some women to degrees or in ways that differ from those affecting men or other women.</w:t>
      </w:r>
      <w:r w:rsidR="002D10DB" w:rsidRPr="00954547">
        <w:rPr>
          <w:i/>
          <w:lang w:val="en-US"/>
        </w:rPr>
        <w:t>”</w:t>
      </w:r>
      <w:r w:rsidR="002D10DB" w:rsidRPr="00954547">
        <w:rPr>
          <w:vertAlign w:val="superscript"/>
          <w:lang w:val="en-US"/>
        </w:rPr>
        <w:footnoteReference w:id="533"/>
      </w:r>
      <w:r w:rsidR="002D10DB" w:rsidRPr="00954547">
        <w:rPr>
          <w:lang w:val="en-US"/>
        </w:rPr>
        <w:t xml:space="preserve"> Thus, “intersecting factors make it more difficult for women from those groups to gain access to justice.”</w:t>
      </w:r>
      <w:r w:rsidR="002D10DB" w:rsidRPr="00954547">
        <w:rPr>
          <w:vertAlign w:val="superscript"/>
          <w:lang w:val="en-US"/>
        </w:rPr>
        <w:footnoteReference w:id="534"/>
      </w:r>
      <w:bookmarkEnd w:id="211"/>
    </w:p>
    <w:p w14:paraId="4AB20E6A" w14:textId="4F1752C0" w:rsidR="002631A3" w:rsidRPr="00954547" w:rsidRDefault="002631A3" w:rsidP="000365EC">
      <w:pPr>
        <w:pStyle w:val="ListParagraph"/>
        <w:numPr>
          <w:ilvl w:val="3"/>
          <w:numId w:val="18"/>
        </w:numPr>
        <w:shd w:val="clear" w:color="auto" w:fill="FFFFFF"/>
        <w:suppressAutoHyphens/>
        <w:spacing w:before="0" w:after="240"/>
        <w:ind w:left="0" w:firstLine="0"/>
        <w:textDirection w:val="btLr"/>
        <w:textAlignment w:val="top"/>
        <w:outlineLvl w:val="0"/>
        <w:rPr>
          <w:lang w:val="en-US"/>
        </w:rPr>
      </w:pPr>
      <w:bookmarkStart w:id="212" w:name="_Toc106353956"/>
      <w:r w:rsidRPr="00954547">
        <w:rPr>
          <w:lang w:val="en-US"/>
        </w:rPr>
        <w:t>Meanwhile, the European Court of Human Rights related characteristics that are assumed to define a vulnerable group to the violation of rights they have suffered; for example, determination of the essential content of a right differs in the case of gypsies,</w:t>
      </w:r>
      <w:r w:rsidRPr="00954547">
        <w:rPr>
          <w:rStyle w:val="FootnoteReference"/>
          <w:lang w:val="en-US"/>
        </w:rPr>
        <w:footnoteReference w:id="535"/>
      </w:r>
      <w:r w:rsidRPr="00954547">
        <w:rPr>
          <w:lang w:val="en-US"/>
        </w:rPr>
        <w:t xml:space="preserve"> prisoners,</w:t>
      </w:r>
      <w:r w:rsidRPr="00954547">
        <w:rPr>
          <w:rStyle w:val="FootnoteReference"/>
          <w:lang w:val="en-US"/>
        </w:rPr>
        <w:footnoteReference w:id="536"/>
      </w:r>
      <w:r w:rsidRPr="00954547">
        <w:rPr>
          <w:lang w:val="en-US"/>
        </w:rPr>
        <w:t xml:space="preserve"> or unaccompanied minors.</w:t>
      </w:r>
      <w:r w:rsidRPr="00954547">
        <w:rPr>
          <w:rStyle w:val="FootnoteReference"/>
          <w:lang w:val="en-US"/>
        </w:rPr>
        <w:footnoteReference w:id="537"/>
      </w:r>
      <w:r w:rsidRPr="00954547">
        <w:rPr>
          <w:lang w:val="en-US"/>
        </w:rPr>
        <w:t xml:space="preserve"> In this regard, the European Court has use the concept of “particular vulnerability” considering that “the domestic courts failed to take account of the applicant’s particular vulnerability inherent in her position as an African woman working as a prostitute.”</w:t>
      </w:r>
      <w:r w:rsidRPr="00954547">
        <w:rPr>
          <w:rStyle w:val="FootnoteReference"/>
          <w:lang w:val="en-US"/>
        </w:rPr>
        <w:footnoteReference w:id="538"/>
      </w:r>
      <w:r w:rsidR="00E5327A" w:rsidRPr="00954547">
        <w:rPr>
          <w:lang w:val="en-US"/>
        </w:rPr>
        <w:t xml:space="preserve"> </w:t>
      </w:r>
      <w:r w:rsidRPr="00954547">
        <w:rPr>
          <w:lang w:val="en-US"/>
        </w:rPr>
        <w:t>Based on the concept of the  “particular vulnerability” of the applicant, an African woman offering sexual services on the street, it is possible to appreciate the intersection of factors such as her race, sex, and social and work situation.</w:t>
      </w:r>
      <w:bookmarkEnd w:id="212"/>
    </w:p>
    <w:p w14:paraId="42B59215" w14:textId="3C11B49B" w:rsidR="002631A3" w:rsidRPr="00954547" w:rsidRDefault="00E5327A" w:rsidP="000365EC">
      <w:pPr>
        <w:pStyle w:val="ListParagraph"/>
        <w:numPr>
          <w:ilvl w:val="3"/>
          <w:numId w:val="18"/>
        </w:numPr>
        <w:shd w:val="clear" w:color="auto" w:fill="FFFFFF"/>
        <w:suppressAutoHyphens/>
        <w:spacing w:before="0" w:after="240"/>
        <w:ind w:left="0" w:firstLine="0"/>
        <w:textDirection w:val="btLr"/>
        <w:textAlignment w:val="top"/>
        <w:outlineLvl w:val="0"/>
        <w:rPr>
          <w:lang w:val="en-US"/>
        </w:rPr>
      </w:pPr>
      <w:bookmarkStart w:id="213" w:name="_Toc106353957"/>
      <w:r w:rsidRPr="00954547">
        <w:rPr>
          <w:lang w:val="en-US"/>
        </w:rPr>
        <w:t>Intersectionality has been considered a useful tool for interpreting human rights as interdependent, interrelated and indivisible, because they allow the different factors of oppression and violation to be examined.</w:t>
      </w:r>
      <w:r w:rsidRPr="00954547">
        <w:rPr>
          <w:rStyle w:val="FootnoteReference"/>
          <w:lang w:val="en-US"/>
        </w:rPr>
        <w:footnoteReference w:id="539"/>
      </w:r>
      <w:r w:rsidRPr="00954547">
        <w:rPr>
          <w:lang w:val="en-US"/>
        </w:rPr>
        <w:t xml:space="preserve"> In the instant case, it is possible to analyze the different factors of vulnerability that have their own profile, but at the same time interact in an intersectional manner with the others. </w:t>
      </w:r>
      <w:r w:rsidR="00BC0827" w:rsidRPr="00954547">
        <w:rPr>
          <w:lang w:val="en-US"/>
        </w:rPr>
        <w:t>Similarly, thi</w:t>
      </w:r>
      <w:r w:rsidR="00047F14" w:rsidRPr="00954547">
        <w:rPr>
          <w:lang w:val="en-US"/>
        </w:rPr>
        <w:t>s</w:t>
      </w:r>
      <w:r w:rsidR="00BC0827" w:rsidRPr="00954547">
        <w:rPr>
          <w:lang w:val="en-US"/>
        </w:rPr>
        <w:t xml:space="preserve"> Court has recognized that “certain groups of women suffer discrimination throughout their life based on more than one factor combined with their sex, w</w:t>
      </w:r>
      <w:r w:rsidR="00143D97" w:rsidRPr="00954547">
        <w:rPr>
          <w:lang w:val="en-US"/>
        </w:rPr>
        <w:t>h</w:t>
      </w:r>
      <w:r w:rsidR="00BC0827" w:rsidRPr="00954547">
        <w:rPr>
          <w:lang w:val="en-US"/>
        </w:rPr>
        <w:t>ich increases their risk of suffering acts of violence and other human rights violations.</w:t>
      </w:r>
      <w:r w:rsidRPr="00954547">
        <w:rPr>
          <w:lang w:val="en-US"/>
        </w:rPr>
        <w:t>”</w:t>
      </w:r>
      <w:r w:rsidRPr="00954547">
        <w:rPr>
          <w:vertAlign w:val="superscript"/>
          <w:lang w:val="en-US"/>
        </w:rPr>
        <w:footnoteReference w:id="540"/>
      </w:r>
      <w:bookmarkEnd w:id="213"/>
    </w:p>
    <w:p w14:paraId="4F1E67DA" w14:textId="2A4B293D" w:rsidR="00BC31D0" w:rsidRPr="00954547" w:rsidRDefault="00143D97" w:rsidP="000365EC">
      <w:pPr>
        <w:pStyle w:val="ListParagraph"/>
        <w:numPr>
          <w:ilvl w:val="3"/>
          <w:numId w:val="18"/>
        </w:numPr>
        <w:shd w:val="clear" w:color="auto" w:fill="FFFFFF"/>
        <w:suppressAutoHyphens/>
        <w:spacing w:before="0" w:after="240"/>
        <w:ind w:left="0" w:firstLine="0"/>
        <w:textDirection w:val="btLr"/>
        <w:textAlignment w:val="top"/>
        <w:outlineLvl w:val="0"/>
        <w:rPr>
          <w:lang w:val="en-US"/>
        </w:rPr>
      </w:pPr>
      <w:bookmarkStart w:id="214" w:name="_Toc106353958"/>
      <w:r w:rsidRPr="00954547">
        <w:rPr>
          <w:lang w:val="en-US"/>
        </w:rPr>
        <w:t xml:space="preserve">On various occasions, the Commission has indicated that intersectionality </w:t>
      </w:r>
      <w:r w:rsidR="00047F14" w:rsidRPr="00954547">
        <w:rPr>
          <w:lang w:val="en-US"/>
        </w:rPr>
        <w:t xml:space="preserve">specifically </w:t>
      </w:r>
      <w:r w:rsidRPr="00954547">
        <w:rPr>
          <w:lang w:val="en-US"/>
        </w:rPr>
        <w:t xml:space="preserve">affects </w:t>
      </w:r>
      <w:r w:rsidR="00047F14" w:rsidRPr="00954547">
        <w:rPr>
          <w:lang w:val="en-US"/>
        </w:rPr>
        <w:t xml:space="preserve">the </w:t>
      </w:r>
      <w:r w:rsidRPr="00954547">
        <w:rPr>
          <w:lang w:val="en-US"/>
        </w:rPr>
        <w:t>women of th</w:t>
      </w:r>
      <w:r w:rsidR="00047F14" w:rsidRPr="00954547">
        <w:rPr>
          <w:lang w:val="en-US"/>
        </w:rPr>
        <w:t>is</w:t>
      </w:r>
      <w:r w:rsidRPr="00954547">
        <w:rPr>
          <w:lang w:val="en-US"/>
        </w:rPr>
        <w:t xml:space="preserve"> region in relation to their economic, social and cultural rights.</w:t>
      </w:r>
      <w:r w:rsidRPr="00954547">
        <w:rPr>
          <w:rStyle w:val="FootnoteReference"/>
          <w:lang w:val="en-US"/>
        </w:rPr>
        <w:footnoteReference w:id="541"/>
      </w:r>
      <w:r w:rsidRPr="00954547">
        <w:rPr>
          <w:lang w:val="en-US"/>
        </w:rPr>
        <w:t xml:space="preserve"> In this regard,</w:t>
      </w:r>
      <w:r w:rsidR="003041FE" w:rsidRPr="00954547">
        <w:rPr>
          <w:lang w:val="en-US"/>
        </w:rPr>
        <w:t xml:space="preserve"> </w:t>
      </w:r>
      <w:r w:rsidRPr="00954547">
        <w:rPr>
          <w:lang w:val="en-US"/>
        </w:rPr>
        <w:t>the “</w:t>
      </w:r>
      <w:r w:rsidRPr="00954547">
        <w:rPr>
          <w:iCs/>
          <w:lang w:val="en-US"/>
        </w:rPr>
        <w:t xml:space="preserve">Report on poverty and human rights in the Americas,” </w:t>
      </w:r>
      <w:r w:rsidR="003041FE" w:rsidRPr="00954547">
        <w:rPr>
          <w:lang w:val="en-US"/>
        </w:rPr>
        <w:t>indicated that “Women are affected by poverty to a greater extent and are at a particular disadvantage in exercising their civil, political, economic, social, and cultural rights.”</w:t>
      </w:r>
      <w:r w:rsidR="003041FE" w:rsidRPr="00954547">
        <w:rPr>
          <w:rStyle w:val="FootnoteReference"/>
          <w:lang w:val="en-US"/>
        </w:rPr>
        <w:footnoteReference w:id="542"/>
      </w:r>
      <w:r w:rsidR="003041FE" w:rsidRPr="00954547">
        <w:rPr>
          <w:lang w:val="en-US"/>
        </w:rPr>
        <w:t xml:space="preserve"> In its thematic report on “</w:t>
      </w:r>
      <w:r w:rsidR="003041FE" w:rsidRPr="00954547">
        <w:rPr>
          <w:iCs/>
          <w:lang w:val="en-US"/>
        </w:rPr>
        <w:t>Guidelines for preparation of progress indicators in the area of economic, social and cultural rights,” the Commission recognized the immediate nature of the obligation not to discriminate and to guarantee equality in the exercise of the economic, social and cultural rights, and identified women as a population that had historically been discriminated against and excluded from the exercise of those rights. “In mid-2014,</w:t>
      </w:r>
      <w:r w:rsidR="003041FE" w:rsidRPr="00954547">
        <w:rPr>
          <w:lang w:val="en-US"/>
        </w:rPr>
        <w:t xml:space="preserve"> there were 612 million people living in Latin America, more than half of whom were women (310 million women and 302 million men). For that year it was estimated that ‘28.0% of the region’s population lived in poverty and 12% in indigence.</w:t>
      </w:r>
      <w:r w:rsidR="00BC31D0" w:rsidRPr="00954547">
        <w:rPr>
          <w:lang w:val="en-US"/>
        </w:rPr>
        <w:t>”</w:t>
      </w:r>
      <w:r w:rsidR="00BC31D0" w:rsidRPr="00954547">
        <w:rPr>
          <w:rStyle w:val="FootnoteReference"/>
          <w:lang w:val="en-US"/>
        </w:rPr>
        <w:footnoteReference w:id="543"/>
      </w:r>
      <w:bookmarkEnd w:id="214"/>
      <w:r w:rsidR="00BC31D0" w:rsidRPr="00954547">
        <w:rPr>
          <w:lang w:val="en-US"/>
        </w:rPr>
        <w:t xml:space="preserve">  </w:t>
      </w:r>
    </w:p>
    <w:p w14:paraId="0A464ADE" w14:textId="7F42BD71" w:rsidR="00BC31D0" w:rsidRPr="00954547" w:rsidRDefault="003041FE" w:rsidP="000365EC">
      <w:pPr>
        <w:pStyle w:val="ListParagraph"/>
        <w:numPr>
          <w:ilvl w:val="3"/>
          <w:numId w:val="18"/>
        </w:numPr>
        <w:shd w:val="clear" w:color="auto" w:fill="FFFFFF"/>
        <w:suppressAutoHyphens/>
        <w:spacing w:before="0" w:after="240"/>
        <w:ind w:left="0" w:firstLine="0"/>
        <w:textDirection w:val="btLr"/>
        <w:textAlignment w:val="top"/>
        <w:outlineLvl w:val="0"/>
        <w:rPr>
          <w:lang w:val="en-US"/>
        </w:rPr>
      </w:pPr>
      <w:bookmarkStart w:id="215" w:name="_Toc106353959"/>
      <w:r w:rsidRPr="00954547">
        <w:rPr>
          <w:lang w:val="en-US"/>
        </w:rPr>
        <w:t xml:space="preserve">In this regard, in this case, consideration of the context of the absolute prohibition of abortion in El Salvador is also key for </w:t>
      </w:r>
      <w:r w:rsidR="00445CBD" w:rsidRPr="00954547">
        <w:rPr>
          <w:lang w:val="en-US"/>
        </w:rPr>
        <w:t>its</w:t>
      </w:r>
      <w:r w:rsidRPr="00954547">
        <w:rPr>
          <w:lang w:val="en-US"/>
        </w:rPr>
        <w:t xml:space="preserve"> analysis, particularly in situations in which there is a context of discrimination and violence against women</w:t>
      </w:r>
      <w:r w:rsidR="00445CBD" w:rsidRPr="00954547">
        <w:rPr>
          <w:lang w:val="en-US"/>
        </w:rPr>
        <w:t>,</w:t>
      </w:r>
      <w:r w:rsidR="00BC31D0" w:rsidRPr="00954547">
        <w:rPr>
          <w:vertAlign w:val="superscript"/>
          <w:lang w:val="en-US"/>
        </w:rPr>
        <w:footnoteReference w:id="544"/>
      </w:r>
      <w:r w:rsidRPr="00954547">
        <w:rPr>
          <w:lang w:val="en-US"/>
        </w:rPr>
        <w:t xml:space="preserve"> </w:t>
      </w:r>
      <w:r w:rsidR="00445CBD" w:rsidRPr="00954547">
        <w:rPr>
          <w:lang w:val="en-US"/>
        </w:rPr>
        <w:t>b</w:t>
      </w:r>
      <w:r w:rsidRPr="00954547">
        <w:rPr>
          <w:lang w:val="en-US"/>
        </w:rPr>
        <w:t>ecause the intersectional discrimination that Manuela suffered due to poverty and gender constituted a</w:t>
      </w:r>
      <w:r w:rsidR="00445CBD" w:rsidRPr="00954547">
        <w:rPr>
          <w:lang w:val="en-US"/>
        </w:rPr>
        <w:t xml:space="preserve"> cascading</w:t>
      </w:r>
      <w:r w:rsidRPr="00954547">
        <w:rPr>
          <w:lang w:val="en-US"/>
        </w:rPr>
        <w:t xml:space="preserve"> violation of rights. </w:t>
      </w:r>
      <w:r w:rsidR="00FE179B" w:rsidRPr="00954547">
        <w:rPr>
          <w:lang w:val="en-US"/>
        </w:rPr>
        <w:t>This pattern of intersectional and structural discrimination calls for special attention to prevent</w:t>
      </w:r>
      <w:r w:rsidR="00EF0526" w:rsidRPr="00954547">
        <w:rPr>
          <w:lang w:val="en-US"/>
        </w:rPr>
        <w:t>,</w:t>
      </w:r>
      <w:r w:rsidR="00FE179B" w:rsidRPr="00954547">
        <w:rPr>
          <w:lang w:val="en-US"/>
        </w:rPr>
        <w:t xml:space="preserve"> and to avoid in future</w:t>
      </w:r>
      <w:r w:rsidR="00EF0526" w:rsidRPr="00954547">
        <w:rPr>
          <w:lang w:val="en-US"/>
        </w:rPr>
        <w:t>,</w:t>
      </w:r>
      <w:r w:rsidR="00FE179B" w:rsidRPr="00954547">
        <w:rPr>
          <w:lang w:val="en-US"/>
        </w:rPr>
        <w:t xml:space="preserve"> the lack of protection and </w:t>
      </w:r>
      <w:r w:rsidR="00EF0526" w:rsidRPr="00954547">
        <w:rPr>
          <w:lang w:val="en-US"/>
        </w:rPr>
        <w:t xml:space="preserve">the </w:t>
      </w:r>
      <w:r w:rsidR="00FE179B" w:rsidRPr="00954547">
        <w:rPr>
          <w:lang w:val="en-US"/>
        </w:rPr>
        <w:t xml:space="preserve">violation of the rights of women who are already victims owing to the disproportionate impact caused by </w:t>
      </w:r>
      <w:r w:rsidR="00EF0526" w:rsidRPr="00954547">
        <w:rPr>
          <w:lang w:val="en-US"/>
        </w:rPr>
        <w:t>their</w:t>
      </w:r>
      <w:r w:rsidR="00FE179B" w:rsidRPr="00954547">
        <w:rPr>
          <w:lang w:val="en-US"/>
        </w:rPr>
        <w:t xml:space="preserve"> biological capacity to conceive (paragraph 254 of the judgment).</w:t>
      </w:r>
      <w:bookmarkEnd w:id="215"/>
      <w:r w:rsidR="00FE179B" w:rsidRPr="00954547">
        <w:rPr>
          <w:lang w:val="en-US"/>
        </w:rPr>
        <w:t xml:space="preserve"> </w:t>
      </w:r>
    </w:p>
    <w:p w14:paraId="560E71A1" w14:textId="44C8D3EE" w:rsidR="0080178E" w:rsidRPr="00954547" w:rsidRDefault="0080178E" w:rsidP="000365EC">
      <w:pPr>
        <w:pStyle w:val="ListParagraph"/>
        <w:numPr>
          <w:ilvl w:val="3"/>
          <w:numId w:val="18"/>
        </w:numPr>
        <w:shd w:val="clear" w:color="auto" w:fill="FFFFFF"/>
        <w:suppressAutoHyphens/>
        <w:spacing w:before="0" w:after="240"/>
        <w:ind w:left="0" w:firstLine="0"/>
        <w:textDirection w:val="btLr"/>
        <w:textAlignment w:val="top"/>
        <w:outlineLvl w:val="0"/>
        <w:rPr>
          <w:lang w:val="en-US"/>
        </w:rPr>
      </w:pPr>
      <w:bookmarkStart w:id="216" w:name="_Toc106353960"/>
      <w:r w:rsidRPr="00954547">
        <w:rPr>
          <w:lang w:val="en-US"/>
        </w:rPr>
        <w:t xml:space="preserve">All these vulnerabilities acted together and, owing to their intersectionality, they increased the special situation of helplessness in view of the State’s failure to comply with its obligation to respect and, above all, to ensure the human rights of </w:t>
      </w:r>
      <w:r w:rsidR="00EF0526" w:rsidRPr="00954547">
        <w:rPr>
          <w:lang w:val="en-US"/>
        </w:rPr>
        <w:t>such individuals</w:t>
      </w:r>
      <w:r w:rsidRPr="00954547">
        <w:rPr>
          <w:lang w:val="en-US"/>
        </w:rPr>
        <w:t xml:space="preserve">. In this regard, </w:t>
      </w:r>
      <w:r w:rsidRPr="00954547">
        <w:rPr>
          <w:rFonts w:eastAsia="Arial Unicode MS"/>
          <w:lang w:val="en-US"/>
        </w:rPr>
        <w:t>paragraph 253 of the judgment describes the patterns of structural and intersectional discrimination</w:t>
      </w:r>
      <w:r w:rsidR="00EF0526" w:rsidRPr="00954547">
        <w:rPr>
          <w:lang w:val="en-US"/>
        </w:rPr>
        <w:t>.</w:t>
      </w:r>
      <w:bookmarkEnd w:id="216"/>
    </w:p>
    <w:p w14:paraId="45C720AB" w14:textId="78873F76" w:rsidR="0080178E" w:rsidRPr="00954547" w:rsidRDefault="0080178E" w:rsidP="000365EC">
      <w:pPr>
        <w:pStyle w:val="ListParagraph"/>
        <w:numPr>
          <w:ilvl w:val="3"/>
          <w:numId w:val="18"/>
        </w:numPr>
        <w:shd w:val="clear" w:color="auto" w:fill="FFFFFF"/>
        <w:suppressAutoHyphens/>
        <w:spacing w:before="0" w:after="240"/>
        <w:ind w:left="0" w:firstLine="0"/>
        <w:textDirection w:val="btLr"/>
        <w:textAlignment w:val="top"/>
        <w:outlineLvl w:val="0"/>
        <w:rPr>
          <w:lang w:val="en-US"/>
        </w:rPr>
      </w:pPr>
      <w:bookmarkStart w:id="217" w:name="_Toc106353961"/>
      <w:r w:rsidRPr="00954547">
        <w:rPr>
          <w:lang w:val="en-US"/>
        </w:rPr>
        <w:t xml:space="preserve">The Court has already referred to the existence of patterns of conduct in relation to certain situations of vulnerability in the case of </w:t>
      </w:r>
      <w:r w:rsidRPr="00954547">
        <w:rPr>
          <w:i/>
          <w:lang w:val="en-US"/>
        </w:rPr>
        <w:t>González et al. (“Cotton Field”) v. Mexico,</w:t>
      </w:r>
      <w:r w:rsidRPr="00954547">
        <w:rPr>
          <w:rStyle w:val="FootnoteReference"/>
          <w:lang w:val="en-US"/>
        </w:rPr>
        <w:footnoteReference w:id="545"/>
      </w:r>
      <w:r w:rsidRPr="00954547">
        <w:rPr>
          <w:lang w:val="en-US"/>
        </w:rPr>
        <w:t xml:space="preserve"> in which it verified the existence of a systematic pattern of violence and discrimination against women in Ciudad Juárez. The Inter-American Commission indicated the same in its report on the case of María Da Penha.</w:t>
      </w:r>
      <w:r w:rsidRPr="00954547">
        <w:rPr>
          <w:rStyle w:val="FootnoteReference"/>
          <w:lang w:val="en-US"/>
        </w:rPr>
        <w:footnoteReference w:id="546"/>
      </w:r>
      <w:bookmarkEnd w:id="217"/>
    </w:p>
    <w:p w14:paraId="5C1B58FA" w14:textId="42BF33D1" w:rsidR="00BC31D0" w:rsidRPr="00954547" w:rsidRDefault="0080178E" w:rsidP="000365EC">
      <w:pPr>
        <w:pStyle w:val="ListParagraph"/>
        <w:numPr>
          <w:ilvl w:val="3"/>
          <w:numId w:val="18"/>
        </w:numPr>
        <w:shd w:val="clear" w:color="auto" w:fill="FFFFFF"/>
        <w:suppressAutoHyphens/>
        <w:spacing w:before="0" w:after="240"/>
        <w:ind w:left="0" w:firstLine="0"/>
        <w:textDirection w:val="btLr"/>
        <w:textAlignment w:val="top"/>
        <w:outlineLvl w:val="0"/>
        <w:rPr>
          <w:lang w:val="en-US"/>
        </w:rPr>
      </w:pPr>
      <w:bookmarkStart w:id="218" w:name="_Toc106353962"/>
      <w:r w:rsidRPr="00954547">
        <w:rPr>
          <w:lang w:val="en-US"/>
        </w:rPr>
        <w:t>In general, the experience of women is not based on a single type of subordination; rather, there is an interaction of various factors and systems of subordination as a result of which this particular type of experience is not the same as that suffered based on just one of the factors.</w:t>
      </w:r>
      <w:bookmarkEnd w:id="218"/>
    </w:p>
    <w:p w14:paraId="60CD13CF" w14:textId="6B5D91A4" w:rsidR="00BC31D0" w:rsidRPr="00954547" w:rsidRDefault="0080178E" w:rsidP="000365EC">
      <w:pPr>
        <w:pStyle w:val="ListParagraph"/>
        <w:numPr>
          <w:ilvl w:val="3"/>
          <w:numId w:val="18"/>
        </w:numPr>
        <w:shd w:val="clear" w:color="auto" w:fill="FFFFFF"/>
        <w:suppressAutoHyphens/>
        <w:spacing w:before="0" w:after="240"/>
        <w:ind w:left="0" w:firstLine="0"/>
        <w:textDirection w:val="btLr"/>
        <w:textAlignment w:val="top"/>
        <w:outlineLvl w:val="0"/>
        <w:rPr>
          <w:lang w:val="en-US"/>
        </w:rPr>
      </w:pPr>
      <w:bookmarkStart w:id="219" w:name="_Toc106353963"/>
      <w:r w:rsidRPr="00954547">
        <w:rPr>
          <w:lang w:val="en-US"/>
        </w:rPr>
        <w:t>The existence of patterns of intersectional discrimination against poor women in different parts of the region</w:t>
      </w:r>
      <w:r w:rsidR="00BC31D0" w:rsidRPr="00954547">
        <w:rPr>
          <w:rStyle w:val="FootnoteReference"/>
          <w:lang w:val="en-US"/>
        </w:rPr>
        <w:footnoteReference w:id="547"/>
      </w:r>
      <w:r w:rsidR="00BC31D0" w:rsidRPr="00954547">
        <w:rPr>
          <w:lang w:val="en-US"/>
        </w:rPr>
        <w:t xml:space="preserve"> </w:t>
      </w:r>
      <w:r w:rsidRPr="00954547">
        <w:rPr>
          <w:lang w:val="en-US"/>
        </w:rPr>
        <w:t>is a problem that requires special protection by the State. In this case, Manuela</w:t>
      </w:r>
      <w:r w:rsidR="00BC31D0" w:rsidRPr="00954547">
        <w:rPr>
          <w:lang w:val="en-US"/>
        </w:rPr>
        <w:t xml:space="preserve"> </w:t>
      </w:r>
      <w:r w:rsidR="00C14703" w:rsidRPr="00954547">
        <w:rPr>
          <w:lang w:val="en-US"/>
        </w:rPr>
        <w:t xml:space="preserve">was a member of a group in a special situation of vulnerability; the deprivation of rights and the intersectionality increased the State’s obligations to respect and to ensure her rights </w:t>
      </w:r>
      <w:r w:rsidR="00BC31D0" w:rsidRPr="00954547">
        <w:rPr>
          <w:lang w:val="en-US"/>
        </w:rPr>
        <w:t>(</w:t>
      </w:r>
      <w:r w:rsidR="00C14703" w:rsidRPr="00954547">
        <w:rPr>
          <w:lang w:val="en-US"/>
        </w:rPr>
        <w:t>A</w:t>
      </w:r>
      <w:r w:rsidR="00BC31D0" w:rsidRPr="00954547">
        <w:rPr>
          <w:lang w:val="en-US"/>
        </w:rPr>
        <w:t>rt.1</w:t>
      </w:r>
      <w:r w:rsidR="00C14703" w:rsidRPr="00954547">
        <w:rPr>
          <w:lang w:val="en-US"/>
        </w:rPr>
        <w:t>(</w:t>
      </w:r>
      <w:r w:rsidR="00BC31D0" w:rsidRPr="00954547">
        <w:rPr>
          <w:lang w:val="en-US"/>
        </w:rPr>
        <w:t>1</w:t>
      </w:r>
      <w:r w:rsidR="00C14703" w:rsidRPr="00954547">
        <w:rPr>
          <w:lang w:val="en-US"/>
        </w:rPr>
        <w:t>)</w:t>
      </w:r>
      <w:r w:rsidR="00BC31D0" w:rsidRPr="00954547">
        <w:rPr>
          <w:lang w:val="en-US"/>
        </w:rPr>
        <w:t xml:space="preserve"> </w:t>
      </w:r>
      <w:r w:rsidR="00C14703" w:rsidRPr="00954547">
        <w:rPr>
          <w:lang w:val="en-US"/>
        </w:rPr>
        <w:t>of the Convention</w:t>
      </w:r>
      <w:r w:rsidR="00BC31D0" w:rsidRPr="00954547">
        <w:rPr>
          <w:lang w:val="en-US"/>
        </w:rPr>
        <w:t xml:space="preserve">) </w:t>
      </w:r>
      <w:r w:rsidR="00C14703" w:rsidRPr="00954547">
        <w:rPr>
          <w:lang w:val="en-US"/>
        </w:rPr>
        <w:t>and determined that, pursuant to Article 2, the State must adopt “ the legislative or other measures” required to overcome the numerous rights’ violations.</w:t>
      </w:r>
      <w:bookmarkEnd w:id="219"/>
      <w:r w:rsidR="00C14703" w:rsidRPr="00954547">
        <w:rPr>
          <w:lang w:val="en-US"/>
        </w:rPr>
        <w:t xml:space="preserve"> </w:t>
      </w:r>
    </w:p>
    <w:p w14:paraId="26E85DCF" w14:textId="1F14AB3E" w:rsidR="00BC31D0" w:rsidRPr="00954547" w:rsidRDefault="00BC31D0" w:rsidP="00BC31D0">
      <w:pPr>
        <w:pStyle w:val="PrrafodeSentencia"/>
        <w:numPr>
          <w:ilvl w:val="0"/>
          <w:numId w:val="0"/>
        </w:numPr>
        <w:rPr>
          <w:b/>
          <w:lang w:val="en-US"/>
        </w:rPr>
      </w:pPr>
      <w:r w:rsidRPr="00954547">
        <w:rPr>
          <w:b/>
          <w:lang w:val="en-US"/>
        </w:rPr>
        <w:t>III. Importanc</w:t>
      </w:r>
      <w:r w:rsidR="003C3FF8" w:rsidRPr="00954547">
        <w:rPr>
          <w:b/>
          <w:lang w:val="en-US"/>
        </w:rPr>
        <w:t xml:space="preserve">e of the gender perspective in relation to access to justice in cases such as that of </w:t>
      </w:r>
      <w:r w:rsidRPr="00954547">
        <w:rPr>
          <w:b/>
          <w:lang w:val="en-US"/>
        </w:rPr>
        <w:t>Manuela</w:t>
      </w:r>
    </w:p>
    <w:p w14:paraId="1BB9185D" w14:textId="77777777" w:rsidR="00BC31D0" w:rsidRPr="00954547" w:rsidRDefault="00BC31D0" w:rsidP="00BC31D0">
      <w:pPr>
        <w:pStyle w:val="ListParagraph"/>
        <w:numPr>
          <w:ilvl w:val="0"/>
          <w:numId w:val="0"/>
        </w:numPr>
        <w:shd w:val="clear" w:color="auto" w:fill="FFFFFF"/>
        <w:suppressAutoHyphens/>
        <w:spacing w:before="0" w:after="0"/>
        <w:textDirection w:val="btLr"/>
        <w:textAlignment w:val="top"/>
        <w:outlineLvl w:val="0"/>
        <w:rPr>
          <w:lang w:val="en-US"/>
        </w:rPr>
      </w:pPr>
    </w:p>
    <w:p w14:paraId="28747081" w14:textId="5620DDBA" w:rsidR="005B47F3" w:rsidRPr="00954547" w:rsidRDefault="003943B5"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0" w:name="_Toc106353964"/>
      <w:r w:rsidRPr="00954547">
        <w:rPr>
          <w:lang w:val="en-US"/>
        </w:rPr>
        <w:t xml:space="preserve">The positive obligation </w:t>
      </w:r>
      <w:r w:rsidR="00607E12" w:rsidRPr="00954547">
        <w:rPr>
          <w:lang w:val="en-US"/>
        </w:rPr>
        <w:t xml:space="preserve">of the </w:t>
      </w:r>
      <w:r w:rsidR="00B8393C" w:rsidRPr="00954547">
        <w:rPr>
          <w:lang w:val="en-US"/>
        </w:rPr>
        <w:t>State</w:t>
      </w:r>
      <w:r w:rsidR="005B47F3" w:rsidRPr="00954547">
        <w:rPr>
          <w:lang w:val="en-US"/>
        </w:rPr>
        <w:t xml:space="preserve">, </w:t>
      </w:r>
      <w:r w:rsidRPr="00954547">
        <w:rPr>
          <w:lang w:val="en-US"/>
        </w:rPr>
        <w:t>o</w:t>
      </w:r>
      <w:r w:rsidR="00783DFF" w:rsidRPr="00954547">
        <w:rPr>
          <w:lang w:val="en-US"/>
        </w:rPr>
        <w:t>n</w:t>
      </w:r>
      <w:r w:rsidRPr="00954547">
        <w:rPr>
          <w:lang w:val="en-US"/>
        </w:rPr>
        <w:t xml:space="preserve"> verifying a pattern of intersectional </w:t>
      </w:r>
      <w:r w:rsidR="00783DFF" w:rsidRPr="00954547">
        <w:rPr>
          <w:lang w:val="en-US"/>
        </w:rPr>
        <w:t xml:space="preserve">and structural </w:t>
      </w:r>
      <w:r w:rsidRPr="00954547">
        <w:rPr>
          <w:lang w:val="en-US"/>
        </w:rPr>
        <w:t>discrimination such as th</w:t>
      </w:r>
      <w:r w:rsidR="00783DFF" w:rsidRPr="00954547">
        <w:rPr>
          <w:lang w:val="en-US"/>
        </w:rPr>
        <w:t>at</w:t>
      </w:r>
      <w:r w:rsidRPr="00954547">
        <w:rPr>
          <w:lang w:val="en-US"/>
        </w:rPr>
        <w:t xml:space="preserve"> described, consists in the </w:t>
      </w:r>
      <w:r w:rsidR="00783DFF" w:rsidRPr="00954547">
        <w:rPr>
          <w:lang w:val="en-US"/>
        </w:rPr>
        <w:t>development</w:t>
      </w:r>
      <w:r w:rsidRPr="00954547">
        <w:rPr>
          <w:lang w:val="en-US"/>
        </w:rPr>
        <w:t xml:space="preserve"> of lines of action by </w:t>
      </w:r>
      <w:r w:rsidR="00783DFF" w:rsidRPr="00954547">
        <w:rPr>
          <w:lang w:val="en-US"/>
        </w:rPr>
        <w:t>implementing</w:t>
      </w:r>
      <w:r w:rsidRPr="00954547">
        <w:rPr>
          <w:lang w:val="en-US"/>
        </w:rPr>
        <w:t xml:space="preserve"> systematic policies that act on the origins and causes of its existence. </w:t>
      </w:r>
      <w:r w:rsidR="00FE7CD2" w:rsidRPr="00954547">
        <w:rPr>
          <w:lang w:val="en-US"/>
        </w:rPr>
        <w:t>Therefore, it is necessary to mention that the State is especially obliged to ensure</w:t>
      </w:r>
      <w:r w:rsidR="005B47F3" w:rsidRPr="00954547">
        <w:rPr>
          <w:lang w:val="en-US"/>
        </w:rPr>
        <w:t xml:space="preserve"> </w:t>
      </w:r>
      <w:r w:rsidR="00BC7072" w:rsidRPr="00954547">
        <w:rPr>
          <w:lang w:val="en-US"/>
        </w:rPr>
        <w:t>the right to</w:t>
      </w:r>
      <w:r w:rsidR="005B47F3" w:rsidRPr="00954547">
        <w:rPr>
          <w:lang w:val="en-US"/>
        </w:rPr>
        <w:t xml:space="preserve"> </w:t>
      </w:r>
      <w:r w:rsidR="00FE7CD2" w:rsidRPr="00954547">
        <w:rPr>
          <w:lang w:val="en-US"/>
        </w:rPr>
        <w:t xml:space="preserve">the </w:t>
      </w:r>
      <w:r w:rsidR="00144817" w:rsidRPr="00954547">
        <w:rPr>
          <w:lang w:val="en-US"/>
        </w:rPr>
        <w:t>presumption of innocence</w:t>
      </w:r>
      <w:r w:rsidR="0078694F" w:rsidRPr="00954547">
        <w:rPr>
          <w:lang w:val="en-US"/>
        </w:rPr>
        <w:t xml:space="preserve"> and </w:t>
      </w:r>
      <w:r w:rsidR="00BC7072" w:rsidRPr="00954547">
        <w:rPr>
          <w:lang w:val="en-US"/>
        </w:rPr>
        <w:t xml:space="preserve">the </w:t>
      </w:r>
      <w:r w:rsidR="00D4015D" w:rsidRPr="00954547">
        <w:rPr>
          <w:lang w:val="en-US"/>
        </w:rPr>
        <w:t>right to defense</w:t>
      </w:r>
      <w:r w:rsidR="005B47F3" w:rsidRPr="00954547">
        <w:rPr>
          <w:lang w:val="en-US"/>
        </w:rPr>
        <w:t xml:space="preserve"> </w:t>
      </w:r>
      <w:r w:rsidR="00FE7CD2" w:rsidRPr="00954547">
        <w:rPr>
          <w:lang w:val="en-US"/>
        </w:rPr>
        <w:t>in cases such as this one in which</w:t>
      </w:r>
      <w:r w:rsidR="00EF0526" w:rsidRPr="00954547">
        <w:rPr>
          <w:lang w:val="en-US"/>
        </w:rPr>
        <w:t>,</w:t>
      </w:r>
      <w:r w:rsidR="00FE7CD2" w:rsidRPr="00954547">
        <w:rPr>
          <w:lang w:val="en-US"/>
        </w:rPr>
        <w:t xml:space="preserve"> in a context of structural discrimination against women, several factors of discrimination coalesce intersectionally.</w:t>
      </w:r>
      <w:r w:rsidR="005B47F3" w:rsidRPr="00954547">
        <w:rPr>
          <w:vertAlign w:val="superscript"/>
          <w:lang w:val="en-US"/>
        </w:rPr>
        <w:footnoteReference w:id="548"/>
      </w:r>
      <w:bookmarkEnd w:id="220"/>
      <w:r w:rsidR="005B47F3" w:rsidRPr="00954547">
        <w:rPr>
          <w:lang w:val="en-US"/>
        </w:rPr>
        <w:t xml:space="preserve"> </w:t>
      </w:r>
    </w:p>
    <w:p w14:paraId="07F9F77D" w14:textId="77777777" w:rsidR="00BC31D0" w:rsidRPr="00954547" w:rsidRDefault="00BC31D0" w:rsidP="00BC31D0">
      <w:pPr>
        <w:pStyle w:val="ListParagraph"/>
        <w:numPr>
          <w:ilvl w:val="0"/>
          <w:numId w:val="0"/>
        </w:numPr>
        <w:shd w:val="clear" w:color="auto" w:fill="FFFFFF"/>
        <w:suppressAutoHyphens/>
        <w:spacing w:before="0" w:after="0"/>
        <w:textDirection w:val="btLr"/>
        <w:textAlignment w:val="top"/>
        <w:outlineLvl w:val="0"/>
        <w:rPr>
          <w:lang w:val="en-US"/>
        </w:rPr>
      </w:pPr>
    </w:p>
    <w:p w14:paraId="45A3DBCB" w14:textId="3837190B" w:rsidR="00A50855" w:rsidRPr="00954547" w:rsidRDefault="006D0B17"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1" w:name="_Toc106353965"/>
      <w:r w:rsidRPr="00954547">
        <w:rPr>
          <w:lang w:val="en-US"/>
        </w:rPr>
        <w:t>In this regard, the</w:t>
      </w:r>
      <w:r w:rsidR="005B47F3" w:rsidRPr="00954547">
        <w:rPr>
          <w:lang w:val="en-US"/>
        </w:rPr>
        <w:t xml:space="preserve"> </w:t>
      </w:r>
      <w:r w:rsidR="008C4B22" w:rsidRPr="00954547">
        <w:rPr>
          <w:lang w:val="en-US"/>
        </w:rPr>
        <w:t>Committee for the Elimination of Discrimination against Women</w:t>
      </w:r>
      <w:r w:rsidR="005B47F3" w:rsidRPr="00954547">
        <w:rPr>
          <w:lang w:val="en-US"/>
        </w:rPr>
        <w:t xml:space="preserve"> ha</w:t>
      </w:r>
      <w:r w:rsidR="00EA50CA" w:rsidRPr="00954547">
        <w:rPr>
          <w:lang w:val="en-US"/>
        </w:rPr>
        <w:t>s indicated that “</w:t>
      </w:r>
      <w:r w:rsidR="00A50855" w:rsidRPr="00954547">
        <w:rPr>
          <w:lang w:val="en-US"/>
        </w:rPr>
        <w:t>discrimination against women is compounded by intersecting factors that affect some women to degrees or in ways that differ from those affecting men or other women</w:t>
      </w:r>
      <w:r w:rsidR="005B47F3" w:rsidRPr="00954547">
        <w:rPr>
          <w:i/>
          <w:lang w:val="en-US"/>
        </w:rPr>
        <w:t>”</w:t>
      </w:r>
      <w:r w:rsidR="00CD0102" w:rsidRPr="00954547">
        <w:rPr>
          <w:rStyle w:val="FootnoteReference"/>
          <w:i/>
          <w:lang w:val="en-US"/>
        </w:rPr>
        <w:footnoteReference w:id="549"/>
      </w:r>
      <w:r w:rsidR="005B47F3" w:rsidRPr="00954547">
        <w:rPr>
          <w:lang w:val="en-US"/>
        </w:rPr>
        <w:t xml:space="preserve"> </w:t>
      </w:r>
      <w:r w:rsidR="00D96C20" w:rsidRPr="00954547">
        <w:rPr>
          <w:lang w:val="en-US"/>
        </w:rPr>
        <w:t>Thus, “these intersecting factors make it more difficult for women from those groups to gain access to justice.</w:t>
      </w:r>
      <w:r w:rsidR="005B47F3" w:rsidRPr="00954547">
        <w:rPr>
          <w:lang w:val="en-US"/>
        </w:rPr>
        <w:t>”</w:t>
      </w:r>
      <w:r w:rsidR="005B47F3" w:rsidRPr="00954547">
        <w:rPr>
          <w:vertAlign w:val="superscript"/>
          <w:lang w:val="en-US"/>
        </w:rPr>
        <w:footnoteReference w:id="550"/>
      </w:r>
      <w:bookmarkEnd w:id="221"/>
    </w:p>
    <w:p w14:paraId="24822D0B" w14:textId="77777777" w:rsidR="00A50855" w:rsidRPr="00954547" w:rsidRDefault="00A50855" w:rsidP="00A50855">
      <w:pPr>
        <w:pStyle w:val="ListParagraph"/>
        <w:numPr>
          <w:ilvl w:val="0"/>
          <w:numId w:val="0"/>
        </w:numPr>
        <w:spacing w:before="0" w:after="0"/>
        <w:rPr>
          <w:lang w:val="en-US"/>
        </w:rPr>
      </w:pPr>
    </w:p>
    <w:p w14:paraId="016A6EE2" w14:textId="0F73FA68" w:rsidR="005B47F3" w:rsidRPr="00954547" w:rsidRDefault="00647A62"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2" w:name="_Toc106353966"/>
      <w:r w:rsidRPr="00954547">
        <w:rPr>
          <w:lang w:val="en-US"/>
        </w:rPr>
        <w:t>In this context, the guarantee of the right to a professional defense with a gender perspective and aware</w:t>
      </w:r>
      <w:r w:rsidR="009F2F6A" w:rsidRPr="00954547">
        <w:rPr>
          <w:lang w:val="en-US"/>
        </w:rPr>
        <w:t>ness</w:t>
      </w:r>
      <w:r w:rsidRPr="00954547">
        <w:rPr>
          <w:lang w:val="en-US"/>
        </w:rPr>
        <w:t xml:space="preserve"> of gender issues, competent, efficient and provided from the first interrogation and during the subsequent procedures</w:t>
      </w:r>
      <w:r w:rsidR="009F2F6A" w:rsidRPr="00954547">
        <w:rPr>
          <w:lang w:val="en-US"/>
        </w:rPr>
        <w:t xml:space="preserve"> was essential</w:t>
      </w:r>
      <w:r w:rsidRPr="00954547">
        <w:rPr>
          <w:lang w:val="en-US"/>
        </w:rPr>
        <w:t xml:space="preserve">. </w:t>
      </w:r>
      <w:r w:rsidR="009F2F6A" w:rsidRPr="00954547">
        <w:rPr>
          <w:lang w:val="en-US"/>
        </w:rPr>
        <w:t>This</w:t>
      </w:r>
      <w:r w:rsidRPr="00954547">
        <w:rPr>
          <w:lang w:val="en-US"/>
        </w:rPr>
        <w:t xml:space="preserve"> </w:t>
      </w:r>
      <w:r w:rsidR="009F2F6A" w:rsidRPr="00954547">
        <w:rPr>
          <w:lang w:val="en-US"/>
        </w:rPr>
        <w:t>wa</w:t>
      </w:r>
      <w:r w:rsidRPr="00954547">
        <w:rPr>
          <w:lang w:val="en-US"/>
        </w:rPr>
        <w:t>s a specific duty of the State in this case, in which a special situation of vulnerability existed caused by the intersectionality of various factors of discrimination</w:t>
      </w:r>
      <w:r w:rsidR="009F2F6A" w:rsidRPr="00954547">
        <w:rPr>
          <w:lang w:val="en-US"/>
        </w:rPr>
        <w:t xml:space="preserve">, </w:t>
      </w:r>
      <w:r w:rsidRPr="00954547">
        <w:rPr>
          <w:lang w:val="en-US"/>
        </w:rPr>
        <w:t xml:space="preserve">such as </w:t>
      </w:r>
      <w:r w:rsidR="009F2F6A" w:rsidRPr="00954547">
        <w:rPr>
          <w:lang w:val="en-US"/>
        </w:rPr>
        <w:t>Manuela’s</w:t>
      </w:r>
      <w:r w:rsidRPr="00954547">
        <w:rPr>
          <w:lang w:val="en-US"/>
        </w:rPr>
        <w:t xml:space="preserve"> condition </w:t>
      </w:r>
      <w:r w:rsidR="001766DE" w:rsidRPr="00954547">
        <w:rPr>
          <w:lang w:val="en-US"/>
        </w:rPr>
        <w:t xml:space="preserve">of being a poor illiterate rural women, which exacerbated the structural discrimination </w:t>
      </w:r>
      <w:r w:rsidR="009F2F6A" w:rsidRPr="00954547">
        <w:rPr>
          <w:lang w:val="en-US"/>
        </w:rPr>
        <w:t>against</w:t>
      </w:r>
      <w:r w:rsidR="001766DE" w:rsidRPr="00954547">
        <w:rPr>
          <w:lang w:val="en-US"/>
        </w:rPr>
        <w:t xml:space="preserve"> women</w:t>
      </w:r>
      <w:r w:rsidR="009F2F6A" w:rsidRPr="00954547">
        <w:rPr>
          <w:lang w:val="en-US"/>
        </w:rPr>
        <w:t xml:space="preserve"> in general,</w:t>
      </w:r>
      <w:r w:rsidR="001766DE" w:rsidRPr="00954547">
        <w:rPr>
          <w:lang w:val="en-US"/>
        </w:rPr>
        <w:t xml:space="preserve"> and severely limited her access to justice.</w:t>
      </w:r>
      <w:r w:rsidR="005B47F3" w:rsidRPr="00954547">
        <w:rPr>
          <w:vertAlign w:val="superscript"/>
          <w:lang w:val="en-US"/>
        </w:rPr>
        <w:footnoteReference w:id="551"/>
      </w:r>
      <w:bookmarkEnd w:id="222"/>
    </w:p>
    <w:p w14:paraId="4FCE81E2" w14:textId="77777777" w:rsidR="006D0B17" w:rsidRPr="00954547" w:rsidRDefault="006D0B17" w:rsidP="006D0B17">
      <w:pPr>
        <w:pStyle w:val="ListParagraph"/>
        <w:numPr>
          <w:ilvl w:val="0"/>
          <w:numId w:val="0"/>
        </w:numPr>
        <w:shd w:val="clear" w:color="auto" w:fill="FFFFFF"/>
        <w:suppressAutoHyphens/>
        <w:spacing w:before="0" w:after="0"/>
        <w:textDirection w:val="btLr"/>
        <w:textAlignment w:val="top"/>
        <w:outlineLvl w:val="0"/>
        <w:rPr>
          <w:lang w:val="en-US"/>
        </w:rPr>
      </w:pPr>
    </w:p>
    <w:p w14:paraId="6B2C9476" w14:textId="1555EC84" w:rsidR="005B47F3" w:rsidRPr="00954547" w:rsidRDefault="006D0B17"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3" w:name="_Toc106353967"/>
      <w:r w:rsidRPr="00954547">
        <w:rPr>
          <w:lang w:val="en-US"/>
        </w:rPr>
        <w:t>The convergence of all these elements constitute</w:t>
      </w:r>
      <w:r w:rsidR="009F2F6A" w:rsidRPr="00954547">
        <w:rPr>
          <w:lang w:val="en-US"/>
        </w:rPr>
        <w:t>s</w:t>
      </w:r>
      <w:r w:rsidRPr="00954547">
        <w:rPr>
          <w:lang w:val="en-US"/>
        </w:rPr>
        <w:t xml:space="preserve"> a specific form of discrimination,</w:t>
      </w:r>
      <w:r w:rsidR="005B47F3" w:rsidRPr="00954547">
        <w:rPr>
          <w:vertAlign w:val="superscript"/>
          <w:lang w:val="en-US"/>
        </w:rPr>
        <w:footnoteReference w:id="552"/>
      </w:r>
      <w:r w:rsidR="005B47F3" w:rsidRPr="00954547">
        <w:rPr>
          <w:lang w:val="en-US"/>
        </w:rPr>
        <w:t xml:space="preserve"> </w:t>
      </w:r>
      <w:r w:rsidRPr="00954547">
        <w:rPr>
          <w:lang w:val="en-US"/>
        </w:rPr>
        <w:t xml:space="preserve">in which the different factors </w:t>
      </w:r>
      <w:r w:rsidR="009F2F6A" w:rsidRPr="00954547">
        <w:rPr>
          <w:lang w:val="en-US"/>
        </w:rPr>
        <w:t>a</w:t>
      </w:r>
      <w:r w:rsidRPr="00954547">
        <w:rPr>
          <w:lang w:val="en-US"/>
        </w:rPr>
        <w:t>re interrelated and mutually reinforcing</w:t>
      </w:r>
      <w:r w:rsidR="005B47F3" w:rsidRPr="00954547">
        <w:rPr>
          <w:lang w:val="en-US"/>
        </w:rPr>
        <w:t>,</w:t>
      </w:r>
      <w:r w:rsidR="005B47F3" w:rsidRPr="00954547">
        <w:rPr>
          <w:vertAlign w:val="superscript"/>
          <w:lang w:val="en-US"/>
        </w:rPr>
        <w:footnoteReference w:id="553"/>
      </w:r>
      <w:r w:rsidR="005B47F3" w:rsidRPr="00954547">
        <w:rPr>
          <w:lang w:val="en-US"/>
        </w:rPr>
        <w:t xml:space="preserve"> </w:t>
      </w:r>
      <w:r w:rsidRPr="00954547">
        <w:rPr>
          <w:lang w:val="en-US"/>
        </w:rPr>
        <w:t xml:space="preserve">and this exacerbates the structural discrimination against women and creates a special situation of vulnerability, such as that of </w:t>
      </w:r>
      <w:r w:rsidR="005B47F3" w:rsidRPr="00954547">
        <w:rPr>
          <w:lang w:val="en-US"/>
        </w:rPr>
        <w:t>Manuela.</w:t>
      </w:r>
      <w:r w:rsidRPr="00954547">
        <w:rPr>
          <w:lang w:val="en-US"/>
        </w:rPr>
        <w:t xml:space="preserve"> The Court has considered, in this regard, that when victims belong to a group in a special situation of vulnerability, the State’s obligations to respect and ensure rights</w:t>
      </w:r>
      <w:r w:rsidR="00B033EA" w:rsidRPr="00954547">
        <w:rPr>
          <w:lang w:val="en-US"/>
        </w:rPr>
        <w:t xml:space="preserve"> are</w:t>
      </w:r>
      <w:r w:rsidRPr="00954547">
        <w:rPr>
          <w:lang w:val="en-US"/>
        </w:rPr>
        <w:t xml:space="preserve"> increase</w:t>
      </w:r>
      <w:r w:rsidR="00B033EA" w:rsidRPr="00954547">
        <w:rPr>
          <w:lang w:val="en-US"/>
        </w:rPr>
        <w:t>d</w:t>
      </w:r>
      <w:r w:rsidRPr="00954547">
        <w:rPr>
          <w:lang w:val="en-US"/>
        </w:rPr>
        <w:t>.</w:t>
      </w:r>
      <w:r w:rsidR="005B47F3" w:rsidRPr="00954547">
        <w:rPr>
          <w:vertAlign w:val="superscript"/>
          <w:lang w:val="en-US"/>
        </w:rPr>
        <w:footnoteReference w:id="554"/>
      </w:r>
      <w:bookmarkEnd w:id="223"/>
      <w:r w:rsidR="005B47F3" w:rsidRPr="00954547">
        <w:rPr>
          <w:lang w:val="en-US"/>
        </w:rPr>
        <w:t xml:space="preserve"> </w:t>
      </w:r>
    </w:p>
    <w:p w14:paraId="68444C15" w14:textId="77777777" w:rsidR="006D0B17" w:rsidRPr="00954547" w:rsidRDefault="006D0B17" w:rsidP="006D0B17">
      <w:pPr>
        <w:pStyle w:val="ListParagraph"/>
        <w:numPr>
          <w:ilvl w:val="0"/>
          <w:numId w:val="0"/>
        </w:numPr>
        <w:shd w:val="clear" w:color="auto" w:fill="FFFFFF"/>
        <w:suppressAutoHyphens/>
        <w:spacing w:before="0" w:after="0"/>
        <w:textDirection w:val="btLr"/>
        <w:textAlignment w:val="top"/>
        <w:outlineLvl w:val="0"/>
        <w:rPr>
          <w:lang w:val="en-US"/>
        </w:rPr>
      </w:pPr>
    </w:p>
    <w:p w14:paraId="44F0B613" w14:textId="7F4E5DD7" w:rsidR="00C31FC3" w:rsidRPr="00954547" w:rsidRDefault="00783DFF"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4" w:name="_Toc106353968"/>
      <w:r w:rsidRPr="00954547">
        <w:rPr>
          <w:lang w:val="en-US"/>
        </w:rPr>
        <w:t xml:space="preserve">Accordingly, I consider it essential to elaborate on the measure of non-repetition linked to the verified intersectionality of violations in order to address the structural pattern of discrimination </w:t>
      </w:r>
      <w:r w:rsidR="00B033EA" w:rsidRPr="00954547">
        <w:rPr>
          <w:lang w:val="en-US"/>
        </w:rPr>
        <w:t>against</w:t>
      </w:r>
      <w:r w:rsidRPr="00954547">
        <w:rPr>
          <w:lang w:val="en-US"/>
        </w:rPr>
        <w:t xml:space="preserve"> women</w:t>
      </w:r>
      <w:r w:rsidR="005B47F3" w:rsidRPr="00954547">
        <w:rPr>
          <w:lang w:val="en-US"/>
        </w:rPr>
        <w:t>.</w:t>
      </w:r>
      <w:r w:rsidRPr="00954547">
        <w:rPr>
          <w:lang w:val="en-US"/>
        </w:rPr>
        <w:t xml:space="preserve"> This State obligation signifies that the authorities in charge of the investigation, such as the police and the prosecutors must act with </w:t>
      </w:r>
      <w:r w:rsidR="00C31FC3" w:rsidRPr="00954547">
        <w:rPr>
          <w:lang w:val="en-US"/>
        </w:rPr>
        <w:t xml:space="preserve">enhanced due diligence that incorporates the gender perspective starting with the initial  procedures and </w:t>
      </w:r>
      <w:r w:rsidR="00B033EA" w:rsidRPr="00954547">
        <w:rPr>
          <w:lang w:val="en-US"/>
        </w:rPr>
        <w:t xml:space="preserve">must </w:t>
      </w:r>
      <w:r w:rsidR="00C31FC3" w:rsidRPr="00954547">
        <w:rPr>
          <w:lang w:val="en-US"/>
        </w:rPr>
        <w:t xml:space="preserve">eliminate any gender stereotyping or </w:t>
      </w:r>
      <w:r w:rsidR="00B033EA" w:rsidRPr="00954547">
        <w:rPr>
          <w:lang w:val="en-US"/>
        </w:rPr>
        <w:t>bias</w:t>
      </w:r>
      <w:r w:rsidR="00C31FC3" w:rsidRPr="00954547">
        <w:rPr>
          <w:lang w:val="en-US"/>
        </w:rPr>
        <w:t xml:space="preserve"> in order to truly guarantee the presumption of innocence of the woman who is being investigated. In such cases, the professional defense to which the Court has referred extensively in its case law is a right that the State must ensure from the very outset, ensuring that this defense incorporates a gender perspective and is provided with enhanced due diligence.</w:t>
      </w:r>
      <w:r w:rsidR="005B47F3" w:rsidRPr="00954547">
        <w:rPr>
          <w:vertAlign w:val="superscript"/>
          <w:lang w:val="en-US"/>
        </w:rPr>
        <w:footnoteReference w:id="555"/>
      </w:r>
      <w:bookmarkEnd w:id="224"/>
    </w:p>
    <w:p w14:paraId="61A653FB" w14:textId="77777777" w:rsidR="00C31FC3" w:rsidRPr="00954547" w:rsidRDefault="00C31FC3" w:rsidP="00C31FC3">
      <w:pPr>
        <w:pStyle w:val="ListParagraph"/>
        <w:numPr>
          <w:ilvl w:val="0"/>
          <w:numId w:val="0"/>
        </w:numPr>
        <w:shd w:val="clear" w:color="auto" w:fill="FFFFFF"/>
        <w:suppressAutoHyphens/>
        <w:spacing w:before="0" w:after="0"/>
        <w:textDirection w:val="btLr"/>
        <w:textAlignment w:val="top"/>
        <w:outlineLvl w:val="0"/>
        <w:rPr>
          <w:lang w:val="en-US"/>
        </w:rPr>
      </w:pPr>
    </w:p>
    <w:p w14:paraId="29DED721" w14:textId="172F2081" w:rsidR="00C31FC3" w:rsidRPr="00954547" w:rsidRDefault="00C31FC3"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5" w:name="_Toc106353969"/>
      <w:r w:rsidRPr="00954547">
        <w:rPr>
          <w:lang w:val="en-US"/>
        </w:rPr>
        <w:t>I also take advantage of this opinion to make a brief mention of the importance of the 2030 Agenda and its Sustainable Development Goals, the main purpose of which is to “leave no one behind.” The 2030 Agenda responds to a rights approach in development policies and strategies, and its content recognizes that development is a human right that can be demanded of governments and that development policies must be based on human rights. Human rights are an essential element in the design of development policies and strategies.</w:t>
      </w:r>
      <w:bookmarkEnd w:id="225"/>
    </w:p>
    <w:p w14:paraId="1647BAE0" w14:textId="77777777" w:rsidR="0012723E" w:rsidRPr="00954547" w:rsidRDefault="0012723E" w:rsidP="0012723E">
      <w:pPr>
        <w:pStyle w:val="ListParagraph"/>
        <w:numPr>
          <w:ilvl w:val="0"/>
          <w:numId w:val="0"/>
        </w:numPr>
        <w:spacing w:before="0" w:after="0"/>
        <w:rPr>
          <w:lang w:val="en-US"/>
        </w:rPr>
      </w:pPr>
    </w:p>
    <w:p w14:paraId="29095638" w14:textId="2B7A7BA2" w:rsidR="0012723E" w:rsidRPr="00954547" w:rsidRDefault="0012723E"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6" w:name="_Toc106353970"/>
      <w:r w:rsidRPr="00954547">
        <w:rPr>
          <w:lang w:val="en-US"/>
        </w:rPr>
        <w:t xml:space="preserve">Point 35 of the Declaration that precedes the goals affirms that: “Sustainable development cannot be realized without peace and security; and peace and security will be at risk without sustainable development. The new Agenda recognizes the need to build peaceful, just and inclusive societies that provide equal access to justice and that </w:t>
      </w:r>
      <w:r w:rsidRPr="00954547">
        <w:rPr>
          <w:b/>
          <w:bCs/>
          <w:lang w:val="en-US"/>
        </w:rPr>
        <w:t>are based on respect for human rights (including the right to development), on effective rule of law</w:t>
      </w:r>
      <w:r w:rsidRPr="00954547">
        <w:rPr>
          <w:lang w:val="en-US"/>
        </w:rPr>
        <w:t xml:space="preserve"> and good governance at all levels and on transparent, effective and accountable institutions […]” (bold added).</w:t>
      </w:r>
      <w:bookmarkEnd w:id="226"/>
    </w:p>
    <w:p w14:paraId="35235F3C" w14:textId="77777777" w:rsidR="0012723E" w:rsidRPr="00954547" w:rsidRDefault="0012723E" w:rsidP="0012723E">
      <w:pPr>
        <w:pStyle w:val="ListParagraph"/>
        <w:numPr>
          <w:ilvl w:val="0"/>
          <w:numId w:val="0"/>
        </w:numPr>
        <w:shd w:val="clear" w:color="auto" w:fill="FFFFFF"/>
        <w:suppressAutoHyphens/>
        <w:spacing w:before="0" w:after="0"/>
        <w:textDirection w:val="btLr"/>
        <w:textAlignment w:val="top"/>
        <w:outlineLvl w:val="0"/>
        <w:rPr>
          <w:lang w:val="en-US"/>
        </w:rPr>
      </w:pPr>
    </w:p>
    <w:p w14:paraId="7127F14D" w14:textId="5E05C581" w:rsidR="005B47F3" w:rsidRPr="00954547" w:rsidRDefault="0012723E"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7" w:name="_Toc106353971"/>
      <w:r w:rsidRPr="00954547">
        <w:rPr>
          <w:lang w:val="en-US"/>
        </w:rPr>
        <w:t xml:space="preserve">This relationship between human rights and sustainable development is established in the 2030 SDGs as the road map resulting from international consensus to enable people to overcome situations in which their rights are violated, such as those proved in this judgment. </w:t>
      </w:r>
      <w:r w:rsidR="009E73E8" w:rsidRPr="00954547">
        <w:rPr>
          <w:lang w:val="en-US"/>
        </w:rPr>
        <w:t>It is Goal 16 that reflects this relationship, promoting the rule of law at the national and international levels (16.3); the development of effective, accountable and transparent institutions (16.6); public access to information and protection of fundamental freedoms (16.10), and the promotion and enforcement of non-discriminatory law and policies for sustainable development (16.b).</w:t>
      </w:r>
      <w:bookmarkEnd w:id="227"/>
    </w:p>
    <w:p w14:paraId="4F31B0B4" w14:textId="77777777" w:rsidR="009E73E8" w:rsidRPr="00954547" w:rsidRDefault="009E73E8" w:rsidP="009E73E8">
      <w:pPr>
        <w:pStyle w:val="ListParagraph"/>
        <w:numPr>
          <w:ilvl w:val="0"/>
          <w:numId w:val="0"/>
        </w:numPr>
        <w:spacing w:before="0" w:after="0"/>
        <w:rPr>
          <w:lang w:val="en-US"/>
        </w:rPr>
      </w:pPr>
    </w:p>
    <w:p w14:paraId="375B0A0E" w14:textId="4B9B069C" w:rsidR="009E73E8" w:rsidRPr="00954547" w:rsidRDefault="009E73E8"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8" w:name="_Toc106353972"/>
      <w:r w:rsidRPr="00954547">
        <w:rPr>
          <w:lang w:val="en-US"/>
        </w:rPr>
        <w:t>The situation in the instant case is related, in particular, to Goals: 1. “End poverty in all its forms everywhere”; 5. Achieve gender equality and empower all women and girls”; 8. “... sustainable economic growth ... and decent work for all”; 10. “Reduce inequality,” and 16. Promote peace, justice and inclusive institutions.</w:t>
      </w:r>
      <w:bookmarkEnd w:id="228"/>
    </w:p>
    <w:p w14:paraId="1FF49352" w14:textId="77777777" w:rsidR="009E73E8" w:rsidRPr="00954547" w:rsidRDefault="009E73E8" w:rsidP="009E73E8">
      <w:pPr>
        <w:pStyle w:val="ListParagraph"/>
        <w:numPr>
          <w:ilvl w:val="0"/>
          <w:numId w:val="0"/>
        </w:numPr>
        <w:spacing w:before="0" w:after="0"/>
        <w:rPr>
          <w:lang w:val="en-US"/>
        </w:rPr>
      </w:pPr>
    </w:p>
    <w:p w14:paraId="2E96F339" w14:textId="474327B6" w:rsidR="009E73E8" w:rsidRPr="00954547" w:rsidRDefault="009E73E8"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29" w:name="_Toc106353973"/>
      <w:r w:rsidRPr="00954547">
        <w:rPr>
          <w:lang w:val="en-US"/>
        </w:rPr>
        <w:t>The violations of the rights proved in this case require the State to act with the utmost diligence in the execution of its obligations to ensure and to respect the human rights that were violated (Art. 1(1) of the Convention) and to adopt the measures established in this judgment, requesting the appropriate international cooperation in order to comply with them (Art. 2 of the Convention).</w:t>
      </w:r>
      <w:bookmarkEnd w:id="229"/>
    </w:p>
    <w:p w14:paraId="76574FAC" w14:textId="77777777" w:rsidR="009E73E8" w:rsidRPr="00954547" w:rsidRDefault="009E73E8" w:rsidP="009E73E8">
      <w:pPr>
        <w:pStyle w:val="ListParagraph"/>
        <w:numPr>
          <w:ilvl w:val="0"/>
          <w:numId w:val="0"/>
        </w:numPr>
        <w:shd w:val="clear" w:color="auto" w:fill="FFFFFF"/>
        <w:suppressAutoHyphens/>
        <w:spacing w:before="0" w:after="0"/>
        <w:textDirection w:val="btLr"/>
        <w:textAlignment w:val="top"/>
        <w:outlineLvl w:val="0"/>
        <w:rPr>
          <w:lang w:val="en-US"/>
        </w:rPr>
      </w:pPr>
    </w:p>
    <w:p w14:paraId="059DE47C" w14:textId="4A4F05B4" w:rsidR="00106A2B" w:rsidRPr="00954547" w:rsidRDefault="00106A2B" w:rsidP="000365EC">
      <w:pPr>
        <w:pStyle w:val="ListParagraph"/>
        <w:numPr>
          <w:ilvl w:val="0"/>
          <w:numId w:val="22"/>
        </w:numPr>
        <w:shd w:val="clear" w:color="auto" w:fill="FFFFFF"/>
        <w:tabs>
          <w:tab w:val="left" w:pos="540"/>
        </w:tabs>
        <w:suppressAutoHyphens/>
        <w:spacing w:before="0" w:after="0"/>
        <w:ind w:left="720"/>
        <w:textDirection w:val="btLr"/>
        <w:textAlignment w:val="top"/>
        <w:outlineLvl w:val="0"/>
        <w:rPr>
          <w:b/>
          <w:bCs/>
          <w:lang w:val="en-US"/>
        </w:rPr>
      </w:pPr>
      <w:bookmarkStart w:id="230" w:name="_Toc106353974"/>
      <w:r w:rsidRPr="00954547">
        <w:rPr>
          <w:b/>
          <w:bCs/>
          <w:lang w:val="en-US"/>
        </w:rPr>
        <w:t>CONCLUSION</w:t>
      </w:r>
      <w:bookmarkEnd w:id="230"/>
    </w:p>
    <w:p w14:paraId="2BE6A4DA" w14:textId="77777777" w:rsidR="009E73E8" w:rsidRPr="00954547" w:rsidRDefault="009E73E8" w:rsidP="009E73E8">
      <w:pPr>
        <w:pStyle w:val="ListParagraph"/>
        <w:numPr>
          <w:ilvl w:val="0"/>
          <w:numId w:val="0"/>
        </w:numPr>
        <w:shd w:val="clear" w:color="auto" w:fill="FFFFFF"/>
        <w:suppressAutoHyphens/>
        <w:spacing w:before="0" w:after="0"/>
        <w:ind w:left="1080"/>
        <w:textDirection w:val="btLr"/>
        <w:textAlignment w:val="top"/>
        <w:outlineLvl w:val="0"/>
        <w:rPr>
          <w:b/>
          <w:bCs/>
          <w:lang w:val="en-US"/>
        </w:rPr>
      </w:pPr>
    </w:p>
    <w:p w14:paraId="634BFC0E" w14:textId="09BB79B9" w:rsidR="009E73E8" w:rsidRPr="00954547" w:rsidRDefault="00106A2B"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31" w:name="_Toc106353975"/>
      <w:r w:rsidRPr="00954547">
        <w:rPr>
          <w:lang w:val="en-US"/>
        </w:rPr>
        <w:t xml:space="preserve">Manuela, </w:t>
      </w:r>
      <w:r w:rsidR="009E73E8" w:rsidRPr="00954547">
        <w:rPr>
          <w:lang w:val="en-US"/>
        </w:rPr>
        <w:t xml:space="preserve">a poor </w:t>
      </w:r>
      <w:r w:rsidR="00B033EA" w:rsidRPr="00954547">
        <w:rPr>
          <w:lang w:val="en-US"/>
        </w:rPr>
        <w:t>y</w:t>
      </w:r>
      <w:r w:rsidR="009E73E8" w:rsidRPr="00954547">
        <w:rPr>
          <w:lang w:val="en-US"/>
        </w:rPr>
        <w:t xml:space="preserve">oung woman who lived with her parents and two sons, became pregnant and suffered preeclampsia, </w:t>
      </w:r>
      <w:r w:rsidR="002017A8" w:rsidRPr="00954547">
        <w:rPr>
          <w:lang w:val="en-US"/>
        </w:rPr>
        <w:t>the condition in which her delivery took place. Owing to her health situation, he</w:t>
      </w:r>
      <w:r w:rsidR="00B033EA" w:rsidRPr="00954547">
        <w:rPr>
          <w:lang w:val="en-US"/>
        </w:rPr>
        <w:t xml:space="preserve">r </w:t>
      </w:r>
      <w:r w:rsidR="002017A8" w:rsidRPr="00954547">
        <w:rPr>
          <w:lang w:val="en-US"/>
        </w:rPr>
        <w:t xml:space="preserve">father took her to a hospital in which priority was given to reporting an offense, rather than the immediate need of treating her health situation. To the </w:t>
      </w:r>
      <w:r w:rsidR="009D6B17" w:rsidRPr="00954547">
        <w:rPr>
          <w:lang w:val="en-US"/>
        </w:rPr>
        <w:t>extent</w:t>
      </w:r>
      <w:r w:rsidR="002017A8" w:rsidRPr="00954547">
        <w:rPr>
          <w:lang w:val="en-US"/>
        </w:rPr>
        <w:t xml:space="preserve"> that the disease that finally resulted in her death was not detected.</w:t>
      </w:r>
      <w:bookmarkEnd w:id="231"/>
    </w:p>
    <w:p w14:paraId="19E746F6" w14:textId="77777777" w:rsidR="00106A2B" w:rsidRPr="00954547" w:rsidRDefault="00106A2B" w:rsidP="00106A2B">
      <w:pPr>
        <w:pStyle w:val="ListParagraph"/>
        <w:numPr>
          <w:ilvl w:val="0"/>
          <w:numId w:val="0"/>
        </w:numPr>
        <w:shd w:val="clear" w:color="auto" w:fill="FFFFFF"/>
        <w:suppressAutoHyphens/>
        <w:spacing w:before="0" w:after="0"/>
        <w:textDirection w:val="btLr"/>
        <w:textAlignment w:val="top"/>
        <w:outlineLvl w:val="0"/>
        <w:rPr>
          <w:lang w:val="en-US"/>
        </w:rPr>
      </w:pPr>
    </w:p>
    <w:p w14:paraId="690C33B8" w14:textId="1F78A927" w:rsidR="00106A2B" w:rsidRPr="00954547" w:rsidRDefault="002017A8"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32" w:name="_Toc106353976"/>
      <w:r w:rsidRPr="00954547">
        <w:rPr>
          <w:lang w:val="en-US"/>
        </w:rPr>
        <w:t>She was handcu</w:t>
      </w:r>
      <w:r w:rsidR="00F00ACF" w:rsidRPr="00954547">
        <w:rPr>
          <w:lang w:val="en-US"/>
        </w:rPr>
        <w:t>ff</w:t>
      </w:r>
      <w:r w:rsidRPr="00954547">
        <w:rPr>
          <w:lang w:val="en-US"/>
        </w:rPr>
        <w:t>ed to a bed, and subject</w:t>
      </w:r>
      <w:r w:rsidR="009D6B17" w:rsidRPr="00954547">
        <w:rPr>
          <w:lang w:val="en-US"/>
        </w:rPr>
        <w:t>ed</w:t>
      </w:r>
      <w:r w:rsidRPr="00954547">
        <w:rPr>
          <w:lang w:val="en-US"/>
        </w:rPr>
        <w:t xml:space="preserve"> to </w:t>
      </w:r>
      <w:r w:rsidR="009D6B17" w:rsidRPr="00954547">
        <w:rPr>
          <w:lang w:val="en-US"/>
        </w:rPr>
        <w:t xml:space="preserve">a </w:t>
      </w:r>
      <w:r w:rsidRPr="00954547">
        <w:rPr>
          <w:lang w:val="en-US"/>
        </w:rPr>
        <w:t xml:space="preserve">criminal </w:t>
      </w:r>
      <w:r w:rsidR="009D6B17" w:rsidRPr="00954547">
        <w:rPr>
          <w:lang w:val="en-US"/>
        </w:rPr>
        <w:t>trial</w:t>
      </w:r>
      <w:r w:rsidRPr="00954547">
        <w:rPr>
          <w:lang w:val="en-US"/>
        </w:rPr>
        <w:t xml:space="preserve"> that </w:t>
      </w:r>
      <w:r w:rsidR="00F00ACF" w:rsidRPr="00954547">
        <w:rPr>
          <w:lang w:val="en-US"/>
        </w:rPr>
        <w:t>culminated</w:t>
      </w:r>
      <w:r w:rsidRPr="00954547">
        <w:rPr>
          <w:lang w:val="en-US"/>
        </w:rPr>
        <w:t xml:space="preserve"> in a sentence of 30 years’ imprisonment, without </w:t>
      </w:r>
      <w:r w:rsidR="009D6B17" w:rsidRPr="00954547">
        <w:rPr>
          <w:lang w:val="en-US"/>
        </w:rPr>
        <w:t xml:space="preserve">observing </w:t>
      </w:r>
      <w:r w:rsidRPr="00954547">
        <w:rPr>
          <w:lang w:val="en-US"/>
        </w:rPr>
        <w:t xml:space="preserve">the guarantee of the </w:t>
      </w:r>
      <w:r w:rsidR="00106A2B" w:rsidRPr="00954547">
        <w:rPr>
          <w:lang w:val="en-US"/>
        </w:rPr>
        <w:t>presumption of</w:t>
      </w:r>
      <w:r w:rsidRPr="00954547">
        <w:rPr>
          <w:lang w:val="en-US"/>
        </w:rPr>
        <w:t xml:space="preserve"> her</w:t>
      </w:r>
      <w:r w:rsidR="00106A2B" w:rsidRPr="00954547">
        <w:rPr>
          <w:lang w:val="en-US"/>
        </w:rPr>
        <w:t xml:space="preserve"> innocence</w:t>
      </w:r>
      <w:r w:rsidR="009D6B17" w:rsidRPr="00954547">
        <w:rPr>
          <w:lang w:val="en-US"/>
        </w:rPr>
        <w:t xml:space="preserve"> and </w:t>
      </w:r>
      <w:r w:rsidRPr="00954547">
        <w:rPr>
          <w:lang w:val="en-US"/>
        </w:rPr>
        <w:t xml:space="preserve">without respecting her right to a proper defense and an impartial judge, because the judgment convicting her is full of detrimental gender stereotypes that </w:t>
      </w:r>
      <w:r w:rsidR="00DC1839" w:rsidRPr="00954547">
        <w:rPr>
          <w:lang w:val="en-US"/>
        </w:rPr>
        <w:t>increase</w:t>
      </w:r>
      <w:r w:rsidR="009D6B17" w:rsidRPr="00954547">
        <w:rPr>
          <w:lang w:val="en-US"/>
        </w:rPr>
        <w:t>d</w:t>
      </w:r>
      <w:r w:rsidR="00DC1839" w:rsidRPr="00954547">
        <w:rPr>
          <w:lang w:val="en-US"/>
        </w:rPr>
        <w:t xml:space="preserve"> her numerous vulnerabilities. </w:t>
      </w:r>
      <w:r w:rsidR="00106A2B" w:rsidRPr="00954547">
        <w:rPr>
          <w:lang w:val="en-US"/>
        </w:rPr>
        <w:t xml:space="preserve">Manuela </w:t>
      </w:r>
      <w:r w:rsidR="009D6B17" w:rsidRPr="00954547">
        <w:rPr>
          <w:lang w:val="en-US"/>
        </w:rPr>
        <w:t>was</w:t>
      </w:r>
      <w:r w:rsidR="00DC1839" w:rsidRPr="00954547">
        <w:rPr>
          <w:lang w:val="en-US"/>
        </w:rPr>
        <w:t xml:space="preserve"> discriminated against from the moment that she require</w:t>
      </w:r>
      <w:r w:rsidR="009D6B17" w:rsidRPr="00954547">
        <w:rPr>
          <w:lang w:val="en-US"/>
        </w:rPr>
        <w:t>d</w:t>
      </w:r>
      <w:r w:rsidR="00DC1839" w:rsidRPr="00954547">
        <w:rPr>
          <w:lang w:val="en-US"/>
        </w:rPr>
        <w:t xml:space="preserve"> medical attention and she obtain</w:t>
      </w:r>
      <w:r w:rsidR="009D6B17" w:rsidRPr="00954547">
        <w:rPr>
          <w:lang w:val="en-US"/>
        </w:rPr>
        <w:t>ed</w:t>
      </w:r>
      <w:r w:rsidR="00DC1839" w:rsidRPr="00954547">
        <w:rPr>
          <w:lang w:val="en-US"/>
        </w:rPr>
        <w:t xml:space="preserve"> neither health nor justice from the State.</w:t>
      </w:r>
      <w:bookmarkEnd w:id="232"/>
      <w:r w:rsidR="00DC1839" w:rsidRPr="00954547">
        <w:rPr>
          <w:lang w:val="en-US"/>
        </w:rPr>
        <w:t xml:space="preserve"> </w:t>
      </w:r>
    </w:p>
    <w:p w14:paraId="6912C9D6" w14:textId="77777777" w:rsidR="00DC1839" w:rsidRPr="00954547" w:rsidRDefault="00DC1839" w:rsidP="00DC1839">
      <w:pPr>
        <w:pStyle w:val="ListParagraph"/>
        <w:numPr>
          <w:ilvl w:val="0"/>
          <w:numId w:val="0"/>
        </w:numPr>
        <w:spacing w:before="0" w:after="0"/>
        <w:rPr>
          <w:lang w:val="en-US"/>
        </w:rPr>
      </w:pPr>
    </w:p>
    <w:p w14:paraId="61379F70" w14:textId="22CA3B95" w:rsidR="00DC1839" w:rsidRPr="00954547" w:rsidRDefault="00DC1839"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33" w:name="_Toc106353977"/>
      <w:r w:rsidRPr="00954547">
        <w:rPr>
          <w:lang w:val="en-US"/>
        </w:rPr>
        <w:t>The request for medical attention resulted in the immediate activation of the criminal system, an absolutely disproportionate response by the State that violated</w:t>
      </w:r>
      <w:r w:rsidR="00106A2B" w:rsidRPr="00954547">
        <w:rPr>
          <w:lang w:val="en-US"/>
        </w:rPr>
        <w:t xml:space="preserve"> Article 5(2) of the American Convention: </w:t>
      </w:r>
      <w:r w:rsidRPr="00954547">
        <w:rPr>
          <w:lang w:val="en-US"/>
        </w:rPr>
        <w:t>she was given the minimum legal sentence established in the laws of El Salvador: 30 years’ imprisonment.</w:t>
      </w:r>
      <w:bookmarkEnd w:id="233"/>
      <w:r w:rsidRPr="00954547">
        <w:rPr>
          <w:lang w:val="en-US"/>
        </w:rPr>
        <w:t xml:space="preserve"> </w:t>
      </w:r>
    </w:p>
    <w:p w14:paraId="0AE3D38E" w14:textId="77777777" w:rsidR="00DC1839" w:rsidRPr="00954547" w:rsidRDefault="00DC1839" w:rsidP="00DC1839">
      <w:pPr>
        <w:pStyle w:val="ListParagraph"/>
        <w:numPr>
          <w:ilvl w:val="0"/>
          <w:numId w:val="0"/>
        </w:numPr>
        <w:shd w:val="clear" w:color="auto" w:fill="FFFFFF"/>
        <w:suppressAutoHyphens/>
        <w:spacing w:before="0" w:after="0"/>
        <w:textDirection w:val="btLr"/>
        <w:textAlignment w:val="top"/>
        <w:outlineLvl w:val="0"/>
        <w:rPr>
          <w:lang w:val="en-US"/>
        </w:rPr>
      </w:pPr>
    </w:p>
    <w:p w14:paraId="7F3AAB26" w14:textId="56A68B9B" w:rsidR="00DC1839" w:rsidRPr="00954547" w:rsidRDefault="00DC1839"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34" w:name="_Toc106353978"/>
      <w:r w:rsidRPr="00954547">
        <w:rPr>
          <w:lang w:val="en-US"/>
        </w:rPr>
        <w:t xml:space="preserve">As most of the victims, Manuela was rendered invisible: first, during the criminal </w:t>
      </w:r>
      <w:r w:rsidR="009D6B17" w:rsidRPr="00954547">
        <w:rPr>
          <w:lang w:val="en-US"/>
        </w:rPr>
        <w:t>trial</w:t>
      </w:r>
      <w:r w:rsidRPr="00954547">
        <w:rPr>
          <w:lang w:val="en-US"/>
        </w:rPr>
        <w:t xml:space="preserve"> </w:t>
      </w:r>
      <w:r w:rsidR="009D6B17" w:rsidRPr="00954547">
        <w:rPr>
          <w:lang w:val="en-US"/>
        </w:rPr>
        <w:t>during</w:t>
      </w:r>
      <w:r w:rsidRPr="00954547">
        <w:rPr>
          <w:lang w:val="en-US"/>
        </w:rPr>
        <w:t xml:space="preserve"> which she was not heard and those who had the duty to exercise her defense adopted an irresponsible attitude of passivity; second, by judges who </w:t>
      </w:r>
      <w:r w:rsidR="006D0BE1" w:rsidRPr="00954547">
        <w:rPr>
          <w:lang w:val="en-US"/>
        </w:rPr>
        <w:t xml:space="preserve">based themselves on detrimental gender stereotypes without addressing her particular circumstances, and third by a prison system that did not </w:t>
      </w:r>
      <w:r w:rsidR="009D6B17" w:rsidRPr="00954547">
        <w:rPr>
          <w:lang w:val="en-US"/>
        </w:rPr>
        <w:t>provide attention for</w:t>
      </w:r>
      <w:r w:rsidR="006D0BE1" w:rsidRPr="00954547">
        <w:rPr>
          <w:lang w:val="en-US"/>
        </w:rPr>
        <w:t xml:space="preserve"> a disease that finally led to her death.</w:t>
      </w:r>
      <w:bookmarkEnd w:id="234"/>
    </w:p>
    <w:p w14:paraId="752F7F27" w14:textId="77777777" w:rsidR="006D0BE1" w:rsidRPr="00954547" w:rsidRDefault="006D0BE1" w:rsidP="006D0BE1">
      <w:pPr>
        <w:pStyle w:val="ListParagraph"/>
        <w:numPr>
          <w:ilvl w:val="0"/>
          <w:numId w:val="0"/>
        </w:numPr>
        <w:spacing w:before="0" w:after="0"/>
        <w:rPr>
          <w:lang w:val="en-US"/>
        </w:rPr>
      </w:pPr>
    </w:p>
    <w:p w14:paraId="402C1435" w14:textId="7D80E95E" w:rsidR="00143D97" w:rsidRPr="00954547" w:rsidRDefault="00A151A2" w:rsidP="000365EC">
      <w:pPr>
        <w:pStyle w:val="ListParagraph"/>
        <w:numPr>
          <w:ilvl w:val="3"/>
          <w:numId w:val="18"/>
        </w:numPr>
        <w:shd w:val="clear" w:color="auto" w:fill="FFFFFF"/>
        <w:suppressAutoHyphens/>
        <w:spacing w:before="0" w:after="0"/>
        <w:ind w:left="0" w:firstLine="0"/>
        <w:textDirection w:val="btLr"/>
        <w:textAlignment w:val="top"/>
        <w:outlineLvl w:val="0"/>
        <w:rPr>
          <w:lang w:val="en-US"/>
        </w:rPr>
      </w:pPr>
      <w:bookmarkStart w:id="235" w:name="_Toc106353979"/>
      <w:r w:rsidRPr="00954547">
        <w:rPr>
          <w:lang w:val="en-US"/>
        </w:rPr>
        <w:t xml:space="preserve">I would like to emphasize, in particular, the situation of Manuela’s two sons, today adults, who were victims of the loss of their mother, and whose rights were also violated in this case, especially </w:t>
      </w:r>
      <w:r w:rsidR="00143D97" w:rsidRPr="00954547">
        <w:rPr>
          <w:lang w:val="en-US"/>
        </w:rPr>
        <w:t xml:space="preserve">the right to </w:t>
      </w:r>
      <w:r w:rsidRPr="00954547">
        <w:rPr>
          <w:lang w:val="en-US"/>
        </w:rPr>
        <w:t>li</w:t>
      </w:r>
      <w:r w:rsidR="009D6B17" w:rsidRPr="00954547">
        <w:rPr>
          <w:lang w:val="en-US"/>
        </w:rPr>
        <w:t>ve</w:t>
      </w:r>
      <w:r w:rsidRPr="00954547">
        <w:rPr>
          <w:lang w:val="en-US"/>
        </w:rPr>
        <w:t xml:space="preserve"> with their mother and the special protection that their status as children required under </w:t>
      </w:r>
      <w:r w:rsidR="00143D97" w:rsidRPr="00954547">
        <w:rPr>
          <w:lang w:val="en-US"/>
        </w:rPr>
        <w:t>Articles 17 and 19 of the American Convention.</w:t>
      </w:r>
      <w:r w:rsidRPr="00954547">
        <w:rPr>
          <w:lang w:val="en-US"/>
        </w:rPr>
        <w:t xml:space="preserve"> They were also victims who were made invisible in this case:</w:t>
      </w:r>
      <w:bookmarkEnd w:id="235"/>
    </w:p>
    <w:p w14:paraId="7B3F4E5E" w14:textId="456BC7E0" w:rsidR="00106A2B" w:rsidRPr="00954547" w:rsidRDefault="00106A2B" w:rsidP="00A151A2">
      <w:pPr>
        <w:pStyle w:val="ListParagraph"/>
        <w:numPr>
          <w:ilvl w:val="0"/>
          <w:numId w:val="0"/>
        </w:numPr>
        <w:shd w:val="clear" w:color="auto" w:fill="FFFFFF"/>
        <w:suppressAutoHyphens/>
        <w:spacing w:before="0" w:after="0"/>
        <w:textDirection w:val="btLr"/>
        <w:textAlignment w:val="top"/>
        <w:outlineLvl w:val="0"/>
        <w:rPr>
          <w:lang w:val="en-US"/>
        </w:rPr>
      </w:pPr>
    </w:p>
    <w:p w14:paraId="4C8803A2" w14:textId="1178F062" w:rsidR="005B47F3" w:rsidRPr="00954547" w:rsidRDefault="003F2382" w:rsidP="006F715C">
      <w:pPr>
        <w:pStyle w:val="ListParagraph"/>
        <w:widowControl w:val="0"/>
        <w:numPr>
          <w:ilvl w:val="0"/>
          <w:numId w:val="0"/>
        </w:numPr>
        <w:tabs>
          <w:tab w:val="left" w:pos="718"/>
          <w:tab w:val="left" w:pos="719"/>
        </w:tabs>
        <w:autoSpaceDE w:val="0"/>
        <w:autoSpaceDN w:val="0"/>
        <w:spacing w:before="0" w:after="0"/>
        <w:ind w:left="540" w:right="430"/>
        <w:rPr>
          <w:lang w:val="en-US"/>
        </w:rPr>
      </w:pPr>
      <w:r w:rsidRPr="00954547">
        <w:rPr>
          <w:lang w:val="en-US"/>
        </w:rPr>
        <w:tab/>
      </w:r>
      <w:r w:rsidR="005B47F3" w:rsidRPr="00954547">
        <w:rPr>
          <w:lang w:val="en-US"/>
        </w:rPr>
        <w:t>“</w:t>
      </w:r>
      <w:r w:rsidR="00620DC0" w:rsidRPr="00954547">
        <w:rPr>
          <w:lang w:val="en-US"/>
        </w:rPr>
        <w:t>Manuela’s elder son stated that, when he went to visit his mother in the San Miguel prison, he “wanted to talk to her more, to be able to tell her more, but he could not because there was a police agent present during the visit and this frightened him. This situation did not allow him to tell his mother that he missed her, and this was very difficult for him. […] It still hurts him to relive that moment because it is the last memory he has of her.” He also indicated that he found it “very hard to grow up without his mother; […h]e misses her love […]. Even though he has few memories of her, he misses her and would like to have her in his life to talk to her and receive her advice</w:t>
      </w:r>
      <w:r w:rsidR="006F715C" w:rsidRPr="00954547">
        <w:rPr>
          <w:lang w:val="en-US"/>
        </w:rPr>
        <w:t>.” Meanwhile, Manuela’s younger son stated that “[i]t was painful and complicated to grow up without a mother. His life was different from that of other children owing to her absence and because he did not have her guidance. […] He feels anger and frustration when thinking of the humiliations that his mother endured”</w:t>
      </w:r>
      <w:r w:rsidR="005B47F3" w:rsidRPr="00954547">
        <w:rPr>
          <w:lang w:val="en-US"/>
        </w:rPr>
        <w:t xml:space="preserve"> (</w:t>
      </w:r>
      <w:r w:rsidR="00DE2B6D" w:rsidRPr="00954547">
        <w:rPr>
          <w:lang w:val="en-US"/>
        </w:rPr>
        <w:t xml:space="preserve">paragraph </w:t>
      </w:r>
      <w:r w:rsidR="005B47F3" w:rsidRPr="00954547">
        <w:rPr>
          <w:lang w:val="en-US"/>
        </w:rPr>
        <w:t>264).</w:t>
      </w:r>
    </w:p>
    <w:p w14:paraId="190028DC" w14:textId="77777777" w:rsidR="005B47F3" w:rsidRPr="00954547" w:rsidRDefault="005B47F3" w:rsidP="00B2127F">
      <w:pPr>
        <w:pStyle w:val="ListParagraph"/>
        <w:widowControl w:val="0"/>
        <w:numPr>
          <w:ilvl w:val="0"/>
          <w:numId w:val="0"/>
        </w:numPr>
        <w:tabs>
          <w:tab w:val="left" w:pos="718"/>
          <w:tab w:val="left" w:pos="719"/>
        </w:tabs>
        <w:autoSpaceDE w:val="0"/>
        <w:autoSpaceDN w:val="0"/>
        <w:spacing w:before="1" w:after="0"/>
        <w:ind w:left="540" w:right="430"/>
        <w:rPr>
          <w:lang w:val="en-US"/>
        </w:rPr>
      </w:pPr>
    </w:p>
    <w:p w14:paraId="56839AA2" w14:textId="189971DB" w:rsidR="00DE2B6D" w:rsidRPr="00954547" w:rsidRDefault="005B47F3" w:rsidP="003F2382">
      <w:pPr>
        <w:pStyle w:val="ListParagraph"/>
        <w:widowControl w:val="0"/>
        <w:numPr>
          <w:ilvl w:val="0"/>
          <w:numId w:val="0"/>
        </w:numPr>
        <w:tabs>
          <w:tab w:val="left" w:pos="718"/>
          <w:tab w:val="left" w:pos="719"/>
        </w:tabs>
        <w:autoSpaceDE w:val="0"/>
        <w:autoSpaceDN w:val="0"/>
        <w:spacing w:before="1" w:after="0"/>
        <w:rPr>
          <w:lang w:val="en-US"/>
        </w:rPr>
      </w:pPr>
      <w:r w:rsidRPr="00954547">
        <w:rPr>
          <w:lang w:val="en-US"/>
        </w:rPr>
        <w:t>3</w:t>
      </w:r>
      <w:r w:rsidR="00DE2B6D" w:rsidRPr="00954547">
        <w:rPr>
          <w:lang w:val="en-US"/>
        </w:rPr>
        <w:t xml:space="preserve">9. </w:t>
      </w:r>
      <w:r w:rsidRPr="00954547">
        <w:rPr>
          <w:lang w:val="en-US"/>
        </w:rPr>
        <w:t xml:space="preserve"> </w:t>
      </w:r>
      <w:r w:rsidR="00DE2B6D" w:rsidRPr="00954547">
        <w:rPr>
          <w:lang w:val="en-US"/>
        </w:rPr>
        <w:t>In summary, in this case, the victims, Manuela and her sons above all, suffered the consequences of the State’s actions which condemned them based on structural discrimination against Manuela, who paid with her life for the numerous violations of her rights and, until the end of her life, suffered discrimination and the consequent violation of her rights.</w:t>
      </w:r>
    </w:p>
    <w:p w14:paraId="5EBF592A" w14:textId="4D23A88E" w:rsidR="005B47F3" w:rsidRPr="00954547" w:rsidRDefault="005B47F3" w:rsidP="005B47F3">
      <w:pPr>
        <w:jc w:val="both"/>
        <w:rPr>
          <w:rFonts w:ascii="Verdana" w:hAnsi="Verdana"/>
          <w:sz w:val="20"/>
          <w:szCs w:val="20"/>
        </w:rPr>
      </w:pPr>
      <w:r w:rsidRPr="00954547">
        <w:rPr>
          <w:rFonts w:ascii="Verdana" w:hAnsi="Verdana"/>
          <w:sz w:val="20"/>
          <w:szCs w:val="20"/>
        </w:rPr>
        <w:t xml:space="preserve">  </w:t>
      </w:r>
    </w:p>
    <w:p w14:paraId="6DCC77D9" w14:textId="67AA9433" w:rsidR="005B47F3" w:rsidRPr="00954547" w:rsidRDefault="005B47F3" w:rsidP="00B2127F">
      <w:pPr>
        <w:ind w:left="540"/>
        <w:jc w:val="both"/>
        <w:rPr>
          <w:rFonts w:ascii="Verdana" w:eastAsia="Batang" w:hAnsi="Verdana" w:cs="Times"/>
          <w:sz w:val="20"/>
          <w:szCs w:val="20"/>
        </w:rPr>
      </w:pPr>
    </w:p>
    <w:p w14:paraId="16045600" w14:textId="77777777" w:rsidR="006F715C" w:rsidRPr="00954547" w:rsidRDefault="006F715C" w:rsidP="00B2127F">
      <w:pPr>
        <w:ind w:left="540"/>
        <w:jc w:val="both"/>
        <w:rPr>
          <w:rFonts w:ascii="Verdana" w:eastAsia="Batang" w:hAnsi="Verdana" w:cs="Times"/>
          <w:sz w:val="20"/>
          <w:szCs w:val="20"/>
        </w:rPr>
      </w:pPr>
    </w:p>
    <w:p w14:paraId="581EA6A2" w14:textId="77777777" w:rsidR="005B47F3" w:rsidRPr="00954547" w:rsidRDefault="005B47F3" w:rsidP="005B47F3">
      <w:pPr>
        <w:ind w:left="5761"/>
        <w:jc w:val="both"/>
        <w:rPr>
          <w:rFonts w:ascii="Verdana" w:eastAsia="Batang" w:hAnsi="Verdana" w:cs="Times"/>
          <w:sz w:val="20"/>
          <w:szCs w:val="20"/>
          <w:lang w:val="pt-BR"/>
        </w:rPr>
      </w:pPr>
      <w:r w:rsidRPr="00954547">
        <w:rPr>
          <w:rFonts w:ascii="Verdana" w:eastAsia="Batang" w:hAnsi="Verdana" w:cs="Times"/>
          <w:sz w:val="20"/>
          <w:szCs w:val="20"/>
          <w:lang w:val="pt-BR"/>
        </w:rPr>
        <w:t>Ricardo C. Pérez Manrique</w:t>
      </w:r>
    </w:p>
    <w:p w14:paraId="2AEB76C9" w14:textId="38FA8434" w:rsidR="005B47F3" w:rsidRPr="00954547" w:rsidRDefault="005B47F3" w:rsidP="005B47F3">
      <w:pPr>
        <w:ind w:left="5761"/>
        <w:jc w:val="both"/>
        <w:rPr>
          <w:rFonts w:ascii="Verdana" w:hAnsi="Verdana"/>
          <w:b/>
          <w:sz w:val="20"/>
          <w:szCs w:val="20"/>
          <w:lang w:val="pt-BR"/>
        </w:rPr>
      </w:pPr>
      <w:r w:rsidRPr="00954547">
        <w:rPr>
          <w:rFonts w:ascii="Verdana" w:eastAsia="Batang" w:hAnsi="Verdana" w:cs="Times"/>
          <w:sz w:val="20"/>
          <w:szCs w:val="20"/>
          <w:lang w:val="pt-BR"/>
        </w:rPr>
        <w:t xml:space="preserve">              </w:t>
      </w:r>
      <w:r w:rsidR="00A42A4C" w:rsidRPr="00954547">
        <w:rPr>
          <w:rFonts w:ascii="Verdana" w:eastAsia="Batang" w:hAnsi="Verdana" w:cs="Times"/>
          <w:sz w:val="20"/>
          <w:szCs w:val="20"/>
          <w:lang w:val="pt-BR"/>
        </w:rPr>
        <w:t>Judge</w:t>
      </w:r>
    </w:p>
    <w:p w14:paraId="2638C002" w14:textId="77777777" w:rsidR="005B47F3" w:rsidRPr="00954547" w:rsidRDefault="005B47F3" w:rsidP="005B47F3">
      <w:pPr>
        <w:jc w:val="both"/>
        <w:rPr>
          <w:rFonts w:ascii="Verdana" w:hAnsi="Verdana"/>
          <w:b/>
          <w:sz w:val="20"/>
          <w:szCs w:val="20"/>
          <w:lang w:val="pt-BR"/>
        </w:rPr>
      </w:pPr>
    </w:p>
    <w:p w14:paraId="7A5E6E07" w14:textId="77777777" w:rsidR="006F715C" w:rsidRPr="00954547" w:rsidRDefault="006F715C" w:rsidP="005B47F3">
      <w:pPr>
        <w:ind w:hanging="2"/>
        <w:rPr>
          <w:rFonts w:ascii="Verdana" w:eastAsia="Times" w:hAnsi="Verdana" w:cs="Times"/>
          <w:sz w:val="20"/>
          <w:szCs w:val="20"/>
          <w:lang w:val="pt-BR"/>
        </w:rPr>
      </w:pPr>
    </w:p>
    <w:p w14:paraId="6A2ACF09" w14:textId="3F63FFF0" w:rsidR="005B47F3" w:rsidRPr="00954547" w:rsidRDefault="005B47F3" w:rsidP="005B47F3">
      <w:pPr>
        <w:ind w:hanging="2"/>
        <w:rPr>
          <w:rFonts w:ascii="Verdana" w:eastAsia="Times" w:hAnsi="Verdana" w:cs="Times"/>
          <w:sz w:val="20"/>
          <w:szCs w:val="20"/>
          <w:lang w:val="pt-BR"/>
        </w:rPr>
      </w:pPr>
      <w:r w:rsidRPr="00954547">
        <w:rPr>
          <w:rFonts w:ascii="Verdana" w:eastAsia="Times" w:hAnsi="Verdana" w:cs="Times"/>
          <w:sz w:val="20"/>
          <w:szCs w:val="20"/>
          <w:lang w:val="pt-BR"/>
        </w:rPr>
        <w:t>Pablo Saavedra Alessandri</w:t>
      </w:r>
    </w:p>
    <w:p w14:paraId="05D7F763" w14:textId="0F40D0E5" w:rsidR="00BF4F16" w:rsidRDefault="005B47F3" w:rsidP="007619E6">
      <w:pPr>
        <w:ind w:hanging="2"/>
        <w:rPr>
          <w:rFonts w:ascii="Verdana" w:eastAsia="Times" w:hAnsi="Verdana" w:cs="Times"/>
          <w:sz w:val="20"/>
          <w:szCs w:val="20"/>
        </w:rPr>
      </w:pPr>
      <w:r w:rsidRPr="00954547">
        <w:rPr>
          <w:rFonts w:ascii="Verdana" w:eastAsia="Times" w:hAnsi="Verdana" w:cs="Times"/>
          <w:sz w:val="20"/>
          <w:szCs w:val="20"/>
          <w:lang w:val="pt-BR"/>
        </w:rPr>
        <w:t xml:space="preserve">            </w:t>
      </w:r>
      <w:r w:rsidR="00A42A4C" w:rsidRPr="00954547">
        <w:rPr>
          <w:rFonts w:ascii="Verdana" w:eastAsia="Times" w:hAnsi="Verdana" w:cs="Times"/>
          <w:sz w:val="20"/>
          <w:szCs w:val="20"/>
        </w:rPr>
        <w:t>Secretary</w:t>
      </w:r>
      <w:r w:rsidRPr="004148F5">
        <w:rPr>
          <w:rFonts w:ascii="Verdana" w:eastAsia="Times" w:hAnsi="Verdana" w:cs="Times"/>
          <w:sz w:val="20"/>
          <w:szCs w:val="20"/>
        </w:rPr>
        <w:t xml:space="preserve"> </w:t>
      </w:r>
    </w:p>
    <w:p w14:paraId="2F640410" w14:textId="1ED0A657" w:rsidR="006649C6" w:rsidRPr="00486A2B" w:rsidRDefault="006649C6" w:rsidP="00486A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Times" w:hAnsi="Verdana" w:cs="Times"/>
          <w:sz w:val="20"/>
          <w:szCs w:val="20"/>
        </w:rPr>
      </w:pPr>
    </w:p>
    <w:sectPr w:rsidR="006649C6" w:rsidRPr="00486A2B" w:rsidSect="008F223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EE8D" w14:textId="77777777" w:rsidR="003B2B35" w:rsidRDefault="003B2B35" w:rsidP="0074732F">
      <w:r>
        <w:separator/>
      </w:r>
    </w:p>
  </w:endnote>
  <w:endnote w:type="continuationSeparator" w:id="0">
    <w:p w14:paraId="057FD275" w14:textId="77777777" w:rsidR="003B2B35" w:rsidRDefault="003B2B35" w:rsidP="0074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Italic">
    <w:altName w:val="Malgun Gothic Semilight"/>
    <w:charset w:val="4D"/>
    <w:family w:val="auto"/>
    <w:pitch w:val="variable"/>
    <w:sig w:usb0="A00002FF" w:usb1="7800205A" w:usb2="14600000" w:usb3="00000000" w:csb0="00000193" w:csb1="00000000"/>
  </w:font>
  <w:font w:name="Open Sans">
    <w:charset w:val="00"/>
    <w:family w:val="swiss"/>
    <w:pitch w:val="variable"/>
    <w:sig w:usb0="E00002EF" w:usb1="4000205B" w:usb2="00000028"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MSTT3132dbeaafO05102100">
    <w:panose1 w:val="00000000000000000000"/>
    <w:charset w:val="00"/>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Pro-Bold">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9A99" w14:textId="06A6FDFA" w:rsidR="005F001B" w:rsidRPr="00AD66F4" w:rsidRDefault="005F001B">
    <w:pPr>
      <w:pStyle w:val="Footer"/>
      <w:jc w:val="center"/>
      <w:rPr>
        <w:rFonts w:ascii="Verdana" w:hAnsi="Verdana"/>
        <w:caps/>
        <w:sz w:val="20"/>
        <w:szCs w:val="20"/>
      </w:rPr>
    </w:pPr>
    <w:r w:rsidRPr="00AD66F4">
      <w:rPr>
        <w:rFonts w:ascii="Verdana" w:hAnsi="Verdana"/>
        <w:caps/>
        <w:sz w:val="20"/>
        <w:szCs w:val="20"/>
      </w:rPr>
      <w:fldChar w:fldCharType="begin"/>
    </w:r>
    <w:r w:rsidRPr="00AD66F4">
      <w:rPr>
        <w:rFonts w:ascii="Verdana" w:hAnsi="Verdana"/>
        <w:caps/>
        <w:sz w:val="20"/>
        <w:szCs w:val="20"/>
      </w:rPr>
      <w:instrText>PAGE   \* MERGEFORMAT</w:instrText>
    </w:r>
    <w:r w:rsidRPr="00AD66F4">
      <w:rPr>
        <w:rFonts w:ascii="Verdana" w:hAnsi="Verdana"/>
        <w:caps/>
        <w:sz w:val="20"/>
        <w:szCs w:val="20"/>
      </w:rPr>
      <w:fldChar w:fldCharType="separate"/>
    </w:r>
    <w:r w:rsidR="00794D8F" w:rsidRPr="00794D8F">
      <w:rPr>
        <w:rFonts w:ascii="Verdana" w:hAnsi="Verdana"/>
        <w:caps/>
        <w:noProof/>
        <w:sz w:val="20"/>
        <w:szCs w:val="20"/>
        <w:lang w:val="es-ES"/>
      </w:rPr>
      <w:t>94</w:t>
    </w:r>
    <w:r w:rsidRPr="00AD66F4">
      <w:rPr>
        <w:rFonts w:ascii="Verdana" w:hAnsi="Verdana"/>
        <w:caps/>
        <w:sz w:val="20"/>
        <w:szCs w:val="20"/>
      </w:rPr>
      <w:fldChar w:fldCharType="end"/>
    </w:r>
  </w:p>
  <w:p w14:paraId="6962FA0D" w14:textId="77777777" w:rsidR="005F001B" w:rsidRDefault="005F0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17019"/>
      <w:docPartObj>
        <w:docPartGallery w:val="Page Numbers (Bottom of Page)"/>
        <w:docPartUnique/>
      </w:docPartObj>
    </w:sdtPr>
    <w:sdtEndPr/>
    <w:sdtContent>
      <w:p w14:paraId="7D142709" w14:textId="77777777" w:rsidR="00653CCE" w:rsidRDefault="00244326">
        <w:pPr>
          <w:pStyle w:val="Footer"/>
          <w:jc w:val="right"/>
        </w:pPr>
        <w:r>
          <w:fldChar w:fldCharType="begin"/>
        </w:r>
        <w:r>
          <w:instrText>PAGE   \* MERGEFORMAT</w:instrText>
        </w:r>
        <w:r>
          <w:fldChar w:fldCharType="separate"/>
        </w:r>
        <w:r w:rsidRPr="00241633">
          <w:rPr>
            <w:noProof/>
            <w:lang w:val="es-ES"/>
          </w:rPr>
          <w:t>4</w:t>
        </w:r>
        <w:r>
          <w:fldChar w:fldCharType="end"/>
        </w:r>
      </w:p>
    </w:sdtContent>
  </w:sdt>
  <w:p w14:paraId="092A8CB8" w14:textId="77777777" w:rsidR="00653CCE" w:rsidRDefault="00653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784964"/>
      <w:docPartObj>
        <w:docPartGallery w:val="Page Numbers (Bottom of Page)"/>
        <w:docPartUnique/>
      </w:docPartObj>
    </w:sdtPr>
    <w:sdtEndPr/>
    <w:sdtContent>
      <w:p w14:paraId="13465603" w14:textId="77777777" w:rsidR="00653CCE" w:rsidRDefault="00244326" w:rsidP="00966FDB">
        <w:pPr>
          <w:pStyle w:val="Footer"/>
          <w:jc w:val="center"/>
        </w:pPr>
        <w:r>
          <w:fldChar w:fldCharType="begin"/>
        </w:r>
        <w:r>
          <w:instrText>PAGE   \* MERGEFORMAT</w:instrText>
        </w:r>
        <w:r>
          <w:fldChar w:fldCharType="separate"/>
        </w:r>
        <w:r w:rsidRPr="00BE6E20">
          <w:rPr>
            <w:noProof/>
            <w:lang w:val="es-ES"/>
          </w:rPr>
          <w:t>3</w:t>
        </w:r>
        <w:r>
          <w:fldChar w:fldCharType="end"/>
        </w:r>
      </w:p>
    </w:sdtContent>
  </w:sdt>
  <w:p w14:paraId="0C5E779A" w14:textId="77777777" w:rsidR="00653CCE" w:rsidRDefault="00653C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8591" w14:textId="77777777" w:rsidR="00653CCE" w:rsidRDefault="00244326">
    <w:pPr>
      <w:pStyle w:val="Footer"/>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F500F4">
      <w:rPr>
        <w:caps/>
        <w:noProof/>
        <w:color w:val="5B9BD5" w:themeColor="accent1"/>
        <w:lang w:val="es-ES"/>
      </w:rPr>
      <w:t>4</w:t>
    </w:r>
    <w:r>
      <w:rPr>
        <w:caps/>
        <w:color w:val="5B9BD5" w:themeColor="accent1"/>
      </w:rPr>
      <w:fldChar w:fldCharType="end"/>
    </w:r>
  </w:p>
  <w:p w14:paraId="0D2013C0" w14:textId="77777777" w:rsidR="00653CCE" w:rsidRDefault="00653C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4481" w14:textId="77777777" w:rsidR="00653CCE" w:rsidRDefault="00653CCE" w:rsidP="00753DD7">
    <w:pPr>
      <w:pStyle w:val="Footer"/>
      <w:ind w:hanging="2"/>
    </w:pPr>
  </w:p>
  <w:p w14:paraId="0D0EDB37" w14:textId="77777777" w:rsidR="00653CCE" w:rsidRDefault="00653CCE" w:rsidP="00753DD7">
    <w:pPr>
      <w:ind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1323" w14:textId="77777777" w:rsidR="00653CCE" w:rsidRPr="00732250" w:rsidRDefault="00244326" w:rsidP="00732250">
    <w:pPr>
      <w:ind w:hanging="2"/>
      <w:jc w:val="center"/>
      <w:rPr>
        <w:color w:val="000000"/>
        <w:sz w:val="20"/>
        <w:szCs w:val="20"/>
      </w:rPr>
    </w:pPr>
    <w:r w:rsidRPr="00732250">
      <w:rPr>
        <w:color w:val="000000"/>
        <w:sz w:val="20"/>
        <w:szCs w:val="20"/>
      </w:rPr>
      <w:fldChar w:fldCharType="begin"/>
    </w:r>
    <w:r w:rsidRPr="00732250">
      <w:rPr>
        <w:color w:val="000000"/>
        <w:sz w:val="20"/>
        <w:szCs w:val="20"/>
      </w:rPr>
      <w:instrText>PAGE</w:instrText>
    </w:r>
    <w:r w:rsidRPr="00732250">
      <w:rPr>
        <w:color w:val="000000"/>
        <w:sz w:val="20"/>
        <w:szCs w:val="20"/>
      </w:rPr>
      <w:fldChar w:fldCharType="separate"/>
    </w:r>
    <w:r>
      <w:rPr>
        <w:noProof/>
        <w:color w:val="000000"/>
        <w:sz w:val="20"/>
        <w:szCs w:val="20"/>
      </w:rPr>
      <w:t>4</w:t>
    </w:r>
    <w:r w:rsidRPr="00732250">
      <w:rPr>
        <w:color w:val="000000"/>
        <w:sz w:val="20"/>
        <w:szCs w:val="20"/>
      </w:rPr>
      <w:fldChar w:fldCharType="end"/>
    </w:r>
  </w:p>
  <w:p w14:paraId="3920F4D7" w14:textId="77777777" w:rsidR="00653CCE" w:rsidRPr="00732250" w:rsidRDefault="00653CCE">
    <w:pPr>
      <w:ind w:hanging="2"/>
      <w:rPr>
        <w:color w:val="000000"/>
        <w:sz w:val="20"/>
        <w:szCs w:val="20"/>
      </w:rPr>
    </w:pPr>
  </w:p>
  <w:p w14:paraId="405DAEC0" w14:textId="77777777" w:rsidR="00653CCE" w:rsidRPr="00732250" w:rsidRDefault="00653CCE" w:rsidP="00E5012E">
    <w:pPr>
      <w:ind w:hanging="2"/>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73D8" w14:textId="77777777" w:rsidR="00653CCE" w:rsidRDefault="00653CCE" w:rsidP="00753DD7">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9270" w14:textId="77777777" w:rsidR="003B2B35" w:rsidRDefault="003B2B35" w:rsidP="0074732F">
      <w:r>
        <w:separator/>
      </w:r>
    </w:p>
  </w:footnote>
  <w:footnote w:type="continuationSeparator" w:id="0">
    <w:p w14:paraId="55BA9F7A" w14:textId="77777777" w:rsidR="003B2B35" w:rsidRDefault="003B2B35" w:rsidP="0074732F">
      <w:r>
        <w:continuationSeparator/>
      </w:r>
    </w:p>
  </w:footnote>
  <w:footnote w:id="1">
    <w:p w14:paraId="76826C48" w14:textId="661E4577" w:rsidR="00E76B1A" w:rsidRPr="00954547" w:rsidRDefault="00E76B1A" w:rsidP="007619E6">
      <w:pPr>
        <w:tabs>
          <w:tab w:val="left" w:pos="567"/>
        </w:tabs>
        <w:spacing w:after="120"/>
        <w:jc w:val="both"/>
        <w:rPr>
          <w:rFonts w:ascii="Verdana" w:hAnsi="Verdana"/>
          <w:sz w:val="16"/>
          <w:szCs w:val="16"/>
        </w:rPr>
      </w:pPr>
      <w:r w:rsidRPr="00954547">
        <w:rPr>
          <w:rStyle w:val="FootnoteReference"/>
          <w:rFonts w:ascii="Verdana" w:hAnsi="Verdana"/>
          <w:sz w:val="16"/>
          <w:szCs w:val="16"/>
        </w:rPr>
        <w:t>*</w:t>
      </w:r>
      <w:r w:rsidRPr="00954547">
        <w:rPr>
          <w:rFonts w:ascii="Verdana" w:hAnsi="Verdana"/>
          <w:sz w:val="16"/>
          <w:szCs w:val="16"/>
        </w:rPr>
        <w:t xml:space="preserve"> </w:t>
      </w:r>
      <w:r w:rsidRPr="00954547">
        <w:rPr>
          <w:rFonts w:ascii="Verdana" w:hAnsi="Verdana"/>
          <w:sz w:val="16"/>
          <w:szCs w:val="16"/>
        </w:rPr>
        <w:tab/>
        <w:t xml:space="preserve">In its Report No. 153/18, the Commission indicated that “[t]he petitioner organizations asked that the name of the alleged victim be kept confidential and that she be identified by the name "Manuela." They also asked that the identity of the alleged victim’s </w:t>
      </w:r>
      <w:r w:rsidR="00F4455A" w:rsidRPr="00954547">
        <w:rPr>
          <w:rFonts w:ascii="Verdana" w:hAnsi="Verdana"/>
          <w:sz w:val="16"/>
          <w:szCs w:val="16"/>
        </w:rPr>
        <w:t xml:space="preserve">family </w:t>
      </w:r>
      <w:r w:rsidRPr="00954547">
        <w:rPr>
          <w:rFonts w:ascii="Verdana" w:hAnsi="Verdana"/>
          <w:sz w:val="16"/>
          <w:szCs w:val="16"/>
        </w:rPr>
        <w:t>be kept confidential, as well as her medical information. During the processing of the case before the Court, the representatives reiterated this request. Therefore, the Court will refer to the presumed victims as Manuela, and Manuela’s mother, father, elder son and younger son.</w:t>
      </w:r>
    </w:p>
  </w:footnote>
  <w:footnote w:id="2">
    <w:p w14:paraId="075F9162" w14:textId="285AC52A"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E76B1A" w:rsidRPr="00954547">
        <w:rPr>
          <w:rFonts w:ascii="Verdana" w:hAnsi="Verdana"/>
          <w:sz w:val="16"/>
          <w:szCs w:val="16"/>
        </w:rPr>
        <w:t>The Commission</w:t>
      </w:r>
      <w:r w:rsidRPr="00954547">
        <w:rPr>
          <w:rFonts w:ascii="Verdana" w:hAnsi="Verdana"/>
          <w:sz w:val="16"/>
          <w:szCs w:val="16"/>
        </w:rPr>
        <w:t xml:space="preserve"> </w:t>
      </w:r>
      <w:r w:rsidR="00A17F8C" w:rsidRPr="00954547">
        <w:rPr>
          <w:rFonts w:ascii="Verdana" w:hAnsi="Verdana"/>
          <w:sz w:val="16"/>
          <w:szCs w:val="16"/>
        </w:rPr>
        <w:t>concluded that</w:t>
      </w:r>
      <w:r w:rsidRPr="00954547">
        <w:rPr>
          <w:rFonts w:ascii="Verdana" w:hAnsi="Verdana"/>
          <w:sz w:val="16"/>
          <w:szCs w:val="16"/>
        </w:rPr>
        <w:t xml:space="preserve"> </w:t>
      </w:r>
      <w:r w:rsidR="00B8393C" w:rsidRPr="00954547">
        <w:rPr>
          <w:rFonts w:ascii="Verdana" w:hAnsi="Verdana"/>
          <w:sz w:val="16"/>
          <w:szCs w:val="16"/>
        </w:rPr>
        <w:t>the State</w:t>
      </w:r>
      <w:r w:rsidRPr="00954547">
        <w:rPr>
          <w:rFonts w:ascii="Verdana" w:hAnsi="Verdana"/>
          <w:sz w:val="16"/>
          <w:szCs w:val="16"/>
        </w:rPr>
        <w:t xml:space="preserve"> </w:t>
      </w:r>
      <w:r w:rsidR="00A17F8C" w:rsidRPr="00954547">
        <w:rPr>
          <w:rFonts w:ascii="Verdana" w:hAnsi="Verdana"/>
          <w:sz w:val="16"/>
          <w:szCs w:val="16"/>
        </w:rPr>
        <w:t xml:space="preserve">was responsible for the violation of the rights to life, personal liberty, judicial guarantees, privacy, equality before the law, judicial protection, and health </w:t>
      </w:r>
      <w:r w:rsidRPr="00954547">
        <w:rPr>
          <w:rFonts w:ascii="Verdana" w:eastAsiaTheme="minorHAnsi" w:hAnsi="Verdana"/>
          <w:sz w:val="16"/>
          <w:szCs w:val="16"/>
          <w:bdr w:val="none" w:sz="0" w:space="0" w:color="auto"/>
        </w:rPr>
        <w:t>establ</w:t>
      </w:r>
      <w:r w:rsidR="00A17F8C" w:rsidRPr="00954547">
        <w:rPr>
          <w:rFonts w:ascii="Verdana" w:eastAsiaTheme="minorHAnsi" w:hAnsi="Verdana"/>
          <w:sz w:val="16"/>
          <w:szCs w:val="16"/>
          <w:bdr w:val="none" w:sz="0" w:space="0" w:color="auto"/>
        </w:rPr>
        <w:t>ished in Articles</w:t>
      </w:r>
      <w:r w:rsidRPr="00954547">
        <w:rPr>
          <w:rFonts w:ascii="Verdana" w:eastAsiaTheme="minorHAnsi" w:hAnsi="Verdana"/>
          <w:sz w:val="16"/>
          <w:szCs w:val="16"/>
          <w:bdr w:val="none" w:sz="0" w:space="0" w:color="auto"/>
        </w:rPr>
        <w:t xml:space="preserve"> </w:t>
      </w:r>
      <w:r w:rsidR="00A17F8C" w:rsidRPr="00954547">
        <w:rPr>
          <w:rFonts w:ascii="Verdana" w:eastAsiaTheme="minorHAnsi" w:hAnsi="Verdana"/>
          <w:sz w:val="16"/>
          <w:szCs w:val="16"/>
          <w:bdr w:val="none" w:sz="0" w:space="0" w:color="auto"/>
        </w:rPr>
        <w:t>4(1)</w:t>
      </w:r>
      <w:r w:rsidRPr="00954547">
        <w:rPr>
          <w:rFonts w:ascii="Verdana" w:eastAsiaTheme="minorHAnsi" w:hAnsi="Verdana"/>
          <w:sz w:val="16"/>
          <w:szCs w:val="16"/>
          <w:bdr w:val="none" w:sz="0" w:space="0" w:color="auto"/>
        </w:rPr>
        <w:t xml:space="preserve">, </w:t>
      </w:r>
      <w:r w:rsidR="00A17F8C" w:rsidRPr="00954547">
        <w:rPr>
          <w:rFonts w:ascii="Verdana" w:eastAsiaTheme="minorHAnsi" w:hAnsi="Verdana"/>
          <w:sz w:val="16"/>
          <w:szCs w:val="16"/>
          <w:bdr w:val="none" w:sz="0" w:space="0" w:color="auto"/>
        </w:rPr>
        <w:t>7(1)</w:t>
      </w:r>
      <w:r w:rsidRPr="00954547">
        <w:rPr>
          <w:rFonts w:ascii="Verdana" w:eastAsiaTheme="minorHAnsi" w:hAnsi="Verdana"/>
          <w:sz w:val="16"/>
          <w:szCs w:val="16"/>
          <w:bdr w:val="none" w:sz="0" w:space="0" w:color="auto"/>
        </w:rPr>
        <w:t xml:space="preserve">, </w:t>
      </w:r>
      <w:r w:rsidR="00A17F8C" w:rsidRPr="00954547">
        <w:rPr>
          <w:rFonts w:ascii="Verdana" w:eastAsiaTheme="minorHAnsi" w:hAnsi="Verdana"/>
          <w:sz w:val="16"/>
          <w:szCs w:val="16"/>
          <w:bdr w:val="none" w:sz="0" w:space="0" w:color="auto"/>
        </w:rPr>
        <w:t>7(2)</w:t>
      </w:r>
      <w:r w:rsidR="005E0FD1" w:rsidRPr="00954547">
        <w:rPr>
          <w:rFonts w:ascii="Verdana" w:eastAsiaTheme="minorHAnsi" w:hAnsi="Verdana"/>
          <w:sz w:val="16"/>
          <w:szCs w:val="16"/>
          <w:bdr w:val="none" w:sz="0" w:space="0" w:color="auto"/>
        </w:rPr>
        <w:t>,</w:t>
      </w:r>
      <w:r w:rsidRPr="00954547">
        <w:rPr>
          <w:rFonts w:ascii="Verdana" w:eastAsiaTheme="minorHAnsi" w:hAnsi="Verdana"/>
          <w:sz w:val="16"/>
          <w:szCs w:val="16"/>
          <w:bdr w:val="none" w:sz="0" w:space="0" w:color="auto"/>
        </w:rPr>
        <w:t xml:space="preserve"> </w:t>
      </w:r>
      <w:r w:rsidR="005E0FD1" w:rsidRPr="00954547">
        <w:rPr>
          <w:rFonts w:ascii="Verdana" w:eastAsiaTheme="minorHAnsi" w:hAnsi="Verdana"/>
          <w:sz w:val="16"/>
          <w:szCs w:val="16"/>
          <w:bdr w:val="none" w:sz="0" w:space="0" w:color="auto"/>
        </w:rPr>
        <w:t>7(3)</w:t>
      </w:r>
      <w:r w:rsidRPr="00954547">
        <w:rPr>
          <w:rFonts w:ascii="Verdana" w:eastAsiaTheme="minorHAnsi" w:hAnsi="Verdana"/>
          <w:sz w:val="16"/>
          <w:szCs w:val="16"/>
          <w:bdr w:val="none" w:sz="0" w:space="0" w:color="auto"/>
        </w:rPr>
        <w:t xml:space="preserve">, </w:t>
      </w:r>
      <w:r w:rsidR="00A17F8C" w:rsidRPr="00954547">
        <w:rPr>
          <w:rFonts w:ascii="Verdana" w:eastAsiaTheme="minorHAnsi" w:hAnsi="Verdana"/>
          <w:sz w:val="16"/>
          <w:szCs w:val="16"/>
          <w:bdr w:val="none" w:sz="0" w:space="0" w:color="auto"/>
        </w:rPr>
        <w:t>8(1)</w:t>
      </w:r>
      <w:r w:rsidRPr="00954547">
        <w:rPr>
          <w:rFonts w:ascii="Verdana" w:eastAsiaTheme="minorHAnsi" w:hAnsi="Verdana"/>
          <w:sz w:val="16"/>
          <w:szCs w:val="16"/>
          <w:bdr w:val="none" w:sz="0" w:space="0" w:color="auto"/>
        </w:rPr>
        <w:t xml:space="preserve">, </w:t>
      </w:r>
      <w:r w:rsidR="005E0FD1" w:rsidRPr="00954547">
        <w:rPr>
          <w:rFonts w:ascii="Verdana" w:eastAsiaTheme="minorHAnsi" w:hAnsi="Verdana"/>
          <w:sz w:val="16"/>
          <w:szCs w:val="16"/>
          <w:bdr w:val="none" w:sz="0" w:space="0" w:color="auto"/>
        </w:rPr>
        <w:t>8(2)</w:t>
      </w:r>
      <w:r w:rsidRPr="00954547">
        <w:rPr>
          <w:rFonts w:ascii="Verdana" w:eastAsiaTheme="minorHAnsi" w:hAnsi="Verdana"/>
          <w:sz w:val="16"/>
          <w:szCs w:val="16"/>
          <w:bdr w:val="none" w:sz="0" w:space="0" w:color="auto"/>
        </w:rPr>
        <w:t xml:space="preserve">, </w:t>
      </w:r>
      <w:r w:rsidR="005E0FD1" w:rsidRPr="00954547">
        <w:rPr>
          <w:rFonts w:ascii="Verdana" w:eastAsiaTheme="minorHAnsi" w:hAnsi="Verdana"/>
          <w:sz w:val="16"/>
          <w:szCs w:val="16"/>
          <w:bdr w:val="none" w:sz="0" w:space="0" w:color="auto"/>
        </w:rPr>
        <w:t>8(2)(</w:t>
      </w:r>
      <w:r w:rsidRPr="00954547">
        <w:rPr>
          <w:rFonts w:ascii="Verdana" w:eastAsiaTheme="minorHAnsi" w:hAnsi="Verdana"/>
          <w:sz w:val="16"/>
          <w:szCs w:val="16"/>
          <w:bdr w:val="none" w:sz="0" w:space="0" w:color="auto"/>
        </w:rPr>
        <w:t xml:space="preserve">c), </w:t>
      </w:r>
      <w:r w:rsidR="005E0FD1" w:rsidRPr="00954547">
        <w:rPr>
          <w:rFonts w:ascii="Verdana" w:eastAsiaTheme="minorHAnsi" w:hAnsi="Verdana"/>
          <w:sz w:val="16"/>
          <w:szCs w:val="16"/>
          <w:bdr w:val="none" w:sz="0" w:space="0" w:color="auto"/>
        </w:rPr>
        <w:t>8(2)(</w:t>
      </w:r>
      <w:r w:rsidRPr="00954547">
        <w:rPr>
          <w:rFonts w:ascii="Verdana" w:eastAsiaTheme="minorHAnsi" w:hAnsi="Verdana"/>
          <w:sz w:val="16"/>
          <w:szCs w:val="16"/>
          <w:bdr w:val="none" w:sz="0" w:space="0" w:color="auto"/>
        </w:rPr>
        <w:t xml:space="preserve">e), </w:t>
      </w:r>
      <w:r w:rsidR="005E0FD1" w:rsidRPr="00954547">
        <w:rPr>
          <w:rFonts w:ascii="Verdana" w:eastAsiaTheme="minorHAnsi" w:hAnsi="Verdana"/>
          <w:sz w:val="16"/>
          <w:szCs w:val="16"/>
          <w:bdr w:val="none" w:sz="0" w:space="0" w:color="auto"/>
        </w:rPr>
        <w:t>8(2)(</w:t>
      </w:r>
      <w:r w:rsidRPr="00954547">
        <w:rPr>
          <w:rFonts w:ascii="Verdana" w:eastAsiaTheme="minorHAnsi" w:hAnsi="Verdana"/>
          <w:sz w:val="16"/>
          <w:szCs w:val="16"/>
          <w:bdr w:val="none" w:sz="0" w:space="0" w:color="auto"/>
        </w:rPr>
        <w:t xml:space="preserve">h), </w:t>
      </w:r>
      <w:r w:rsidR="005E0FD1" w:rsidRPr="00954547">
        <w:rPr>
          <w:rFonts w:ascii="Verdana" w:eastAsiaTheme="minorHAnsi" w:hAnsi="Verdana"/>
          <w:sz w:val="16"/>
          <w:szCs w:val="16"/>
          <w:bdr w:val="none" w:sz="0" w:space="0" w:color="auto"/>
        </w:rPr>
        <w:t>11(2)</w:t>
      </w:r>
      <w:r w:rsidRPr="00954547">
        <w:rPr>
          <w:rFonts w:ascii="Verdana" w:eastAsiaTheme="minorHAnsi" w:hAnsi="Verdana"/>
          <w:sz w:val="16"/>
          <w:szCs w:val="16"/>
          <w:bdr w:val="none" w:sz="0" w:space="0" w:color="auto"/>
        </w:rPr>
        <w:t xml:space="preserve">, </w:t>
      </w:r>
      <w:r w:rsidR="005E0FD1" w:rsidRPr="00954547">
        <w:rPr>
          <w:rFonts w:ascii="Verdana" w:eastAsiaTheme="minorHAnsi" w:hAnsi="Verdana"/>
          <w:sz w:val="16"/>
          <w:szCs w:val="16"/>
          <w:bdr w:val="none" w:sz="0" w:space="0" w:color="auto"/>
        </w:rPr>
        <w:t>11(3)</w:t>
      </w:r>
      <w:r w:rsidRPr="00954547">
        <w:rPr>
          <w:rFonts w:ascii="Verdana" w:eastAsiaTheme="minorHAnsi" w:hAnsi="Verdana"/>
          <w:sz w:val="16"/>
          <w:szCs w:val="16"/>
          <w:bdr w:val="none" w:sz="0" w:space="0" w:color="auto"/>
        </w:rPr>
        <w:t xml:space="preserve">, 24, </w:t>
      </w:r>
      <w:r w:rsidR="00A17F8C" w:rsidRPr="00954547">
        <w:rPr>
          <w:rFonts w:ascii="Verdana" w:eastAsiaTheme="minorHAnsi" w:hAnsi="Verdana"/>
          <w:sz w:val="16"/>
          <w:szCs w:val="16"/>
          <w:bdr w:val="none" w:sz="0" w:space="0" w:color="auto"/>
        </w:rPr>
        <w:t>25(1)</w:t>
      </w:r>
      <w:r w:rsidR="005E0FD1" w:rsidRPr="00954547">
        <w:rPr>
          <w:rFonts w:ascii="Verdana" w:eastAsiaTheme="minorHAnsi" w:hAnsi="Verdana"/>
          <w:sz w:val="16"/>
          <w:szCs w:val="16"/>
          <w:bdr w:val="none" w:sz="0" w:space="0" w:color="auto"/>
        </w:rPr>
        <w:t xml:space="preserve"> and </w:t>
      </w:r>
      <w:r w:rsidRPr="00954547">
        <w:rPr>
          <w:rFonts w:ascii="Verdana" w:eastAsiaTheme="minorHAnsi" w:hAnsi="Verdana"/>
          <w:sz w:val="16"/>
          <w:szCs w:val="16"/>
          <w:bdr w:val="none" w:sz="0" w:space="0" w:color="auto"/>
        </w:rPr>
        <w:t>26</w:t>
      </w:r>
      <w:r w:rsidR="005E0FD1" w:rsidRPr="00954547">
        <w:rPr>
          <w:rFonts w:ascii="Verdana" w:eastAsiaTheme="minorHAnsi" w:hAnsi="Verdana"/>
          <w:sz w:val="16"/>
          <w:szCs w:val="16"/>
          <w:bdr w:val="none" w:sz="0" w:space="0" w:color="auto"/>
        </w:rPr>
        <w:t xml:space="preserve"> of the American Convention</w:t>
      </w:r>
      <w:r w:rsidRPr="00954547">
        <w:rPr>
          <w:rFonts w:ascii="Verdana" w:eastAsiaTheme="minorHAnsi" w:hAnsi="Verdana"/>
          <w:sz w:val="16"/>
          <w:szCs w:val="16"/>
          <w:bdr w:val="none" w:sz="0" w:space="0" w:color="auto"/>
        </w:rPr>
        <w:t xml:space="preserve"> </w:t>
      </w:r>
      <w:r w:rsidR="005E0FD1" w:rsidRPr="00954547">
        <w:rPr>
          <w:rFonts w:ascii="Verdana" w:eastAsiaTheme="minorHAnsi" w:hAnsi="Verdana"/>
          <w:sz w:val="16"/>
          <w:szCs w:val="16"/>
          <w:bdr w:val="none" w:sz="0" w:space="0" w:color="auto"/>
        </w:rPr>
        <w:t>in relation to the obligations established in</w:t>
      </w:r>
      <w:r w:rsidRPr="00954547">
        <w:rPr>
          <w:rFonts w:ascii="Verdana" w:eastAsiaTheme="minorHAnsi" w:hAnsi="Verdana"/>
          <w:sz w:val="16"/>
          <w:szCs w:val="16"/>
          <w:bdr w:val="none" w:sz="0" w:space="0" w:color="auto"/>
        </w:rPr>
        <w:t xml:space="preserve"> </w:t>
      </w:r>
      <w:r w:rsidR="00A17F8C" w:rsidRPr="00954547">
        <w:rPr>
          <w:rFonts w:ascii="Verdana" w:eastAsiaTheme="minorHAnsi" w:hAnsi="Verdana"/>
          <w:sz w:val="16"/>
          <w:szCs w:val="16"/>
          <w:bdr w:val="none" w:sz="0" w:space="0" w:color="auto"/>
        </w:rPr>
        <w:t xml:space="preserve">Articles 1(1) </w:t>
      </w:r>
      <w:r w:rsidR="0078694F" w:rsidRPr="00954547">
        <w:rPr>
          <w:rFonts w:ascii="Verdana" w:eastAsiaTheme="minorHAnsi" w:hAnsi="Verdana"/>
          <w:sz w:val="16"/>
          <w:szCs w:val="16"/>
          <w:bdr w:val="none" w:sz="0" w:space="0" w:color="auto"/>
        </w:rPr>
        <w:t xml:space="preserve">and </w:t>
      </w:r>
      <w:r w:rsidRPr="00954547">
        <w:rPr>
          <w:rFonts w:ascii="Verdana" w:eastAsiaTheme="minorHAnsi" w:hAnsi="Verdana"/>
          <w:sz w:val="16"/>
          <w:szCs w:val="16"/>
          <w:bdr w:val="none" w:sz="0" w:space="0" w:color="auto"/>
        </w:rPr>
        <w:t xml:space="preserve">2 </w:t>
      </w:r>
      <w:r w:rsidR="00A17F8C" w:rsidRPr="00954547">
        <w:rPr>
          <w:rFonts w:ascii="Verdana" w:eastAsiaTheme="minorHAnsi" w:hAnsi="Verdana"/>
          <w:sz w:val="16"/>
          <w:szCs w:val="16"/>
          <w:bdr w:val="none" w:sz="0" w:space="0" w:color="auto"/>
        </w:rPr>
        <w:t>of this instrument</w:t>
      </w:r>
      <w:r w:rsidRPr="00954547">
        <w:rPr>
          <w:rFonts w:ascii="Verdana" w:eastAsiaTheme="minorHAnsi" w:hAnsi="Verdana"/>
          <w:sz w:val="16"/>
          <w:szCs w:val="16"/>
          <w:bdr w:val="none" w:sz="0" w:space="0" w:color="auto"/>
        </w:rPr>
        <w:t xml:space="preserve">, </w:t>
      </w:r>
      <w:r w:rsidR="005E0FD1" w:rsidRPr="00954547">
        <w:rPr>
          <w:rFonts w:ascii="Verdana" w:eastAsiaTheme="minorHAnsi" w:hAnsi="Verdana"/>
          <w:sz w:val="16"/>
          <w:szCs w:val="16"/>
          <w:bdr w:val="none" w:sz="0" w:space="0" w:color="auto"/>
        </w:rPr>
        <w:t>and also</w:t>
      </w:r>
      <w:r w:rsidRPr="00954547">
        <w:rPr>
          <w:rFonts w:ascii="Verdana" w:eastAsiaTheme="minorHAnsi" w:hAnsi="Verdana"/>
          <w:sz w:val="16"/>
          <w:szCs w:val="16"/>
          <w:bdr w:val="none" w:sz="0" w:space="0" w:color="auto"/>
        </w:rPr>
        <w:t xml:space="preserve"> </w:t>
      </w:r>
      <w:r w:rsidR="00A17F8C" w:rsidRPr="00954547">
        <w:rPr>
          <w:rFonts w:ascii="Verdana" w:eastAsiaTheme="minorHAnsi" w:hAnsi="Verdana"/>
          <w:sz w:val="16"/>
          <w:szCs w:val="16"/>
          <w:bdr w:val="none" w:sz="0" w:space="0" w:color="auto"/>
        </w:rPr>
        <w:t>Article</w:t>
      </w:r>
      <w:r w:rsidRPr="00954547">
        <w:rPr>
          <w:rFonts w:ascii="Verdana" w:eastAsiaTheme="minorHAnsi" w:hAnsi="Verdana"/>
          <w:sz w:val="16"/>
          <w:szCs w:val="16"/>
          <w:bdr w:val="none" w:sz="0" w:space="0" w:color="auto"/>
        </w:rPr>
        <w:t xml:space="preserve"> 7 </w:t>
      </w:r>
      <w:r w:rsidR="005E0FD1" w:rsidRPr="00954547">
        <w:rPr>
          <w:rFonts w:ascii="Verdana" w:eastAsiaTheme="minorHAnsi" w:hAnsi="Verdana"/>
          <w:sz w:val="16"/>
          <w:szCs w:val="16"/>
          <w:bdr w:val="none" w:sz="0" w:space="0" w:color="auto"/>
        </w:rPr>
        <w:t>of the Convention of Belém</w:t>
      </w:r>
      <w:r w:rsidRPr="00954547">
        <w:rPr>
          <w:rFonts w:ascii="Verdana" w:eastAsiaTheme="minorHAnsi" w:hAnsi="Verdana"/>
          <w:sz w:val="16"/>
          <w:szCs w:val="16"/>
          <w:bdr w:val="none" w:sz="0" w:space="0" w:color="auto"/>
        </w:rPr>
        <w:t xml:space="preserve"> do Pará</w:t>
      </w:r>
      <w:r w:rsidRPr="00954547">
        <w:rPr>
          <w:rFonts w:ascii="Verdana" w:eastAsiaTheme="minorHAnsi" w:hAnsi="Verdana"/>
          <w:color w:val="4F4F4F"/>
          <w:sz w:val="16"/>
          <w:szCs w:val="16"/>
          <w:bdr w:val="none" w:sz="0" w:space="0" w:color="auto"/>
        </w:rPr>
        <w:t>.</w:t>
      </w:r>
    </w:p>
  </w:footnote>
  <w:footnote w:id="3">
    <w:p w14:paraId="6D0B1440" w14:textId="4CA9F82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E76B1A" w:rsidRPr="00954547">
        <w:rPr>
          <w:rFonts w:ascii="Verdana" w:hAnsi="Verdana"/>
          <w:sz w:val="16"/>
          <w:szCs w:val="16"/>
        </w:rPr>
        <w:t>The Commission</w:t>
      </w:r>
      <w:r w:rsidRPr="00954547">
        <w:rPr>
          <w:rFonts w:ascii="Verdana" w:hAnsi="Verdana"/>
          <w:sz w:val="16"/>
          <w:szCs w:val="16"/>
        </w:rPr>
        <w:t xml:space="preserve"> </w:t>
      </w:r>
      <w:r w:rsidR="005E0FD1" w:rsidRPr="00954547">
        <w:rPr>
          <w:rFonts w:ascii="Verdana" w:hAnsi="Verdana"/>
          <w:sz w:val="16"/>
          <w:szCs w:val="16"/>
        </w:rPr>
        <w:t xml:space="preserve">appointed Commissioner </w:t>
      </w:r>
      <w:r w:rsidRPr="00954547">
        <w:rPr>
          <w:rFonts w:ascii="Verdana" w:hAnsi="Verdana"/>
          <w:sz w:val="16"/>
          <w:szCs w:val="16"/>
        </w:rPr>
        <w:t>Margarette May Macaulay</w:t>
      </w:r>
      <w:r w:rsidR="0078694F" w:rsidRPr="00954547">
        <w:rPr>
          <w:rFonts w:ascii="Verdana" w:hAnsi="Verdana"/>
          <w:sz w:val="16"/>
          <w:szCs w:val="16"/>
        </w:rPr>
        <w:t xml:space="preserve"> an</w:t>
      </w:r>
      <w:r w:rsidR="003935F6" w:rsidRPr="00954547">
        <w:rPr>
          <w:rFonts w:ascii="Verdana" w:hAnsi="Verdana"/>
          <w:sz w:val="16"/>
          <w:szCs w:val="16"/>
        </w:rPr>
        <w:t>d</w:t>
      </w:r>
      <w:r w:rsidR="005E0FD1" w:rsidRPr="00954547">
        <w:rPr>
          <w:rFonts w:ascii="Verdana" w:hAnsi="Verdana"/>
          <w:sz w:val="16"/>
          <w:szCs w:val="16"/>
        </w:rPr>
        <w:t xml:space="preserve"> then Executive</w:t>
      </w:r>
      <w:r w:rsidRPr="00954547">
        <w:rPr>
          <w:rFonts w:ascii="Verdana" w:hAnsi="Verdana"/>
          <w:sz w:val="16"/>
          <w:szCs w:val="16"/>
        </w:rPr>
        <w:t xml:space="preserve"> </w:t>
      </w:r>
      <w:r w:rsidR="00A42A4C" w:rsidRPr="00954547">
        <w:rPr>
          <w:rFonts w:ascii="Verdana" w:hAnsi="Verdana"/>
          <w:sz w:val="16"/>
          <w:szCs w:val="16"/>
        </w:rPr>
        <w:t>Secretary</w:t>
      </w:r>
      <w:r w:rsidRPr="00954547">
        <w:rPr>
          <w:rFonts w:ascii="Verdana" w:hAnsi="Verdana"/>
          <w:sz w:val="16"/>
          <w:szCs w:val="16"/>
        </w:rPr>
        <w:t xml:space="preserve"> Paulo Abrão, </w:t>
      </w:r>
      <w:r w:rsidR="003935F6" w:rsidRPr="00954547">
        <w:rPr>
          <w:rFonts w:ascii="Verdana" w:hAnsi="Verdana"/>
          <w:sz w:val="16"/>
          <w:szCs w:val="16"/>
        </w:rPr>
        <w:t xml:space="preserve">as its delegates, and </w:t>
      </w:r>
      <w:r w:rsidRPr="00954547">
        <w:rPr>
          <w:rFonts w:ascii="Verdana" w:hAnsi="Verdana"/>
          <w:sz w:val="16"/>
          <w:szCs w:val="16"/>
        </w:rPr>
        <w:t xml:space="preserve">Christian González Chacón, </w:t>
      </w:r>
      <w:r w:rsidR="003935F6" w:rsidRPr="00954547">
        <w:rPr>
          <w:rFonts w:ascii="Verdana" w:hAnsi="Verdana"/>
          <w:sz w:val="16"/>
          <w:szCs w:val="16"/>
        </w:rPr>
        <w:t>an Executive Secretariat lawyer</w:t>
      </w:r>
      <w:r w:rsidR="00DC15AF" w:rsidRPr="00954547">
        <w:rPr>
          <w:rFonts w:ascii="Verdana" w:hAnsi="Verdana"/>
          <w:sz w:val="16"/>
          <w:szCs w:val="16"/>
        </w:rPr>
        <w:t>,</w:t>
      </w:r>
      <w:r w:rsidR="003935F6" w:rsidRPr="00954547">
        <w:rPr>
          <w:rFonts w:ascii="Verdana" w:hAnsi="Verdana"/>
          <w:sz w:val="16"/>
          <w:szCs w:val="16"/>
        </w:rPr>
        <w:t xml:space="preserve"> acted as legal adviser.</w:t>
      </w:r>
    </w:p>
  </w:footnote>
  <w:footnote w:id="4">
    <w:p w14:paraId="5D14D54F" w14:textId="48AD14F5" w:rsidR="005F001B" w:rsidRPr="00954547" w:rsidRDefault="005F001B" w:rsidP="00057E46">
      <w:pPr>
        <w:pStyle w:val="Footnotes"/>
        <w:rPr>
          <w:rStyle w:val="FootnoteReference"/>
          <w:lang w:val="en-US"/>
        </w:rPr>
      </w:pPr>
      <w:r w:rsidRPr="00954547">
        <w:rPr>
          <w:rStyle w:val="FootnoteReference"/>
          <w:lang w:val="en-US"/>
        </w:rPr>
        <w:footnoteRef/>
      </w:r>
      <w:r w:rsidRPr="00954547">
        <w:t xml:space="preserve"> </w:t>
      </w:r>
      <w:r w:rsidRPr="00954547">
        <w:tab/>
      </w:r>
      <w:r w:rsidR="00B8393C" w:rsidRPr="00954547">
        <w:rPr>
          <w:i/>
        </w:rPr>
        <w:t>Cf.</w:t>
      </w:r>
      <w:r w:rsidRPr="00954547">
        <w:rPr>
          <w:i/>
        </w:rPr>
        <w:t xml:space="preserve"> </w:t>
      </w:r>
      <w:r w:rsidR="002F4617" w:rsidRPr="00954547">
        <w:rPr>
          <w:i/>
        </w:rPr>
        <w:t>Case of</w:t>
      </w:r>
      <w:r w:rsidRPr="00954547">
        <w:rPr>
          <w:i/>
        </w:rPr>
        <w:t xml:space="preserve"> Manuela </w:t>
      </w:r>
      <w:r w:rsidR="00B8393C" w:rsidRPr="00954547">
        <w:rPr>
          <w:i/>
        </w:rPr>
        <w:t>et al. v.</w:t>
      </w:r>
      <w:r w:rsidRPr="00954547">
        <w:rPr>
          <w:i/>
        </w:rPr>
        <w:t xml:space="preserve"> El Salvador</w:t>
      </w:r>
      <w:r w:rsidRPr="00954547">
        <w:t xml:space="preserve">. </w:t>
      </w:r>
      <w:r w:rsidR="002F4617" w:rsidRPr="00954547">
        <w:rPr>
          <w:lang w:val="en-US"/>
        </w:rPr>
        <w:t>Call to a hearing</w:t>
      </w:r>
      <w:r w:rsidRPr="00954547">
        <w:rPr>
          <w:lang w:val="en-US"/>
        </w:rPr>
        <w:t xml:space="preserve">. </w:t>
      </w:r>
      <w:r w:rsidR="002F4617" w:rsidRPr="00954547">
        <w:rPr>
          <w:lang w:val="en-US"/>
        </w:rPr>
        <w:t>Order</w:t>
      </w:r>
      <w:r w:rsidR="00607E12" w:rsidRPr="00954547">
        <w:rPr>
          <w:lang w:val="en-US"/>
        </w:rPr>
        <w:t xml:space="preserve"> of the </w:t>
      </w:r>
      <w:r w:rsidR="00A42A4C" w:rsidRPr="00954547">
        <w:rPr>
          <w:lang w:val="en-US"/>
        </w:rPr>
        <w:t>President</w:t>
      </w:r>
      <w:r w:rsidR="00607E12" w:rsidRPr="00954547">
        <w:rPr>
          <w:lang w:val="en-US"/>
        </w:rPr>
        <w:t xml:space="preserve"> of the </w:t>
      </w:r>
      <w:r w:rsidR="00E76B1A" w:rsidRPr="00954547">
        <w:rPr>
          <w:lang w:val="en-US"/>
        </w:rPr>
        <w:t>Inter-American Court of Human Rights</w:t>
      </w:r>
      <w:r w:rsidRPr="00954547">
        <w:rPr>
          <w:lang w:val="en-US"/>
        </w:rPr>
        <w:t xml:space="preserve"> </w:t>
      </w:r>
      <w:r w:rsidR="00A70DC4" w:rsidRPr="00954547">
        <w:rPr>
          <w:lang w:val="en-US"/>
        </w:rPr>
        <w:t>of December 2,</w:t>
      </w:r>
      <w:r w:rsidRPr="00954547">
        <w:rPr>
          <w:lang w:val="en-US"/>
        </w:rPr>
        <w:t xml:space="preserve"> 2020. </w:t>
      </w:r>
      <w:r w:rsidR="002F4617" w:rsidRPr="00954547">
        <w:rPr>
          <w:lang w:val="en-US"/>
        </w:rPr>
        <w:t>Available at</w:t>
      </w:r>
      <w:r w:rsidRPr="00954547">
        <w:rPr>
          <w:lang w:val="en-US"/>
        </w:rPr>
        <w:t xml:space="preserve">: </w:t>
      </w:r>
      <w:hyperlink r:id="rId1" w:history="1">
        <w:r w:rsidR="006C6051" w:rsidRPr="00954547">
          <w:rPr>
            <w:rStyle w:val="Hyperlink"/>
            <w:lang w:val="en-US"/>
          </w:rPr>
          <w:t>http://www.corteidh.or.cr/docs/asuntos/manuela_y   otros_02_12_2020.pdf</w:t>
        </w:r>
      </w:hyperlink>
      <w:r w:rsidRPr="00954547">
        <w:rPr>
          <w:lang w:val="en-US"/>
        </w:rPr>
        <w:t xml:space="preserve">  </w:t>
      </w:r>
      <w:r w:rsidRPr="00954547">
        <w:rPr>
          <w:rStyle w:val="FootnoteReference"/>
          <w:lang w:val="en-US"/>
        </w:rPr>
        <w:t xml:space="preserve"> </w:t>
      </w:r>
    </w:p>
  </w:footnote>
  <w:footnote w:id="5">
    <w:p w14:paraId="17950182" w14:textId="4836DB4A" w:rsidR="00A70DC4" w:rsidRPr="00954547" w:rsidRDefault="00A70DC4"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2F4617" w:rsidRPr="00954547">
        <w:rPr>
          <w:lang w:val="en-US"/>
        </w:rPr>
        <w:t xml:space="preserve">In the order, </w:t>
      </w:r>
      <w:r w:rsidRPr="00954547">
        <w:rPr>
          <w:lang w:val="en-US"/>
        </w:rPr>
        <w:t xml:space="preserve">the President </w:t>
      </w:r>
      <w:r w:rsidR="002F4617" w:rsidRPr="00954547">
        <w:rPr>
          <w:lang w:val="en-US"/>
        </w:rPr>
        <w:t xml:space="preserve">required Manuela’s mother to appear at the </w:t>
      </w:r>
      <w:r w:rsidRPr="00954547">
        <w:rPr>
          <w:lang w:val="en-US"/>
        </w:rPr>
        <w:t xml:space="preserve">public hearing. </w:t>
      </w:r>
      <w:r w:rsidR="002F4617" w:rsidRPr="00954547">
        <w:rPr>
          <w:lang w:val="en-US"/>
        </w:rPr>
        <w:t>On February 18,</w:t>
      </w:r>
      <w:r w:rsidRPr="00954547">
        <w:rPr>
          <w:lang w:val="en-US"/>
        </w:rPr>
        <w:t xml:space="preserve"> 2021, the representatives</w:t>
      </w:r>
      <w:r w:rsidR="002F4617" w:rsidRPr="00954547">
        <w:rPr>
          <w:lang w:val="en-US"/>
        </w:rPr>
        <w:t xml:space="preserve"> requested a change in how this statement would be provided owing to her health. Consequently, and since the State had asked that this statement be provided in writing, the President agreed to the representatives’ request and ordered that Manuela’s mother provide her statement by affidavit, accompanied by a video.</w:t>
      </w:r>
    </w:p>
  </w:footnote>
  <w:footnote w:id="6">
    <w:p w14:paraId="7E3A73C9" w14:textId="7F27AD4E" w:rsidR="005F001B" w:rsidRPr="00954547" w:rsidRDefault="005F001B" w:rsidP="007619E6">
      <w:pPr>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FB5491" w:rsidRPr="00954547">
        <w:rPr>
          <w:rFonts w:ascii="Verdana" w:hAnsi="Verdana"/>
          <w:sz w:val="16"/>
          <w:szCs w:val="16"/>
        </w:rPr>
        <w:t>At this hearing, there appeared: (</w:t>
      </w:r>
      <w:r w:rsidRPr="00954547">
        <w:rPr>
          <w:rFonts w:ascii="Verdana" w:hAnsi="Verdana"/>
          <w:sz w:val="16"/>
          <w:szCs w:val="16"/>
        </w:rPr>
        <w:t xml:space="preserve">a) </w:t>
      </w:r>
      <w:r w:rsidR="00FB5491" w:rsidRPr="00954547">
        <w:rPr>
          <w:rFonts w:ascii="Verdana" w:hAnsi="Verdana"/>
          <w:sz w:val="16"/>
          <w:szCs w:val="16"/>
        </w:rPr>
        <w:t>f</w:t>
      </w:r>
      <w:r w:rsidRPr="00954547">
        <w:rPr>
          <w:rFonts w:ascii="Verdana" w:hAnsi="Verdana"/>
          <w:sz w:val="16"/>
          <w:szCs w:val="16"/>
        </w:rPr>
        <w:t xml:space="preserve">or </w:t>
      </w:r>
      <w:r w:rsidR="00E76B1A" w:rsidRPr="00954547">
        <w:rPr>
          <w:rFonts w:ascii="Verdana" w:hAnsi="Verdana"/>
          <w:sz w:val="16"/>
          <w:szCs w:val="16"/>
        </w:rPr>
        <w:t>the Inter-American Commission</w:t>
      </w:r>
      <w:r w:rsidRPr="00954547">
        <w:rPr>
          <w:rFonts w:ascii="Verdana" w:hAnsi="Verdana"/>
          <w:sz w:val="16"/>
          <w:szCs w:val="16"/>
        </w:rPr>
        <w:t>: Margarette May Macaulay, Com</w:t>
      </w:r>
      <w:r w:rsidR="00FB5491" w:rsidRPr="00954547">
        <w:rPr>
          <w:rFonts w:ascii="Verdana" w:hAnsi="Verdana"/>
          <w:sz w:val="16"/>
          <w:szCs w:val="16"/>
        </w:rPr>
        <w:t>missioner</w:t>
      </w:r>
      <w:r w:rsidRPr="00954547">
        <w:rPr>
          <w:rFonts w:ascii="Verdana" w:hAnsi="Verdana"/>
          <w:sz w:val="16"/>
          <w:szCs w:val="16"/>
        </w:rPr>
        <w:t xml:space="preserve">; Marisol Blanchard, </w:t>
      </w:r>
      <w:r w:rsidR="00FB5491" w:rsidRPr="00954547">
        <w:rPr>
          <w:rFonts w:ascii="Verdana" w:hAnsi="Verdana"/>
          <w:sz w:val="16"/>
          <w:szCs w:val="16"/>
        </w:rPr>
        <w:t xml:space="preserve">Deputy Executive </w:t>
      </w:r>
      <w:r w:rsidR="00A42A4C" w:rsidRPr="00954547">
        <w:rPr>
          <w:rFonts w:ascii="Verdana" w:hAnsi="Verdana"/>
          <w:sz w:val="16"/>
          <w:szCs w:val="16"/>
        </w:rPr>
        <w:t>Secretary</w:t>
      </w:r>
      <w:r w:rsidRPr="00954547">
        <w:rPr>
          <w:rFonts w:ascii="Verdana" w:hAnsi="Verdana"/>
          <w:sz w:val="16"/>
          <w:szCs w:val="16"/>
        </w:rPr>
        <w:t>; Jorge Meza Flores</w:t>
      </w:r>
      <w:r w:rsidR="0078694F" w:rsidRPr="00954547">
        <w:rPr>
          <w:rFonts w:ascii="Verdana" w:hAnsi="Verdana"/>
          <w:sz w:val="16"/>
          <w:szCs w:val="16"/>
        </w:rPr>
        <w:t xml:space="preserve"> and </w:t>
      </w:r>
      <w:r w:rsidRPr="00954547">
        <w:rPr>
          <w:rFonts w:ascii="Verdana" w:hAnsi="Verdana"/>
          <w:sz w:val="16"/>
          <w:szCs w:val="16"/>
        </w:rPr>
        <w:t xml:space="preserve">Christian González, </w:t>
      </w:r>
      <w:r w:rsidR="00FB5491" w:rsidRPr="00954547">
        <w:rPr>
          <w:rFonts w:ascii="Verdana" w:hAnsi="Verdana"/>
          <w:sz w:val="16"/>
          <w:szCs w:val="16"/>
        </w:rPr>
        <w:t>Advisers</w:t>
      </w:r>
      <w:r w:rsidRPr="00954547">
        <w:rPr>
          <w:rFonts w:ascii="Verdana" w:eastAsia="Verdana" w:hAnsi="Verdana" w:cs="Verdana"/>
          <w:sz w:val="16"/>
          <w:szCs w:val="16"/>
        </w:rPr>
        <w:t>;</w:t>
      </w:r>
      <w:r w:rsidRPr="00954547">
        <w:rPr>
          <w:rFonts w:ascii="Verdana" w:hAnsi="Verdana"/>
          <w:sz w:val="16"/>
          <w:szCs w:val="16"/>
        </w:rPr>
        <w:t xml:space="preserve"> </w:t>
      </w:r>
      <w:r w:rsidR="00FB5491" w:rsidRPr="00954547">
        <w:rPr>
          <w:rFonts w:ascii="Verdana" w:hAnsi="Verdana"/>
          <w:sz w:val="16"/>
          <w:szCs w:val="16"/>
        </w:rPr>
        <w:t>(</w:t>
      </w:r>
      <w:r w:rsidRPr="00954547">
        <w:rPr>
          <w:rFonts w:ascii="Verdana" w:hAnsi="Verdana"/>
          <w:sz w:val="16"/>
          <w:szCs w:val="16"/>
        </w:rPr>
        <w:t xml:space="preserve">b) </w:t>
      </w:r>
      <w:r w:rsidR="00FB5491" w:rsidRPr="00954547">
        <w:rPr>
          <w:rFonts w:ascii="Verdana" w:hAnsi="Verdana"/>
          <w:sz w:val="16"/>
          <w:szCs w:val="16"/>
        </w:rPr>
        <w:t>f</w:t>
      </w:r>
      <w:r w:rsidRPr="00954547">
        <w:rPr>
          <w:rFonts w:ascii="Verdana" w:hAnsi="Verdana"/>
          <w:sz w:val="16"/>
          <w:szCs w:val="16"/>
        </w:rPr>
        <w:t xml:space="preserve">or </w:t>
      </w:r>
      <w:r w:rsidR="00B8393C" w:rsidRPr="00954547">
        <w:rPr>
          <w:rFonts w:ascii="Verdana" w:hAnsi="Verdana"/>
          <w:sz w:val="16"/>
          <w:szCs w:val="16"/>
        </w:rPr>
        <w:t>the representatives</w:t>
      </w:r>
      <w:r w:rsidR="00607E12" w:rsidRPr="00954547">
        <w:rPr>
          <w:rFonts w:ascii="Verdana" w:hAnsi="Verdana"/>
          <w:sz w:val="16"/>
          <w:szCs w:val="16"/>
        </w:rPr>
        <w:t xml:space="preserve"> of the presumed victims</w:t>
      </w:r>
      <w:r w:rsidRPr="00954547">
        <w:rPr>
          <w:rFonts w:ascii="Verdana" w:hAnsi="Verdana"/>
          <w:sz w:val="16"/>
          <w:szCs w:val="16"/>
        </w:rPr>
        <w:t>: Morena Herrera,</w:t>
      </w:r>
      <w:r w:rsidR="0078694F" w:rsidRPr="00954547">
        <w:rPr>
          <w:rFonts w:ascii="Verdana" w:hAnsi="Verdana"/>
          <w:sz w:val="16"/>
          <w:szCs w:val="16"/>
        </w:rPr>
        <w:t xml:space="preserve"> and </w:t>
      </w:r>
      <w:r w:rsidRPr="00954547">
        <w:rPr>
          <w:rFonts w:ascii="Verdana" w:hAnsi="Verdana"/>
          <w:sz w:val="16"/>
          <w:szCs w:val="16"/>
        </w:rPr>
        <w:t xml:space="preserve">Sara García, </w:t>
      </w:r>
      <w:r w:rsidR="00FB5491" w:rsidRPr="00954547">
        <w:rPr>
          <w:rFonts w:ascii="Verdana" w:hAnsi="Verdana"/>
          <w:sz w:val="16"/>
          <w:szCs w:val="16"/>
        </w:rPr>
        <w:t>lawyers of the</w:t>
      </w:r>
      <w:r w:rsidRPr="00954547">
        <w:rPr>
          <w:rFonts w:ascii="Verdana" w:hAnsi="Verdana"/>
          <w:sz w:val="16"/>
          <w:szCs w:val="16"/>
        </w:rPr>
        <w:t xml:space="preserve"> </w:t>
      </w:r>
      <w:r w:rsidR="00F632DF" w:rsidRPr="00954547">
        <w:rPr>
          <w:rFonts w:ascii="Verdana" w:hAnsi="Verdana"/>
          <w:sz w:val="16"/>
          <w:szCs w:val="16"/>
        </w:rPr>
        <w:t xml:space="preserve">Asociación Colectiva de Mujeres para el Desarrollo Local, also known as the Colectiva Feminista para el Desarrollo Local </w:t>
      </w:r>
      <w:r w:rsidR="009E6B43" w:rsidRPr="00954547">
        <w:rPr>
          <w:rFonts w:ascii="Verdana" w:hAnsi="Verdana"/>
          <w:sz w:val="16"/>
          <w:szCs w:val="16"/>
        </w:rPr>
        <w:t xml:space="preserve">of El </w:t>
      </w:r>
      <w:r w:rsidRPr="00954547">
        <w:rPr>
          <w:rFonts w:ascii="Verdana" w:hAnsi="Verdana"/>
          <w:sz w:val="16"/>
          <w:szCs w:val="16"/>
        </w:rPr>
        <w:t>Salvador,</w:t>
      </w:r>
      <w:r w:rsidR="0078694F" w:rsidRPr="00954547">
        <w:rPr>
          <w:rFonts w:ascii="Verdana" w:hAnsi="Verdana"/>
          <w:sz w:val="16"/>
          <w:szCs w:val="16"/>
        </w:rPr>
        <w:t xml:space="preserve"> and </w:t>
      </w:r>
      <w:r w:rsidRPr="00954547">
        <w:rPr>
          <w:rFonts w:ascii="Verdana" w:hAnsi="Verdana"/>
          <w:sz w:val="16"/>
          <w:szCs w:val="16"/>
        </w:rPr>
        <w:t>Catalina Martínez, Carmen Martínez,</w:t>
      </w:r>
      <w:r w:rsidR="0078694F" w:rsidRPr="00954547">
        <w:rPr>
          <w:rFonts w:ascii="Verdana" w:hAnsi="Verdana"/>
          <w:sz w:val="16"/>
          <w:szCs w:val="16"/>
        </w:rPr>
        <w:t xml:space="preserve"> and </w:t>
      </w:r>
      <w:r w:rsidRPr="00954547">
        <w:rPr>
          <w:rFonts w:ascii="Verdana" w:hAnsi="Verdana"/>
          <w:sz w:val="16"/>
          <w:szCs w:val="16"/>
        </w:rPr>
        <w:t xml:space="preserve">Edward Pérez, </w:t>
      </w:r>
      <w:r w:rsidR="00FB5491" w:rsidRPr="00954547">
        <w:rPr>
          <w:rFonts w:ascii="Verdana" w:hAnsi="Verdana"/>
          <w:sz w:val="16"/>
          <w:szCs w:val="16"/>
        </w:rPr>
        <w:t>lawyers from the</w:t>
      </w:r>
      <w:r w:rsidRPr="00954547">
        <w:rPr>
          <w:rFonts w:ascii="Verdana" w:hAnsi="Verdana"/>
          <w:sz w:val="16"/>
          <w:szCs w:val="16"/>
        </w:rPr>
        <w:t xml:space="preserve"> </w:t>
      </w:r>
      <w:r w:rsidR="00C90D62" w:rsidRPr="00954547">
        <w:rPr>
          <w:rFonts w:ascii="Verdana" w:hAnsi="Verdana"/>
          <w:sz w:val="16"/>
          <w:szCs w:val="16"/>
        </w:rPr>
        <w:t>Center for Reproductive Rights</w:t>
      </w:r>
      <w:r w:rsidRPr="00954547">
        <w:rPr>
          <w:rFonts w:ascii="Verdana" w:hAnsi="Verdana"/>
          <w:sz w:val="16"/>
          <w:szCs w:val="16"/>
        </w:rPr>
        <w:t>,</w:t>
      </w:r>
      <w:r w:rsidR="0078694F" w:rsidRPr="00954547">
        <w:rPr>
          <w:rFonts w:ascii="Verdana" w:hAnsi="Verdana"/>
          <w:sz w:val="16"/>
          <w:szCs w:val="16"/>
        </w:rPr>
        <w:t xml:space="preserve"> and </w:t>
      </w:r>
      <w:r w:rsidR="00FB5491" w:rsidRPr="00954547">
        <w:rPr>
          <w:rFonts w:ascii="Verdana" w:hAnsi="Verdana"/>
          <w:sz w:val="16"/>
          <w:szCs w:val="16"/>
        </w:rPr>
        <w:t>(</w:t>
      </w:r>
      <w:r w:rsidRPr="00954547">
        <w:rPr>
          <w:rFonts w:ascii="Verdana" w:hAnsi="Verdana"/>
          <w:sz w:val="16"/>
          <w:szCs w:val="16"/>
        </w:rPr>
        <w:t xml:space="preserve">c) </w:t>
      </w:r>
      <w:r w:rsidR="00FB5491" w:rsidRPr="00954547">
        <w:rPr>
          <w:rFonts w:ascii="Verdana" w:hAnsi="Verdana"/>
          <w:sz w:val="16"/>
          <w:szCs w:val="16"/>
        </w:rPr>
        <w:t>f</w:t>
      </w:r>
      <w:r w:rsidRPr="00954547">
        <w:rPr>
          <w:rFonts w:ascii="Verdana" w:hAnsi="Verdana"/>
          <w:sz w:val="16"/>
          <w:szCs w:val="16"/>
        </w:rPr>
        <w:t xml:space="preserve">or </w:t>
      </w:r>
      <w:r w:rsidR="00B8393C" w:rsidRPr="00954547">
        <w:rPr>
          <w:rFonts w:ascii="Verdana" w:hAnsi="Verdana"/>
          <w:sz w:val="16"/>
          <w:szCs w:val="16"/>
        </w:rPr>
        <w:t>the State</w:t>
      </w:r>
      <w:r w:rsidR="009E6B43" w:rsidRPr="00954547">
        <w:rPr>
          <w:rFonts w:ascii="Verdana" w:hAnsi="Verdana"/>
          <w:sz w:val="16"/>
          <w:szCs w:val="16"/>
        </w:rPr>
        <w:t xml:space="preserve"> of El </w:t>
      </w:r>
      <w:r w:rsidRPr="00954547">
        <w:rPr>
          <w:rFonts w:ascii="Verdana" w:hAnsi="Verdana"/>
          <w:sz w:val="16"/>
          <w:szCs w:val="16"/>
        </w:rPr>
        <w:t>Salvador: Ana Elizabeth Cubias Medina, Director</w:t>
      </w:r>
      <w:r w:rsidR="00FB5491" w:rsidRPr="00954547">
        <w:rPr>
          <w:rFonts w:ascii="Verdana" w:hAnsi="Verdana"/>
          <w:sz w:val="16"/>
          <w:szCs w:val="16"/>
        </w:rPr>
        <w:t xml:space="preserve"> of Comprehensive Social Development of the Ministry of Foreign Affairs of </w:t>
      </w:r>
      <w:r w:rsidRPr="00954547">
        <w:rPr>
          <w:rFonts w:ascii="Verdana" w:hAnsi="Verdana"/>
          <w:sz w:val="16"/>
          <w:szCs w:val="16"/>
        </w:rPr>
        <w:t>El Salvador</w:t>
      </w:r>
      <w:r w:rsidR="0078694F" w:rsidRPr="00954547">
        <w:rPr>
          <w:rFonts w:ascii="Verdana" w:hAnsi="Verdana"/>
          <w:sz w:val="16"/>
          <w:szCs w:val="16"/>
        </w:rPr>
        <w:t xml:space="preserve"> and </w:t>
      </w:r>
      <w:r w:rsidR="00FB5491" w:rsidRPr="00954547">
        <w:rPr>
          <w:rFonts w:ascii="Verdana" w:hAnsi="Verdana"/>
          <w:sz w:val="16"/>
          <w:szCs w:val="16"/>
        </w:rPr>
        <w:t xml:space="preserve">the State’s </w:t>
      </w:r>
      <w:r w:rsidRPr="00954547">
        <w:rPr>
          <w:rFonts w:ascii="Verdana" w:hAnsi="Verdana"/>
          <w:sz w:val="16"/>
          <w:szCs w:val="16"/>
        </w:rPr>
        <w:t xml:space="preserve">Agent; Luis Elmer Hernández Hernández, </w:t>
      </w:r>
      <w:r w:rsidR="00FB5491" w:rsidRPr="00954547">
        <w:rPr>
          <w:rFonts w:ascii="Verdana" w:hAnsi="Verdana"/>
          <w:sz w:val="16"/>
          <w:szCs w:val="16"/>
        </w:rPr>
        <w:t xml:space="preserve">Legal </w:t>
      </w:r>
      <w:r w:rsidR="006C6051" w:rsidRPr="00954547">
        <w:rPr>
          <w:rFonts w:ascii="Verdana" w:hAnsi="Verdana"/>
          <w:sz w:val="16"/>
          <w:szCs w:val="16"/>
        </w:rPr>
        <w:t>Consultant to</w:t>
      </w:r>
      <w:r w:rsidR="00FB5491" w:rsidRPr="00954547">
        <w:rPr>
          <w:rFonts w:ascii="Verdana" w:hAnsi="Verdana"/>
          <w:sz w:val="16"/>
          <w:szCs w:val="16"/>
        </w:rPr>
        <w:t xml:space="preserve"> the Ministry of Health of </w:t>
      </w:r>
      <w:r w:rsidRPr="00954547">
        <w:rPr>
          <w:rFonts w:ascii="Verdana" w:hAnsi="Verdana"/>
          <w:sz w:val="16"/>
          <w:szCs w:val="16"/>
        </w:rPr>
        <w:t>El Salvador; Lorena Mercedes González Zura,</w:t>
      </w:r>
      <w:r w:rsidR="00FB5491" w:rsidRPr="00954547">
        <w:rPr>
          <w:rFonts w:ascii="Verdana" w:hAnsi="Verdana"/>
          <w:sz w:val="16"/>
          <w:szCs w:val="16"/>
        </w:rPr>
        <w:t xml:space="preserve"> National</w:t>
      </w:r>
      <w:r w:rsidRPr="00954547">
        <w:rPr>
          <w:rFonts w:ascii="Verdana" w:hAnsi="Verdana"/>
          <w:sz w:val="16"/>
          <w:szCs w:val="16"/>
        </w:rPr>
        <w:t xml:space="preserve"> Coordina</w:t>
      </w:r>
      <w:r w:rsidR="00FB5491" w:rsidRPr="00954547">
        <w:rPr>
          <w:rFonts w:ascii="Verdana" w:hAnsi="Verdana"/>
          <w:sz w:val="16"/>
          <w:szCs w:val="16"/>
        </w:rPr>
        <w:t xml:space="preserve">tor of the Public Criminal Defense Service of the Office of the Attorney General </w:t>
      </w:r>
      <w:r w:rsidR="00607E12" w:rsidRPr="00954547">
        <w:rPr>
          <w:rFonts w:ascii="Verdana" w:hAnsi="Verdana"/>
          <w:sz w:val="16"/>
          <w:szCs w:val="16"/>
        </w:rPr>
        <w:t xml:space="preserve">of the </w:t>
      </w:r>
      <w:r w:rsidR="00B8393C" w:rsidRPr="00954547">
        <w:rPr>
          <w:rFonts w:ascii="Verdana" w:hAnsi="Verdana"/>
          <w:sz w:val="16"/>
          <w:szCs w:val="16"/>
        </w:rPr>
        <w:t>Republic of</w:t>
      </w:r>
      <w:r w:rsidRPr="00954547">
        <w:rPr>
          <w:rFonts w:ascii="Verdana" w:hAnsi="Verdana"/>
          <w:sz w:val="16"/>
          <w:szCs w:val="16"/>
        </w:rPr>
        <w:t xml:space="preserve"> El Salvador; Carlos Javier Hernández Pérez, Subdirector General </w:t>
      </w:r>
      <w:r w:rsidR="003E4981" w:rsidRPr="00954547">
        <w:rPr>
          <w:rFonts w:ascii="Verdana" w:hAnsi="Verdana"/>
          <w:sz w:val="16"/>
          <w:szCs w:val="16"/>
        </w:rPr>
        <w:t xml:space="preserve">of Legal </w:t>
      </w:r>
      <w:r w:rsidR="00F00ACF" w:rsidRPr="00954547">
        <w:rPr>
          <w:rFonts w:ascii="Verdana" w:hAnsi="Verdana"/>
          <w:sz w:val="16"/>
          <w:szCs w:val="16"/>
        </w:rPr>
        <w:t>Affairs</w:t>
      </w:r>
      <w:r w:rsidR="003E4981" w:rsidRPr="00954547">
        <w:rPr>
          <w:rFonts w:ascii="Verdana" w:hAnsi="Verdana"/>
          <w:sz w:val="16"/>
          <w:szCs w:val="16"/>
        </w:rPr>
        <w:t xml:space="preserve"> of the General Directorate of Prisons of </w:t>
      </w:r>
      <w:r w:rsidRPr="00954547">
        <w:rPr>
          <w:rFonts w:ascii="Verdana" w:hAnsi="Verdana"/>
          <w:sz w:val="16"/>
          <w:szCs w:val="16"/>
        </w:rPr>
        <w:t>El Salvador,</w:t>
      </w:r>
      <w:r w:rsidR="0078694F" w:rsidRPr="00954547">
        <w:rPr>
          <w:rFonts w:ascii="Verdana" w:hAnsi="Verdana"/>
          <w:sz w:val="16"/>
          <w:szCs w:val="16"/>
        </w:rPr>
        <w:t xml:space="preserve"> and </w:t>
      </w:r>
      <w:r w:rsidRPr="00954547">
        <w:rPr>
          <w:rFonts w:ascii="Verdana" w:hAnsi="Verdana"/>
          <w:sz w:val="16"/>
          <w:szCs w:val="16"/>
        </w:rPr>
        <w:t xml:space="preserve">Alfredo Adolfo Romero Díaz, </w:t>
      </w:r>
      <w:r w:rsidR="003E4981" w:rsidRPr="00954547">
        <w:rPr>
          <w:rFonts w:ascii="Verdana" w:hAnsi="Verdana"/>
          <w:sz w:val="16"/>
          <w:szCs w:val="16"/>
        </w:rPr>
        <w:t xml:space="preserve">Forensic Physician of the Institute of Forensic Medicine </w:t>
      </w:r>
      <w:r w:rsidR="00607E12" w:rsidRPr="00954547">
        <w:rPr>
          <w:rFonts w:ascii="Verdana" w:hAnsi="Verdana"/>
          <w:sz w:val="16"/>
          <w:szCs w:val="16"/>
        </w:rPr>
        <w:t xml:space="preserve">of the </w:t>
      </w:r>
      <w:r w:rsidR="003E4981" w:rsidRPr="00954547">
        <w:rPr>
          <w:rFonts w:ascii="Verdana" w:hAnsi="Verdana"/>
          <w:sz w:val="16"/>
          <w:szCs w:val="16"/>
        </w:rPr>
        <w:t>Supreme Court of Justice of</w:t>
      </w:r>
      <w:r w:rsidRPr="00954547">
        <w:rPr>
          <w:rFonts w:ascii="Verdana" w:hAnsi="Verdana"/>
          <w:sz w:val="16"/>
          <w:szCs w:val="16"/>
        </w:rPr>
        <w:t xml:space="preserve"> El Salvador.</w:t>
      </w:r>
    </w:p>
  </w:footnote>
  <w:footnote w:id="7">
    <w:p w14:paraId="5A0EEA09" w14:textId="4B4E9CD4"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lang w:val="en-US"/>
        </w:rPr>
        <w:t>The State</w:t>
      </w:r>
      <w:r w:rsidRPr="00954547">
        <w:rPr>
          <w:lang w:val="en-US"/>
        </w:rPr>
        <w:t xml:space="preserve"> </w:t>
      </w:r>
      <w:r w:rsidR="00122F55" w:rsidRPr="00954547">
        <w:rPr>
          <w:lang w:val="en-US"/>
        </w:rPr>
        <w:t xml:space="preserve">argued </w:t>
      </w:r>
      <w:r w:rsidR="00DA09CA" w:rsidRPr="00954547">
        <w:rPr>
          <w:lang w:val="en-US"/>
        </w:rPr>
        <w:t>that</w:t>
      </w:r>
      <w:r w:rsidRPr="00954547">
        <w:rPr>
          <w:lang w:val="en-US"/>
        </w:rPr>
        <w:t xml:space="preserve"> “</w:t>
      </w:r>
      <w:r w:rsidR="00DA09CA" w:rsidRPr="00954547">
        <w:rPr>
          <w:lang w:val="en-US"/>
        </w:rPr>
        <w:t>the</w:t>
      </w:r>
      <w:r w:rsidRPr="00954547">
        <w:rPr>
          <w:lang w:val="en-US"/>
        </w:rPr>
        <w:t xml:space="preserve"> </w:t>
      </w:r>
      <w:r w:rsidRPr="00954547">
        <w:rPr>
          <w:i/>
          <w:lang w:val="en-US"/>
        </w:rPr>
        <w:t>amicus curiae</w:t>
      </w:r>
      <w:r w:rsidRPr="00954547">
        <w:rPr>
          <w:lang w:val="en-US"/>
        </w:rPr>
        <w:t xml:space="preserve"> </w:t>
      </w:r>
      <w:r w:rsidR="00DA09CA" w:rsidRPr="00954547">
        <w:rPr>
          <w:lang w:val="en-US"/>
        </w:rPr>
        <w:t>contain continuous mentions of the supposed effects of the criminal law on abortion; therefore, the Court</w:t>
      </w:r>
      <w:r w:rsidR="00122F55" w:rsidRPr="00954547">
        <w:rPr>
          <w:lang w:val="en-US"/>
        </w:rPr>
        <w:t xml:space="preserve"> is again asked</w:t>
      </w:r>
      <w:r w:rsidR="00DA09CA" w:rsidRPr="00954547">
        <w:rPr>
          <w:lang w:val="en-US"/>
        </w:rPr>
        <w:t xml:space="preserve"> </w:t>
      </w:r>
      <w:r w:rsidR="00122F55" w:rsidRPr="00954547">
        <w:rPr>
          <w:lang w:val="en-US"/>
        </w:rPr>
        <w:t>to exclude</w:t>
      </w:r>
      <w:r w:rsidR="00DA09CA" w:rsidRPr="00954547">
        <w:rPr>
          <w:lang w:val="en-US"/>
        </w:rPr>
        <w:t xml:space="preserve"> any analysis of the criminal law on abortion</w:t>
      </w:r>
      <w:r w:rsidRPr="00954547">
        <w:rPr>
          <w:lang w:val="en-US"/>
        </w:rPr>
        <w:t xml:space="preserve"> </w:t>
      </w:r>
      <w:r w:rsidR="004E1B4D" w:rsidRPr="00954547">
        <w:rPr>
          <w:lang w:val="en-US"/>
        </w:rPr>
        <w:t>i</w:t>
      </w:r>
      <w:r w:rsidRPr="00954547">
        <w:rPr>
          <w:lang w:val="en-US"/>
        </w:rPr>
        <w:t xml:space="preserve">n El Salvador </w:t>
      </w:r>
      <w:r w:rsidR="004E1B4D" w:rsidRPr="00954547">
        <w:rPr>
          <w:lang w:val="en-US"/>
        </w:rPr>
        <w:t xml:space="preserve">from the instant case.” The State also </w:t>
      </w:r>
      <w:r w:rsidR="00122F55" w:rsidRPr="00954547">
        <w:rPr>
          <w:lang w:val="en-US"/>
        </w:rPr>
        <w:t>indicated</w:t>
      </w:r>
      <w:r w:rsidR="004E1B4D" w:rsidRPr="00954547">
        <w:rPr>
          <w:lang w:val="en-US"/>
        </w:rPr>
        <w:t xml:space="preserve"> that “neither should the Court admit the arguments regarding a supposed violation of Manuela’s right to privacy,” or the arguments concerning a context of structural discrimination against women, medical confidentiality, the right of women to a life free of obstetric violence, torture and, in general, </w:t>
      </w:r>
      <w:r w:rsidR="00CD33C9" w:rsidRPr="00954547">
        <w:rPr>
          <w:lang w:val="en-US"/>
        </w:rPr>
        <w:t>any</w:t>
      </w:r>
      <w:r w:rsidR="004E1B4D" w:rsidRPr="00954547">
        <w:rPr>
          <w:lang w:val="en-US"/>
        </w:rPr>
        <w:t xml:space="preserve"> “imprecise references” to what happened to Manuela. In this regard, the Court recalls that, according to its Rules of Procedure, the expression </w:t>
      </w:r>
      <w:r w:rsidRPr="00954547">
        <w:rPr>
          <w:i/>
          <w:lang w:val="en-US"/>
        </w:rPr>
        <w:t>amicus curiae</w:t>
      </w:r>
      <w:r w:rsidRPr="00954547">
        <w:rPr>
          <w:lang w:val="en-US"/>
        </w:rPr>
        <w:t xml:space="preserve"> “</w:t>
      </w:r>
      <w:r w:rsidR="00B10E5A" w:rsidRPr="00954547">
        <w:rPr>
          <w:lang w:val="en-US"/>
        </w:rPr>
        <w:t>refers to the person or institution who is unrelated to the case and to the proceeding and submits to the Court reasoned arguments on the facts contained in the presentation of the case or legal considerations on the subject-matter of the proceeding by means of a document or an argument presented at a hearing.</w:t>
      </w:r>
      <w:r w:rsidRPr="00954547">
        <w:rPr>
          <w:lang w:val="en-US"/>
        </w:rPr>
        <w:t>”</w:t>
      </w:r>
      <w:r w:rsidR="00B10E5A" w:rsidRPr="00954547">
        <w:rPr>
          <w:lang w:val="en-US"/>
        </w:rPr>
        <w:t xml:space="preserve"> Considering that it is not incumbent on the Court to rule on whether or not such briefs are correct or on any requests or petitions they contain, the State’s observations do not affect the admissibility of the </w:t>
      </w:r>
      <w:r w:rsidRPr="00954547">
        <w:rPr>
          <w:i/>
          <w:lang w:val="en-US"/>
        </w:rPr>
        <w:t>amici curiae</w:t>
      </w:r>
      <w:r w:rsidRPr="00954547">
        <w:rPr>
          <w:lang w:val="en-US"/>
        </w:rPr>
        <w:t xml:space="preserve">, </w:t>
      </w:r>
      <w:r w:rsidR="00B10E5A" w:rsidRPr="00954547">
        <w:rPr>
          <w:lang w:val="en-US"/>
        </w:rPr>
        <w:t xml:space="preserve">without prejudice to the eventual relevance of such </w:t>
      </w:r>
      <w:r w:rsidR="00CD33C9" w:rsidRPr="00954547">
        <w:rPr>
          <w:lang w:val="en-US"/>
        </w:rPr>
        <w:t xml:space="preserve">considerations </w:t>
      </w:r>
      <w:r w:rsidR="00B10E5A" w:rsidRPr="00954547">
        <w:rPr>
          <w:lang w:val="en-US"/>
        </w:rPr>
        <w:t>when assessing the information they provide</w:t>
      </w:r>
      <w:r w:rsidRPr="00954547">
        <w:rPr>
          <w:lang w:val="en-US"/>
        </w:rPr>
        <w:t xml:space="preserve">. </w:t>
      </w:r>
      <w:r w:rsidR="00B8393C" w:rsidRPr="00954547">
        <w:rPr>
          <w:i/>
          <w:lang w:val="en-US"/>
        </w:rPr>
        <w:t>Cf.</w:t>
      </w:r>
      <w:r w:rsidRPr="00954547">
        <w:rPr>
          <w:i/>
          <w:lang w:val="en-US"/>
        </w:rPr>
        <w:t xml:space="preserve"> </w:t>
      </w:r>
      <w:r w:rsidR="002F4617" w:rsidRPr="00954547">
        <w:rPr>
          <w:i/>
          <w:lang w:val="en-US"/>
        </w:rPr>
        <w:t>Case of</w:t>
      </w:r>
      <w:r w:rsidRPr="00954547">
        <w:rPr>
          <w:i/>
          <w:lang w:val="en-US"/>
        </w:rPr>
        <w:t xml:space="preserve"> </w:t>
      </w:r>
      <w:r w:rsidR="00B10E5A" w:rsidRPr="00954547">
        <w:rPr>
          <w:i/>
          <w:lang w:val="en-US"/>
        </w:rPr>
        <w:t xml:space="preserve">Expelled Dominicans and Haitians </w:t>
      </w:r>
      <w:r w:rsidRPr="00954547">
        <w:rPr>
          <w:i/>
          <w:lang w:val="en-US"/>
        </w:rPr>
        <w:t xml:space="preserve">v. </w:t>
      </w:r>
      <w:r w:rsidR="00B10E5A" w:rsidRPr="00954547">
        <w:rPr>
          <w:i/>
          <w:lang w:val="en-US"/>
        </w:rPr>
        <w:t>Dominican Republic</w:t>
      </w:r>
      <w:r w:rsidRPr="00954547">
        <w:rPr>
          <w:i/>
          <w:lang w:val="en-US"/>
        </w:rPr>
        <w:t xml:space="preserve">. </w:t>
      </w:r>
      <w:r w:rsidR="00A70DC4" w:rsidRPr="00954547">
        <w:rPr>
          <w:i/>
          <w:lang w:val="en-US"/>
        </w:rPr>
        <w:t>Preliminary objections</w:t>
      </w:r>
      <w:r w:rsidRPr="00954547">
        <w:rPr>
          <w:i/>
          <w:lang w:val="en-US"/>
        </w:rPr>
        <w:t xml:space="preserve">, </w:t>
      </w:r>
      <w:r w:rsidR="00B10E5A" w:rsidRPr="00954547">
        <w:rPr>
          <w:i/>
          <w:lang w:val="en-US"/>
        </w:rPr>
        <w:t>m</w:t>
      </w:r>
      <w:r w:rsidR="00A70DC4" w:rsidRPr="00954547">
        <w:rPr>
          <w:i/>
          <w:lang w:val="en-US"/>
        </w:rPr>
        <w:t>erits, reparations and costs</w:t>
      </w:r>
      <w:r w:rsidRPr="00954547">
        <w:rPr>
          <w:lang w:val="en-US"/>
        </w:rPr>
        <w:t xml:space="preserve">. </w:t>
      </w:r>
      <w:r w:rsidR="00B8393C" w:rsidRPr="00954547">
        <w:rPr>
          <w:lang w:val="en-US"/>
        </w:rPr>
        <w:t>Judgment of</w:t>
      </w:r>
      <w:r w:rsidRPr="00954547">
        <w:rPr>
          <w:lang w:val="en-US"/>
        </w:rPr>
        <w:t xml:space="preserve"> </w:t>
      </w:r>
      <w:r w:rsidR="00B10E5A" w:rsidRPr="00954547">
        <w:rPr>
          <w:lang w:val="en-US"/>
        </w:rPr>
        <w:t>August 28,</w:t>
      </w:r>
      <w:r w:rsidRPr="00954547">
        <w:rPr>
          <w:lang w:val="en-US"/>
        </w:rPr>
        <w:t xml:space="preserve"> 2014. </w:t>
      </w:r>
      <w:r w:rsidR="00B8393C" w:rsidRPr="00954547">
        <w:rPr>
          <w:lang w:val="en-US"/>
        </w:rPr>
        <w:t xml:space="preserve">Series </w:t>
      </w:r>
      <w:r w:rsidRPr="00954547">
        <w:rPr>
          <w:lang w:val="en-US"/>
        </w:rPr>
        <w:t xml:space="preserve">C No. 282, </w:t>
      </w:r>
      <w:r w:rsidR="00B10E5A" w:rsidRPr="00954547">
        <w:rPr>
          <w:lang w:val="en-US"/>
        </w:rPr>
        <w:t>para.</w:t>
      </w:r>
      <w:r w:rsidRPr="00954547">
        <w:rPr>
          <w:lang w:val="en-US"/>
        </w:rPr>
        <w:t xml:space="preserve"> 15,</w:t>
      </w:r>
      <w:r w:rsidR="0078694F" w:rsidRPr="00954547">
        <w:rPr>
          <w:lang w:val="en-US"/>
        </w:rPr>
        <w:t xml:space="preserve"> and </w:t>
      </w:r>
      <w:r w:rsidR="002F4617" w:rsidRPr="00954547">
        <w:rPr>
          <w:i/>
          <w:lang w:val="en-US"/>
        </w:rPr>
        <w:t>Case of</w:t>
      </w:r>
      <w:r w:rsidRPr="00954547">
        <w:rPr>
          <w:i/>
          <w:lang w:val="en-US"/>
        </w:rPr>
        <w:t xml:space="preserve"> Guachalá Chimbo </w:t>
      </w:r>
      <w:r w:rsidR="00B8393C" w:rsidRPr="00954547">
        <w:rPr>
          <w:i/>
          <w:lang w:val="en-US"/>
        </w:rPr>
        <w:t>et al. v.</w:t>
      </w:r>
      <w:r w:rsidRPr="00954547">
        <w:rPr>
          <w:i/>
          <w:lang w:val="en-US"/>
        </w:rPr>
        <w:t xml:space="preserve"> Ecuador. </w:t>
      </w:r>
      <w:r w:rsidR="00A70DC4" w:rsidRPr="00954547">
        <w:rPr>
          <w:i/>
          <w:lang w:val="en-US"/>
        </w:rPr>
        <w:t>Merits, reparations and costs</w:t>
      </w:r>
      <w:r w:rsidRPr="00954547">
        <w:rPr>
          <w:i/>
          <w:lang w:val="en-US"/>
        </w:rPr>
        <w:t>.</w:t>
      </w:r>
      <w:r w:rsidRPr="00954547">
        <w:rPr>
          <w:lang w:val="en-US"/>
        </w:rPr>
        <w:t xml:space="preserve"> </w:t>
      </w:r>
      <w:r w:rsidR="00B8393C" w:rsidRPr="00954547">
        <w:rPr>
          <w:lang w:val="en-US"/>
        </w:rPr>
        <w:t>Judgment of</w:t>
      </w:r>
      <w:r w:rsidRPr="00954547">
        <w:rPr>
          <w:lang w:val="en-US"/>
        </w:rPr>
        <w:t xml:space="preserve"> </w:t>
      </w:r>
      <w:r w:rsidR="00CC5103" w:rsidRPr="00954547">
        <w:rPr>
          <w:lang w:val="en-US"/>
        </w:rPr>
        <w:t>March 26,</w:t>
      </w:r>
      <w:r w:rsidRPr="00954547">
        <w:rPr>
          <w:lang w:val="en-US"/>
        </w:rPr>
        <w:t xml:space="preserve"> 2021. </w:t>
      </w:r>
      <w:r w:rsidR="00B8393C" w:rsidRPr="00954547">
        <w:rPr>
          <w:lang w:val="en-US"/>
        </w:rPr>
        <w:t xml:space="preserve">Series </w:t>
      </w:r>
      <w:r w:rsidRPr="00954547">
        <w:rPr>
          <w:lang w:val="en-US"/>
        </w:rPr>
        <w:t xml:space="preserve">C No. 423, </w:t>
      </w:r>
      <w:r w:rsidR="00CC5103" w:rsidRPr="00954547">
        <w:rPr>
          <w:lang w:val="en-US"/>
        </w:rPr>
        <w:t>footnote</w:t>
      </w:r>
      <w:r w:rsidRPr="00954547">
        <w:rPr>
          <w:lang w:val="en-US"/>
        </w:rPr>
        <w:t xml:space="preserve"> 5.</w:t>
      </w:r>
    </w:p>
  </w:footnote>
  <w:footnote w:id="8">
    <w:p w14:paraId="09354C31" w14:textId="381A34D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Grégor Puppinck</w:t>
      </w:r>
      <w:r w:rsidR="0078694F" w:rsidRPr="00954547">
        <w:rPr>
          <w:rFonts w:ascii="Verdana" w:hAnsi="Verdana"/>
          <w:sz w:val="16"/>
          <w:szCs w:val="16"/>
        </w:rPr>
        <w:t xml:space="preserve"> and </w:t>
      </w:r>
      <w:r w:rsidRPr="00954547">
        <w:rPr>
          <w:rFonts w:ascii="Verdana" w:hAnsi="Verdana"/>
          <w:sz w:val="16"/>
          <w:szCs w:val="16"/>
        </w:rPr>
        <w:t xml:space="preserve">Pablo Nuevo López.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CD33C9" w:rsidRPr="00954547">
        <w:rPr>
          <w:rFonts w:ascii="Verdana" w:hAnsi="Verdana"/>
          <w:sz w:val="16"/>
          <w:szCs w:val="16"/>
        </w:rPr>
        <w:t xml:space="preserve">the </w:t>
      </w:r>
      <w:r w:rsidR="0078694F" w:rsidRPr="00954547">
        <w:rPr>
          <w:rFonts w:ascii="Verdana" w:eastAsiaTheme="minorHAnsi" w:hAnsi="Verdana" w:cs="Verdana"/>
          <w:sz w:val="16"/>
          <w:szCs w:val="16"/>
          <w:bdr w:val="none" w:sz="0" w:space="0" w:color="auto"/>
        </w:rPr>
        <w:t>privacy</w:t>
      </w:r>
      <w:r w:rsidRPr="00954547">
        <w:rPr>
          <w:rFonts w:ascii="Verdana" w:eastAsiaTheme="minorHAnsi" w:hAnsi="Verdana" w:cs="Verdana"/>
          <w:sz w:val="16"/>
          <w:szCs w:val="16"/>
          <w:bdr w:val="none" w:sz="0" w:space="0" w:color="auto"/>
        </w:rPr>
        <w:t xml:space="preserve"> </w:t>
      </w:r>
      <w:r w:rsidR="00CD33C9" w:rsidRPr="00954547">
        <w:rPr>
          <w:rFonts w:ascii="Verdana" w:eastAsiaTheme="minorHAnsi" w:hAnsi="Verdana" w:cs="Verdana"/>
          <w:sz w:val="16"/>
          <w:szCs w:val="16"/>
          <w:bdr w:val="none" w:sz="0" w:space="0" w:color="auto"/>
        </w:rPr>
        <w:t>of</w:t>
      </w:r>
      <w:r w:rsidR="00CC5103" w:rsidRPr="00954547">
        <w:rPr>
          <w:rFonts w:ascii="Verdana" w:eastAsiaTheme="minorHAnsi" w:hAnsi="Verdana" w:cs="Verdana"/>
          <w:sz w:val="16"/>
          <w:szCs w:val="16"/>
          <w:bdr w:val="none" w:sz="0" w:space="0" w:color="auto"/>
        </w:rPr>
        <w:t xml:space="preserve"> health-related information</w:t>
      </w:r>
      <w:r w:rsidRPr="00954547">
        <w:rPr>
          <w:rFonts w:ascii="Verdana" w:eastAsiaTheme="minorHAnsi" w:hAnsi="Verdana" w:cs="Verdana"/>
          <w:sz w:val="16"/>
          <w:szCs w:val="16"/>
          <w:bdr w:val="none" w:sz="0" w:space="0" w:color="auto"/>
        </w:rPr>
        <w:t>.</w:t>
      </w:r>
    </w:p>
  </w:footnote>
  <w:footnote w:id="9">
    <w:p w14:paraId="5CB89D03" w14:textId="609F01F3" w:rsidR="005F001B" w:rsidRPr="00954547" w:rsidRDefault="005F001B" w:rsidP="007619E6">
      <w:pPr>
        <w:tabs>
          <w:tab w:val="left" w:pos="567"/>
        </w:tabs>
        <w:spacing w:after="120"/>
        <w:jc w:val="both"/>
        <w:rPr>
          <w:rFonts w:ascii="Verdana" w:hAnsi="Verdana"/>
          <w:b/>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María Lina Carrera, Gloria Orrego Hoyos</w:t>
      </w:r>
      <w:r w:rsidR="0078694F" w:rsidRPr="00954547">
        <w:rPr>
          <w:rFonts w:ascii="Verdana" w:hAnsi="Verdana"/>
          <w:sz w:val="16"/>
          <w:szCs w:val="16"/>
        </w:rPr>
        <w:t xml:space="preserve"> and </w:t>
      </w:r>
      <w:r w:rsidRPr="00954547">
        <w:rPr>
          <w:rFonts w:ascii="Verdana" w:hAnsi="Verdana"/>
          <w:sz w:val="16"/>
          <w:szCs w:val="16"/>
        </w:rPr>
        <w:t xml:space="preserve">Natalia Saralegui Ferrante.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b/>
          <w:sz w:val="16"/>
          <w:szCs w:val="16"/>
        </w:rPr>
        <w:t xml:space="preserve"> </w:t>
      </w:r>
      <w:r w:rsidR="00CC5103" w:rsidRPr="00954547">
        <w:rPr>
          <w:rFonts w:ascii="Verdana" w:hAnsi="Verdana"/>
          <w:bCs/>
          <w:sz w:val="16"/>
          <w:szCs w:val="16"/>
        </w:rPr>
        <w:t>the criminalization of women for obstetric events in different countries in the region</w:t>
      </w:r>
      <w:r w:rsidRPr="00954547">
        <w:rPr>
          <w:rFonts w:ascii="Verdana" w:hAnsi="Verdana"/>
          <w:sz w:val="16"/>
          <w:szCs w:val="16"/>
        </w:rPr>
        <w:t>.</w:t>
      </w:r>
    </w:p>
  </w:footnote>
  <w:footnote w:id="10">
    <w:p w14:paraId="316C522F" w14:textId="4D2D9BD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María Camila Ospina Navarro</w:t>
      </w:r>
      <w:r w:rsidR="0078694F" w:rsidRPr="00954547">
        <w:rPr>
          <w:rFonts w:ascii="Verdana" w:hAnsi="Verdana"/>
          <w:sz w:val="16"/>
          <w:szCs w:val="16"/>
        </w:rPr>
        <w:t xml:space="preserve"> and </w:t>
      </w:r>
      <w:r w:rsidRPr="00954547">
        <w:rPr>
          <w:rFonts w:ascii="Verdana" w:hAnsi="Verdana"/>
          <w:sz w:val="16"/>
          <w:szCs w:val="16"/>
        </w:rPr>
        <w:t xml:space="preserve">Juan Pablo Rodríguez Martínez.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CC5103" w:rsidRPr="00954547">
        <w:rPr>
          <w:rFonts w:ascii="Verdana" w:hAnsi="Verdana"/>
          <w:sz w:val="16"/>
          <w:szCs w:val="16"/>
        </w:rPr>
        <w:t>the reasons why the Court should not rule on abortion in this case.</w:t>
      </w:r>
    </w:p>
  </w:footnote>
  <w:footnote w:id="11">
    <w:p w14:paraId="2399A39A" w14:textId="2722BCF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María Teresa Angulo Guillermo</w:t>
      </w:r>
      <w:r w:rsidR="0078694F" w:rsidRPr="00954547">
        <w:rPr>
          <w:rFonts w:ascii="Verdana" w:hAnsi="Verdana"/>
          <w:sz w:val="16"/>
          <w:szCs w:val="16"/>
        </w:rPr>
        <w:t xml:space="preserve"> and </w:t>
      </w:r>
      <w:r w:rsidRPr="00954547">
        <w:rPr>
          <w:rFonts w:ascii="Verdana" w:hAnsi="Verdana"/>
          <w:sz w:val="16"/>
          <w:szCs w:val="16"/>
        </w:rPr>
        <w:t xml:space="preserve">Ángel Alfonso Jasso García.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CC5103" w:rsidRPr="00954547">
        <w:rPr>
          <w:rFonts w:ascii="Verdana" w:hAnsi="Verdana"/>
          <w:sz w:val="16"/>
          <w:szCs w:val="16"/>
        </w:rPr>
        <w:t xml:space="preserve">how the prohibition of abortion in </w:t>
      </w:r>
      <w:r w:rsidRPr="00954547">
        <w:rPr>
          <w:rFonts w:ascii="Verdana" w:hAnsi="Verdana"/>
          <w:sz w:val="16"/>
          <w:szCs w:val="16"/>
        </w:rPr>
        <w:t xml:space="preserve">El Salvador </w:t>
      </w:r>
      <w:r w:rsidR="00CC5103" w:rsidRPr="00954547">
        <w:rPr>
          <w:rFonts w:ascii="Verdana" w:hAnsi="Verdana"/>
          <w:sz w:val="16"/>
          <w:szCs w:val="16"/>
        </w:rPr>
        <w:t>support</w:t>
      </w:r>
      <w:r w:rsidR="00CD33C9" w:rsidRPr="00954547">
        <w:rPr>
          <w:rFonts w:ascii="Verdana" w:hAnsi="Verdana"/>
          <w:sz w:val="16"/>
          <w:szCs w:val="16"/>
        </w:rPr>
        <w:t>ed</w:t>
      </w:r>
      <w:r w:rsidR="00CC5103" w:rsidRPr="00954547">
        <w:rPr>
          <w:rFonts w:ascii="Verdana" w:hAnsi="Verdana"/>
          <w:sz w:val="16"/>
          <w:szCs w:val="16"/>
        </w:rPr>
        <w:t xml:space="preserve"> the protection of life,</w:t>
      </w:r>
      <w:r w:rsidR="00CD33C9" w:rsidRPr="00954547">
        <w:rPr>
          <w:rFonts w:ascii="Verdana" w:hAnsi="Verdana"/>
          <w:sz w:val="16"/>
          <w:szCs w:val="16"/>
        </w:rPr>
        <w:t xml:space="preserve"> and</w:t>
      </w:r>
      <w:r w:rsidR="00CC5103" w:rsidRPr="00954547">
        <w:rPr>
          <w:rFonts w:ascii="Verdana" w:hAnsi="Verdana"/>
          <w:sz w:val="16"/>
          <w:szCs w:val="16"/>
        </w:rPr>
        <w:t xml:space="preserve"> </w:t>
      </w:r>
      <w:r w:rsidR="00CD33C9" w:rsidRPr="00954547">
        <w:rPr>
          <w:rFonts w:ascii="Verdana" w:hAnsi="Verdana"/>
          <w:sz w:val="16"/>
          <w:szCs w:val="16"/>
        </w:rPr>
        <w:t>was</w:t>
      </w:r>
      <w:r w:rsidR="00CC5103" w:rsidRPr="00954547">
        <w:rPr>
          <w:rFonts w:ascii="Verdana" w:hAnsi="Verdana"/>
          <w:sz w:val="16"/>
          <w:szCs w:val="16"/>
        </w:rPr>
        <w:t xml:space="preserve"> constitutional, </w:t>
      </w:r>
      <w:r w:rsidR="00B13831" w:rsidRPr="00954547">
        <w:rPr>
          <w:rFonts w:ascii="Verdana" w:hAnsi="Verdana"/>
          <w:sz w:val="16"/>
          <w:szCs w:val="16"/>
        </w:rPr>
        <w:t>essential,</w:t>
      </w:r>
      <w:r w:rsidR="00CC5103" w:rsidRPr="00954547">
        <w:rPr>
          <w:rFonts w:ascii="Verdana" w:hAnsi="Verdana"/>
          <w:sz w:val="16"/>
          <w:szCs w:val="16"/>
        </w:rPr>
        <w:t xml:space="preserve"> and pursuant to the Convention</w:t>
      </w:r>
      <w:r w:rsidR="00B13831" w:rsidRPr="00954547">
        <w:rPr>
          <w:rFonts w:ascii="Verdana" w:hAnsi="Verdana"/>
          <w:sz w:val="16"/>
          <w:szCs w:val="16"/>
        </w:rPr>
        <w:t>.</w:t>
      </w:r>
    </w:p>
  </w:footnote>
  <w:footnote w:id="12">
    <w:p w14:paraId="58260C35" w14:textId="0672F3F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Michelle Cretella, Teresa Collett, Stefano Gennarini, Aude Mirkovic </w:t>
      </w:r>
      <w:r w:rsidR="00B13831" w:rsidRPr="00954547">
        <w:rPr>
          <w:rFonts w:ascii="Verdana" w:hAnsi="Verdana"/>
          <w:sz w:val="16"/>
          <w:szCs w:val="16"/>
        </w:rPr>
        <w:t>f</w:t>
      </w:r>
      <w:r w:rsidRPr="00954547">
        <w:rPr>
          <w:rFonts w:ascii="Verdana" w:hAnsi="Verdana"/>
          <w:sz w:val="16"/>
          <w:szCs w:val="16"/>
        </w:rPr>
        <w:t>or Claude de Martel, Nicola Speranza, Sharon Slater, Bob Lalonde, Lord Leomer B. Pomperada, Brian S. Brown, Karolina Pawlowska, Wendy Wixom, Brian Scarnecchia, Catherine Glenn Foster, Thomas Jacobson, Sonnie Ekwowusi, Jean-Marie Le Méné, Julia Regina de Cardenal, Michelle Zacapa, Sérgio Henrique Cabral Sant'Ana, Marjorie Dannenfelser, Charles E. Donovan, Sara I. Larín Hemandez, Ligia Briz, Mario Correa Bascuñán, Gonzalo lbáñez Santa María, Alfonso Aguilar, Mario Alberto Romo Gutierrez, Eduardo Verástegui,</w:t>
      </w:r>
      <w:r w:rsidR="0078694F" w:rsidRPr="00954547">
        <w:rPr>
          <w:rFonts w:ascii="Verdana" w:hAnsi="Verdana"/>
          <w:sz w:val="16"/>
          <w:szCs w:val="16"/>
        </w:rPr>
        <w:t xml:space="preserve"> and </w:t>
      </w:r>
      <w:r w:rsidRPr="00954547">
        <w:rPr>
          <w:rFonts w:ascii="Verdana" w:hAnsi="Verdana"/>
          <w:sz w:val="16"/>
          <w:szCs w:val="16"/>
        </w:rPr>
        <w:t xml:space="preserve">Ligia De Jesus Castaldi.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B13831" w:rsidRPr="00954547">
        <w:rPr>
          <w:rFonts w:ascii="Verdana" w:hAnsi="Verdana"/>
          <w:sz w:val="16"/>
          <w:szCs w:val="16"/>
        </w:rPr>
        <w:t xml:space="preserve">why the prohibition of the aggravated homicide of the newborn child in </w:t>
      </w:r>
      <w:r w:rsidRPr="00954547">
        <w:rPr>
          <w:rFonts w:ascii="Verdana" w:hAnsi="Verdana"/>
          <w:sz w:val="16"/>
          <w:szCs w:val="16"/>
        </w:rPr>
        <w:t xml:space="preserve">El Salvador </w:t>
      </w:r>
      <w:r w:rsidR="00B13831" w:rsidRPr="00954547">
        <w:rPr>
          <w:rFonts w:ascii="Verdana" w:hAnsi="Verdana"/>
          <w:sz w:val="16"/>
          <w:szCs w:val="16"/>
        </w:rPr>
        <w:t xml:space="preserve">is </w:t>
      </w:r>
      <w:r w:rsidR="00CD33C9" w:rsidRPr="00954547">
        <w:rPr>
          <w:rFonts w:ascii="Verdana" w:hAnsi="Verdana"/>
          <w:sz w:val="16"/>
          <w:szCs w:val="16"/>
        </w:rPr>
        <w:t>mandatory</w:t>
      </w:r>
      <w:r w:rsidR="00B13831" w:rsidRPr="00954547">
        <w:rPr>
          <w:rFonts w:ascii="Verdana" w:hAnsi="Verdana"/>
          <w:sz w:val="16"/>
          <w:szCs w:val="16"/>
        </w:rPr>
        <w:t xml:space="preserve"> under international human rights law.</w:t>
      </w:r>
    </w:p>
  </w:footnote>
  <w:footnote w:id="13">
    <w:p w14:paraId="46AF2F1C" w14:textId="173E113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Elvira Méndez Méndez.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B13831" w:rsidRPr="00954547">
        <w:rPr>
          <w:rFonts w:ascii="Verdana" w:hAnsi="Verdana"/>
          <w:sz w:val="16"/>
          <w:szCs w:val="16"/>
        </w:rPr>
        <w:t xml:space="preserve">the ethical obligations of doctors towards their patients, the treatment of women in situations of obstetric emergency in El Salvador, and the exercise of the medical profession </w:t>
      </w:r>
      <w:r w:rsidR="00875CC9" w:rsidRPr="00954547">
        <w:rPr>
          <w:rFonts w:ascii="Verdana" w:hAnsi="Verdana"/>
          <w:sz w:val="16"/>
          <w:szCs w:val="16"/>
        </w:rPr>
        <w:t xml:space="preserve">under “institutional coercion” in </w:t>
      </w:r>
      <w:r w:rsidRPr="00954547">
        <w:rPr>
          <w:rFonts w:ascii="Verdana" w:hAnsi="Verdana"/>
          <w:sz w:val="16"/>
          <w:szCs w:val="16"/>
        </w:rPr>
        <w:t>El Salvador.</w:t>
      </w:r>
    </w:p>
  </w:footnote>
  <w:footnote w:id="14">
    <w:p w14:paraId="49AF278D" w14:textId="427FA4A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Mónica Araya Esquivel, Marcela Piedra, Gerardo Bogantes, Jórge Gómez, Ileana Flores, Víctor Quirós, Gerardo Soto, Florita Rodríguez, Carlos Esquivel, Shirley Díaz, Mariano Murillo, Carmen Chan, Dragos Dolanescu, Erick Rodríguez, Harllan Hoepelman, Ignacio Alpízar, Jonathan Prendas, Marulin Azofeifa, Melvin Núñez, Nidia Céspedes.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875CC9" w:rsidRPr="00954547">
        <w:rPr>
          <w:rFonts w:ascii="Verdana" w:hAnsi="Verdana"/>
          <w:sz w:val="16"/>
          <w:szCs w:val="16"/>
        </w:rPr>
        <w:t xml:space="preserve">how “the petitioner had fabricated cases such as this one in order to generate a movement of disinformation among the population and put pressure on the State of El Salvador to amend its laws that protect life </w:t>
      </w:r>
      <w:r w:rsidR="007B46BD" w:rsidRPr="00954547">
        <w:rPr>
          <w:rFonts w:ascii="Verdana" w:hAnsi="Verdana"/>
          <w:sz w:val="16"/>
          <w:szCs w:val="16"/>
        </w:rPr>
        <w:t>starting</w:t>
      </w:r>
      <w:r w:rsidR="00875CC9" w:rsidRPr="00954547">
        <w:rPr>
          <w:rFonts w:ascii="Verdana" w:hAnsi="Verdana"/>
          <w:sz w:val="16"/>
          <w:szCs w:val="16"/>
        </w:rPr>
        <w:t xml:space="preserve"> at conception.”</w:t>
      </w:r>
    </w:p>
  </w:footnote>
  <w:footnote w:id="15">
    <w:p w14:paraId="5F8D3904" w14:textId="727D7A7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Miguel Jorge Haslop</w:t>
      </w:r>
      <w:r w:rsidR="0078694F" w:rsidRPr="00954547">
        <w:rPr>
          <w:rFonts w:ascii="Verdana" w:hAnsi="Verdana"/>
          <w:sz w:val="16"/>
          <w:szCs w:val="16"/>
        </w:rPr>
        <w:t xml:space="preserve"> and </w:t>
      </w:r>
      <w:r w:rsidRPr="00954547">
        <w:rPr>
          <w:rFonts w:ascii="Verdana" w:hAnsi="Verdana"/>
          <w:sz w:val="16"/>
          <w:szCs w:val="16"/>
        </w:rPr>
        <w:t xml:space="preserve">Lucas Ezequiel Bilyk.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DA09CA" w:rsidRPr="00954547">
        <w:rPr>
          <w:rFonts w:ascii="Verdana" w:hAnsi="Verdana"/>
          <w:sz w:val="16"/>
          <w:szCs w:val="16"/>
        </w:rPr>
        <w:t xml:space="preserve">the legal </w:t>
      </w:r>
      <w:r w:rsidR="00875CC9" w:rsidRPr="00954547">
        <w:rPr>
          <w:rFonts w:ascii="Verdana" w:hAnsi="Verdana"/>
          <w:sz w:val="16"/>
          <w:szCs w:val="16"/>
        </w:rPr>
        <w:t xml:space="preserve">reporting </w:t>
      </w:r>
      <w:r w:rsidR="00DA09CA" w:rsidRPr="00954547">
        <w:rPr>
          <w:rFonts w:ascii="Verdana" w:hAnsi="Verdana"/>
          <w:sz w:val="16"/>
          <w:szCs w:val="16"/>
        </w:rPr>
        <w:t xml:space="preserve">obligation </w:t>
      </w:r>
      <w:r w:rsidR="00875CC9" w:rsidRPr="00954547">
        <w:rPr>
          <w:rFonts w:ascii="Verdana" w:hAnsi="Verdana"/>
          <w:sz w:val="16"/>
          <w:szCs w:val="16"/>
        </w:rPr>
        <w:t xml:space="preserve">and </w:t>
      </w:r>
      <w:r w:rsidR="00674DA3" w:rsidRPr="00954547">
        <w:rPr>
          <w:rFonts w:ascii="Verdana" w:hAnsi="Verdana"/>
          <w:sz w:val="16"/>
          <w:szCs w:val="16"/>
        </w:rPr>
        <w:t>professional confidentiality</w:t>
      </w:r>
      <w:r w:rsidRPr="00954547">
        <w:rPr>
          <w:rFonts w:ascii="Verdana" w:hAnsi="Verdana"/>
          <w:sz w:val="16"/>
          <w:szCs w:val="16"/>
        </w:rPr>
        <w:t>.</w:t>
      </w:r>
    </w:p>
  </w:footnote>
  <w:footnote w:id="16">
    <w:p w14:paraId="47D144C4" w14:textId="39576DF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Corina Giacomello.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6320DD" w:rsidRPr="00954547">
        <w:rPr>
          <w:rFonts w:ascii="Verdana" w:hAnsi="Verdana"/>
          <w:sz w:val="16"/>
          <w:szCs w:val="16"/>
        </w:rPr>
        <w:t>the problem faced by children and adolescents whose parents are imprisoned, as well as on the incorporation of the best interests of the child and the guarantee of the right to become mothers of women who so wish</w:t>
      </w:r>
      <w:r w:rsidRPr="00954547">
        <w:rPr>
          <w:rFonts w:ascii="Verdana" w:hAnsi="Verdana"/>
          <w:sz w:val="16"/>
          <w:szCs w:val="16"/>
        </w:rPr>
        <w:t>.</w:t>
      </w:r>
    </w:p>
  </w:footnote>
  <w:footnote w:id="17">
    <w:p w14:paraId="4247E5C6" w14:textId="3AF13D8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Susana Chávez Alvarado, Luciana Brito, Gladys Via Huerta, Ma. Eugenia Romero, Maria Isabel Cordero, Teresa Lanza, Rebeca Ramos Duarte, María Mercedes González, Ana Labandera, Julia Carmen Espinoza Bernal, Javiera Canales Aguilera,</w:t>
      </w:r>
      <w:r w:rsidR="0078694F" w:rsidRPr="00954547">
        <w:rPr>
          <w:rFonts w:ascii="Verdana" w:hAnsi="Verdana"/>
          <w:sz w:val="16"/>
          <w:szCs w:val="16"/>
        </w:rPr>
        <w:t xml:space="preserve"> and </w:t>
      </w:r>
      <w:r w:rsidRPr="00954547">
        <w:rPr>
          <w:rFonts w:ascii="Verdana" w:hAnsi="Verdana"/>
          <w:sz w:val="16"/>
          <w:szCs w:val="16"/>
        </w:rPr>
        <w:t xml:space="preserve">Sandra Castañeda Martínez.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9728AB" w:rsidRPr="00954547">
        <w:rPr>
          <w:rFonts w:ascii="Verdana" w:hAnsi="Verdana"/>
          <w:sz w:val="16"/>
          <w:szCs w:val="16"/>
        </w:rPr>
        <w:t>the alleged incompatibility of the criminalization of abortion</w:t>
      </w:r>
      <w:r w:rsidRPr="00954547">
        <w:rPr>
          <w:rFonts w:ascii="Verdana" w:hAnsi="Verdana"/>
          <w:sz w:val="16"/>
          <w:szCs w:val="16"/>
        </w:rPr>
        <w:t xml:space="preserve"> </w:t>
      </w:r>
      <w:r w:rsidR="009728AB" w:rsidRPr="00954547">
        <w:rPr>
          <w:rFonts w:ascii="Verdana" w:hAnsi="Verdana"/>
          <w:sz w:val="16"/>
          <w:szCs w:val="16"/>
        </w:rPr>
        <w:t>with El Salvador’s human rights obligations.</w:t>
      </w:r>
    </w:p>
  </w:footnote>
  <w:footnote w:id="18">
    <w:p w14:paraId="5B46BD36" w14:textId="50440B29" w:rsidR="005F001B" w:rsidRPr="00954547" w:rsidRDefault="005F001B" w:rsidP="007619E6">
      <w:pPr>
        <w:pStyle w:val="FootnoteText"/>
        <w:tabs>
          <w:tab w:val="left" w:pos="567"/>
        </w:tabs>
        <w:spacing w:after="120"/>
        <w:jc w:val="both"/>
        <w:rPr>
          <w:rFonts w:ascii="Verdana" w:hAnsi="Verdana"/>
          <w:b/>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Álvaro Paúl</w:t>
      </w:r>
      <w:r w:rsidR="0078694F" w:rsidRPr="00954547">
        <w:rPr>
          <w:rFonts w:ascii="Verdana" w:hAnsi="Verdana"/>
          <w:sz w:val="16"/>
          <w:szCs w:val="16"/>
        </w:rPr>
        <w:t xml:space="preserve"> and </w:t>
      </w:r>
      <w:r w:rsidRPr="00954547">
        <w:rPr>
          <w:rFonts w:ascii="Verdana" w:hAnsi="Verdana"/>
          <w:sz w:val="16"/>
          <w:szCs w:val="16"/>
        </w:rPr>
        <w:t xml:space="preserve">Felipe Soza.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9728AB" w:rsidRPr="00954547">
        <w:rPr>
          <w:rFonts w:ascii="Verdana" w:hAnsi="Verdana"/>
          <w:sz w:val="16"/>
          <w:szCs w:val="16"/>
        </w:rPr>
        <w:t>the fourth instance formula and its application to the instant case.</w:t>
      </w:r>
    </w:p>
  </w:footnote>
  <w:footnote w:id="19">
    <w:p w14:paraId="43D5AA1E" w14:textId="1C90550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Thomas F. Geraghty, Juliet Sorensen, Alexandra Tarzikhan, Meredith Heim, Stephen Townley,</w:t>
      </w:r>
      <w:r w:rsidR="0078694F" w:rsidRPr="00954547">
        <w:rPr>
          <w:rFonts w:ascii="Verdana" w:hAnsi="Verdana"/>
          <w:sz w:val="16"/>
          <w:szCs w:val="16"/>
        </w:rPr>
        <w:t xml:space="preserve"> and </w:t>
      </w:r>
      <w:r w:rsidRPr="00954547">
        <w:rPr>
          <w:rFonts w:ascii="Verdana" w:hAnsi="Verdana"/>
          <w:sz w:val="16"/>
          <w:szCs w:val="16"/>
        </w:rPr>
        <w:t xml:space="preserve">Susan Wnukowska-Mtonga.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C90D62" w:rsidRPr="00954547">
        <w:rPr>
          <w:rFonts w:ascii="Verdana" w:hAnsi="Verdana"/>
          <w:sz w:val="16"/>
          <w:szCs w:val="16"/>
        </w:rPr>
        <w:t>criminal proceedings conducted against two Salvadoran women that were similar to the proceedings against Manuela.</w:t>
      </w:r>
      <w:r w:rsidRPr="00954547">
        <w:rPr>
          <w:rFonts w:ascii="Verdana" w:hAnsi="Verdana"/>
          <w:sz w:val="16"/>
          <w:szCs w:val="16"/>
        </w:rPr>
        <w:t xml:space="preserve"> </w:t>
      </w:r>
    </w:p>
  </w:footnote>
  <w:footnote w:id="20">
    <w:p w14:paraId="76EC1125" w14:textId="0EAC5C2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Polonia Castellano Flórez. </w:t>
      </w:r>
      <w:r w:rsidR="00E33E50" w:rsidRPr="00954547">
        <w:rPr>
          <w:rFonts w:ascii="Verdana" w:hAnsi="Verdana"/>
          <w:sz w:val="16"/>
          <w:szCs w:val="16"/>
        </w:rPr>
        <w:t>It contained</w:t>
      </w:r>
      <w:r w:rsidRPr="00954547">
        <w:rPr>
          <w:rFonts w:ascii="Verdana" w:hAnsi="Verdana"/>
          <w:sz w:val="16"/>
          <w:szCs w:val="16"/>
        </w:rPr>
        <w:t xml:space="preserve"> </w:t>
      </w:r>
      <w:r w:rsidR="00B8393C" w:rsidRPr="00954547">
        <w:rPr>
          <w:rFonts w:ascii="Verdana" w:hAnsi="Verdana"/>
          <w:sz w:val="16"/>
          <w:szCs w:val="16"/>
        </w:rPr>
        <w:t>considerations</w:t>
      </w:r>
      <w:r w:rsidRPr="00954547">
        <w:rPr>
          <w:rFonts w:ascii="Verdana" w:hAnsi="Verdana"/>
          <w:sz w:val="16"/>
          <w:szCs w:val="16"/>
        </w:rPr>
        <w:t xml:space="preserve"> </w:t>
      </w:r>
      <w:r w:rsidR="009728AB" w:rsidRPr="00954547">
        <w:rPr>
          <w:rFonts w:ascii="Verdana" w:hAnsi="Verdana"/>
          <w:sz w:val="16"/>
          <w:szCs w:val="16"/>
        </w:rPr>
        <w:t>clarifying that this case deal</w:t>
      </w:r>
      <w:r w:rsidR="00E33E50" w:rsidRPr="00954547">
        <w:rPr>
          <w:rFonts w:ascii="Verdana" w:hAnsi="Verdana"/>
          <w:sz w:val="16"/>
          <w:szCs w:val="16"/>
        </w:rPr>
        <w:t>t</w:t>
      </w:r>
      <w:r w:rsidR="009728AB" w:rsidRPr="00954547">
        <w:rPr>
          <w:rFonts w:ascii="Verdana" w:hAnsi="Verdana"/>
          <w:sz w:val="16"/>
          <w:szCs w:val="16"/>
        </w:rPr>
        <w:t xml:space="preserve"> with a case of homicide </w:t>
      </w:r>
      <w:r w:rsidR="00E33E50" w:rsidRPr="00954547">
        <w:rPr>
          <w:rFonts w:ascii="Verdana" w:hAnsi="Verdana"/>
          <w:sz w:val="16"/>
          <w:szCs w:val="16"/>
        </w:rPr>
        <w:t>rather than</w:t>
      </w:r>
      <w:r w:rsidR="009728AB" w:rsidRPr="00954547">
        <w:rPr>
          <w:rFonts w:ascii="Verdana" w:hAnsi="Verdana"/>
          <w:sz w:val="16"/>
          <w:szCs w:val="16"/>
        </w:rPr>
        <w:t xml:space="preserve"> abortion, and also </w:t>
      </w:r>
      <w:r w:rsidR="00E33E50" w:rsidRPr="00954547">
        <w:rPr>
          <w:rFonts w:ascii="Verdana" w:hAnsi="Verdana"/>
          <w:sz w:val="16"/>
          <w:szCs w:val="16"/>
        </w:rPr>
        <w:t>concerning</w:t>
      </w:r>
      <w:r w:rsidR="009728AB" w:rsidRPr="00954547">
        <w:rPr>
          <w:rFonts w:ascii="Verdana" w:hAnsi="Verdana"/>
          <w:sz w:val="16"/>
          <w:szCs w:val="16"/>
        </w:rPr>
        <w:t xml:space="preserve"> the report </w:t>
      </w:r>
      <w:r w:rsidR="00E33E50" w:rsidRPr="00954547">
        <w:rPr>
          <w:rFonts w:ascii="Verdana" w:hAnsi="Verdana"/>
          <w:sz w:val="16"/>
          <w:szCs w:val="16"/>
        </w:rPr>
        <w:t>filed</w:t>
      </w:r>
      <w:r w:rsidR="009728AB" w:rsidRPr="00954547">
        <w:rPr>
          <w:rFonts w:ascii="Verdana" w:hAnsi="Verdana"/>
          <w:sz w:val="16"/>
          <w:szCs w:val="16"/>
        </w:rPr>
        <w:t xml:space="preserve"> by the </w:t>
      </w:r>
      <w:r w:rsidR="00CC2596" w:rsidRPr="00954547">
        <w:rPr>
          <w:rFonts w:ascii="Verdana" w:hAnsi="Verdana"/>
          <w:sz w:val="16"/>
          <w:szCs w:val="16"/>
        </w:rPr>
        <w:t>medical staff</w:t>
      </w:r>
      <w:r w:rsidR="009728AB" w:rsidRPr="00954547">
        <w:rPr>
          <w:rFonts w:ascii="Verdana" w:hAnsi="Verdana"/>
          <w:sz w:val="16"/>
          <w:szCs w:val="16"/>
        </w:rPr>
        <w:t xml:space="preserve"> and the proceedings conducted against </w:t>
      </w:r>
      <w:r w:rsidRPr="00954547">
        <w:rPr>
          <w:rFonts w:ascii="Verdana" w:hAnsi="Verdana"/>
          <w:sz w:val="16"/>
          <w:szCs w:val="16"/>
        </w:rPr>
        <w:t>Manuela.</w:t>
      </w:r>
    </w:p>
  </w:footnote>
  <w:footnote w:id="21">
    <w:p w14:paraId="595AA6E2" w14:textId="6EFFD92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Paola Bergallo, Andrea Carlise, Rebecca J. Cook, Joanne Csete, Laurel E. Fletcher, Caitlin Gerdts, Betsy Hartmann, Anne Hendrixson, Deena R. Hurwitz, Jocelyn Getgen Kestenbaum, Bert Lockwood, Marta Machado, Benjamin Mason Meier, Michelle Oberman, Francisca Pou-Giménez, Cesare P.R. Romano, Mindy Jane Roseman, Cynthia Soohoo, Jocelyn Virterna,</w:t>
      </w:r>
      <w:r w:rsidR="0078694F" w:rsidRPr="00954547">
        <w:rPr>
          <w:rFonts w:ascii="Verdana" w:hAnsi="Verdana"/>
          <w:sz w:val="16"/>
          <w:szCs w:val="16"/>
        </w:rPr>
        <w:t xml:space="preserve"> and </w:t>
      </w:r>
      <w:r w:rsidRPr="00954547">
        <w:rPr>
          <w:rFonts w:ascii="Verdana" w:hAnsi="Verdana"/>
          <w:sz w:val="16"/>
          <w:szCs w:val="16"/>
        </w:rPr>
        <w:t xml:space="preserve">Alicia Ely Yamin.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9728AB" w:rsidRPr="00954547">
        <w:rPr>
          <w:rFonts w:ascii="Verdana" w:hAnsi="Verdana"/>
          <w:sz w:val="16"/>
          <w:szCs w:val="16"/>
        </w:rPr>
        <w:t xml:space="preserve"> the consequences of the </w:t>
      </w:r>
      <w:r w:rsidR="00E33E50" w:rsidRPr="00954547">
        <w:rPr>
          <w:rFonts w:ascii="Verdana" w:hAnsi="Verdana"/>
          <w:sz w:val="16"/>
          <w:szCs w:val="16"/>
        </w:rPr>
        <w:t>criminalization</w:t>
      </w:r>
      <w:r w:rsidR="009728AB" w:rsidRPr="00954547">
        <w:rPr>
          <w:rFonts w:ascii="Verdana" w:hAnsi="Verdana"/>
          <w:sz w:val="16"/>
          <w:szCs w:val="16"/>
        </w:rPr>
        <w:t xml:space="preserve"> of abortion.</w:t>
      </w:r>
    </w:p>
  </w:footnote>
  <w:footnote w:id="22">
    <w:p w14:paraId="05C1226B" w14:textId="0554B0A7"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Verdana"/>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Livio Zilli.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9728AB" w:rsidRPr="00954547">
        <w:rPr>
          <w:rFonts w:ascii="Verdana" w:hAnsi="Verdana"/>
          <w:sz w:val="16"/>
          <w:szCs w:val="16"/>
        </w:rPr>
        <w:t xml:space="preserve"> the right to privacy in relation to</w:t>
      </w:r>
      <w:r w:rsidR="00E33E50" w:rsidRPr="00954547">
        <w:rPr>
          <w:rFonts w:ascii="Verdana" w:hAnsi="Verdana"/>
          <w:sz w:val="16"/>
          <w:szCs w:val="16"/>
        </w:rPr>
        <w:t xml:space="preserve"> personal health</w:t>
      </w:r>
      <w:r w:rsidR="009728AB" w:rsidRPr="00954547">
        <w:rPr>
          <w:rFonts w:ascii="Verdana" w:hAnsi="Verdana"/>
          <w:sz w:val="16"/>
          <w:szCs w:val="16"/>
        </w:rPr>
        <w:t xml:space="preserve"> information.</w:t>
      </w:r>
    </w:p>
  </w:footnote>
  <w:footnote w:id="23">
    <w:p w14:paraId="5D520F14" w14:textId="285E264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Herman Duarte.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87533F" w:rsidRPr="00954547">
        <w:rPr>
          <w:rFonts w:ascii="Verdana" w:hAnsi="Verdana"/>
          <w:sz w:val="16"/>
          <w:szCs w:val="16"/>
        </w:rPr>
        <w:t>the</w:t>
      </w:r>
      <w:r w:rsidR="00304779" w:rsidRPr="00954547">
        <w:rPr>
          <w:rFonts w:ascii="Verdana" w:hAnsi="Verdana"/>
          <w:sz w:val="16"/>
          <w:szCs w:val="16"/>
        </w:rPr>
        <w:t xml:space="preserve"> birth regulation</w:t>
      </w:r>
      <w:r w:rsidR="0087533F" w:rsidRPr="00954547">
        <w:rPr>
          <w:rFonts w:ascii="Verdana" w:hAnsi="Verdana"/>
          <w:sz w:val="16"/>
          <w:szCs w:val="16"/>
        </w:rPr>
        <w:t xml:space="preserve"> policies in </w:t>
      </w:r>
      <w:r w:rsidRPr="00954547">
        <w:rPr>
          <w:rFonts w:ascii="Verdana" w:hAnsi="Verdana"/>
          <w:sz w:val="16"/>
          <w:szCs w:val="16"/>
        </w:rPr>
        <w:t>El Salvador.</w:t>
      </w:r>
    </w:p>
  </w:footnote>
  <w:footnote w:id="24">
    <w:p w14:paraId="3019528D" w14:textId="3B60BA6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Maria Luisa Piqué</w:t>
      </w:r>
      <w:r w:rsidR="0078694F" w:rsidRPr="00954547">
        <w:rPr>
          <w:rFonts w:ascii="Verdana" w:hAnsi="Verdana"/>
          <w:sz w:val="16"/>
          <w:szCs w:val="16"/>
        </w:rPr>
        <w:t xml:space="preserve"> and </w:t>
      </w:r>
      <w:r w:rsidRPr="00954547">
        <w:rPr>
          <w:rFonts w:ascii="Verdana" w:hAnsi="Verdana"/>
          <w:sz w:val="16"/>
          <w:szCs w:val="16"/>
        </w:rPr>
        <w:t xml:space="preserve">Julieta Di Corleto.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87533F" w:rsidRPr="00954547">
        <w:rPr>
          <w:rFonts w:ascii="Verdana" w:hAnsi="Verdana"/>
          <w:sz w:val="16"/>
          <w:szCs w:val="16"/>
        </w:rPr>
        <w:t xml:space="preserve">the application of the offense of </w:t>
      </w:r>
      <w:r w:rsidR="0087533F" w:rsidRPr="00954547">
        <w:rPr>
          <w:rFonts w:ascii="Verdana" w:hAnsi="Verdana"/>
          <w:i/>
          <w:iCs/>
          <w:sz w:val="16"/>
          <w:szCs w:val="16"/>
        </w:rPr>
        <w:t>in flagrante delicto</w:t>
      </w:r>
      <w:r w:rsidR="0087533F" w:rsidRPr="00954547">
        <w:rPr>
          <w:rFonts w:ascii="Verdana" w:hAnsi="Verdana"/>
          <w:sz w:val="16"/>
          <w:szCs w:val="16"/>
        </w:rPr>
        <w:t xml:space="preserve"> to an obstetric event.</w:t>
      </w:r>
    </w:p>
  </w:footnote>
  <w:footnote w:id="25">
    <w:p w14:paraId="5680AE5B" w14:textId="66E890D7" w:rsidR="005F001B" w:rsidRPr="00954547" w:rsidRDefault="005F001B" w:rsidP="007619E6">
      <w:pPr>
        <w:pStyle w:val="FootnoteText"/>
        <w:tabs>
          <w:tab w:val="left" w:pos="567"/>
        </w:tabs>
        <w:spacing w:after="120"/>
        <w:jc w:val="both"/>
        <w:rPr>
          <w:rFonts w:ascii="Verdana" w:hAnsi="Verdana"/>
          <w:b/>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Maria José Fontelas Rosado Nunes, Tania Carola Nava Burgoa, Lourdes Rocío Cabañas Giménez, María Teresa Bosio, Martha Flores, Lola Guerra, Paula Sánchez Mejorada, Lisette Genao Duran, Sandra Mazo Cardona, Griselda Mata,</w:t>
      </w:r>
      <w:r w:rsidR="0078694F" w:rsidRPr="00954547">
        <w:rPr>
          <w:rFonts w:ascii="Verdana" w:hAnsi="Verdana"/>
          <w:sz w:val="16"/>
          <w:szCs w:val="16"/>
        </w:rPr>
        <w:t xml:space="preserve"> and </w:t>
      </w:r>
      <w:r w:rsidRPr="00954547">
        <w:rPr>
          <w:rFonts w:ascii="Verdana" w:hAnsi="Verdana"/>
          <w:sz w:val="16"/>
          <w:szCs w:val="16"/>
        </w:rPr>
        <w:t xml:space="preserve">Gladys Vía Huerta.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87533F" w:rsidRPr="00954547">
        <w:rPr>
          <w:rFonts w:ascii="Verdana" w:hAnsi="Verdana"/>
          <w:sz w:val="16"/>
          <w:szCs w:val="16"/>
        </w:rPr>
        <w:t xml:space="preserve">the obligation to respect, protect and ensure the rights of women, specifically their rights to a decent life, to be free of discrimination, </w:t>
      </w:r>
      <w:r w:rsidR="00304779" w:rsidRPr="00954547">
        <w:rPr>
          <w:rFonts w:ascii="Verdana" w:hAnsi="Verdana"/>
          <w:sz w:val="16"/>
          <w:szCs w:val="16"/>
        </w:rPr>
        <w:t xml:space="preserve">and </w:t>
      </w:r>
      <w:r w:rsidR="0087533F" w:rsidRPr="00954547">
        <w:rPr>
          <w:rFonts w:ascii="Verdana" w:hAnsi="Verdana"/>
          <w:sz w:val="16"/>
          <w:szCs w:val="16"/>
        </w:rPr>
        <w:t>to health, liberty and due process.</w:t>
      </w:r>
    </w:p>
  </w:footnote>
  <w:footnote w:id="26">
    <w:p w14:paraId="21ADCFAC" w14:textId="3400000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María de los Ángeles Vásquez, Sofía B. Langelotti, María Ailén Ferraris Michel</w:t>
      </w:r>
      <w:r w:rsidR="0078694F" w:rsidRPr="00954547">
        <w:rPr>
          <w:rFonts w:ascii="Verdana" w:hAnsi="Verdana"/>
          <w:sz w:val="16"/>
          <w:szCs w:val="16"/>
        </w:rPr>
        <w:t xml:space="preserve"> and </w:t>
      </w:r>
      <w:r w:rsidRPr="00954547">
        <w:rPr>
          <w:rFonts w:ascii="Verdana" w:hAnsi="Verdana"/>
          <w:sz w:val="16"/>
          <w:szCs w:val="16"/>
        </w:rPr>
        <w:t xml:space="preserve">Lucas Lecour.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87533F" w:rsidRPr="00954547">
        <w:rPr>
          <w:rFonts w:ascii="Verdana" w:hAnsi="Verdana"/>
          <w:sz w:val="16"/>
          <w:szCs w:val="16"/>
        </w:rPr>
        <w:t xml:space="preserve"> torture and ill-treatment, as well as on the application of a gender perspective in the prosecution of similar cases.</w:t>
      </w:r>
    </w:p>
  </w:footnote>
  <w:footnote w:id="27">
    <w:p w14:paraId="2404C191" w14:textId="64A5277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María Inés Franck</w:t>
      </w:r>
      <w:r w:rsidR="0078694F" w:rsidRPr="00954547">
        <w:rPr>
          <w:rFonts w:ascii="Verdana" w:hAnsi="Verdana"/>
          <w:sz w:val="16"/>
          <w:szCs w:val="16"/>
        </w:rPr>
        <w:t xml:space="preserve"> and </w:t>
      </w:r>
      <w:r w:rsidRPr="00954547">
        <w:rPr>
          <w:rFonts w:ascii="Verdana" w:hAnsi="Verdana"/>
          <w:sz w:val="16"/>
          <w:szCs w:val="16"/>
        </w:rPr>
        <w:t xml:space="preserve">Jorge Nicolás Lafferriere.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b/>
          <w:sz w:val="16"/>
          <w:szCs w:val="16"/>
        </w:rPr>
        <w:t xml:space="preserve"> </w:t>
      </w:r>
      <w:r w:rsidR="0087533F" w:rsidRPr="00954547">
        <w:rPr>
          <w:rFonts w:ascii="Verdana" w:hAnsi="Verdana"/>
          <w:bCs/>
          <w:sz w:val="16"/>
          <w:szCs w:val="16"/>
        </w:rPr>
        <w:t>the delimitation of</w:t>
      </w:r>
      <w:r w:rsidR="0087533F" w:rsidRPr="00954547">
        <w:rPr>
          <w:rFonts w:ascii="Verdana" w:hAnsi="Verdana"/>
          <w:b/>
          <w:sz w:val="16"/>
          <w:szCs w:val="16"/>
        </w:rPr>
        <w:t xml:space="preserve"> </w:t>
      </w:r>
      <w:r w:rsidR="0087533F" w:rsidRPr="00954547">
        <w:rPr>
          <w:rFonts w:ascii="Verdana" w:hAnsi="Verdana"/>
          <w:sz w:val="16"/>
          <w:szCs w:val="16"/>
        </w:rPr>
        <w:t>this case, abortion, and the inviolability of the right to life.</w:t>
      </w:r>
    </w:p>
  </w:footnote>
  <w:footnote w:id="28">
    <w:p w14:paraId="6582A779" w14:textId="3BFE5BD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Dorcas Elienai Antezana, Guadalupe Valdez Santos, Edwin Heredia Rojas, Ángelo Ramirez Palma, Juan Velásquez Salazar, Hadhara Brunstein, Olivia López de la Cruz, Tania López, Amalia Villarreal, Jane Caldcleugh, Luis Losada Pescador, José de Jesús Magaña, María Amalia Caballero, Segio Burga Álvarez, Carlota Julia López, Margarita Gnecco, Isis del R. Pérez, Tamoa Vivas, Norma Ivette Laviada, Gustavo Volpe, Ligia Barrascout, Jose Manuel Menegazzo, Carlos Flores, Gabriela Soberanis, Gabriela Urcuyo de Tefel, Maria Alejandra, Muchart, Carlos Emmanuel Fernández Ruiz, Carlos Uriel Amado, Santiago Guevara, Selina Maria Palmieri, Juan Ayala, Aida Lorenzo, Joaquín López, Julio Mendoza, Ligia de Dávila, Geny del Socorro Cáceres, Marcia Lara, Lorea Iturrioz, Enna Rodríguez, María Eugenia Rivera, Pilar Sánchez García,  Norma Laviada, Luis Alberto Montañéz, Carim Ambulo, Maria Alejandra Acevedo, Rosario Collado, Valeria Gutiérrez, Acacia Treviño, Maite Muñoz, Patricia Cortés, Harim Nabi, Enrique Hermoso, Clara Vega, Gilberto Rocha, Luis A. Pimentel,  Willíngton Zambrano, David Olivera, Debbie Moya, Luis Alfredo Gil Sánchez, María José Brum, Gerardo Grosso, Hugo Orlando Márquez, Ana Laura Benavides, Karol Méndez, José Carlos Gil Sánchez, Orlando Quintero Martínez, Blanca Esther Montero Ferrón, Maria Viviana Zaiek, Edir Hernández Moguel, Laida Álvarez, Jose Pimentel, Angélica E. Romero, Myllene Palacio de Burke, Silka Cecilia Sánchez de González, Andrea Pérez, Jose Luis Lara, Rose Santiago, Lisbeth Hernández, Carlos Herrera, Miguel Parra, Mirtha Cocinero, Miguel Ortigoza, Dannia Rios,  Julieth Gómez Bernal, María Luisa Torres de Gill, Gabriela Urcuyo de Tefel, Leandro Flocco, Ana Carolina Rojas, Ricardo Pupo Nogueira Simoes, Arturo Arroyo Roa, Sonia María Crespo, Marco Antonio Díaz López, Elia Gómez, Silvia Pino, Ligia Briz, María Díaz, Ma. </w:t>
      </w:r>
      <w:r w:rsidRPr="00954547">
        <w:rPr>
          <w:rFonts w:ascii="Verdana" w:hAnsi="Verdana"/>
          <w:sz w:val="16"/>
          <w:szCs w:val="16"/>
          <w:lang w:val="es-CR"/>
        </w:rPr>
        <w:t>José Molina, María García, María Díaz,</w:t>
      </w:r>
      <w:r w:rsidR="0078694F" w:rsidRPr="00954547">
        <w:rPr>
          <w:rFonts w:ascii="Verdana" w:hAnsi="Verdana"/>
          <w:sz w:val="16"/>
          <w:szCs w:val="16"/>
          <w:lang w:val="es-CR"/>
        </w:rPr>
        <w:t xml:space="preserve"> and </w:t>
      </w:r>
      <w:r w:rsidRPr="00954547">
        <w:rPr>
          <w:rFonts w:ascii="Verdana" w:hAnsi="Verdana"/>
          <w:sz w:val="16"/>
          <w:szCs w:val="16"/>
          <w:lang w:val="es-CR"/>
        </w:rPr>
        <w:t xml:space="preserve">María del Socorro Vergara. </w:t>
      </w:r>
      <w:r w:rsidR="00E33E50" w:rsidRPr="00954547">
        <w:rPr>
          <w:rFonts w:ascii="Verdana" w:hAnsi="Verdana"/>
          <w:sz w:val="16"/>
          <w:szCs w:val="16"/>
        </w:rPr>
        <w:t>It contained</w:t>
      </w:r>
      <w:r w:rsidRPr="00954547">
        <w:rPr>
          <w:rFonts w:ascii="Verdana" w:hAnsi="Verdana"/>
          <w:sz w:val="16"/>
          <w:szCs w:val="16"/>
        </w:rPr>
        <w:t xml:space="preserve"> </w:t>
      </w:r>
      <w:r w:rsidR="00B8393C" w:rsidRPr="00954547">
        <w:rPr>
          <w:rFonts w:ascii="Verdana" w:hAnsi="Verdana"/>
          <w:sz w:val="16"/>
          <w:szCs w:val="16"/>
        </w:rPr>
        <w:t>considerations</w:t>
      </w:r>
      <w:r w:rsidRPr="00954547">
        <w:rPr>
          <w:rFonts w:ascii="Verdana" w:hAnsi="Verdana"/>
          <w:sz w:val="16"/>
          <w:szCs w:val="16"/>
        </w:rPr>
        <w:t xml:space="preserve"> </w:t>
      </w:r>
      <w:r w:rsidR="003B37C8" w:rsidRPr="00954547">
        <w:rPr>
          <w:rFonts w:ascii="Verdana" w:hAnsi="Verdana"/>
          <w:sz w:val="16"/>
          <w:szCs w:val="16"/>
        </w:rPr>
        <w:t xml:space="preserve">on the scope of the judicial guarantees presumably violated and </w:t>
      </w:r>
      <w:r w:rsidR="00D546BB" w:rsidRPr="00954547">
        <w:rPr>
          <w:rFonts w:ascii="Verdana" w:hAnsi="Verdana"/>
          <w:sz w:val="16"/>
          <w:szCs w:val="16"/>
        </w:rPr>
        <w:t>its</w:t>
      </w:r>
      <w:r w:rsidR="003B37C8" w:rsidRPr="00954547">
        <w:rPr>
          <w:rFonts w:ascii="Verdana" w:hAnsi="Verdana"/>
          <w:sz w:val="16"/>
          <w:szCs w:val="16"/>
        </w:rPr>
        <w:t xml:space="preserve"> relationship to the rights</w:t>
      </w:r>
      <w:r w:rsidR="00607E12" w:rsidRPr="00954547">
        <w:rPr>
          <w:rFonts w:ascii="Verdana" w:hAnsi="Verdana"/>
          <w:sz w:val="16"/>
          <w:szCs w:val="16"/>
        </w:rPr>
        <w:t xml:space="preserve"> of the presumed victims</w:t>
      </w:r>
      <w:r w:rsidRPr="00954547">
        <w:rPr>
          <w:rFonts w:ascii="Verdana" w:hAnsi="Verdana"/>
          <w:sz w:val="16"/>
          <w:szCs w:val="16"/>
        </w:rPr>
        <w:t>.</w:t>
      </w:r>
    </w:p>
  </w:footnote>
  <w:footnote w:id="29">
    <w:p w14:paraId="605FB7F4" w14:textId="169DCE1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Juana Inés Acosta López, Ana María Indárraga, Michelle Infante,</w:t>
      </w:r>
      <w:r w:rsidR="0078694F" w:rsidRPr="00954547">
        <w:rPr>
          <w:rFonts w:ascii="Verdana" w:hAnsi="Verdana"/>
          <w:sz w:val="16"/>
          <w:szCs w:val="16"/>
        </w:rPr>
        <w:t xml:space="preserve"> and </w:t>
      </w:r>
      <w:r w:rsidRPr="00954547">
        <w:rPr>
          <w:rFonts w:ascii="Verdana" w:hAnsi="Verdana"/>
          <w:sz w:val="16"/>
          <w:szCs w:val="16"/>
        </w:rPr>
        <w:t xml:space="preserve">Cristóbal Soto.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3B37C8" w:rsidRPr="00954547">
        <w:rPr>
          <w:rFonts w:ascii="Verdana" w:hAnsi="Verdana"/>
          <w:sz w:val="16"/>
          <w:szCs w:val="16"/>
        </w:rPr>
        <w:t xml:space="preserve">the need to reinforce international standards for the protection of pregnant women, as well as on the different levels of analysis required in this case in relation to the definition as a crime, </w:t>
      </w:r>
      <w:r w:rsidR="00D546BB" w:rsidRPr="00954547">
        <w:rPr>
          <w:rFonts w:ascii="Verdana" w:hAnsi="Verdana"/>
          <w:sz w:val="16"/>
          <w:szCs w:val="16"/>
        </w:rPr>
        <w:t xml:space="preserve">and the </w:t>
      </w:r>
      <w:r w:rsidR="003B37C8" w:rsidRPr="00954547">
        <w:rPr>
          <w:rFonts w:ascii="Verdana" w:hAnsi="Verdana"/>
          <w:sz w:val="16"/>
          <w:szCs w:val="16"/>
        </w:rPr>
        <w:t>prosecution and punishment of certain conducts.</w:t>
      </w:r>
    </w:p>
  </w:footnote>
  <w:footnote w:id="30">
    <w:p w14:paraId="5320F42A" w14:textId="3EF8A5E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Soledad Deza.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3B37C8" w:rsidRPr="00954547">
        <w:rPr>
          <w:rFonts w:ascii="Verdana" w:hAnsi="Verdana"/>
          <w:sz w:val="16"/>
          <w:szCs w:val="16"/>
        </w:rPr>
        <w:t xml:space="preserve"> </w:t>
      </w:r>
      <w:r w:rsidR="00674DA3" w:rsidRPr="00954547">
        <w:rPr>
          <w:rFonts w:ascii="Verdana" w:hAnsi="Verdana"/>
          <w:sz w:val="16"/>
          <w:szCs w:val="16"/>
        </w:rPr>
        <w:t>professional confidentiality</w:t>
      </w:r>
      <w:r w:rsidR="003B37C8" w:rsidRPr="00954547">
        <w:rPr>
          <w:rFonts w:ascii="Verdana" w:hAnsi="Verdana"/>
          <w:sz w:val="16"/>
          <w:szCs w:val="16"/>
        </w:rPr>
        <w:t xml:space="preserve"> and the alleged violation of the rights to privacy, confidentiality</w:t>
      </w:r>
      <w:r w:rsidR="00D546BB" w:rsidRPr="00954547">
        <w:rPr>
          <w:rFonts w:ascii="Verdana" w:hAnsi="Verdana"/>
          <w:sz w:val="16"/>
          <w:szCs w:val="16"/>
        </w:rPr>
        <w:t>,</w:t>
      </w:r>
      <w:r w:rsidR="003B37C8" w:rsidRPr="00954547">
        <w:rPr>
          <w:rFonts w:ascii="Verdana" w:hAnsi="Verdana"/>
          <w:sz w:val="16"/>
          <w:szCs w:val="16"/>
        </w:rPr>
        <w:t xml:space="preserve"> health and life.</w:t>
      </w:r>
    </w:p>
  </w:footnote>
  <w:footnote w:id="31">
    <w:p w14:paraId="3243D802" w14:textId="2F0279B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Philip Alston</w:t>
      </w:r>
      <w:r w:rsidR="0078694F" w:rsidRPr="00954547">
        <w:rPr>
          <w:rFonts w:ascii="Verdana" w:hAnsi="Verdana"/>
          <w:sz w:val="16"/>
          <w:szCs w:val="16"/>
        </w:rPr>
        <w:t xml:space="preserve"> and </w:t>
      </w:r>
      <w:r w:rsidRPr="00954547">
        <w:rPr>
          <w:rFonts w:ascii="Verdana" w:hAnsi="Verdana"/>
          <w:sz w:val="16"/>
          <w:szCs w:val="16"/>
        </w:rPr>
        <w:t xml:space="preserve">Leah Motzkin.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3B37C8" w:rsidRPr="00954547">
        <w:rPr>
          <w:rFonts w:ascii="Verdana" w:hAnsi="Verdana"/>
          <w:sz w:val="16"/>
          <w:szCs w:val="16"/>
        </w:rPr>
        <w:t>the alleged discriminatory nature of the prohibition of abortion</w:t>
      </w:r>
      <w:r w:rsidR="005B5D6C" w:rsidRPr="00954547">
        <w:rPr>
          <w:rFonts w:ascii="Verdana" w:hAnsi="Verdana"/>
          <w:sz w:val="16"/>
          <w:szCs w:val="16"/>
        </w:rPr>
        <w:t>, based on gender and financial situation.</w:t>
      </w:r>
    </w:p>
  </w:footnote>
  <w:footnote w:id="32">
    <w:p w14:paraId="6FC29C04" w14:textId="61FAB59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Julia Regina de Cardenal, Mario Rojas, Mercedes Pérez, Edith Martínez Guzmán, Gladys Buitrago de Amaya,</w:t>
      </w:r>
      <w:r w:rsidR="0078694F" w:rsidRPr="00954547">
        <w:rPr>
          <w:rFonts w:ascii="Verdana" w:hAnsi="Verdana"/>
          <w:sz w:val="16"/>
          <w:szCs w:val="16"/>
        </w:rPr>
        <w:t xml:space="preserve"> and </w:t>
      </w:r>
      <w:r w:rsidRPr="00954547">
        <w:rPr>
          <w:rFonts w:ascii="Verdana" w:hAnsi="Verdana"/>
          <w:sz w:val="16"/>
          <w:szCs w:val="16"/>
        </w:rPr>
        <w:t xml:space="preserve">Judy Vásquez.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5B5D6C" w:rsidRPr="00954547">
        <w:rPr>
          <w:rFonts w:ascii="Verdana" w:hAnsi="Verdana"/>
          <w:sz w:val="16"/>
          <w:szCs w:val="16"/>
        </w:rPr>
        <w:t xml:space="preserve"> the alleged procedural fraud committed by </w:t>
      </w:r>
      <w:r w:rsidR="00607E12" w:rsidRPr="00954547">
        <w:rPr>
          <w:rFonts w:ascii="Verdana" w:hAnsi="Verdana"/>
          <w:sz w:val="16"/>
          <w:szCs w:val="16"/>
        </w:rPr>
        <w:t xml:space="preserve">the </w:t>
      </w:r>
      <w:r w:rsidR="00B8393C" w:rsidRPr="00954547">
        <w:rPr>
          <w:rFonts w:ascii="Verdana" w:hAnsi="Verdana"/>
          <w:sz w:val="16"/>
          <w:szCs w:val="16"/>
        </w:rPr>
        <w:t>representatives</w:t>
      </w:r>
      <w:r w:rsidR="005B5D6C" w:rsidRPr="00954547">
        <w:rPr>
          <w:rFonts w:ascii="Verdana" w:hAnsi="Verdana"/>
          <w:sz w:val="16"/>
          <w:szCs w:val="16"/>
        </w:rPr>
        <w:t xml:space="preserve"> in this case.</w:t>
      </w:r>
    </w:p>
  </w:footnote>
  <w:footnote w:id="33">
    <w:p w14:paraId="17E836BF" w14:textId="244691E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Marcia Aguiluz</w:t>
      </w:r>
      <w:r w:rsidR="0078694F" w:rsidRPr="00954547">
        <w:rPr>
          <w:rFonts w:ascii="Verdana" w:hAnsi="Verdana"/>
          <w:sz w:val="16"/>
          <w:szCs w:val="16"/>
        </w:rPr>
        <w:t xml:space="preserve"> and </w:t>
      </w:r>
      <w:r w:rsidRPr="00954547">
        <w:rPr>
          <w:rFonts w:ascii="Verdana" w:hAnsi="Verdana"/>
          <w:sz w:val="16"/>
          <w:szCs w:val="16"/>
        </w:rPr>
        <w:t xml:space="preserve">Valeria Pedraza.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5B5D6C" w:rsidRPr="00954547">
        <w:rPr>
          <w:rFonts w:ascii="Verdana" w:hAnsi="Verdana"/>
          <w:sz w:val="16"/>
          <w:szCs w:val="16"/>
        </w:rPr>
        <w:t xml:space="preserve"> the impact </w:t>
      </w:r>
      <w:r w:rsidR="00D546BB" w:rsidRPr="00954547">
        <w:rPr>
          <w:rFonts w:ascii="Verdana" w:hAnsi="Verdana"/>
          <w:sz w:val="16"/>
          <w:szCs w:val="16"/>
        </w:rPr>
        <w:t xml:space="preserve">of </w:t>
      </w:r>
      <w:r w:rsidR="009728AB" w:rsidRPr="00954547">
        <w:rPr>
          <w:rFonts w:ascii="Verdana" w:hAnsi="Verdana"/>
          <w:sz w:val="16"/>
          <w:szCs w:val="16"/>
        </w:rPr>
        <w:t>the criminalization of abortion</w:t>
      </w:r>
      <w:r w:rsidRPr="00954547">
        <w:rPr>
          <w:rFonts w:ascii="Verdana" w:hAnsi="Verdana"/>
          <w:sz w:val="16"/>
          <w:szCs w:val="16"/>
        </w:rPr>
        <w:t xml:space="preserve"> </w:t>
      </w:r>
      <w:r w:rsidR="005B5D6C" w:rsidRPr="00954547">
        <w:rPr>
          <w:rFonts w:ascii="Verdana" w:hAnsi="Verdana"/>
          <w:sz w:val="16"/>
          <w:szCs w:val="16"/>
        </w:rPr>
        <w:t xml:space="preserve">on this case and on </w:t>
      </w:r>
      <w:r w:rsidR="00674DA3" w:rsidRPr="00954547">
        <w:rPr>
          <w:rFonts w:ascii="Verdana" w:hAnsi="Verdana"/>
          <w:sz w:val="16"/>
          <w:szCs w:val="16"/>
        </w:rPr>
        <w:t>professional confidentiality</w:t>
      </w:r>
      <w:r w:rsidR="005B5D6C" w:rsidRPr="00954547">
        <w:rPr>
          <w:rFonts w:ascii="Verdana" w:hAnsi="Verdana"/>
          <w:sz w:val="16"/>
          <w:szCs w:val="16"/>
        </w:rPr>
        <w:t>.</w:t>
      </w:r>
    </w:p>
  </w:footnote>
  <w:footnote w:id="34">
    <w:p w14:paraId="42890970" w14:textId="035BF40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Kendall Ariana López Peña.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5B5D6C" w:rsidRPr="00954547">
        <w:rPr>
          <w:rFonts w:ascii="Verdana" w:hAnsi="Verdana"/>
          <w:sz w:val="16"/>
          <w:szCs w:val="16"/>
        </w:rPr>
        <w:t xml:space="preserve"> </w:t>
      </w:r>
      <w:r w:rsidR="003726ED" w:rsidRPr="00954547">
        <w:rPr>
          <w:rFonts w:ascii="Verdana" w:hAnsi="Verdana"/>
          <w:sz w:val="16"/>
          <w:szCs w:val="16"/>
        </w:rPr>
        <w:t>the alleged implementation of global governance in this case.</w:t>
      </w:r>
    </w:p>
  </w:footnote>
  <w:footnote w:id="35">
    <w:p w14:paraId="1E3BF58A" w14:textId="4258AF1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Gabriela Rondon, Amanda Nunes</w:t>
      </w:r>
      <w:r w:rsidR="0078694F" w:rsidRPr="00954547">
        <w:rPr>
          <w:rFonts w:ascii="Verdana" w:hAnsi="Verdana"/>
          <w:sz w:val="16"/>
          <w:szCs w:val="16"/>
        </w:rPr>
        <w:t xml:space="preserve"> and </w:t>
      </w:r>
      <w:r w:rsidRPr="00954547">
        <w:rPr>
          <w:rFonts w:ascii="Verdana" w:hAnsi="Verdana"/>
          <w:sz w:val="16"/>
          <w:szCs w:val="16"/>
        </w:rPr>
        <w:t xml:space="preserve">Luciana Alves Rosário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3726ED" w:rsidRPr="00954547">
        <w:rPr>
          <w:rFonts w:ascii="Verdana" w:hAnsi="Verdana"/>
          <w:sz w:val="16"/>
          <w:szCs w:val="16"/>
        </w:rPr>
        <w:t>the criminalization of abortion.</w:t>
      </w:r>
    </w:p>
  </w:footnote>
  <w:footnote w:id="36">
    <w:p w14:paraId="7D477F87" w14:textId="79D0A15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Giselle Carino, Lita Martínez Alvarado,</w:t>
      </w:r>
      <w:r w:rsidR="0078694F" w:rsidRPr="00954547">
        <w:rPr>
          <w:rFonts w:ascii="Verdana" w:hAnsi="Verdana"/>
          <w:sz w:val="16"/>
          <w:szCs w:val="16"/>
        </w:rPr>
        <w:t xml:space="preserve"> and </w:t>
      </w:r>
      <w:r w:rsidRPr="00954547">
        <w:rPr>
          <w:rFonts w:ascii="Verdana" w:hAnsi="Verdana"/>
          <w:sz w:val="16"/>
          <w:szCs w:val="16"/>
        </w:rPr>
        <w:t xml:space="preserve">Consuelo Bowen.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3726ED" w:rsidRPr="00954547">
        <w:rPr>
          <w:rFonts w:ascii="Verdana" w:hAnsi="Verdana"/>
          <w:sz w:val="16"/>
          <w:szCs w:val="16"/>
        </w:rPr>
        <w:t>the relationship between the actions of the health care and ju</w:t>
      </w:r>
      <w:r w:rsidR="00D546BB" w:rsidRPr="00954547">
        <w:rPr>
          <w:rFonts w:ascii="Verdana" w:hAnsi="Verdana"/>
          <w:sz w:val="16"/>
          <w:szCs w:val="16"/>
        </w:rPr>
        <w:t>dicial</w:t>
      </w:r>
      <w:r w:rsidR="003726ED" w:rsidRPr="00954547">
        <w:rPr>
          <w:rFonts w:ascii="Verdana" w:hAnsi="Verdana"/>
          <w:sz w:val="16"/>
          <w:szCs w:val="16"/>
        </w:rPr>
        <w:t xml:space="preserve"> services in this case.</w:t>
      </w:r>
    </w:p>
  </w:footnote>
  <w:footnote w:id="37">
    <w:p w14:paraId="3AF45A6D" w14:textId="50326BB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Ingela Holmertz</w:t>
      </w:r>
      <w:r w:rsidR="0078694F" w:rsidRPr="00954547">
        <w:rPr>
          <w:rFonts w:ascii="Verdana" w:hAnsi="Verdana"/>
          <w:sz w:val="16"/>
          <w:szCs w:val="16"/>
        </w:rPr>
        <w:t xml:space="preserve"> and </w:t>
      </w:r>
      <w:r w:rsidRPr="00954547">
        <w:rPr>
          <w:rFonts w:ascii="Verdana" w:hAnsi="Verdana"/>
          <w:sz w:val="16"/>
          <w:szCs w:val="16"/>
        </w:rPr>
        <w:t xml:space="preserve">Wilson De los Reyes Aragón.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3726ED" w:rsidRPr="00954547">
        <w:rPr>
          <w:rFonts w:ascii="Verdana" w:hAnsi="Verdana"/>
          <w:sz w:val="16"/>
          <w:szCs w:val="16"/>
        </w:rPr>
        <w:t xml:space="preserve">the alleged violation of the right to health in the case of </w:t>
      </w:r>
      <w:r w:rsidRPr="00954547">
        <w:rPr>
          <w:rFonts w:ascii="Verdana" w:hAnsi="Verdana"/>
          <w:sz w:val="16"/>
          <w:szCs w:val="16"/>
        </w:rPr>
        <w:t>Manuela.</w:t>
      </w:r>
    </w:p>
  </w:footnote>
  <w:footnote w:id="38">
    <w:p w14:paraId="4B3DCF27" w14:textId="69881B2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Milla Patricia Romero Soto, María del Rosario Guerra, Esperanza Andrade Serrano, Paola Holguín, John Milton Rodríguez, Carlos Felipe Mejía, Santiago Valencia, Jonatan Tamayo Pérez, German Alcides Blanco Álvarez, Edgar Enrique Palacio Mizrahi, Erwin Arias Betancour, Edwin Ballesteros, Margarita María Restrepo, Juan Espinal, Álvaro Hernán Prada,</w:t>
      </w:r>
      <w:r w:rsidR="0078694F" w:rsidRPr="00954547">
        <w:rPr>
          <w:rFonts w:ascii="Verdana" w:hAnsi="Verdana"/>
          <w:sz w:val="16"/>
          <w:szCs w:val="16"/>
        </w:rPr>
        <w:t xml:space="preserve"> and </w:t>
      </w:r>
      <w:r w:rsidRPr="00954547">
        <w:rPr>
          <w:rFonts w:ascii="Verdana" w:hAnsi="Verdana"/>
          <w:sz w:val="16"/>
          <w:szCs w:val="16"/>
        </w:rPr>
        <w:t xml:space="preserve">José Jaime Uscátegui.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893EE9" w:rsidRPr="00954547">
        <w:rPr>
          <w:rFonts w:ascii="Verdana" w:hAnsi="Verdana"/>
          <w:sz w:val="16"/>
          <w:szCs w:val="16"/>
        </w:rPr>
        <w:t>the petitioners’ alleged disinformation campaign and the cruelty of infanticide.</w:t>
      </w:r>
      <w:r w:rsidRPr="00954547">
        <w:rPr>
          <w:rFonts w:ascii="Verdana" w:hAnsi="Verdana"/>
          <w:sz w:val="16"/>
          <w:szCs w:val="16"/>
        </w:rPr>
        <w:t xml:space="preserve"> </w:t>
      </w:r>
    </w:p>
  </w:footnote>
  <w:footnote w:id="39">
    <w:p w14:paraId="1D40F6EB" w14:textId="5CF7C44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Erika Guevara Rosas,</w:t>
      </w:r>
      <w:r w:rsidR="0078694F" w:rsidRPr="00954547">
        <w:rPr>
          <w:rFonts w:ascii="Verdana" w:hAnsi="Verdana"/>
          <w:sz w:val="16"/>
          <w:szCs w:val="16"/>
        </w:rPr>
        <w:t xml:space="preserve"> and </w:t>
      </w:r>
      <w:r w:rsidRPr="00954547">
        <w:rPr>
          <w:rFonts w:ascii="Verdana" w:hAnsi="Verdana"/>
          <w:sz w:val="16"/>
          <w:szCs w:val="16"/>
        </w:rPr>
        <w:t xml:space="preserve">Juan E. Méndez.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2810F8" w:rsidRPr="00954547">
        <w:rPr>
          <w:rFonts w:ascii="Verdana" w:hAnsi="Verdana"/>
          <w:sz w:val="16"/>
          <w:szCs w:val="16"/>
        </w:rPr>
        <w:t xml:space="preserve"> the </w:t>
      </w:r>
      <w:r w:rsidRPr="00954547">
        <w:rPr>
          <w:rFonts w:ascii="Verdana" w:hAnsi="Verdana"/>
          <w:i/>
          <w:sz w:val="16"/>
          <w:szCs w:val="16"/>
        </w:rPr>
        <w:t>iura novit curiae</w:t>
      </w:r>
      <w:r w:rsidR="0078694F" w:rsidRPr="00954547">
        <w:rPr>
          <w:rFonts w:ascii="Verdana" w:hAnsi="Verdana"/>
          <w:sz w:val="16"/>
          <w:szCs w:val="16"/>
        </w:rPr>
        <w:t xml:space="preserve"> </w:t>
      </w:r>
      <w:r w:rsidR="002810F8" w:rsidRPr="00954547">
        <w:rPr>
          <w:rFonts w:ascii="Verdana" w:hAnsi="Verdana"/>
          <w:sz w:val="16"/>
          <w:szCs w:val="16"/>
        </w:rPr>
        <w:t xml:space="preserve">principle </w:t>
      </w:r>
      <w:r w:rsidR="0078694F" w:rsidRPr="00954547">
        <w:rPr>
          <w:rFonts w:ascii="Verdana" w:hAnsi="Verdana"/>
          <w:sz w:val="16"/>
          <w:szCs w:val="16"/>
        </w:rPr>
        <w:t xml:space="preserve">and </w:t>
      </w:r>
      <w:r w:rsidR="002810F8" w:rsidRPr="00954547">
        <w:rPr>
          <w:rFonts w:ascii="Verdana" w:hAnsi="Verdana"/>
          <w:sz w:val="16"/>
          <w:szCs w:val="16"/>
        </w:rPr>
        <w:t xml:space="preserve">on the alleged obligation to decriminalize abortion. </w:t>
      </w:r>
    </w:p>
  </w:footnote>
  <w:footnote w:id="40">
    <w:p w14:paraId="604D507D" w14:textId="0236A35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Tania Sordo Ruz.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2810F8" w:rsidRPr="00954547">
        <w:rPr>
          <w:rFonts w:ascii="Verdana" w:hAnsi="Verdana"/>
          <w:sz w:val="16"/>
          <w:szCs w:val="16"/>
        </w:rPr>
        <w:t>gender stereotyping</w:t>
      </w:r>
      <w:r w:rsidRPr="00954547">
        <w:rPr>
          <w:rFonts w:ascii="Verdana" w:hAnsi="Verdana"/>
          <w:sz w:val="16"/>
          <w:szCs w:val="16"/>
        </w:rPr>
        <w:t>.</w:t>
      </w:r>
    </w:p>
  </w:footnote>
  <w:footnote w:id="41">
    <w:p w14:paraId="1115B151" w14:textId="5A34F80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Joanne C. Suarez, Natalia Acevedo Guerrero, Donna Castelblanco</w:t>
      </w:r>
      <w:r w:rsidR="0078694F" w:rsidRPr="00954547">
        <w:rPr>
          <w:rFonts w:ascii="Verdana" w:hAnsi="Verdana"/>
          <w:sz w:val="16"/>
          <w:szCs w:val="16"/>
        </w:rPr>
        <w:t xml:space="preserve"> and </w:t>
      </w:r>
      <w:r w:rsidRPr="00954547">
        <w:rPr>
          <w:rFonts w:ascii="Verdana" w:hAnsi="Verdana"/>
          <w:sz w:val="16"/>
          <w:szCs w:val="16"/>
        </w:rPr>
        <w:t xml:space="preserve">Katrina Muñoz.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2810F8" w:rsidRPr="00954547">
        <w:rPr>
          <w:rFonts w:ascii="Verdana" w:hAnsi="Verdana"/>
          <w:sz w:val="16"/>
          <w:szCs w:val="16"/>
        </w:rPr>
        <w:t>bioethical principles and the provision of reproductive health services.</w:t>
      </w:r>
    </w:p>
  </w:footnote>
  <w:footnote w:id="42">
    <w:p w14:paraId="0840251B" w14:textId="2D547BC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Paula Litvachky, Lucía de la Vega, Vanina Escales, Macarena Fernández Hofmann, Andrés López Cabello, Diego Morales,</w:t>
      </w:r>
      <w:r w:rsidR="0078694F" w:rsidRPr="00954547">
        <w:rPr>
          <w:rFonts w:ascii="Verdana" w:hAnsi="Verdana"/>
          <w:sz w:val="16"/>
          <w:szCs w:val="16"/>
        </w:rPr>
        <w:t xml:space="preserve"> and </w:t>
      </w:r>
      <w:r w:rsidRPr="00954547">
        <w:rPr>
          <w:rFonts w:ascii="Verdana" w:hAnsi="Verdana"/>
          <w:sz w:val="16"/>
          <w:szCs w:val="16"/>
        </w:rPr>
        <w:t xml:space="preserve">Erika Schmidhuber Peña.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2810F8" w:rsidRPr="00954547">
        <w:rPr>
          <w:rFonts w:ascii="Verdana" w:hAnsi="Verdana"/>
          <w:sz w:val="16"/>
          <w:szCs w:val="16"/>
        </w:rPr>
        <w:t xml:space="preserve"> discrimination, the guarantee of </w:t>
      </w:r>
      <w:r w:rsidR="00FC72C0" w:rsidRPr="00954547">
        <w:rPr>
          <w:rFonts w:ascii="Verdana" w:hAnsi="Verdana"/>
          <w:sz w:val="16"/>
          <w:szCs w:val="16"/>
        </w:rPr>
        <w:t xml:space="preserve">the </w:t>
      </w:r>
      <w:r w:rsidR="002810F8" w:rsidRPr="00954547">
        <w:rPr>
          <w:rFonts w:ascii="Verdana" w:hAnsi="Verdana"/>
          <w:sz w:val="16"/>
          <w:szCs w:val="16"/>
        </w:rPr>
        <w:t xml:space="preserve">confidentiality of medical </w:t>
      </w:r>
      <w:r w:rsidR="00A65EE1" w:rsidRPr="00954547">
        <w:rPr>
          <w:rFonts w:ascii="Verdana" w:hAnsi="Verdana"/>
          <w:sz w:val="16"/>
          <w:szCs w:val="16"/>
        </w:rPr>
        <w:t>attention</w:t>
      </w:r>
      <w:r w:rsidR="002810F8" w:rsidRPr="00954547">
        <w:rPr>
          <w:rFonts w:ascii="Verdana" w:hAnsi="Verdana"/>
          <w:sz w:val="16"/>
          <w:szCs w:val="16"/>
        </w:rPr>
        <w:t>, and the disproportionate impact</w:t>
      </w:r>
      <w:r w:rsidR="00FC72C0" w:rsidRPr="00954547">
        <w:rPr>
          <w:rFonts w:ascii="Verdana" w:hAnsi="Verdana"/>
          <w:sz w:val="16"/>
          <w:szCs w:val="16"/>
        </w:rPr>
        <w:t xml:space="preserve"> </w:t>
      </w:r>
      <w:r w:rsidR="002810F8" w:rsidRPr="00954547">
        <w:rPr>
          <w:rFonts w:ascii="Verdana" w:hAnsi="Verdana"/>
          <w:sz w:val="16"/>
          <w:szCs w:val="16"/>
        </w:rPr>
        <w:t>on women and their family</w:t>
      </w:r>
      <w:r w:rsidR="00FC72C0" w:rsidRPr="00954547">
        <w:rPr>
          <w:rFonts w:ascii="Verdana" w:hAnsi="Verdana"/>
          <w:sz w:val="16"/>
          <w:szCs w:val="16"/>
        </w:rPr>
        <w:t xml:space="preserve"> when women are deprived of liberty.</w:t>
      </w:r>
    </w:p>
  </w:footnote>
  <w:footnote w:id="43">
    <w:p w14:paraId="1FDC2486" w14:textId="5F918729"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C90D62" w:rsidRPr="00954547">
        <w:rPr>
          <w:lang w:val="en-US"/>
        </w:rPr>
        <w:t>The brief was signed by</w:t>
      </w:r>
      <w:r w:rsidRPr="00954547">
        <w:rPr>
          <w:lang w:val="en-US"/>
        </w:rPr>
        <w:t xml:space="preserve"> Ricardo Bach de Chazal. </w:t>
      </w:r>
      <w:r w:rsidR="00E33E50" w:rsidRPr="00954547">
        <w:rPr>
          <w:lang w:val="en-US"/>
        </w:rPr>
        <w:t>It contained</w:t>
      </w:r>
      <w:r w:rsidR="00C90D62" w:rsidRPr="00954547">
        <w:rPr>
          <w:lang w:val="en-US"/>
        </w:rPr>
        <w:t xml:space="preserve"> considerations on</w:t>
      </w:r>
      <w:r w:rsidRPr="00954547">
        <w:rPr>
          <w:lang w:val="en-US"/>
        </w:rPr>
        <w:t xml:space="preserve"> </w:t>
      </w:r>
      <w:r w:rsidR="00FC72C0" w:rsidRPr="00954547">
        <w:rPr>
          <w:lang w:val="en-US"/>
        </w:rPr>
        <w:t xml:space="preserve">the protection of the right to life in the inter-American system and in </w:t>
      </w:r>
      <w:r w:rsidRPr="00954547">
        <w:rPr>
          <w:lang w:val="en-US"/>
        </w:rPr>
        <w:t xml:space="preserve">El Salvador, </w:t>
      </w:r>
      <w:r w:rsidR="00FC72C0" w:rsidRPr="00954547">
        <w:rPr>
          <w:lang w:val="en-US"/>
        </w:rPr>
        <w:t>and on the illegitimacy of the claims</w:t>
      </w:r>
      <w:r w:rsidR="00607E12" w:rsidRPr="00954547">
        <w:rPr>
          <w:lang w:val="en-US"/>
        </w:rPr>
        <w:t xml:space="preserve"> of the </w:t>
      </w:r>
      <w:r w:rsidR="00B6299C" w:rsidRPr="00954547">
        <w:rPr>
          <w:lang w:val="en-US"/>
        </w:rPr>
        <w:t>representatives</w:t>
      </w:r>
      <w:r w:rsidR="0078694F" w:rsidRPr="00954547">
        <w:rPr>
          <w:lang w:val="en-US"/>
        </w:rPr>
        <w:t xml:space="preserve"> and</w:t>
      </w:r>
      <w:r w:rsidR="00607E12" w:rsidRPr="00954547">
        <w:rPr>
          <w:lang w:val="en-US"/>
        </w:rPr>
        <w:t xml:space="preserve"> the </w:t>
      </w:r>
      <w:r w:rsidR="00E76B1A" w:rsidRPr="00954547">
        <w:rPr>
          <w:lang w:val="en-US"/>
        </w:rPr>
        <w:t>Commission</w:t>
      </w:r>
      <w:r w:rsidRPr="00954547">
        <w:rPr>
          <w:lang w:val="en-US"/>
        </w:rPr>
        <w:t xml:space="preserve"> </w:t>
      </w:r>
      <w:r w:rsidR="00FC72C0" w:rsidRPr="00954547">
        <w:rPr>
          <w:lang w:val="en-US"/>
        </w:rPr>
        <w:t>in this case</w:t>
      </w:r>
      <w:r w:rsidRPr="00954547">
        <w:rPr>
          <w:lang w:val="en-US"/>
        </w:rPr>
        <w:t xml:space="preserve">.  </w:t>
      </w:r>
    </w:p>
  </w:footnote>
  <w:footnote w:id="44">
    <w:p w14:paraId="5B71E67F" w14:textId="7937DA5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Max Silva Abbott.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FC72C0" w:rsidRPr="00954547">
        <w:rPr>
          <w:rFonts w:ascii="Verdana" w:hAnsi="Verdana"/>
          <w:sz w:val="16"/>
          <w:szCs w:val="16"/>
        </w:rPr>
        <w:t xml:space="preserve"> the personhood of every human being and the right to life.</w:t>
      </w:r>
    </w:p>
  </w:footnote>
  <w:footnote w:id="45">
    <w:p w14:paraId="3BA46A5B" w14:textId="783DAC0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Carlos Tiffer Sotomayor</w:t>
      </w:r>
      <w:r w:rsidR="0078694F" w:rsidRPr="00954547">
        <w:rPr>
          <w:rFonts w:ascii="Verdana" w:hAnsi="Verdana"/>
          <w:sz w:val="16"/>
          <w:szCs w:val="16"/>
        </w:rPr>
        <w:t xml:space="preserve"> and </w:t>
      </w:r>
      <w:r w:rsidRPr="00954547">
        <w:rPr>
          <w:rFonts w:ascii="Verdana" w:hAnsi="Verdana"/>
          <w:sz w:val="16"/>
          <w:szCs w:val="16"/>
        </w:rPr>
        <w:t xml:space="preserve">Jorge Valencia Arango.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4730DF" w:rsidRPr="00954547">
        <w:rPr>
          <w:rFonts w:ascii="Verdana" w:hAnsi="Verdana"/>
          <w:i/>
          <w:iCs/>
          <w:sz w:val="16"/>
          <w:szCs w:val="16"/>
        </w:rPr>
        <w:t>in flagrante delicto</w:t>
      </w:r>
      <w:r w:rsidR="004730DF" w:rsidRPr="00954547">
        <w:rPr>
          <w:rFonts w:ascii="Verdana" w:hAnsi="Verdana"/>
          <w:sz w:val="16"/>
          <w:szCs w:val="16"/>
        </w:rPr>
        <w:t>.</w:t>
      </w:r>
    </w:p>
  </w:footnote>
  <w:footnote w:id="46">
    <w:p w14:paraId="2D910531" w14:textId="62C67D5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Ana Cristina Vega.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4730DF" w:rsidRPr="00954547">
        <w:rPr>
          <w:rFonts w:ascii="Verdana" w:hAnsi="Verdana"/>
          <w:sz w:val="16"/>
          <w:szCs w:val="16"/>
        </w:rPr>
        <w:t xml:space="preserve"> international human rights standards in relation to the rule of the right to </w:t>
      </w:r>
      <w:r w:rsidR="00A65EE1" w:rsidRPr="00954547">
        <w:rPr>
          <w:rFonts w:ascii="Verdana" w:hAnsi="Verdana"/>
          <w:sz w:val="16"/>
          <w:szCs w:val="16"/>
        </w:rPr>
        <w:t xml:space="preserve">the </w:t>
      </w:r>
      <w:r w:rsidR="00674DA3" w:rsidRPr="00954547">
        <w:rPr>
          <w:rFonts w:ascii="Verdana" w:hAnsi="Verdana"/>
          <w:sz w:val="16"/>
          <w:szCs w:val="16"/>
        </w:rPr>
        <w:t>professional confidentiality</w:t>
      </w:r>
      <w:r w:rsidR="004730DF" w:rsidRPr="00954547">
        <w:rPr>
          <w:rFonts w:ascii="Verdana" w:hAnsi="Verdana"/>
          <w:sz w:val="16"/>
          <w:szCs w:val="16"/>
        </w:rPr>
        <w:t xml:space="preserve"> of health professionals in relation to criminal prosecutions.</w:t>
      </w:r>
    </w:p>
  </w:footnote>
  <w:footnote w:id="47">
    <w:p w14:paraId="2F81045D" w14:textId="4A974E2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C90D62" w:rsidRPr="00954547">
        <w:rPr>
          <w:rFonts w:ascii="Verdana" w:hAnsi="Verdana"/>
          <w:sz w:val="16"/>
          <w:szCs w:val="16"/>
          <w:lang w:val="es-CR"/>
        </w:rPr>
        <w:t>The brief was signed by</w:t>
      </w:r>
      <w:r w:rsidRPr="00954547">
        <w:rPr>
          <w:rFonts w:ascii="Verdana" w:hAnsi="Verdana"/>
          <w:sz w:val="16"/>
          <w:szCs w:val="16"/>
          <w:lang w:val="es-CR"/>
        </w:rPr>
        <w:t xml:space="preserve"> Teresa del Campo Rodríguez, Carlos Fadrique Aceves, Belén García Gómez, Yaiza Rodríguez Sánchez, Enrique Serrano Sánchez-Cendal, Alejandro de Pablo Serrano, Patricia Tapia Ballesteros, Enrique Martínez Pérez, Ángeles Solanes Corella,</w:t>
      </w:r>
      <w:r w:rsidR="0078694F" w:rsidRPr="00954547">
        <w:rPr>
          <w:rFonts w:ascii="Verdana" w:hAnsi="Verdana"/>
          <w:sz w:val="16"/>
          <w:szCs w:val="16"/>
          <w:lang w:val="es-CR"/>
        </w:rPr>
        <w:t xml:space="preserve"> and </w:t>
      </w:r>
      <w:r w:rsidRPr="00954547">
        <w:rPr>
          <w:rFonts w:ascii="Verdana" w:hAnsi="Verdana"/>
          <w:sz w:val="16"/>
          <w:szCs w:val="16"/>
          <w:lang w:val="es-CR"/>
        </w:rPr>
        <w:t xml:space="preserve">Javier García Medina.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4730DF" w:rsidRPr="00954547">
        <w:rPr>
          <w:rFonts w:ascii="Verdana" w:hAnsi="Verdana"/>
          <w:sz w:val="16"/>
          <w:szCs w:val="16"/>
        </w:rPr>
        <w:t xml:space="preserve"> the need for the Court to clarify the scope of medical </w:t>
      </w:r>
      <w:r w:rsidR="00674DA3" w:rsidRPr="00954547">
        <w:rPr>
          <w:rFonts w:ascii="Verdana" w:hAnsi="Verdana"/>
          <w:sz w:val="16"/>
          <w:szCs w:val="16"/>
        </w:rPr>
        <w:t>professional confidentiality</w:t>
      </w:r>
      <w:r w:rsidR="00AD7378" w:rsidRPr="00954547">
        <w:rPr>
          <w:rFonts w:ascii="Verdana" w:hAnsi="Verdana"/>
          <w:sz w:val="16"/>
          <w:szCs w:val="16"/>
        </w:rPr>
        <w:t>,</w:t>
      </w:r>
      <w:r w:rsidR="004730DF" w:rsidRPr="00954547">
        <w:rPr>
          <w:rFonts w:ascii="Verdana" w:hAnsi="Verdana"/>
          <w:sz w:val="16"/>
          <w:szCs w:val="16"/>
        </w:rPr>
        <w:t xml:space="preserve"> confidentiality</w:t>
      </w:r>
      <w:r w:rsidR="00AD7378" w:rsidRPr="00954547">
        <w:rPr>
          <w:rFonts w:ascii="Verdana" w:hAnsi="Verdana"/>
          <w:sz w:val="16"/>
          <w:szCs w:val="16"/>
        </w:rPr>
        <w:t xml:space="preserve"> and privacy in health care and their implications in relation to the right to privacy and </w:t>
      </w:r>
      <w:r w:rsidR="00A65EE1" w:rsidRPr="00954547">
        <w:rPr>
          <w:rFonts w:ascii="Verdana" w:hAnsi="Verdana"/>
          <w:sz w:val="16"/>
          <w:szCs w:val="16"/>
        </w:rPr>
        <w:t xml:space="preserve">to </w:t>
      </w:r>
      <w:r w:rsidR="00AD7378" w:rsidRPr="00954547">
        <w:rPr>
          <w:rFonts w:ascii="Verdana" w:hAnsi="Verdana"/>
          <w:sz w:val="16"/>
          <w:szCs w:val="16"/>
        </w:rPr>
        <w:t>sexual and reproductive health care.</w:t>
      </w:r>
    </w:p>
  </w:footnote>
  <w:footnote w:id="48">
    <w:p w14:paraId="03913C48" w14:textId="2D22C09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Alda Facio Montejo.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AD7378" w:rsidRPr="00954547">
        <w:rPr>
          <w:rFonts w:ascii="Verdana" w:hAnsi="Verdana"/>
          <w:sz w:val="16"/>
          <w:szCs w:val="16"/>
        </w:rPr>
        <w:t xml:space="preserve"> the protection of confidential medical information in light of international human rights law, as well as the impact of laws that criminalize access to reproductive health services by the </w:t>
      </w:r>
      <w:r w:rsidR="00A65EE1" w:rsidRPr="00954547">
        <w:rPr>
          <w:rFonts w:ascii="Verdana" w:hAnsi="Verdana"/>
          <w:sz w:val="16"/>
          <w:szCs w:val="16"/>
        </w:rPr>
        <w:t>disclosure</w:t>
      </w:r>
      <w:r w:rsidR="00AD7378" w:rsidRPr="00954547">
        <w:rPr>
          <w:rFonts w:ascii="Verdana" w:hAnsi="Verdana"/>
          <w:sz w:val="16"/>
          <w:szCs w:val="16"/>
        </w:rPr>
        <w:t xml:space="preserve"> of </w:t>
      </w:r>
      <w:r w:rsidR="00A65EE1" w:rsidRPr="00954547">
        <w:rPr>
          <w:rFonts w:ascii="Verdana" w:hAnsi="Verdana"/>
          <w:sz w:val="16"/>
          <w:szCs w:val="16"/>
        </w:rPr>
        <w:t xml:space="preserve">information protected by </w:t>
      </w:r>
      <w:r w:rsidR="00AD7378" w:rsidRPr="00954547">
        <w:rPr>
          <w:rFonts w:ascii="Verdana" w:hAnsi="Verdana"/>
          <w:sz w:val="16"/>
          <w:szCs w:val="16"/>
        </w:rPr>
        <w:t xml:space="preserve">medical </w:t>
      </w:r>
      <w:r w:rsidR="00674DA3" w:rsidRPr="00954547">
        <w:rPr>
          <w:rFonts w:ascii="Verdana" w:hAnsi="Verdana"/>
          <w:sz w:val="16"/>
          <w:szCs w:val="16"/>
        </w:rPr>
        <w:t>professional confidentiality</w:t>
      </w:r>
      <w:r w:rsidR="00AD7378" w:rsidRPr="00954547">
        <w:rPr>
          <w:rFonts w:ascii="Verdana" w:hAnsi="Verdana"/>
          <w:sz w:val="16"/>
          <w:szCs w:val="16"/>
        </w:rPr>
        <w:t>.</w:t>
      </w:r>
    </w:p>
  </w:footnote>
  <w:footnote w:id="49">
    <w:p w14:paraId="75C2371F" w14:textId="13FD311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pt-BR"/>
        </w:rPr>
        <w:t xml:space="preserve">  </w:t>
      </w:r>
      <w:r w:rsidRPr="00954547">
        <w:rPr>
          <w:rFonts w:ascii="Verdana" w:hAnsi="Verdana"/>
          <w:sz w:val="16"/>
          <w:szCs w:val="16"/>
          <w:lang w:val="pt-BR"/>
        </w:rPr>
        <w:tab/>
      </w:r>
      <w:r w:rsidR="00C90D62" w:rsidRPr="00954547">
        <w:rPr>
          <w:rFonts w:ascii="Verdana" w:hAnsi="Verdana"/>
          <w:sz w:val="16"/>
          <w:szCs w:val="16"/>
          <w:lang w:val="pt-BR"/>
        </w:rPr>
        <w:t>The brief was signed by</w:t>
      </w:r>
      <w:r w:rsidRPr="00954547">
        <w:rPr>
          <w:rFonts w:ascii="Verdana" w:hAnsi="Verdana"/>
          <w:sz w:val="16"/>
          <w:szCs w:val="16"/>
          <w:lang w:val="pt-BR"/>
        </w:rPr>
        <w:t xml:space="preserve"> Anya Victoria Delgado, Ishita Dutta, Mandivavarira Mudarikwa, Nasreen Solomons, Valentine Sébile</w:t>
      </w:r>
      <w:r w:rsidR="0078694F" w:rsidRPr="00954547">
        <w:rPr>
          <w:rFonts w:ascii="Verdana" w:hAnsi="Verdana"/>
          <w:sz w:val="16"/>
          <w:szCs w:val="16"/>
          <w:lang w:val="pt-BR"/>
        </w:rPr>
        <w:t xml:space="preserve"> and </w:t>
      </w:r>
      <w:r w:rsidRPr="00954547">
        <w:rPr>
          <w:rFonts w:ascii="Verdana" w:hAnsi="Verdana"/>
          <w:sz w:val="16"/>
          <w:szCs w:val="16"/>
          <w:lang w:val="pt-BR"/>
        </w:rPr>
        <w:t xml:space="preserve">Fernando Ribeiro Delgado.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AD7378" w:rsidRPr="00954547">
        <w:rPr>
          <w:rFonts w:ascii="Verdana" w:hAnsi="Verdana"/>
          <w:sz w:val="16"/>
          <w:szCs w:val="16"/>
        </w:rPr>
        <w:t xml:space="preserve"> the criminalization of obstetric emergencies in </w:t>
      </w:r>
      <w:r w:rsidRPr="00954547">
        <w:rPr>
          <w:rFonts w:ascii="Verdana" w:hAnsi="Verdana"/>
          <w:sz w:val="16"/>
          <w:szCs w:val="16"/>
        </w:rPr>
        <w:t>El Salvador</w:t>
      </w:r>
      <w:r w:rsidR="0078694F" w:rsidRPr="00954547">
        <w:rPr>
          <w:rFonts w:ascii="Verdana" w:hAnsi="Verdana"/>
          <w:sz w:val="16"/>
          <w:szCs w:val="16"/>
        </w:rPr>
        <w:t xml:space="preserve"> and </w:t>
      </w:r>
      <w:r w:rsidR="00AD7378" w:rsidRPr="00954547">
        <w:rPr>
          <w:rFonts w:ascii="Verdana" w:hAnsi="Verdana"/>
          <w:sz w:val="16"/>
          <w:szCs w:val="16"/>
        </w:rPr>
        <w:t>on the intersect</w:t>
      </w:r>
      <w:r w:rsidR="00AB50CE" w:rsidRPr="00954547">
        <w:rPr>
          <w:rFonts w:ascii="Verdana" w:hAnsi="Verdana"/>
          <w:sz w:val="16"/>
          <w:szCs w:val="16"/>
        </w:rPr>
        <w:t>ion</w:t>
      </w:r>
      <w:r w:rsidR="00AD7378" w:rsidRPr="00954547">
        <w:rPr>
          <w:rFonts w:ascii="Verdana" w:hAnsi="Verdana"/>
          <w:sz w:val="16"/>
          <w:szCs w:val="16"/>
        </w:rPr>
        <w:t>al discrimination allegedly faced by Manuela and other women in similar situations.</w:t>
      </w:r>
    </w:p>
  </w:footnote>
  <w:footnote w:id="50">
    <w:p w14:paraId="36C99D78" w14:textId="4F2A1531"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Helena Sola Martín Melissa Zamora Vieyra.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AD7378" w:rsidRPr="00954547">
        <w:rPr>
          <w:rFonts w:ascii="Verdana" w:hAnsi="Verdana"/>
          <w:sz w:val="16"/>
          <w:szCs w:val="16"/>
        </w:rPr>
        <w:t xml:space="preserve"> the right to personal integrity and, in particular, the right not to be subjected to torture or to cruel, inhuman or degrading treatment or punishment from a gender perspective.</w:t>
      </w:r>
    </w:p>
  </w:footnote>
  <w:footnote w:id="51">
    <w:p w14:paraId="6FAACC26" w14:textId="4CB669A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Katya Salazar Luzula</w:t>
      </w:r>
      <w:r w:rsidR="0078694F" w:rsidRPr="00954547">
        <w:rPr>
          <w:rFonts w:ascii="Verdana" w:hAnsi="Verdana"/>
          <w:sz w:val="16"/>
          <w:szCs w:val="16"/>
        </w:rPr>
        <w:t xml:space="preserve"> and </w:t>
      </w:r>
      <w:r w:rsidRPr="00954547">
        <w:rPr>
          <w:rFonts w:ascii="Verdana" w:hAnsi="Verdana"/>
          <w:sz w:val="16"/>
          <w:szCs w:val="16"/>
        </w:rPr>
        <w:t xml:space="preserve">Leonor Arteaga Rubio.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78694F" w:rsidRPr="00954547">
        <w:rPr>
          <w:rFonts w:ascii="Verdana" w:hAnsi="Verdana"/>
          <w:sz w:val="16"/>
          <w:szCs w:val="16"/>
        </w:rPr>
        <w:t>judicial guarantees</w:t>
      </w:r>
      <w:r w:rsidRPr="00954547">
        <w:rPr>
          <w:rFonts w:ascii="Verdana" w:hAnsi="Verdana"/>
          <w:sz w:val="16"/>
          <w:szCs w:val="16"/>
        </w:rPr>
        <w:t>, inclu</w:t>
      </w:r>
      <w:r w:rsidR="00F27B80" w:rsidRPr="00954547">
        <w:rPr>
          <w:rFonts w:ascii="Verdana" w:hAnsi="Verdana"/>
          <w:sz w:val="16"/>
          <w:szCs w:val="16"/>
        </w:rPr>
        <w:t xml:space="preserve">ding the right to the presumption of innocence and the </w:t>
      </w:r>
      <w:r w:rsidR="00D4015D" w:rsidRPr="00954547">
        <w:rPr>
          <w:rFonts w:ascii="Verdana" w:hAnsi="Verdana"/>
          <w:sz w:val="16"/>
          <w:szCs w:val="16"/>
        </w:rPr>
        <w:t>right to defense</w:t>
      </w:r>
      <w:r w:rsidR="00F27B80" w:rsidRPr="00954547">
        <w:rPr>
          <w:rFonts w:ascii="Verdana" w:hAnsi="Verdana"/>
          <w:sz w:val="16"/>
          <w:szCs w:val="16"/>
        </w:rPr>
        <w:t>.</w:t>
      </w:r>
    </w:p>
  </w:footnote>
  <w:footnote w:id="52">
    <w:p w14:paraId="0666B98E" w14:textId="6DB440E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María Daniela Díaz Villamil, Jessika Mariana Barragán, Nicole Sofía Méndez, Laura Marcela Angarita Pedraza, Natalia Beltrán Orjuela,</w:t>
      </w:r>
      <w:r w:rsidR="0078694F" w:rsidRPr="00954547">
        <w:rPr>
          <w:rFonts w:ascii="Verdana" w:hAnsi="Verdana"/>
          <w:sz w:val="16"/>
          <w:szCs w:val="16"/>
        </w:rPr>
        <w:t xml:space="preserve"> and </w:t>
      </w:r>
      <w:r w:rsidRPr="00954547">
        <w:rPr>
          <w:rFonts w:ascii="Verdana" w:hAnsi="Verdana"/>
          <w:sz w:val="16"/>
          <w:szCs w:val="16"/>
        </w:rPr>
        <w:t xml:space="preserve">Stephanie López Posso.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F27B80" w:rsidRPr="00954547">
        <w:rPr>
          <w:rFonts w:ascii="Verdana" w:hAnsi="Verdana"/>
          <w:sz w:val="16"/>
          <w:szCs w:val="16"/>
        </w:rPr>
        <w:t xml:space="preserve">the absolute prohibition of abortion, as well as the different manifestations of gender stereotyping, especially with regard to the provision of health care services and the criminal proceedings </w:t>
      </w:r>
      <w:r w:rsidR="00FC72C0" w:rsidRPr="00954547">
        <w:rPr>
          <w:rFonts w:ascii="Verdana" w:hAnsi="Verdana"/>
          <w:sz w:val="16"/>
          <w:szCs w:val="16"/>
        </w:rPr>
        <w:t>in this case</w:t>
      </w:r>
      <w:r w:rsidRPr="00954547">
        <w:rPr>
          <w:rFonts w:ascii="Verdana" w:hAnsi="Verdana"/>
          <w:sz w:val="16"/>
          <w:szCs w:val="16"/>
        </w:rPr>
        <w:t>.</w:t>
      </w:r>
    </w:p>
  </w:footnote>
  <w:footnote w:id="53">
    <w:p w14:paraId="2DE937DB" w14:textId="7292357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Lucas Valderas.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F27B80" w:rsidRPr="00954547">
        <w:rPr>
          <w:rFonts w:ascii="Verdana" w:hAnsi="Verdana"/>
          <w:sz w:val="16"/>
          <w:szCs w:val="16"/>
        </w:rPr>
        <w:t xml:space="preserve"> the numerous factors of vulnerability that coalesced intersectionally in Manuela’s life and how these </w:t>
      </w:r>
      <w:r w:rsidR="00CD298A" w:rsidRPr="00954547">
        <w:rPr>
          <w:rFonts w:ascii="Verdana" w:hAnsi="Verdana"/>
          <w:sz w:val="16"/>
          <w:szCs w:val="16"/>
        </w:rPr>
        <w:t>led to</w:t>
      </w:r>
      <w:r w:rsidR="00F27B80" w:rsidRPr="00954547">
        <w:rPr>
          <w:rFonts w:ascii="Verdana" w:hAnsi="Verdana"/>
          <w:sz w:val="16"/>
          <w:szCs w:val="16"/>
        </w:rPr>
        <w:t xml:space="preserve"> a specific form of discrimination and inequality that</w:t>
      </w:r>
      <w:r w:rsidR="00CD298A" w:rsidRPr="00954547">
        <w:rPr>
          <w:rFonts w:ascii="Verdana" w:hAnsi="Verdana"/>
          <w:sz w:val="16"/>
          <w:szCs w:val="16"/>
        </w:rPr>
        <w:t xml:space="preserve"> resulted in the alleged denial of judicial guarantees and protection.</w:t>
      </w:r>
    </w:p>
  </w:footnote>
  <w:footnote w:id="54">
    <w:p w14:paraId="67109A08" w14:textId="0CB5B90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Zamir Andrés Fajardo Morales.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EB06ED" w:rsidRPr="00954547">
        <w:rPr>
          <w:rFonts w:ascii="Verdana" w:hAnsi="Verdana"/>
          <w:sz w:val="16"/>
          <w:szCs w:val="16"/>
        </w:rPr>
        <w:t xml:space="preserve"> the right of women to a life free of obstetric violence.</w:t>
      </w:r>
    </w:p>
  </w:footnote>
  <w:footnote w:id="55">
    <w:p w14:paraId="02F21E12" w14:textId="0DC51BD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María Paula Balam Aguilar</w:t>
      </w:r>
      <w:r w:rsidR="0078694F" w:rsidRPr="00954547">
        <w:rPr>
          <w:rFonts w:ascii="Verdana" w:hAnsi="Verdana"/>
          <w:sz w:val="16"/>
          <w:szCs w:val="16"/>
        </w:rPr>
        <w:t xml:space="preserve"> and </w:t>
      </w:r>
      <w:r w:rsidRPr="00954547">
        <w:rPr>
          <w:rFonts w:ascii="Verdana" w:hAnsi="Verdana"/>
          <w:sz w:val="16"/>
          <w:szCs w:val="16"/>
        </w:rPr>
        <w:t xml:space="preserve">Andrea Guadalupe Tejero Gamboa.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EB06ED" w:rsidRPr="00954547">
        <w:rPr>
          <w:rFonts w:ascii="Verdana" w:hAnsi="Verdana"/>
          <w:sz w:val="16"/>
          <w:szCs w:val="16"/>
        </w:rPr>
        <w:t>State obligations regarding reproductive health care for women who suffer obstetric emergencies.</w:t>
      </w:r>
    </w:p>
  </w:footnote>
  <w:footnote w:id="56">
    <w:p w14:paraId="1D784101" w14:textId="49AD0C9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Mileidy Alvarado Arias.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EB06ED" w:rsidRPr="00954547">
        <w:rPr>
          <w:rFonts w:ascii="Verdana" w:hAnsi="Verdana"/>
          <w:sz w:val="16"/>
          <w:szCs w:val="16"/>
        </w:rPr>
        <w:t>the legal grounds that invalidate the petition filed” by the representatives, and on the “</w:t>
      </w:r>
      <w:r w:rsidR="00560D89" w:rsidRPr="00954547">
        <w:rPr>
          <w:rFonts w:ascii="Verdana" w:hAnsi="Verdana"/>
          <w:sz w:val="16"/>
          <w:szCs w:val="16"/>
        </w:rPr>
        <w:t>misleading handling by the petitioners of the information in the judicial case file that was the reason for this complaint against El Salvador.”</w:t>
      </w:r>
      <w:r w:rsidR="00EB06ED" w:rsidRPr="00954547">
        <w:rPr>
          <w:rFonts w:ascii="Verdana" w:hAnsi="Verdana"/>
          <w:sz w:val="16"/>
          <w:szCs w:val="16"/>
        </w:rPr>
        <w:t xml:space="preserve"> </w:t>
      </w:r>
    </w:p>
  </w:footnote>
  <w:footnote w:id="57">
    <w:p w14:paraId="29627A24" w14:textId="77DF2A9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Edwin Freedman.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560D89" w:rsidRPr="00954547">
        <w:rPr>
          <w:rFonts w:ascii="Verdana" w:hAnsi="Verdana"/>
          <w:sz w:val="16"/>
          <w:szCs w:val="16"/>
        </w:rPr>
        <w:t xml:space="preserve"> the right to abortion and the case law of the European Court of Human Rights, as well as on the corresponding laws in different jurisdictions.</w:t>
      </w:r>
    </w:p>
  </w:footnote>
  <w:footnote w:id="58">
    <w:p w14:paraId="41F47917" w14:textId="198DBBB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Francisco J. Rivera Juaristi</w:t>
      </w:r>
      <w:r w:rsidR="0078694F" w:rsidRPr="00954547">
        <w:rPr>
          <w:rFonts w:ascii="Verdana" w:hAnsi="Verdana"/>
          <w:sz w:val="16"/>
          <w:szCs w:val="16"/>
        </w:rPr>
        <w:t xml:space="preserve"> and </w:t>
      </w:r>
      <w:r w:rsidRPr="00954547">
        <w:rPr>
          <w:rFonts w:ascii="Verdana" w:hAnsi="Verdana"/>
          <w:sz w:val="16"/>
          <w:szCs w:val="16"/>
        </w:rPr>
        <w:t xml:space="preserve">Britton Schwartz.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560D89" w:rsidRPr="00954547">
        <w:rPr>
          <w:rFonts w:ascii="Verdana" w:hAnsi="Verdana"/>
          <w:sz w:val="16"/>
          <w:szCs w:val="16"/>
        </w:rPr>
        <w:t xml:space="preserve"> the right of women, particularly </w:t>
      </w:r>
      <w:r w:rsidRPr="00954547">
        <w:rPr>
          <w:rFonts w:ascii="Verdana" w:hAnsi="Verdana"/>
          <w:sz w:val="16"/>
          <w:szCs w:val="16"/>
        </w:rPr>
        <w:t>l</w:t>
      </w:r>
      <w:r w:rsidR="00560D89" w:rsidRPr="00954547">
        <w:rPr>
          <w:rFonts w:ascii="Verdana" w:hAnsi="Verdana"/>
          <w:sz w:val="16"/>
          <w:szCs w:val="16"/>
        </w:rPr>
        <w:t>ow-income women, to receive satisfactory reproductive and maternal health care without discrimination and their right to privacy in the doctor-patient relationship.</w:t>
      </w:r>
    </w:p>
  </w:footnote>
  <w:footnote w:id="59">
    <w:p w14:paraId="5AD6422B" w14:textId="7C665A7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Mirta Moragas Mereles, Lucía Berro Pizzarossa, Fernando D’elio, Alba Onofrio, Oriana López Uribe, Marisa Viana, Lola Guerra, Ishita Dutta, Umyra Ahmad</w:t>
      </w:r>
      <w:r w:rsidR="0078694F" w:rsidRPr="00954547">
        <w:rPr>
          <w:rFonts w:ascii="Verdana" w:hAnsi="Verdana"/>
          <w:sz w:val="16"/>
          <w:szCs w:val="16"/>
        </w:rPr>
        <w:t xml:space="preserve"> and </w:t>
      </w:r>
      <w:r w:rsidRPr="00954547">
        <w:rPr>
          <w:rFonts w:ascii="Verdana" w:hAnsi="Verdana"/>
          <w:sz w:val="16"/>
          <w:szCs w:val="16"/>
        </w:rPr>
        <w:t xml:space="preserve">Paula Sánchez Mejorada.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560D89" w:rsidRPr="00954547">
        <w:rPr>
          <w:rFonts w:ascii="Verdana" w:hAnsi="Verdana"/>
          <w:sz w:val="16"/>
          <w:szCs w:val="16"/>
        </w:rPr>
        <w:t xml:space="preserve"> the role of gender stereotyping </w:t>
      </w:r>
      <w:r w:rsidR="00C17510" w:rsidRPr="00954547">
        <w:rPr>
          <w:rFonts w:ascii="Verdana" w:hAnsi="Verdana"/>
          <w:sz w:val="16"/>
          <w:szCs w:val="16"/>
        </w:rPr>
        <w:t>in the</w:t>
      </w:r>
      <w:r w:rsidR="00560D89" w:rsidRPr="00954547">
        <w:rPr>
          <w:rFonts w:ascii="Verdana" w:hAnsi="Verdana"/>
          <w:sz w:val="16"/>
          <w:szCs w:val="16"/>
        </w:rPr>
        <w:t xml:space="preserve"> discrimination </w:t>
      </w:r>
      <w:r w:rsidR="00FC72C0" w:rsidRPr="00954547">
        <w:rPr>
          <w:rFonts w:ascii="Verdana" w:hAnsi="Verdana"/>
          <w:sz w:val="16"/>
          <w:szCs w:val="16"/>
        </w:rPr>
        <w:t>in this case</w:t>
      </w:r>
      <w:r w:rsidRPr="00954547">
        <w:rPr>
          <w:rFonts w:ascii="Verdana" w:hAnsi="Verdana"/>
          <w:sz w:val="16"/>
          <w:szCs w:val="16"/>
        </w:rPr>
        <w:t>.</w:t>
      </w:r>
    </w:p>
  </w:footnote>
  <w:footnote w:id="60">
    <w:p w14:paraId="68B54B27" w14:textId="671D345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Federico Ariel Vaschetto</w:t>
      </w:r>
      <w:r w:rsidR="0078694F" w:rsidRPr="00954547">
        <w:rPr>
          <w:rFonts w:ascii="Verdana" w:hAnsi="Verdana"/>
          <w:sz w:val="16"/>
          <w:szCs w:val="16"/>
        </w:rPr>
        <w:t xml:space="preserve"> and </w:t>
      </w:r>
      <w:r w:rsidRPr="00954547">
        <w:rPr>
          <w:rFonts w:ascii="Verdana" w:hAnsi="Verdana"/>
          <w:sz w:val="16"/>
          <w:szCs w:val="16"/>
        </w:rPr>
        <w:t xml:space="preserve">Gabriela Oporto Patroni.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C17510" w:rsidRPr="00954547">
        <w:rPr>
          <w:rFonts w:ascii="Verdana" w:hAnsi="Verdana"/>
          <w:sz w:val="16"/>
          <w:szCs w:val="16"/>
        </w:rPr>
        <w:t xml:space="preserve">sexual and reproductive rights, the inviolability of </w:t>
      </w:r>
      <w:r w:rsidR="00674DA3" w:rsidRPr="00954547">
        <w:rPr>
          <w:rFonts w:ascii="Verdana" w:hAnsi="Verdana"/>
          <w:sz w:val="16"/>
          <w:szCs w:val="16"/>
        </w:rPr>
        <w:t>professional confidentiality</w:t>
      </w:r>
      <w:r w:rsidR="00C17510" w:rsidRPr="00954547">
        <w:rPr>
          <w:rFonts w:ascii="Verdana" w:hAnsi="Verdana"/>
          <w:sz w:val="16"/>
          <w:szCs w:val="16"/>
        </w:rPr>
        <w:t>, the negative effects of the existence of gender stereotypes, and the quality of health care services in obstetric emergencies</w:t>
      </w:r>
      <w:r w:rsidRPr="00954547">
        <w:rPr>
          <w:rFonts w:ascii="Verdana" w:hAnsi="Verdana"/>
          <w:sz w:val="16"/>
          <w:szCs w:val="16"/>
        </w:rPr>
        <w:t>.</w:t>
      </w:r>
    </w:p>
  </w:footnote>
  <w:footnote w:id="61">
    <w:p w14:paraId="0E1107B7" w14:textId="3040CEF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Natalia Gherardi.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C17510" w:rsidRPr="00954547">
        <w:rPr>
          <w:rFonts w:ascii="Verdana" w:hAnsi="Verdana"/>
          <w:sz w:val="16"/>
          <w:szCs w:val="16"/>
        </w:rPr>
        <w:t xml:space="preserve"> the importance of a gender perspective in trials and the eradication of gender stereotypes.</w:t>
      </w:r>
    </w:p>
  </w:footnote>
  <w:footnote w:id="62">
    <w:p w14:paraId="3E61A437" w14:textId="748F54E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Mónica Bayá Camargo, Tania Nava Burgo, Jhonny López Gallardo, Mónica Novillo, Patricia Brañez, Teresa Alarcón, Lupe Pérez,</w:t>
      </w:r>
      <w:r w:rsidR="0078694F" w:rsidRPr="00954547">
        <w:rPr>
          <w:rFonts w:ascii="Verdana" w:hAnsi="Verdana"/>
          <w:sz w:val="16"/>
          <w:szCs w:val="16"/>
        </w:rPr>
        <w:t xml:space="preserve"> and </w:t>
      </w:r>
      <w:r w:rsidRPr="00954547">
        <w:rPr>
          <w:rFonts w:ascii="Verdana" w:hAnsi="Verdana"/>
          <w:sz w:val="16"/>
          <w:szCs w:val="16"/>
        </w:rPr>
        <w:t xml:space="preserve">Rossy Michael Yucra Crespo.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C17510" w:rsidRPr="00954547">
        <w:rPr>
          <w:rFonts w:ascii="Verdana" w:hAnsi="Verdana"/>
          <w:sz w:val="16"/>
          <w:szCs w:val="16"/>
        </w:rPr>
        <w:t xml:space="preserve"> the rights of women to a decent life, integrity and health, sexual and reproductive rights, </w:t>
      </w:r>
      <w:r w:rsidR="0078694F" w:rsidRPr="00954547">
        <w:rPr>
          <w:rFonts w:ascii="Verdana" w:hAnsi="Verdana"/>
          <w:sz w:val="16"/>
          <w:szCs w:val="16"/>
        </w:rPr>
        <w:t>judicial guarantees</w:t>
      </w:r>
      <w:r w:rsidRPr="00954547">
        <w:rPr>
          <w:rFonts w:ascii="Verdana" w:hAnsi="Verdana"/>
          <w:sz w:val="16"/>
          <w:szCs w:val="16"/>
        </w:rPr>
        <w:t>, judicial</w:t>
      </w:r>
      <w:r w:rsidR="0078694F" w:rsidRPr="00954547">
        <w:rPr>
          <w:rFonts w:ascii="Verdana" w:hAnsi="Verdana"/>
          <w:sz w:val="16"/>
          <w:szCs w:val="16"/>
        </w:rPr>
        <w:t xml:space="preserve"> </w:t>
      </w:r>
      <w:r w:rsidR="00C17510" w:rsidRPr="00954547">
        <w:rPr>
          <w:rFonts w:ascii="Verdana" w:hAnsi="Verdana"/>
          <w:sz w:val="16"/>
          <w:szCs w:val="16"/>
        </w:rPr>
        <w:t xml:space="preserve">protection </w:t>
      </w:r>
      <w:r w:rsidR="0078694F" w:rsidRPr="00954547">
        <w:rPr>
          <w:rFonts w:ascii="Verdana" w:hAnsi="Verdana"/>
          <w:sz w:val="16"/>
          <w:szCs w:val="16"/>
        </w:rPr>
        <w:t xml:space="preserve">and </w:t>
      </w:r>
      <w:r w:rsidRPr="00954547">
        <w:rPr>
          <w:rFonts w:ascii="Verdana" w:hAnsi="Verdana"/>
          <w:sz w:val="16"/>
          <w:szCs w:val="16"/>
        </w:rPr>
        <w:t xml:space="preserve">personal </w:t>
      </w:r>
      <w:r w:rsidR="00C17510" w:rsidRPr="00954547">
        <w:rPr>
          <w:rFonts w:ascii="Verdana" w:hAnsi="Verdana"/>
          <w:sz w:val="16"/>
          <w:szCs w:val="16"/>
        </w:rPr>
        <w:t>liberty.</w:t>
      </w:r>
    </w:p>
  </w:footnote>
  <w:footnote w:id="63">
    <w:p w14:paraId="42E59651" w14:textId="6E64415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Carlos Fuchtner.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00C17510" w:rsidRPr="00954547">
        <w:rPr>
          <w:rFonts w:ascii="Verdana" w:hAnsi="Verdana"/>
          <w:sz w:val="16"/>
          <w:szCs w:val="16"/>
        </w:rPr>
        <w:t xml:space="preserve"> medical care in cases of abortion.</w:t>
      </w:r>
    </w:p>
  </w:footnote>
  <w:footnote w:id="64">
    <w:p w14:paraId="7CC46E13" w14:textId="63A7D5D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Shirley Díaz Mejías.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EB660B" w:rsidRPr="00954547">
        <w:rPr>
          <w:rFonts w:ascii="Verdana" w:hAnsi="Verdana"/>
          <w:sz w:val="16"/>
          <w:szCs w:val="16"/>
        </w:rPr>
        <w:t>the theory behind the case</w:t>
      </w:r>
      <w:r w:rsidR="00AB50CE" w:rsidRPr="00954547">
        <w:rPr>
          <w:rFonts w:ascii="Verdana" w:hAnsi="Verdana"/>
          <w:sz w:val="16"/>
          <w:szCs w:val="16"/>
        </w:rPr>
        <w:t xml:space="preserve"> presented</w:t>
      </w:r>
      <w:r w:rsidR="00EB660B" w:rsidRPr="00954547">
        <w:rPr>
          <w:rFonts w:ascii="Verdana" w:hAnsi="Verdana"/>
          <w:sz w:val="16"/>
          <w:szCs w:val="16"/>
        </w:rPr>
        <w:t xml:space="preserve"> by</w:t>
      </w:r>
      <w:r w:rsidRPr="00954547">
        <w:rPr>
          <w:rFonts w:ascii="Verdana" w:hAnsi="Verdana"/>
          <w:sz w:val="16"/>
          <w:szCs w:val="16"/>
        </w:rPr>
        <w:t xml:space="preserve"> El Salvador, </w:t>
      </w:r>
      <w:r w:rsidR="00EB660B" w:rsidRPr="00954547">
        <w:rPr>
          <w:rFonts w:ascii="Verdana" w:hAnsi="Verdana"/>
          <w:sz w:val="16"/>
          <w:szCs w:val="16"/>
        </w:rPr>
        <w:t>emphasizing its position o</w:t>
      </w:r>
      <w:r w:rsidR="00AB50CE" w:rsidRPr="00954547">
        <w:rPr>
          <w:rFonts w:ascii="Verdana" w:hAnsi="Verdana"/>
          <w:sz w:val="16"/>
          <w:szCs w:val="16"/>
        </w:rPr>
        <w:t>n</w:t>
      </w:r>
      <w:r w:rsidR="00EB660B" w:rsidRPr="00954547">
        <w:rPr>
          <w:rFonts w:ascii="Verdana" w:hAnsi="Verdana"/>
          <w:sz w:val="16"/>
          <w:szCs w:val="16"/>
        </w:rPr>
        <w:t xml:space="preserve"> the rights and protection of the unborn child.</w:t>
      </w:r>
      <w:r w:rsidRPr="00954547">
        <w:rPr>
          <w:rFonts w:ascii="Verdana" w:hAnsi="Verdana"/>
          <w:sz w:val="16"/>
          <w:szCs w:val="16"/>
        </w:rPr>
        <w:t>”</w:t>
      </w:r>
    </w:p>
  </w:footnote>
  <w:footnote w:id="65">
    <w:p w14:paraId="16BFC824" w14:textId="368B7C0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90D62" w:rsidRPr="00954547">
        <w:rPr>
          <w:rFonts w:ascii="Verdana" w:hAnsi="Verdana"/>
          <w:sz w:val="16"/>
          <w:szCs w:val="16"/>
        </w:rPr>
        <w:t>The brief was signed by</w:t>
      </w:r>
      <w:r w:rsidRPr="00954547">
        <w:rPr>
          <w:rFonts w:ascii="Verdana" w:hAnsi="Verdana"/>
          <w:sz w:val="16"/>
          <w:szCs w:val="16"/>
        </w:rPr>
        <w:t xml:space="preserve"> Valentina Ortiz Aguirre, Alejandro Gómez Restrepo, Mónica López Cárdenas, Doris Astrid Portilla, Lisseth Juliana Betancur Vásquez, Lizbeth Grisales Castro, Juan Pablo León Osorio, Andrea Camila Solarte, Alejandra Zapata López, Jorge Andrés Pinzón Cabezas, Manuel Darío Cardona Quiceno, Mariajosé Mejía García, Sara Arango Restrepo, Adrián Zarate Condori, Nathalia Rodríguez Cabrera,</w:t>
      </w:r>
      <w:r w:rsidR="0078694F" w:rsidRPr="00954547">
        <w:rPr>
          <w:rFonts w:ascii="Verdana" w:hAnsi="Verdana"/>
          <w:sz w:val="16"/>
          <w:szCs w:val="16"/>
        </w:rPr>
        <w:t xml:space="preserve"> and </w:t>
      </w:r>
      <w:r w:rsidRPr="00954547">
        <w:rPr>
          <w:rFonts w:ascii="Verdana" w:hAnsi="Verdana"/>
          <w:sz w:val="16"/>
          <w:szCs w:val="16"/>
        </w:rPr>
        <w:t xml:space="preserve">Sara Méndez Niebles. </w:t>
      </w:r>
      <w:r w:rsidR="00E33E50" w:rsidRPr="00954547">
        <w:rPr>
          <w:rFonts w:ascii="Verdana" w:hAnsi="Verdana"/>
          <w:sz w:val="16"/>
          <w:szCs w:val="16"/>
        </w:rPr>
        <w:t>It contained</w:t>
      </w:r>
      <w:r w:rsidR="00C90D62" w:rsidRPr="00954547">
        <w:rPr>
          <w:rFonts w:ascii="Verdana" w:hAnsi="Verdana"/>
          <w:sz w:val="16"/>
          <w:szCs w:val="16"/>
        </w:rPr>
        <w:t xml:space="preserve"> considerations on</w:t>
      </w:r>
      <w:r w:rsidRPr="00954547">
        <w:rPr>
          <w:rFonts w:ascii="Verdana" w:hAnsi="Verdana"/>
          <w:sz w:val="16"/>
          <w:szCs w:val="16"/>
        </w:rPr>
        <w:t xml:space="preserve"> </w:t>
      </w:r>
      <w:r w:rsidR="00EB660B" w:rsidRPr="00954547">
        <w:rPr>
          <w:rFonts w:ascii="Verdana" w:hAnsi="Verdana"/>
          <w:sz w:val="16"/>
          <w:szCs w:val="16"/>
        </w:rPr>
        <w:t>the need to examine the case from the perspective of structural and intersectional discrimination and from an eminently feminist point of view</w:t>
      </w:r>
      <w:r w:rsidR="00C951CD" w:rsidRPr="00954547">
        <w:rPr>
          <w:rFonts w:ascii="Verdana" w:hAnsi="Verdana"/>
          <w:sz w:val="16"/>
          <w:szCs w:val="16"/>
        </w:rPr>
        <w:t xml:space="preserve"> noting</w:t>
      </w:r>
      <w:r w:rsidR="00EB660B" w:rsidRPr="00954547">
        <w:rPr>
          <w:rFonts w:ascii="Verdana" w:hAnsi="Verdana"/>
          <w:sz w:val="16"/>
          <w:szCs w:val="16"/>
        </w:rPr>
        <w:t xml:space="preserve"> the limited sexual and reproductive rights </w:t>
      </w:r>
      <w:r w:rsidR="00C951CD" w:rsidRPr="00954547">
        <w:rPr>
          <w:rFonts w:ascii="Verdana" w:hAnsi="Verdana"/>
          <w:sz w:val="16"/>
          <w:szCs w:val="16"/>
        </w:rPr>
        <w:t xml:space="preserve">that were </w:t>
      </w:r>
      <w:r w:rsidR="00EB660B" w:rsidRPr="00954547">
        <w:rPr>
          <w:rFonts w:ascii="Verdana" w:hAnsi="Verdana"/>
          <w:sz w:val="16"/>
          <w:szCs w:val="16"/>
        </w:rPr>
        <w:t xml:space="preserve">violated in the case and </w:t>
      </w:r>
      <w:r w:rsidR="00C951CD" w:rsidRPr="00954547">
        <w:rPr>
          <w:rFonts w:ascii="Verdana" w:hAnsi="Verdana"/>
          <w:sz w:val="16"/>
          <w:szCs w:val="16"/>
        </w:rPr>
        <w:t>makin</w:t>
      </w:r>
      <w:r w:rsidR="00EB660B" w:rsidRPr="00954547">
        <w:rPr>
          <w:rFonts w:ascii="Verdana" w:hAnsi="Verdana"/>
          <w:sz w:val="16"/>
          <w:szCs w:val="16"/>
        </w:rPr>
        <w:t>g</w:t>
      </w:r>
      <w:r w:rsidR="00C951CD" w:rsidRPr="00954547">
        <w:rPr>
          <w:rFonts w:ascii="Verdana" w:hAnsi="Verdana"/>
          <w:sz w:val="16"/>
          <w:szCs w:val="16"/>
        </w:rPr>
        <w:t xml:space="preserve"> progress</w:t>
      </w:r>
      <w:r w:rsidR="00EB660B" w:rsidRPr="00954547">
        <w:rPr>
          <w:rFonts w:ascii="Verdana" w:hAnsi="Verdana"/>
          <w:sz w:val="16"/>
          <w:szCs w:val="16"/>
        </w:rPr>
        <w:t xml:space="preserve"> towards the emancipation of women </w:t>
      </w:r>
      <w:r w:rsidR="001464F7" w:rsidRPr="00954547">
        <w:rPr>
          <w:rFonts w:ascii="Verdana" w:hAnsi="Verdana"/>
          <w:sz w:val="16"/>
          <w:szCs w:val="16"/>
        </w:rPr>
        <w:t>with control of their bodies and their fertility.</w:t>
      </w:r>
    </w:p>
  </w:footnote>
  <w:footnote w:id="66">
    <w:p w14:paraId="2681CC99" w14:textId="13B578F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Pr="00954547">
        <w:rPr>
          <w:rFonts w:ascii="Verdana" w:hAnsi="Verdana"/>
          <w:sz w:val="16"/>
          <w:szCs w:val="16"/>
          <w:vertAlign w:val="superscript"/>
        </w:rPr>
        <w:tab/>
      </w:r>
      <w:r w:rsidR="001464F7" w:rsidRPr="00954547">
        <w:rPr>
          <w:rFonts w:ascii="Verdana" w:hAnsi="Verdana"/>
          <w:sz w:val="16"/>
          <w:szCs w:val="16"/>
        </w:rPr>
        <w:t>On April 8,</w:t>
      </w:r>
      <w:r w:rsidRPr="00954547">
        <w:rPr>
          <w:rFonts w:ascii="Verdana" w:hAnsi="Verdana"/>
          <w:sz w:val="16"/>
          <w:szCs w:val="16"/>
        </w:rPr>
        <w:t xml:space="preserve"> 2020, </w:t>
      </w:r>
      <w:r w:rsidR="00B8393C" w:rsidRPr="00954547">
        <w:rPr>
          <w:rFonts w:ascii="Verdana" w:hAnsi="Verdana"/>
          <w:sz w:val="16"/>
          <w:szCs w:val="16"/>
        </w:rPr>
        <w:t xml:space="preserve">the </w:t>
      </w:r>
      <w:r w:rsidR="00B6299C" w:rsidRPr="00954547">
        <w:rPr>
          <w:rFonts w:ascii="Verdana" w:hAnsi="Verdana"/>
          <w:sz w:val="16"/>
          <w:szCs w:val="16"/>
        </w:rPr>
        <w:t>representatives</w:t>
      </w:r>
      <w:r w:rsidRPr="00954547">
        <w:rPr>
          <w:rFonts w:ascii="Verdana" w:hAnsi="Verdana"/>
          <w:sz w:val="16"/>
          <w:szCs w:val="16"/>
        </w:rPr>
        <w:t xml:space="preserve"> </w:t>
      </w:r>
      <w:r w:rsidR="001464F7" w:rsidRPr="00954547">
        <w:rPr>
          <w:rFonts w:ascii="Verdana" w:hAnsi="Verdana"/>
          <w:sz w:val="16"/>
          <w:szCs w:val="16"/>
        </w:rPr>
        <w:t>forwarded</w:t>
      </w:r>
      <w:r w:rsidRPr="00954547">
        <w:rPr>
          <w:rFonts w:ascii="Verdana" w:hAnsi="Verdana"/>
          <w:sz w:val="16"/>
          <w:szCs w:val="16"/>
        </w:rPr>
        <w:t xml:space="preserve"> “</w:t>
      </w:r>
      <w:r w:rsidR="001464F7" w:rsidRPr="00954547">
        <w:rPr>
          <w:rFonts w:ascii="Verdana" w:hAnsi="Verdana"/>
          <w:sz w:val="16"/>
          <w:szCs w:val="16"/>
        </w:rPr>
        <w:t>a decision of the United Nations Working Group on Arbitrary Detention.</w:t>
      </w:r>
      <w:r w:rsidRPr="00954547">
        <w:rPr>
          <w:rFonts w:ascii="Verdana" w:hAnsi="Verdana"/>
          <w:sz w:val="16"/>
          <w:szCs w:val="16"/>
        </w:rPr>
        <w:t xml:space="preserve">” </w:t>
      </w:r>
      <w:r w:rsidR="001464F7" w:rsidRPr="00954547">
        <w:rPr>
          <w:rFonts w:ascii="Verdana" w:hAnsi="Verdana"/>
          <w:sz w:val="16"/>
          <w:szCs w:val="16"/>
        </w:rPr>
        <w:t>On May 13,</w:t>
      </w:r>
      <w:r w:rsidRPr="00954547">
        <w:rPr>
          <w:rFonts w:ascii="Verdana" w:hAnsi="Verdana"/>
          <w:sz w:val="16"/>
          <w:szCs w:val="16"/>
        </w:rPr>
        <w:t xml:space="preserve"> 2020</w:t>
      </w:r>
      <w:r w:rsidR="001464F7" w:rsidRPr="00954547">
        <w:rPr>
          <w:rFonts w:ascii="Verdana" w:hAnsi="Verdana"/>
          <w:sz w:val="16"/>
          <w:szCs w:val="16"/>
        </w:rPr>
        <w:t>,</w:t>
      </w:r>
      <w:r w:rsidRPr="00954547">
        <w:rPr>
          <w:rFonts w:ascii="Verdana" w:hAnsi="Verdana"/>
          <w:sz w:val="16"/>
          <w:szCs w:val="16"/>
        </w:rPr>
        <w:t xml:space="preserve"> </w:t>
      </w:r>
      <w:r w:rsidR="00B8393C" w:rsidRPr="00954547">
        <w:rPr>
          <w:rFonts w:ascii="Verdana" w:hAnsi="Verdana"/>
          <w:sz w:val="16"/>
          <w:szCs w:val="16"/>
        </w:rPr>
        <w:t xml:space="preserve">the </w:t>
      </w:r>
      <w:r w:rsidR="00B6299C" w:rsidRPr="00954547">
        <w:rPr>
          <w:rFonts w:ascii="Verdana" w:hAnsi="Verdana"/>
          <w:sz w:val="16"/>
          <w:szCs w:val="16"/>
        </w:rPr>
        <w:t>representatives</w:t>
      </w:r>
      <w:r w:rsidRPr="00954547">
        <w:rPr>
          <w:rFonts w:ascii="Verdana" w:hAnsi="Verdana"/>
          <w:sz w:val="16"/>
          <w:szCs w:val="16"/>
        </w:rPr>
        <w:t xml:space="preserve"> </w:t>
      </w:r>
      <w:r w:rsidR="001464F7" w:rsidRPr="00954547">
        <w:rPr>
          <w:rFonts w:ascii="Verdana" w:hAnsi="Verdana"/>
          <w:sz w:val="16"/>
          <w:szCs w:val="16"/>
        </w:rPr>
        <w:t>reported</w:t>
      </w:r>
      <w:r w:rsidRPr="00954547">
        <w:rPr>
          <w:rFonts w:ascii="Verdana" w:hAnsi="Verdana"/>
          <w:sz w:val="16"/>
          <w:szCs w:val="16"/>
        </w:rPr>
        <w:t xml:space="preserve"> “acts</w:t>
      </w:r>
      <w:r w:rsidR="001464F7" w:rsidRPr="00954547">
        <w:rPr>
          <w:rFonts w:ascii="Verdana" w:hAnsi="Verdana"/>
          <w:sz w:val="16"/>
          <w:szCs w:val="16"/>
        </w:rPr>
        <w:t xml:space="preserve"> of vilification, stigmatization and the di</w:t>
      </w:r>
      <w:r w:rsidR="008E430B" w:rsidRPr="00954547">
        <w:rPr>
          <w:rFonts w:ascii="Verdana" w:hAnsi="Verdana"/>
          <w:sz w:val="16"/>
          <w:szCs w:val="16"/>
        </w:rPr>
        <w:t xml:space="preserve">sclosure </w:t>
      </w:r>
      <w:r w:rsidR="001464F7" w:rsidRPr="00954547">
        <w:rPr>
          <w:rFonts w:ascii="Verdana" w:hAnsi="Verdana"/>
          <w:sz w:val="16"/>
          <w:szCs w:val="16"/>
        </w:rPr>
        <w:t>of the identity of some of the victims in this case, as well as medical information contained in</w:t>
      </w:r>
      <w:r w:rsidRPr="00954547">
        <w:rPr>
          <w:rFonts w:ascii="Verdana" w:hAnsi="Verdana"/>
          <w:sz w:val="16"/>
          <w:szCs w:val="16"/>
        </w:rPr>
        <w:t xml:space="preserve"> </w:t>
      </w:r>
      <w:r w:rsidR="001464F7" w:rsidRPr="00954547">
        <w:rPr>
          <w:rFonts w:ascii="Verdana" w:hAnsi="Verdana"/>
          <w:sz w:val="16"/>
          <w:szCs w:val="16"/>
        </w:rPr>
        <w:t xml:space="preserve">Manuela’s medical records.” On December 23, </w:t>
      </w:r>
      <w:r w:rsidRPr="00954547">
        <w:rPr>
          <w:rFonts w:ascii="Verdana" w:hAnsi="Verdana"/>
          <w:sz w:val="16"/>
          <w:szCs w:val="16"/>
        </w:rPr>
        <w:t>2020</w:t>
      </w:r>
      <w:r w:rsidR="001464F7" w:rsidRPr="00954547">
        <w:rPr>
          <w:rFonts w:ascii="Verdana" w:hAnsi="Verdana"/>
          <w:sz w:val="16"/>
          <w:szCs w:val="16"/>
        </w:rPr>
        <w:t>,</w:t>
      </w:r>
      <w:r w:rsidRPr="00954547">
        <w:rPr>
          <w:rFonts w:ascii="Verdana" w:hAnsi="Verdana"/>
          <w:sz w:val="16"/>
          <w:szCs w:val="16"/>
        </w:rPr>
        <w:t xml:space="preserve"> </w:t>
      </w:r>
      <w:r w:rsidR="00B8393C" w:rsidRPr="00954547">
        <w:rPr>
          <w:rFonts w:ascii="Verdana" w:hAnsi="Verdana"/>
          <w:sz w:val="16"/>
          <w:szCs w:val="16"/>
        </w:rPr>
        <w:t xml:space="preserve">the </w:t>
      </w:r>
      <w:r w:rsidR="00B6299C" w:rsidRPr="00954547">
        <w:rPr>
          <w:rFonts w:ascii="Verdana" w:hAnsi="Verdana"/>
          <w:sz w:val="16"/>
          <w:szCs w:val="16"/>
        </w:rPr>
        <w:t>representatives</w:t>
      </w:r>
      <w:r w:rsidRPr="00954547">
        <w:rPr>
          <w:rFonts w:ascii="Verdana" w:hAnsi="Verdana"/>
          <w:sz w:val="16"/>
          <w:szCs w:val="16"/>
        </w:rPr>
        <w:t xml:space="preserve"> </w:t>
      </w:r>
      <w:r w:rsidR="001464F7" w:rsidRPr="00954547">
        <w:rPr>
          <w:rFonts w:ascii="Verdana" w:hAnsi="Verdana"/>
          <w:sz w:val="16"/>
          <w:szCs w:val="16"/>
        </w:rPr>
        <w:t>provided additional evidence related to the context of the case.</w:t>
      </w:r>
    </w:p>
  </w:footnote>
  <w:footnote w:id="67">
    <w:p w14:paraId="7561B181" w14:textId="3A91E3F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9C16A1" w:rsidRPr="00954547">
        <w:rPr>
          <w:rFonts w:ascii="Verdana" w:hAnsi="Verdana"/>
          <w:sz w:val="16"/>
          <w:szCs w:val="16"/>
        </w:rPr>
        <w:t>Owing to the exceptional circumstances resulting from the Covid-19 pandemic, this judgment was deliberated on and adopted during the Court’s 145th regular session, which was held virtually using technological means in accordance with the Court’s Rules of Procedure.</w:t>
      </w:r>
    </w:p>
  </w:footnote>
  <w:footnote w:id="68">
    <w:p w14:paraId="2F8EE7AD" w14:textId="6D79350D" w:rsidR="005F001B" w:rsidRPr="00954547" w:rsidRDefault="005F001B" w:rsidP="007619E6">
      <w:pPr>
        <w:pStyle w:val="FootnoteText"/>
        <w:tabs>
          <w:tab w:val="left" w:pos="567"/>
        </w:tabs>
        <w:spacing w:after="120"/>
        <w:jc w:val="both"/>
        <w:rPr>
          <w:rFonts w:ascii="Verdana" w:hAnsi="Verdana"/>
          <w:b/>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E76B1A" w:rsidRPr="00954547">
        <w:rPr>
          <w:rFonts w:ascii="Verdana" w:hAnsi="Verdana"/>
          <w:sz w:val="16"/>
          <w:szCs w:val="16"/>
        </w:rPr>
        <w:t>The Court</w:t>
      </w:r>
      <w:r w:rsidRPr="00954547">
        <w:rPr>
          <w:rFonts w:ascii="Verdana" w:hAnsi="Verdana"/>
          <w:sz w:val="16"/>
          <w:szCs w:val="16"/>
        </w:rPr>
        <w:t xml:space="preserve"> </w:t>
      </w:r>
      <w:r w:rsidR="009C16A1" w:rsidRPr="00954547">
        <w:rPr>
          <w:rFonts w:ascii="Verdana" w:hAnsi="Verdana"/>
          <w:sz w:val="16"/>
          <w:szCs w:val="16"/>
        </w:rPr>
        <w:t>notes that, in its final written arguments, the State alleged the application of the fourth instance formula. However, that allegation was time-barred</w:t>
      </w:r>
      <w:r w:rsidRPr="00954547">
        <w:rPr>
          <w:rFonts w:ascii="Verdana" w:hAnsi="Verdana"/>
          <w:sz w:val="16"/>
          <w:szCs w:val="16"/>
        </w:rPr>
        <w:t xml:space="preserve">.  </w:t>
      </w:r>
    </w:p>
  </w:footnote>
  <w:footnote w:id="69">
    <w:p w14:paraId="4E310446" w14:textId="6CB36AF0"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9C16A1" w:rsidRPr="00954547">
        <w:rPr>
          <w:rFonts w:ascii="Verdana" w:hAnsi="Verdana"/>
          <w:i/>
          <w:sz w:val="16"/>
          <w:szCs w:val="16"/>
        </w:rPr>
        <w:t>of the Indigenous Communities of the Lhaka Honhat (Our Land) Association</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Argentina.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9C16A1" w:rsidRPr="00954547">
        <w:rPr>
          <w:rFonts w:ascii="Verdana" w:hAnsi="Verdana"/>
          <w:sz w:val="16"/>
          <w:szCs w:val="16"/>
        </w:rPr>
        <w:t>February 6,</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 xml:space="preserve">C No. 400, </w:t>
      </w:r>
      <w:r w:rsidR="00B10E5A" w:rsidRPr="00954547">
        <w:rPr>
          <w:rFonts w:ascii="Verdana" w:hAnsi="Verdana"/>
          <w:sz w:val="16"/>
          <w:szCs w:val="16"/>
        </w:rPr>
        <w:t>para.</w:t>
      </w:r>
      <w:r w:rsidRPr="00954547">
        <w:rPr>
          <w:rFonts w:ascii="Verdana" w:hAnsi="Verdana"/>
          <w:sz w:val="16"/>
          <w:szCs w:val="16"/>
        </w:rPr>
        <w:t xml:space="preserve"> 19.</w:t>
      </w:r>
    </w:p>
  </w:footnote>
  <w:footnote w:id="70">
    <w:p w14:paraId="13B62BA6" w14:textId="2C431F79" w:rsidR="005F001B" w:rsidRPr="00954547" w:rsidRDefault="005F001B" w:rsidP="007619E6">
      <w:pPr>
        <w:tabs>
          <w:tab w:val="left" w:pos="567"/>
          <w:tab w:val="left" w:pos="720"/>
        </w:tabs>
        <w:spacing w:after="120"/>
        <w:ind w:right="6"/>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Grande </w:t>
      </w:r>
      <w:r w:rsidR="009C16A1" w:rsidRPr="00954547">
        <w:rPr>
          <w:rFonts w:ascii="Verdana" w:hAnsi="Verdana"/>
          <w:i/>
          <w:sz w:val="16"/>
          <w:szCs w:val="16"/>
        </w:rPr>
        <w:t>v.</w:t>
      </w:r>
      <w:r w:rsidRPr="00954547">
        <w:rPr>
          <w:rFonts w:ascii="Verdana" w:hAnsi="Verdana"/>
          <w:i/>
          <w:sz w:val="16"/>
          <w:szCs w:val="16"/>
        </w:rPr>
        <w:t xml:space="preserve"> Argentina. </w:t>
      </w:r>
      <w:r w:rsidR="00A70DC4" w:rsidRPr="00954547">
        <w:rPr>
          <w:rFonts w:ascii="Verdana" w:hAnsi="Verdana"/>
          <w:i/>
          <w:sz w:val="16"/>
          <w:szCs w:val="16"/>
        </w:rPr>
        <w:t>Preliminary objections</w:t>
      </w:r>
      <w:r w:rsidR="0078694F" w:rsidRPr="00954547">
        <w:rPr>
          <w:rFonts w:ascii="Verdana" w:hAnsi="Verdana"/>
          <w:i/>
          <w:sz w:val="16"/>
          <w:szCs w:val="16"/>
        </w:rPr>
        <w:t xml:space="preserve"> and </w:t>
      </w:r>
      <w:r w:rsidR="00475351" w:rsidRPr="00954547">
        <w:rPr>
          <w:rFonts w:ascii="Verdana" w:hAnsi="Verdana"/>
          <w:i/>
          <w:sz w:val="16"/>
          <w:szCs w:val="16"/>
        </w:rPr>
        <w:t>merits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75351" w:rsidRPr="00954547">
        <w:rPr>
          <w:rFonts w:ascii="Verdana" w:hAnsi="Verdana"/>
          <w:sz w:val="16"/>
          <w:szCs w:val="16"/>
        </w:rPr>
        <w:t>August 31,</w:t>
      </w:r>
      <w:r w:rsidRPr="00954547">
        <w:rPr>
          <w:rFonts w:ascii="Verdana" w:hAnsi="Verdana"/>
          <w:sz w:val="16"/>
          <w:szCs w:val="16"/>
        </w:rPr>
        <w:t xml:space="preserve"> 2011. </w:t>
      </w:r>
      <w:r w:rsidR="00B8393C" w:rsidRPr="00954547">
        <w:rPr>
          <w:rFonts w:ascii="Verdana" w:hAnsi="Verdana"/>
          <w:sz w:val="16"/>
          <w:szCs w:val="16"/>
        </w:rPr>
        <w:t xml:space="preserve">Series </w:t>
      </w:r>
      <w:r w:rsidRPr="00954547">
        <w:rPr>
          <w:rFonts w:ascii="Verdana" w:hAnsi="Verdana"/>
          <w:sz w:val="16"/>
          <w:szCs w:val="16"/>
        </w:rPr>
        <w:t xml:space="preserve">C No. 231, </w:t>
      </w:r>
      <w:r w:rsidR="00B10E5A" w:rsidRPr="00954547">
        <w:rPr>
          <w:rFonts w:ascii="Verdana" w:hAnsi="Verdana"/>
          <w:sz w:val="16"/>
          <w:szCs w:val="16"/>
        </w:rPr>
        <w:t>para.</w:t>
      </w:r>
      <w:r w:rsidRPr="00954547">
        <w:rPr>
          <w:rFonts w:ascii="Verdana" w:hAnsi="Verdana"/>
          <w:sz w:val="16"/>
          <w:szCs w:val="16"/>
        </w:rPr>
        <w:t xml:space="preserve"> 56,</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Amrhein </w:t>
      </w:r>
      <w:r w:rsidR="00B8393C" w:rsidRPr="00954547">
        <w:rPr>
          <w:rFonts w:ascii="Verdana" w:hAnsi="Verdana"/>
          <w:i/>
          <w:sz w:val="16"/>
          <w:szCs w:val="16"/>
        </w:rPr>
        <w:t>et al. v.</w:t>
      </w:r>
      <w:r w:rsidRPr="00954547">
        <w:rPr>
          <w:rFonts w:ascii="Verdana" w:hAnsi="Verdana"/>
          <w:i/>
          <w:sz w:val="16"/>
          <w:szCs w:val="16"/>
        </w:rPr>
        <w:t xml:space="preserve"> Costa Rica.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5A6BC0" w:rsidRPr="00954547">
        <w:rPr>
          <w:rFonts w:ascii="Verdana" w:hAnsi="Verdana"/>
          <w:sz w:val="16"/>
          <w:szCs w:val="16"/>
        </w:rPr>
        <w:t>April 25,</w:t>
      </w:r>
      <w:r w:rsidRPr="00954547">
        <w:rPr>
          <w:rFonts w:ascii="Verdana" w:hAnsi="Verdana"/>
          <w:sz w:val="16"/>
          <w:szCs w:val="16"/>
        </w:rPr>
        <w:t xml:space="preserve"> 2018. </w:t>
      </w:r>
      <w:r w:rsidR="00B8393C" w:rsidRPr="00954547">
        <w:rPr>
          <w:rFonts w:ascii="Verdana" w:hAnsi="Verdana"/>
          <w:sz w:val="16"/>
          <w:szCs w:val="16"/>
        </w:rPr>
        <w:t xml:space="preserve">Series </w:t>
      </w:r>
      <w:r w:rsidRPr="00954547">
        <w:rPr>
          <w:rFonts w:ascii="Verdana" w:hAnsi="Verdana"/>
          <w:sz w:val="16"/>
          <w:szCs w:val="16"/>
        </w:rPr>
        <w:t xml:space="preserve">C No. 354, </w:t>
      </w:r>
      <w:r w:rsidR="00B10E5A" w:rsidRPr="00954547">
        <w:rPr>
          <w:rFonts w:ascii="Verdana" w:hAnsi="Verdana"/>
          <w:sz w:val="16"/>
          <w:szCs w:val="16"/>
        </w:rPr>
        <w:t>para.</w:t>
      </w:r>
      <w:r w:rsidRPr="00954547">
        <w:rPr>
          <w:rFonts w:ascii="Verdana" w:hAnsi="Verdana"/>
          <w:sz w:val="16"/>
          <w:szCs w:val="16"/>
        </w:rPr>
        <w:t xml:space="preserve"> 124. </w:t>
      </w:r>
    </w:p>
  </w:footnote>
  <w:footnote w:id="71">
    <w:p w14:paraId="4EB54B0E" w14:textId="08CBE145" w:rsidR="005F001B" w:rsidRPr="00954547" w:rsidRDefault="005F001B" w:rsidP="007619E6">
      <w:pPr>
        <w:tabs>
          <w:tab w:val="left" w:pos="567"/>
          <w:tab w:val="left" w:pos="720"/>
        </w:tabs>
        <w:spacing w:after="120"/>
        <w:ind w:right="6"/>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Grande </w:t>
      </w:r>
      <w:r w:rsidR="009C16A1" w:rsidRPr="00954547">
        <w:rPr>
          <w:rFonts w:ascii="Verdana" w:hAnsi="Verdana"/>
          <w:i/>
          <w:sz w:val="16"/>
          <w:szCs w:val="16"/>
        </w:rPr>
        <w:t>v.</w:t>
      </w:r>
      <w:r w:rsidRPr="00954547">
        <w:rPr>
          <w:rFonts w:ascii="Verdana" w:hAnsi="Verdana"/>
          <w:i/>
          <w:sz w:val="16"/>
          <w:szCs w:val="16"/>
        </w:rPr>
        <w:t xml:space="preserve"> Argentina,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56,</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Amrhein </w:t>
      </w:r>
      <w:r w:rsidR="00B8393C" w:rsidRPr="00954547">
        <w:rPr>
          <w:rFonts w:ascii="Verdana" w:hAnsi="Verdana"/>
          <w:i/>
          <w:sz w:val="16"/>
          <w:szCs w:val="16"/>
        </w:rPr>
        <w:t>et al. v.</w:t>
      </w:r>
      <w:r w:rsidRPr="00954547">
        <w:rPr>
          <w:rFonts w:ascii="Verdana" w:hAnsi="Verdana"/>
          <w:i/>
          <w:sz w:val="16"/>
          <w:szCs w:val="16"/>
        </w:rPr>
        <w:t xml:space="preserve"> Costa Rica,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124.</w:t>
      </w:r>
    </w:p>
  </w:footnote>
  <w:footnote w:id="72">
    <w:p w14:paraId="1C0D4A6E" w14:textId="14104406" w:rsidR="005F001B" w:rsidRPr="00954547" w:rsidRDefault="005F001B" w:rsidP="007619E6">
      <w:pPr>
        <w:tabs>
          <w:tab w:val="left" w:pos="567"/>
          <w:tab w:val="left" w:pos="720"/>
        </w:tabs>
        <w:spacing w:after="120"/>
        <w:ind w:right="6"/>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Pr="00954547">
        <w:rPr>
          <w:rFonts w:ascii="Verdana" w:hAnsi="Verdana"/>
          <w:i/>
          <w:sz w:val="16"/>
          <w:szCs w:val="16"/>
        </w:rPr>
        <w:t xml:space="preserve">Mutatis mutandis, </w:t>
      </w:r>
      <w:r w:rsidR="002F4617" w:rsidRPr="00954547">
        <w:rPr>
          <w:rFonts w:ascii="Verdana" w:hAnsi="Verdana"/>
          <w:i/>
          <w:sz w:val="16"/>
          <w:szCs w:val="16"/>
        </w:rPr>
        <w:t>Case of</w:t>
      </w:r>
      <w:r w:rsidRPr="00954547">
        <w:rPr>
          <w:rFonts w:ascii="Verdana" w:hAnsi="Verdana"/>
          <w:i/>
          <w:sz w:val="16"/>
          <w:szCs w:val="16"/>
        </w:rPr>
        <w:t xml:space="preserve"> Amrhein </w:t>
      </w:r>
      <w:r w:rsidR="00B8393C" w:rsidRPr="00954547">
        <w:rPr>
          <w:rFonts w:ascii="Verdana" w:hAnsi="Verdana"/>
          <w:i/>
          <w:sz w:val="16"/>
          <w:szCs w:val="16"/>
        </w:rPr>
        <w:t>et al. v.</w:t>
      </w:r>
      <w:r w:rsidRPr="00954547">
        <w:rPr>
          <w:rFonts w:ascii="Verdana" w:hAnsi="Verdana"/>
          <w:i/>
          <w:sz w:val="16"/>
          <w:szCs w:val="16"/>
        </w:rPr>
        <w:t xml:space="preserve"> Costa Rica,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124.</w:t>
      </w:r>
    </w:p>
  </w:footnote>
  <w:footnote w:id="73">
    <w:p w14:paraId="44ED187B" w14:textId="340CEDA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sz w:val="16"/>
          <w:szCs w:val="16"/>
        </w:rPr>
        <w:t>The State</w:t>
      </w:r>
      <w:r w:rsidRPr="00954547">
        <w:rPr>
          <w:rFonts w:ascii="Verdana" w:hAnsi="Verdana"/>
          <w:sz w:val="16"/>
          <w:szCs w:val="16"/>
        </w:rPr>
        <w:t xml:space="preserve"> argu</w:t>
      </w:r>
      <w:r w:rsidR="001C328F" w:rsidRPr="00954547">
        <w:rPr>
          <w:rFonts w:ascii="Verdana" w:hAnsi="Verdana"/>
          <w:sz w:val="16"/>
          <w:szCs w:val="16"/>
        </w:rPr>
        <w:t xml:space="preserve">ed that the judgment convicting Manuela became final in August 2008, and was in effect until </w:t>
      </w:r>
      <w:r w:rsidR="00060952" w:rsidRPr="00954547">
        <w:rPr>
          <w:rFonts w:ascii="Verdana" w:hAnsi="Verdana"/>
          <w:sz w:val="16"/>
          <w:szCs w:val="16"/>
        </w:rPr>
        <w:t>April 30,</w:t>
      </w:r>
      <w:r w:rsidRPr="00954547">
        <w:rPr>
          <w:rFonts w:ascii="Verdana" w:hAnsi="Verdana"/>
          <w:sz w:val="16"/>
          <w:szCs w:val="16"/>
        </w:rPr>
        <w:t xml:space="preserve"> 2010</w:t>
      </w:r>
      <w:r w:rsidR="001C328F" w:rsidRPr="00954547">
        <w:rPr>
          <w:rFonts w:ascii="Verdana" w:hAnsi="Verdana"/>
          <w:sz w:val="16"/>
          <w:szCs w:val="16"/>
        </w:rPr>
        <w:t>,</w:t>
      </w:r>
      <w:r w:rsidRPr="00954547">
        <w:rPr>
          <w:rFonts w:ascii="Verdana" w:hAnsi="Verdana"/>
          <w:sz w:val="16"/>
          <w:szCs w:val="16"/>
        </w:rPr>
        <w:t xml:space="preserve"> “</w:t>
      </w:r>
      <w:r w:rsidR="001C328F" w:rsidRPr="00954547">
        <w:rPr>
          <w:rFonts w:ascii="Verdana" w:hAnsi="Verdana"/>
          <w:sz w:val="16"/>
          <w:szCs w:val="16"/>
        </w:rPr>
        <w:t>however, the petition was lodged before [the] Commission</w:t>
      </w:r>
      <w:r w:rsidRPr="00954547">
        <w:rPr>
          <w:rFonts w:ascii="Verdana" w:hAnsi="Verdana"/>
          <w:sz w:val="16"/>
          <w:szCs w:val="16"/>
        </w:rPr>
        <w:t xml:space="preserve"> </w:t>
      </w:r>
      <w:r w:rsidR="00607E12" w:rsidRPr="00954547">
        <w:rPr>
          <w:rFonts w:ascii="Verdana" w:hAnsi="Verdana"/>
          <w:sz w:val="16"/>
          <w:szCs w:val="16"/>
        </w:rPr>
        <w:t>on March 21,</w:t>
      </w:r>
      <w:r w:rsidR="001C328F" w:rsidRPr="00954547">
        <w:rPr>
          <w:rFonts w:ascii="Verdana" w:hAnsi="Verdana"/>
          <w:sz w:val="16"/>
          <w:szCs w:val="16"/>
        </w:rPr>
        <w:t xml:space="preserve"> </w:t>
      </w:r>
      <w:r w:rsidRPr="00954547">
        <w:rPr>
          <w:rFonts w:ascii="Verdana" w:hAnsi="Verdana"/>
          <w:sz w:val="16"/>
          <w:szCs w:val="16"/>
        </w:rPr>
        <w:t xml:space="preserve">2012, </w:t>
      </w:r>
      <w:r w:rsidR="001C328F" w:rsidRPr="00954547">
        <w:rPr>
          <w:rFonts w:ascii="Verdana" w:hAnsi="Verdana"/>
          <w:sz w:val="16"/>
          <w:szCs w:val="16"/>
        </w:rPr>
        <w:t>almost four years after the</w:t>
      </w:r>
      <w:r w:rsidR="000E3723" w:rsidRPr="00954547">
        <w:rPr>
          <w:rFonts w:ascii="Verdana" w:hAnsi="Verdana"/>
          <w:sz w:val="16"/>
          <w:szCs w:val="16"/>
        </w:rPr>
        <w:t xml:space="preserve"> sentence </w:t>
      </w:r>
      <w:r w:rsidR="001C328F" w:rsidRPr="00954547">
        <w:rPr>
          <w:rFonts w:ascii="Verdana" w:hAnsi="Verdana"/>
          <w:sz w:val="16"/>
          <w:szCs w:val="16"/>
        </w:rPr>
        <w:t xml:space="preserve">had become final and almost two years after Manuela’s death.” The State’s report of </w:t>
      </w:r>
      <w:r w:rsidR="005A6BC0" w:rsidRPr="00954547">
        <w:rPr>
          <w:rFonts w:ascii="Verdana" w:hAnsi="Verdana"/>
          <w:sz w:val="16"/>
          <w:szCs w:val="16"/>
        </w:rPr>
        <w:t>June 26,</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611).</w:t>
      </w:r>
    </w:p>
  </w:footnote>
  <w:footnote w:id="74">
    <w:p w14:paraId="3FEC1F25" w14:textId="7A11DA2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Urrutia Laubreaux </w:t>
      </w:r>
      <w:r w:rsidR="009C16A1" w:rsidRPr="00954547">
        <w:rPr>
          <w:rFonts w:ascii="Verdana" w:hAnsi="Verdana"/>
          <w:i/>
          <w:sz w:val="16"/>
          <w:szCs w:val="16"/>
        </w:rPr>
        <w:t>v.</w:t>
      </w:r>
      <w:r w:rsidRPr="00954547">
        <w:rPr>
          <w:rFonts w:ascii="Verdana" w:hAnsi="Verdana"/>
          <w:i/>
          <w:sz w:val="16"/>
          <w:szCs w:val="16"/>
        </w:rPr>
        <w:t xml:space="preserve"> Chile.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A30CA9" w:rsidRPr="00954547">
        <w:rPr>
          <w:rFonts w:ascii="Verdana" w:hAnsi="Verdana"/>
          <w:sz w:val="16"/>
          <w:szCs w:val="16"/>
        </w:rPr>
        <w:t xml:space="preserve">August </w:t>
      </w:r>
      <w:r w:rsidRPr="00954547">
        <w:rPr>
          <w:rFonts w:ascii="Verdana" w:hAnsi="Verdana"/>
          <w:sz w:val="16"/>
          <w:szCs w:val="16"/>
        </w:rPr>
        <w:t>27</w:t>
      </w:r>
      <w:r w:rsidR="00A30CA9" w:rsidRPr="00954547">
        <w:rPr>
          <w:rFonts w:ascii="Verdana" w:hAnsi="Verdana"/>
          <w:sz w:val="16"/>
          <w:szCs w:val="16"/>
        </w:rPr>
        <w:t xml:space="preserve">, </w:t>
      </w:r>
      <w:r w:rsidRPr="00954547">
        <w:rPr>
          <w:rFonts w:ascii="Verdana" w:hAnsi="Verdana"/>
          <w:sz w:val="16"/>
          <w:szCs w:val="16"/>
        </w:rPr>
        <w:t xml:space="preserve">2020. </w:t>
      </w:r>
      <w:r w:rsidR="00B8393C" w:rsidRPr="00954547">
        <w:rPr>
          <w:rFonts w:ascii="Verdana" w:hAnsi="Verdana"/>
          <w:sz w:val="16"/>
          <w:szCs w:val="16"/>
        </w:rPr>
        <w:t xml:space="preserve">Series </w:t>
      </w:r>
      <w:r w:rsidRPr="00954547">
        <w:rPr>
          <w:rFonts w:ascii="Verdana" w:hAnsi="Verdana"/>
          <w:sz w:val="16"/>
          <w:szCs w:val="16"/>
        </w:rPr>
        <w:t xml:space="preserve">C No. 409, </w:t>
      </w:r>
      <w:r w:rsidR="00B10E5A" w:rsidRPr="00954547">
        <w:rPr>
          <w:rFonts w:ascii="Verdana" w:hAnsi="Verdana"/>
          <w:sz w:val="16"/>
          <w:szCs w:val="16"/>
        </w:rPr>
        <w:t>para.</w:t>
      </w:r>
      <w:r w:rsidRPr="00954547">
        <w:rPr>
          <w:rFonts w:ascii="Verdana" w:hAnsi="Verdana"/>
          <w:sz w:val="16"/>
          <w:szCs w:val="16"/>
        </w:rPr>
        <w:t xml:space="preserve"> 26.</w:t>
      </w:r>
    </w:p>
  </w:footnote>
  <w:footnote w:id="75">
    <w:p w14:paraId="4B760167" w14:textId="62900738" w:rsidR="005F001B" w:rsidRPr="00954547" w:rsidRDefault="005F001B" w:rsidP="007619E6">
      <w:pPr>
        <w:pStyle w:val="FootnoteText"/>
        <w:tabs>
          <w:tab w:val="left" w:pos="567"/>
        </w:tabs>
        <w:spacing w:after="120"/>
        <w:jc w:val="both"/>
        <w:rPr>
          <w:rFonts w:ascii="Verdana" w:hAnsi="Verdana"/>
          <w:b/>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E76B1A" w:rsidRPr="00954547">
        <w:rPr>
          <w:rFonts w:ascii="Verdana" w:hAnsi="Verdana"/>
          <w:sz w:val="16"/>
          <w:szCs w:val="16"/>
        </w:rPr>
        <w:t>The Court</w:t>
      </w:r>
      <w:r w:rsidRPr="00954547">
        <w:rPr>
          <w:rFonts w:ascii="Verdana" w:hAnsi="Verdana"/>
          <w:sz w:val="16"/>
          <w:szCs w:val="16"/>
        </w:rPr>
        <w:t xml:space="preserve"> </w:t>
      </w:r>
      <w:r w:rsidR="005315AC" w:rsidRPr="00954547">
        <w:rPr>
          <w:rFonts w:ascii="Verdana" w:hAnsi="Verdana"/>
          <w:sz w:val="16"/>
          <w:szCs w:val="16"/>
        </w:rPr>
        <w:t xml:space="preserve">notes that in its final written arguments, the State requested the exclusion of other facts. However, this request was time-barred. </w:t>
      </w:r>
    </w:p>
  </w:footnote>
  <w:footnote w:id="76">
    <w:p w14:paraId="56D0FB34" w14:textId="7A8F9C5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Vera</w:t>
      </w:r>
      <w:r w:rsidR="00F00ACF" w:rsidRPr="00954547">
        <w:rPr>
          <w:rFonts w:ascii="Verdana" w:hAnsi="Verdana"/>
          <w:i/>
          <w:sz w:val="16"/>
          <w:szCs w:val="16"/>
        </w:rPr>
        <w:t xml:space="preserve"> Vera</w:t>
      </w:r>
      <w:r w:rsidR="0078694F" w:rsidRPr="00954547">
        <w:rPr>
          <w:rFonts w:ascii="Verdana" w:hAnsi="Verdana"/>
          <w:i/>
          <w:sz w:val="16"/>
          <w:szCs w:val="16"/>
        </w:rPr>
        <w:t xml:space="preserve"> </w:t>
      </w:r>
      <w:r w:rsidR="005315AC"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Ecuador. </w:t>
      </w:r>
      <w:r w:rsidR="00A70DC4" w:rsidRPr="00954547">
        <w:rPr>
          <w:rFonts w:ascii="Verdana" w:hAnsi="Verdana"/>
          <w:i/>
          <w:sz w:val="16"/>
          <w:szCs w:val="16"/>
        </w:rPr>
        <w:t>Preliminary objection</w:t>
      </w:r>
      <w:r w:rsidRPr="00954547">
        <w:rPr>
          <w:rFonts w:ascii="Verdana" w:hAnsi="Verdana"/>
          <w:i/>
          <w:sz w:val="16"/>
          <w:szCs w:val="16"/>
        </w:rPr>
        <w:t xml:space="preserve">, </w:t>
      </w:r>
      <w:r w:rsidR="005315AC" w:rsidRPr="00954547">
        <w:rPr>
          <w:rFonts w:ascii="Verdana" w:hAnsi="Verdana"/>
          <w:i/>
          <w:sz w:val="16"/>
          <w:szCs w:val="16"/>
        </w:rPr>
        <w:t>m</w:t>
      </w:r>
      <w:r w:rsidR="00A70DC4" w:rsidRPr="00954547">
        <w:rPr>
          <w:rFonts w:ascii="Verdana" w:hAnsi="Verdana"/>
          <w:i/>
          <w:sz w:val="16"/>
          <w:szCs w:val="16"/>
        </w:rPr>
        <w:t>erits,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5315AC" w:rsidRPr="00954547">
        <w:rPr>
          <w:rFonts w:ascii="Verdana" w:hAnsi="Verdana"/>
          <w:sz w:val="16"/>
          <w:szCs w:val="16"/>
        </w:rPr>
        <w:t xml:space="preserve">May 19, </w:t>
      </w:r>
      <w:r w:rsidRPr="00954547">
        <w:rPr>
          <w:rFonts w:ascii="Verdana" w:hAnsi="Verdana"/>
          <w:sz w:val="16"/>
          <w:szCs w:val="16"/>
        </w:rPr>
        <w:t xml:space="preserve">2011. </w:t>
      </w:r>
      <w:r w:rsidR="00B8393C" w:rsidRPr="00954547">
        <w:rPr>
          <w:rFonts w:ascii="Verdana" w:hAnsi="Verdana"/>
          <w:sz w:val="16"/>
          <w:szCs w:val="16"/>
        </w:rPr>
        <w:t xml:space="preserve">Series </w:t>
      </w:r>
      <w:r w:rsidRPr="00954547">
        <w:rPr>
          <w:rFonts w:ascii="Verdana" w:hAnsi="Verdana"/>
          <w:sz w:val="16"/>
          <w:szCs w:val="16"/>
        </w:rPr>
        <w:t xml:space="preserve">C No. 226, </w:t>
      </w:r>
      <w:r w:rsidR="00B10E5A" w:rsidRPr="00954547">
        <w:rPr>
          <w:rFonts w:ascii="Verdana" w:hAnsi="Verdana"/>
          <w:sz w:val="16"/>
          <w:szCs w:val="16"/>
        </w:rPr>
        <w:t>para.</w:t>
      </w:r>
      <w:r w:rsidRPr="00954547">
        <w:rPr>
          <w:rFonts w:ascii="Verdana" w:hAnsi="Verdana"/>
          <w:sz w:val="16"/>
          <w:szCs w:val="16"/>
        </w:rPr>
        <w:t xml:space="preserve"> 32,</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Urrutia Laubreaux </w:t>
      </w:r>
      <w:r w:rsidR="009C16A1" w:rsidRPr="00954547">
        <w:rPr>
          <w:rFonts w:ascii="Verdana" w:hAnsi="Verdana"/>
          <w:i/>
          <w:sz w:val="16"/>
          <w:szCs w:val="16"/>
        </w:rPr>
        <w:t>v.</w:t>
      </w:r>
      <w:r w:rsidRPr="00954547">
        <w:rPr>
          <w:rFonts w:ascii="Verdana" w:hAnsi="Verdana"/>
          <w:i/>
          <w:sz w:val="16"/>
          <w:szCs w:val="16"/>
        </w:rPr>
        <w:t xml:space="preserve"> Chile, supra, </w:t>
      </w:r>
      <w:r w:rsidR="00B10E5A" w:rsidRPr="00954547">
        <w:rPr>
          <w:rFonts w:ascii="Verdana" w:hAnsi="Verdana"/>
          <w:sz w:val="16"/>
          <w:szCs w:val="16"/>
        </w:rPr>
        <w:t>para.</w:t>
      </w:r>
      <w:r w:rsidRPr="00954547">
        <w:rPr>
          <w:rFonts w:ascii="Verdana" w:hAnsi="Verdana"/>
          <w:sz w:val="16"/>
          <w:szCs w:val="16"/>
        </w:rPr>
        <w:t xml:space="preserve"> 39.</w:t>
      </w:r>
    </w:p>
  </w:footnote>
  <w:footnote w:id="77">
    <w:p w14:paraId="2A41CF89" w14:textId="2BC4603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w:t>
      </w:r>
      <w:r w:rsidR="005315AC" w:rsidRPr="00954547">
        <w:rPr>
          <w:rFonts w:ascii="Verdana" w:hAnsi="Verdana"/>
          <w:i/>
          <w:sz w:val="16"/>
          <w:szCs w:val="16"/>
        </w:rPr>
        <w:t>the</w:t>
      </w:r>
      <w:r w:rsidRPr="00954547">
        <w:rPr>
          <w:rFonts w:ascii="Verdana" w:hAnsi="Verdana"/>
          <w:i/>
          <w:sz w:val="16"/>
          <w:szCs w:val="16"/>
        </w:rPr>
        <w:t xml:space="preserve"> “Mapiripán</w:t>
      </w:r>
      <w:r w:rsidR="005315AC" w:rsidRPr="00954547">
        <w:rPr>
          <w:rFonts w:ascii="Verdana" w:hAnsi="Verdana"/>
          <w:i/>
          <w:sz w:val="16"/>
          <w:szCs w:val="16"/>
        </w:rPr>
        <w:t xml:space="preserve"> Massacre</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Colombia. </w:t>
      </w:r>
      <w:r w:rsidR="00A70DC4" w:rsidRPr="00954547">
        <w:rPr>
          <w:rFonts w:ascii="Verdana" w:hAnsi="Verdana"/>
          <w:i/>
          <w:sz w:val="16"/>
          <w:szCs w:val="16"/>
        </w:rPr>
        <w:t>Merits,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005315AC" w:rsidRPr="00954547">
        <w:rPr>
          <w:rFonts w:ascii="Verdana" w:hAnsi="Verdana"/>
          <w:sz w:val="16"/>
          <w:szCs w:val="16"/>
        </w:rPr>
        <w:t xml:space="preserve"> September</w:t>
      </w:r>
      <w:r w:rsidRPr="00954547">
        <w:rPr>
          <w:rFonts w:ascii="Verdana" w:hAnsi="Verdana"/>
          <w:sz w:val="16"/>
          <w:szCs w:val="16"/>
        </w:rPr>
        <w:t xml:space="preserve"> 15</w:t>
      </w:r>
      <w:r w:rsidR="005315AC" w:rsidRPr="00954547">
        <w:rPr>
          <w:rFonts w:ascii="Verdana" w:hAnsi="Verdana"/>
          <w:sz w:val="16"/>
          <w:szCs w:val="16"/>
        </w:rPr>
        <w:t xml:space="preserve">, </w:t>
      </w:r>
      <w:r w:rsidRPr="00954547">
        <w:rPr>
          <w:rFonts w:ascii="Verdana" w:hAnsi="Verdana"/>
          <w:sz w:val="16"/>
          <w:szCs w:val="16"/>
        </w:rPr>
        <w:t xml:space="preserve">2005. </w:t>
      </w:r>
      <w:r w:rsidR="00B8393C" w:rsidRPr="00954547">
        <w:rPr>
          <w:rFonts w:ascii="Verdana" w:hAnsi="Verdana"/>
          <w:sz w:val="16"/>
          <w:szCs w:val="16"/>
        </w:rPr>
        <w:t xml:space="preserve">Series </w:t>
      </w:r>
      <w:r w:rsidRPr="00954547">
        <w:rPr>
          <w:rFonts w:ascii="Verdana" w:hAnsi="Verdana"/>
          <w:sz w:val="16"/>
          <w:szCs w:val="16"/>
        </w:rPr>
        <w:t xml:space="preserve">C No. 134, </w:t>
      </w:r>
      <w:r w:rsidR="00B10E5A" w:rsidRPr="00954547">
        <w:rPr>
          <w:rFonts w:ascii="Verdana" w:hAnsi="Verdana"/>
          <w:sz w:val="16"/>
          <w:szCs w:val="16"/>
        </w:rPr>
        <w:t>para.</w:t>
      </w:r>
      <w:r w:rsidRPr="00954547">
        <w:rPr>
          <w:rFonts w:ascii="Verdana" w:hAnsi="Verdana"/>
          <w:sz w:val="16"/>
          <w:szCs w:val="16"/>
        </w:rPr>
        <w:t xml:space="preserve"> 58,</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Valenzuela Ávila </w:t>
      </w:r>
      <w:r w:rsidR="009C16A1" w:rsidRPr="00954547">
        <w:rPr>
          <w:rFonts w:ascii="Verdana" w:hAnsi="Verdana"/>
          <w:i/>
          <w:sz w:val="16"/>
          <w:szCs w:val="16"/>
        </w:rPr>
        <w:t>v.</w:t>
      </w:r>
      <w:r w:rsidRPr="00954547">
        <w:rPr>
          <w:rFonts w:ascii="Verdana" w:hAnsi="Verdana"/>
          <w:i/>
          <w:sz w:val="16"/>
          <w:szCs w:val="16"/>
        </w:rPr>
        <w:t xml:space="preserve"> Guatemala. </w:t>
      </w:r>
      <w:r w:rsidR="00A70DC4" w:rsidRPr="00954547">
        <w:rPr>
          <w:rFonts w:ascii="Verdana" w:hAnsi="Verdana"/>
          <w:i/>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5315AC" w:rsidRPr="00954547">
        <w:rPr>
          <w:rFonts w:ascii="Verdana" w:hAnsi="Verdana"/>
          <w:sz w:val="16"/>
          <w:szCs w:val="16"/>
        </w:rPr>
        <w:t>October 11,</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386, </w:t>
      </w:r>
      <w:r w:rsidR="00B10E5A" w:rsidRPr="00954547">
        <w:rPr>
          <w:rFonts w:ascii="Verdana" w:hAnsi="Verdana"/>
          <w:sz w:val="16"/>
          <w:szCs w:val="16"/>
        </w:rPr>
        <w:t>para.</w:t>
      </w:r>
      <w:r w:rsidRPr="00954547">
        <w:rPr>
          <w:rFonts w:ascii="Verdana" w:hAnsi="Verdana"/>
          <w:sz w:val="16"/>
          <w:szCs w:val="16"/>
        </w:rPr>
        <w:t xml:space="preserve"> 40.</w:t>
      </w:r>
    </w:p>
  </w:footnote>
  <w:footnote w:id="78">
    <w:p w14:paraId="02AD29BA" w14:textId="583AE98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5E59F3" w:rsidRPr="00954547">
        <w:rPr>
          <w:rFonts w:ascii="Verdana" w:hAnsi="Verdana"/>
          <w:sz w:val="16"/>
          <w:szCs w:val="16"/>
        </w:rPr>
        <w:t xml:space="preserve">In general, and according to </w:t>
      </w:r>
      <w:r w:rsidR="00FF2DDD" w:rsidRPr="00954547">
        <w:rPr>
          <w:rFonts w:ascii="Verdana" w:hAnsi="Verdana"/>
          <w:sz w:val="16"/>
          <w:szCs w:val="16"/>
        </w:rPr>
        <w:t xml:space="preserve"> </w:t>
      </w:r>
      <w:r w:rsidR="00A17F8C" w:rsidRPr="00954547">
        <w:rPr>
          <w:rFonts w:ascii="Verdana" w:hAnsi="Verdana"/>
          <w:sz w:val="16"/>
          <w:szCs w:val="16"/>
        </w:rPr>
        <w:t>Article</w:t>
      </w:r>
      <w:r w:rsidRPr="00954547">
        <w:rPr>
          <w:rFonts w:ascii="Verdana" w:hAnsi="Verdana"/>
          <w:sz w:val="16"/>
          <w:szCs w:val="16"/>
        </w:rPr>
        <w:t xml:space="preserve"> 5</w:t>
      </w:r>
      <w:r w:rsidR="00A17F8C" w:rsidRPr="00954547">
        <w:rPr>
          <w:rFonts w:ascii="Verdana" w:hAnsi="Verdana"/>
          <w:sz w:val="16"/>
          <w:szCs w:val="16"/>
        </w:rPr>
        <w:t>7(2)</w:t>
      </w:r>
      <w:r w:rsidRPr="00954547">
        <w:rPr>
          <w:rFonts w:ascii="Verdana" w:hAnsi="Verdana"/>
          <w:sz w:val="16"/>
          <w:szCs w:val="16"/>
        </w:rPr>
        <w:t xml:space="preserve"> </w:t>
      </w:r>
      <w:r w:rsidR="005E59F3" w:rsidRPr="00954547">
        <w:rPr>
          <w:rFonts w:ascii="Verdana" w:hAnsi="Verdana"/>
          <w:sz w:val="16"/>
          <w:szCs w:val="16"/>
        </w:rPr>
        <w:t>of the Rules of Procedure, documentary evidence may be presented</w:t>
      </w:r>
      <w:r w:rsidR="00FF2DDD" w:rsidRPr="00954547">
        <w:rPr>
          <w:rFonts w:ascii="Verdana" w:hAnsi="Verdana"/>
          <w:sz w:val="16"/>
          <w:szCs w:val="16"/>
        </w:rPr>
        <w:t xml:space="preserve"> together with the brief submitting the case, </w:t>
      </w:r>
      <w:r w:rsidR="00D15788" w:rsidRPr="00954547">
        <w:rPr>
          <w:rFonts w:ascii="Verdana" w:hAnsi="Verdana"/>
          <w:sz w:val="16"/>
          <w:szCs w:val="16"/>
        </w:rPr>
        <w:t>the</w:t>
      </w:r>
      <w:r w:rsidR="00FF2DDD" w:rsidRPr="00954547">
        <w:rPr>
          <w:rFonts w:ascii="Verdana" w:hAnsi="Verdana"/>
          <w:sz w:val="16"/>
          <w:szCs w:val="16"/>
        </w:rPr>
        <w:t xml:space="preserve"> pleading and motions</w:t>
      </w:r>
      <w:r w:rsidR="00D15788" w:rsidRPr="00954547">
        <w:rPr>
          <w:rFonts w:ascii="Verdana" w:hAnsi="Verdana"/>
          <w:sz w:val="16"/>
          <w:szCs w:val="16"/>
        </w:rPr>
        <w:t xml:space="preserve"> brief</w:t>
      </w:r>
      <w:r w:rsidR="00FF2DDD" w:rsidRPr="00954547">
        <w:rPr>
          <w:rFonts w:ascii="Verdana" w:hAnsi="Verdana"/>
          <w:sz w:val="16"/>
          <w:szCs w:val="16"/>
        </w:rPr>
        <w:t xml:space="preserve">, or the answering brief, as applicable, and evidence forwarded outside these procedural occasions is inadmissible, </w:t>
      </w:r>
      <w:r w:rsidR="006627AE" w:rsidRPr="00954547">
        <w:rPr>
          <w:rFonts w:ascii="Verdana" w:hAnsi="Verdana"/>
          <w:sz w:val="16"/>
          <w:szCs w:val="16"/>
        </w:rPr>
        <w:t>subject to</w:t>
      </w:r>
      <w:r w:rsidR="00FF2DDD" w:rsidRPr="00954547">
        <w:rPr>
          <w:rFonts w:ascii="Verdana" w:hAnsi="Verdana"/>
          <w:sz w:val="16"/>
          <w:szCs w:val="16"/>
        </w:rPr>
        <w:t xml:space="preserve"> the exceptions established in the said Article 57(2) of the Rules of Procedure (namely, </w:t>
      </w:r>
      <w:r w:rsidR="00FF2DDD" w:rsidRPr="00954547">
        <w:rPr>
          <w:rFonts w:ascii="Verdana" w:hAnsi="Verdana"/>
          <w:i/>
          <w:iCs/>
          <w:sz w:val="16"/>
          <w:szCs w:val="16"/>
        </w:rPr>
        <w:t>force majeure</w:t>
      </w:r>
      <w:r w:rsidR="00FF2DDD" w:rsidRPr="00954547">
        <w:rPr>
          <w:rFonts w:ascii="Verdana" w:hAnsi="Verdana"/>
          <w:sz w:val="16"/>
          <w:szCs w:val="16"/>
        </w:rPr>
        <w:t>, grave impediment) or unless it relates to a supervening fact</w:t>
      </w:r>
      <w:r w:rsidR="006627AE" w:rsidRPr="00954547">
        <w:rPr>
          <w:rFonts w:ascii="Verdana" w:hAnsi="Verdana"/>
          <w:sz w:val="16"/>
          <w:szCs w:val="16"/>
        </w:rPr>
        <w:t xml:space="preserve"> – in other words, </w:t>
      </w:r>
      <w:r w:rsidR="00D43123" w:rsidRPr="00954547">
        <w:rPr>
          <w:rFonts w:ascii="Verdana" w:hAnsi="Verdana"/>
          <w:sz w:val="16"/>
          <w:szCs w:val="16"/>
        </w:rPr>
        <w:t>a fact</w:t>
      </w:r>
      <w:r w:rsidR="00FF2DDD" w:rsidRPr="00954547">
        <w:rPr>
          <w:rFonts w:ascii="Verdana" w:hAnsi="Verdana"/>
          <w:sz w:val="16"/>
          <w:szCs w:val="16"/>
        </w:rPr>
        <w:t xml:space="preserve"> that occurred after the said procedural moments.</w:t>
      </w:r>
    </w:p>
  </w:footnote>
  <w:footnote w:id="79">
    <w:p w14:paraId="48267A5E" w14:textId="27E52081"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sz w:val="16"/>
          <w:szCs w:val="16"/>
        </w:rPr>
        <w:t xml:space="preserve"> </w:t>
      </w:r>
      <w:r w:rsidR="00FF2DDD" w:rsidRPr="00954547">
        <w:rPr>
          <w:rFonts w:ascii="Verdana" w:hAnsi="Verdana"/>
          <w:sz w:val="16"/>
          <w:szCs w:val="16"/>
        </w:rPr>
        <w:t>Affidavit made by</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FF2DDD" w:rsidRPr="00954547">
        <w:rPr>
          <w:rFonts w:ascii="Verdana" w:hAnsi="Verdana"/>
          <w:sz w:val="16"/>
          <w:szCs w:val="16"/>
        </w:rPr>
        <w:t>on March 5,</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folios 3789 </w:t>
      </w:r>
      <w:r w:rsidR="00FF2DDD" w:rsidRPr="00954547">
        <w:rPr>
          <w:rFonts w:ascii="Verdana" w:hAnsi="Verdana"/>
          <w:sz w:val="16"/>
          <w:szCs w:val="16"/>
        </w:rPr>
        <w:t>to</w:t>
      </w:r>
      <w:r w:rsidRPr="00954547">
        <w:rPr>
          <w:rFonts w:ascii="Verdana" w:hAnsi="Verdana"/>
          <w:sz w:val="16"/>
          <w:szCs w:val="16"/>
        </w:rPr>
        <w:t xml:space="preserve"> 3794); </w:t>
      </w:r>
      <w:r w:rsidR="00FF2DDD" w:rsidRPr="00954547">
        <w:rPr>
          <w:rFonts w:ascii="Verdana" w:hAnsi="Verdana"/>
          <w:sz w:val="16"/>
          <w:szCs w:val="16"/>
        </w:rPr>
        <w:t>affidavit made by</w:t>
      </w:r>
      <w:r w:rsidRPr="00954547">
        <w:rPr>
          <w:rFonts w:ascii="Verdana" w:hAnsi="Verdana"/>
          <w:sz w:val="16"/>
          <w:szCs w:val="16"/>
        </w:rPr>
        <w:t xml:space="preserve"> </w:t>
      </w:r>
      <w:r w:rsidR="00FF2DDD" w:rsidRPr="00954547">
        <w:rPr>
          <w:rFonts w:ascii="Verdana" w:hAnsi="Verdana"/>
          <w:sz w:val="16"/>
          <w:szCs w:val="16"/>
        </w:rPr>
        <w:t>Manuela’s father</w:t>
      </w:r>
      <w:r w:rsidRPr="00954547">
        <w:rPr>
          <w:rFonts w:ascii="Verdana" w:hAnsi="Verdana"/>
          <w:sz w:val="16"/>
          <w:szCs w:val="16"/>
        </w:rPr>
        <w:t xml:space="preserve"> </w:t>
      </w:r>
      <w:r w:rsidR="00FF2DDD" w:rsidRPr="00954547">
        <w:rPr>
          <w:rFonts w:ascii="Verdana" w:hAnsi="Verdana"/>
          <w:sz w:val="16"/>
          <w:szCs w:val="16"/>
        </w:rPr>
        <w:t>on 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3796</w:t>
      </w:r>
      <w:r w:rsidR="0060432C" w:rsidRPr="00954547">
        <w:rPr>
          <w:rFonts w:ascii="Verdana" w:hAnsi="Verdana"/>
          <w:sz w:val="16"/>
          <w:szCs w:val="16"/>
        </w:rPr>
        <w:t xml:space="preserve"> to </w:t>
      </w:r>
      <w:r w:rsidRPr="00954547">
        <w:rPr>
          <w:rFonts w:ascii="Verdana" w:hAnsi="Verdana"/>
          <w:sz w:val="16"/>
          <w:szCs w:val="16"/>
        </w:rPr>
        <w:t xml:space="preserve">3801); </w:t>
      </w:r>
      <w:r w:rsidR="00FF2DDD" w:rsidRPr="00954547">
        <w:rPr>
          <w:rFonts w:ascii="Verdana" w:hAnsi="Verdana"/>
          <w:sz w:val="16"/>
          <w:szCs w:val="16"/>
        </w:rPr>
        <w:t>affidavit made by</w:t>
      </w:r>
      <w:r w:rsidRPr="00954547">
        <w:rPr>
          <w:rFonts w:ascii="Verdana" w:hAnsi="Verdana"/>
          <w:sz w:val="16"/>
          <w:szCs w:val="16"/>
        </w:rPr>
        <w:t xml:space="preserve"> </w:t>
      </w:r>
      <w:r w:rsidR="0060432C" w:rsidRPr="00954547">
        <w:rPr>
          <w:rFonts w:ascii="Verdana" w:hAnsi="Verdana"/>
          <w:sz w:val="16"/>
          <w:szCs w:val="16"/>
        </w:rPr>
        <w:t>Manuela’s elder son</w:t>
      </w:r>
      <w:r w:rsidRPr="00954547">
        <w:rPr>
          <w:rFonts w:ascii="Verdana" w:hAnsi="Verdana"/>
          <w:sz w:val="16"/>
          <w:szCs w:val="16"/>
        </w:rPr>
        <w:t xml:space="preserve"> </w:t>
      </w:r>
      <w:r w:rsidR="00FF2DDD" w:rsidRPr="00954547">
        <w:rPr>
          <w:rFonts w:ascii="Verdana" w:hAnsi="Verdana"/>
          <w:sz w:val="16"/>
          <w:szCs w:val="16"/>
        </w:rPr>
        <w:t>on 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3803</w:t>
      </w:r>
      <w:r w:rsidR="0060432C" w:rsidRPr="00954547">
        <w:rPr>
          <w:rFonts w:ascii="Verdana" w:hAnsi="Verdana"/>
          <w:sz w:val="16"/>
          <w:szCs w:val="16"/>
        </w:rPr>
        <w:t xml:space="preserve"> to </w:t>
      </w:r>
      <w:r w:rsidRPr="00954547">
        <w:rPr>
          <w:rFonts w:ascii="Verdana" w:hAnsi="Verdana"/>
          <w:sz w:val="16"/>
          <w:szCs w:val="16"/>
        </w:rPr>
        <w:t xml:space="preserve">3805); </w:t>
      </w:r>
      <w:r w:rsidR="00FF2DDD" w:rsidRPr="00954547">
        <w:rPr>
          <w:rFonts w:ascii="Verdana" w:hAnsi="Verdana"/>
          <w:sz w:val="16"/>
          <w:szCs w:val="16"/>
        </w:rPr>
        <w:t>affidavit made by</w:t>
      </w:r>
      <w:r w:rsidRPr="00954547">
        <w:rPr>
          <w:rFonts w:ascii="Verdana" w:hAnsi="Verdana"/>
          <w:sz w:val="16"/>
          <w:szCs w:val="16"/>
        </w:rPr>
        <w:t xml:space="preserve"> </w:t>
      </w:r>
      <w:r w:rsidR="0060432C" w:rsidRPr="00954547">
        <w:rPr>
          <w:rFonts w:ascii="Verdana" w:hAnsi="Verdana"/>
          <w:sz w:val="16"/>
          <w:szCs w:val="16"/>
        </w:rPr>
        <w:t>Manuela’s younger son</w:t>
      </w:r>
      <w:r w:rsidRPr="00954547">
        <w:rPr>
          <w:rFonts w:ascii="Verdana" w:hAnsi="Verdana"/>
          <w:sz w:val="16"/>
          <w:szCs w:val="16"/>
        </w:rPr>
        <w:t xml:space="preserve"> </w:t>
      </w:r>
      <w:r w:rsidR="00FF2DDD" w:rsidRPr="00954547">
        <w:rPr>
          <w:rFonts w:ascii="Verdana" w:hAnsi="Verdana"/>
          <w:sz w:val="16"/>
          <w:szCs w:val="16"/>
        </w:rPr>
        <w:t>on 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3806</w:t>
      </w:r>
      <w:r w:rsidR="0060432C" w:rsidRPr="00954547">
        <w:rPr>
          <w:rFonts w:ascii="Verdana" w:hAnsi="Verdana"/>
          <w:sz w:val="16"/>
          <w:szCs w:val="16"/>
        </w:rPr>
        <w:t xml:space="preserve"> to </w:t>
      </w:r>
      <w:r w:rsidRPr="00954547">
        <w:rPr>
          <w:rFonts w:ascii="Verdana" w:hAnsi="Verdana"/>
          <w:sz w:val="16"/>
          <w:szCs w:val="16"/>
        </w:rPr>
        <w:t xml:space="preserve">3807); </w:t>
      </w:r>
      <w:r w:rsidR="00FF2DDD" w:rsidRPr="00954547">
        <w:rPr>
          <w:rFonts w:ascii="Verdana" w:hAnsi="Verdana"/>
          <w:sz w:val="16"/>
          <w:szCs w:val="16"/>
        </w:rPr>
        <w:t>affidavit made by</w:t>
      </w:r>
      <w:r w:rsidRPr="00954547">
        <w:rPr>
          <w:rFonts w:ascii="Verdana" w:hAnsi="Verdana"/>
          <w:sz w:val="16"/>
          <w:szCs w:val="16"/>
        </w:rPr>
        <w:t xml:space="preserve"> María Teresa Rivera </w:t>
      </w:r>
      <w:r w:rsidR="0060432C" w:rsidRPr="00954547">
        <w:rPr>
          <w:rFonts w:ascii="Verdana" w:hAnsi="Verdana"/>
          <w:sz w:val="16"/>
          <w:szCs w:val="16"/>
        </w:rPr>
        <w:t>on February 23,</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3809</w:t>
      </w:r>
      <w:r w:rsidR="0060432C" w:rsidRPr="00954547">
        <w:rPr>
          <w:rFonts w:ascii="Verdana" w:hAnsi="Verdana"/>
          <w:sz w:val="16"/>
          <w:szCs w:val="16"/>
        </w:rPr>
        <w:t xml:space="preserve"> to </w:t>
      </w:r>
      <w:r w:rsidRPr="00954547">
        <w:rPr>
          <w:rFonts w:ascii="Verdana" w:hAnsi="Verdana"/>
          <w:sz w:val="16"/>
          <w:szCs w:val="16"/>
        </w:rPr>
        <w:t xml:space="preserve">3811); </w:t>
      </w:r>
      <w:r w:rsidR="00FF2DDD" w:rsidRPr="00954547">
        <w:rPr>
          <w:rFonts w:ascii="Verdana" w:hAnsi="Verdana"/>
          <w:sz w:val="16"/>
          <w:szCs w:val="16"/>
        </w:rPr>
        <w:t>affidavit made by</w:t>
      </w:r>
      <w:r w:rsidRPr="00954547">
        <w:rPr>
          <w:rFonts w:ascii="Verdana" w:hAnsi="Verdana"/>
          <w:sz w:val="16"/>
          <w:szCs w:val="16"/>
        </w:rPr>
        <w:t xml:space="preserve"> María Marina Pérez </w:t>
      </w:r>
      <w:r w:rsidR="00FF2DDD" w:rsidRPr="00954547">
        <w:rPr>
          <w:rFonts w:ascii="Verdana" w:hAnsi="Verdana"/>
          <w:sz w:val="16"/>
          <w:szCs w:val="16"/>
        </w:rPr>
        <w:t>on 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3813</w:t>
      </w:r>
      <w:r w:rsidR="0060432C" w:rsidRPr="00954547">
        <w:rPr>
          <w:rFonts w:ascii="Verdana" w:hAnsi="Verdana"/>
          <w:sz w:val="16"/>
          <w:szCs w:val="16"/>
        </w:rPr>
        <w:t xml:space="preserve"> to </w:t>
      </w:r>
      <w:r w:rsidRPr="00954547">
        <w:rPr>
          <w:rFonts w:ascii="Verdana" w:hAnsi="Verdana"/>
          <w:sz w:val="16"/>
          <w:szCs w:val="16"/>
        </w:rPr>
        <w:t xml:space="preserve">3815); </w:t>
      </w:r>
      <w:r w:rsidR="00FF2DDD" w:rsidRPr="00954547">
        <w:rPr>
          <w:rFonts w:ascii="Verdana" w:hAnsi="Verdana"/>
          <w:sz w:val="16"/>
          <w:szCs w:val="16"/>
        </w:rPr>
        <w:t>affidavit made by</w:t>
      </w:r>
      <w:r w:rsidRPr="00954547">
        <w:rPr>
          <w:rFonts w:ascii="Verdana" w:hAnsi="Verdana"/>
          <w:sz w:val="16"/>
          <w:szCs w:val="16"/>
        </w:rPr>
        <w:t xml:space="preserve"> Johana Iris Rosa Gutiérrez </w:t>
      </w:r>
      <w:r w:rsidR="0060432C" w:rsidRPr="00954547">
        <w:rPr>
          <w:rFonts w:ascii="Verdana" w:hAnsi="Verdana"/>
          <w:sz w:val="16"/>
          <w:szCs w:val="16"/>
        </w:rPr>
        <w:t>on February 22,</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3817</w:t>
      </w:r>
      <w:r w:rsidR="0060432C" w:rsidRPr="00954547">
        <w:rPr>
          <w:rFonts w:ascii="Verdana" w:hAnsi="Verdana"/>
          <w:sz w:val="16"/>
          <w:szCs w:val="16"/>
        </w:rPr>
        <w:t xml:space="preserve"> to </w:t>
      </w:r>
      <w:r w:rsidRPr="00954547">
        <w:rPr>
          <w:rFonts w:ascii="Verdana" w:hAnsi="Verdana"/>
          <w:sz w:val="16"/>
          <w:szCs w:val="16"/>
        </w:rPr>
        <w:t xml:space="preserve">3819); </w:t>
      </w:r>
      <w:r w:rsidR="00FF2DDD" w:rsidRPr="00954547">
        <w:rPr>
          <w:rFonts w:ascii="Verdana" w:hAnsi="Verdana"/>
          <w:sz w:val="16"/>
          <w:szCs w:val="16"/>
        </w:rPr>
        <w:t>affidavit made by</w:t>
      </w:r>
      <w:r w:rsidRPr="00954547">
        <w:rPr>
          <w:rFonts w:ascii="Verdana" w:hAnsi="Verdana"/>
          <w:sz w:val="16"/>
          <w:szCs w:val="16"/>
        </w:rPr>
        <w:t xml:space="preserve"> Ena Vinda Munguía </w:t>
      </w:r>
      <w:r w:rsidR="0060432C" w:rsidRPr="00954547">
        <w:rPr>
          <w:rFonts w:ascii="Verdana" w:hAnsi="Verdana"/>
          <w:sz w:val="16"/>
          <w:szCs w:val="16"/>
        </w:rPr>
        <w:t>on February 22,</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3820</w:t>
      </w:r>
      <w:r w:rsidR="0060432C" w:rsidRPr="00954547">
        <w:rPr>
          <w:rFonts w:ascii="Verdana" w:hAnsi="Verdana"/>
          <w:sz w:val="16"/>
          <w:szCs w:val="16"/>
        </w:rPr>
        <w:t xml:space="preserve"> to </w:t>
      </w:r>
      <w:r w:rsidRPr="00954547">
        <w:rPr>
          <w:rFonts w:ascii="Verdana" w:hAnsi="Verdana"/>
          <w:sz w:val="16"/>
          <w:szCs w:val="16"/>
        </w:rPr>
        <w:t xml:space="preserve">3822); </w:t>
      </w:r>
      <w:r w:rsidR="00FF2DDD" w:rsidRPr="00954547">
        <w:rPr>
          <w:rFonts w:ascii="Verdana" w:hAnsi="Verdana"/>
          <w:sz w:val="16"/>
          <w:szCs w:val="16"/>
        </w:rPr>
        <w:t>affidavit made by</w:t>
      </w:r>
      <w:r w:rsidRPr="00954547">
        <w:rPr>
          <w:rFonts w:ascii="Verdana" w:hAnsi="Verdana"/>
          <w:sz w:val="16"/>
          <w:szCs w:val="16"/>
        </w:rPr>
        <w:t xml:space="preserve"> Alba Lorena Rodríguez </w:t>
      </w:r>
      <w:r w:rsidR="0060432C" w:rsidRPr="00954547">
        <w:rPr>
          <w:rFonts w:ascii="Verdana" w:hAnsi="Verdana"/>
          <w:sz w:val="16"/>
          <w:szCs w:val="16"/>
        </w:rPr>
        <w:t>on February 24,</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3823</w:t>
      </w:r>
      <w:r w:rsidR="0060432C" w:rsidRPr="00954547">
        <w:rPr>
          <w:rFonts w:ascii="Verdana" w:hAnsi="Verdana"/>
          <w:sz w:val="16"/>
          <w:szCs w:val="16"/>
        </w:rPr>
        <w:t xml:space="preserve"> to </w:t>
      </w:r>
      <w:r w:rsidRPr="00954547">
        <w:rPr>
          <w:rFonts w:ascii="Verdana" w:hAnsi="Verdana"/>
          <w:sz w:val="16"/>
          <w:szCs w:val="16"/>
        </w:rPr>
        <w:t xml:space="preserve">3825); </w:t>
      </w:r>
      <w:r w:rsidR="00FF2DDD" w:rsidRPr="00954547">
        <w:rPr>
          <w:rFonts w:ascii="Verdana" w:hAnsi="Verdana"/>
          <w:sz w:val="16"/>
          <w:szCs w:val="16"/>
        </w:rPr>
        <w:t>affidavit made by</w:t>
      </w:r>
      <w:r w:rsidRPr="00954547">
        <w:rPr>
          <w:rFonts w:ascii="Verdana" w:hAnsi="Verdana"/>
          <w:sz w:val="16"/>
          <w:szCs w:val="16"/>
        </w:rPr>
        <w:t xml:space="preserve"> Teodora del Carmen Vásquez </w:t>
      </w:r>
      <w:r w:rsidR="0060432C" w:rsidRPr="00954547">
        <w:rPr>
          <w:rFonts w:ascii="Verdana" w:hAnsi="Verdana"/>
          <w:sz w:val="16"/>
          <w:szCs w:val="16"/>
        </w:rPr>
        <w:t>on March 3,</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3827</w:t>
      </w:r>
      <w:r w:rsidR="0060432C" w:rsidRPr="00954547">
        <w:rPr>
          <w:rFonts w:ascii="Verdana" w:hAnsi="Verdana"/>
          <w:sz w:val="16"/>
          <w:szCs w:val="16"/>
        </w:rPr>
        <w:t xml:space="preserve"> to </w:t>
      </w:r>
      <w:r w:rsidRPr="00954547">
        <w:rPr>
          <w:rFonts w:ascii="Verdana" w:hAnsi="Verdana"/>
          <w:sz w:val="16"/>
          <w:szCs w:val="16"/>
        </w:rPr>
        <w:t xml:space="preserve">3829); </w:t>
      </w:r>
      <w:r w:rsidR="0060432C" w:rsidRPr="00954547">
        <w:rPr>
          <w:rFonts w:ascii="Verdana" w:hAnsi="Verdana"/>
          <w:sz w:val="16"/>
          <w:szCs w:val="16"/>
        </w:rPr>
        <w:t>expert opinion provided by affidavit by</w:t>
      </w:r>
      <w:r w:rsidRPr="00954547">
        <w:rPr>
          <w:rFonts w:ascii="Verdana" w:hAnsi="Verdana"/>
          <w:sz w:val="16"/>
          <w:szCs w:val="16"/>
        </w:rPr>
        <w:t xml:space="preserve"> José Mario Nájera Ochoa </w:t>
      </w:r>
      <w:r w:rsidR="00FF2DDD" w:rsidRPr="00954547">
        <w:rPr>
          <w:rFonts w:ascii="Verdana" w:hAnsi="Verdana"/>
          <w:sz w:val="16"/>
          <w:szCs w:val="16"/>
        </w:rPr>
        <w:t>on March 5,</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3830</w:t>
      </w:r>
      <w:r w:rsidR="0060432C" w:rsidRPr="00954547">
        <w:rPr>
          <w:rFonts w:ascii="Verdana" w:hAnsi="Verdana"/>
          <w:sz w:val="16"/>
          <w:szCs w:val="16"/>
        </w:rPr>
        <w:t xml:space="preserve"> to </w:t>
      </w:r>
      <w:r w:rsidRPr="00954547">
        <w:rPr>
          <w:rFonts w:ascii="Verdana" w:hAnsi="Verdana"/>
          <w:sz w:val="16"/>
          <w:szCs w:val="16"/>
        </w:rPr>
        <w:t xml:space="preserve">3857); </w:t>
      </w:r>
      <w:r w:rsidR="0060432C" w:rsidRPr="00954547">
        <w:rPr>
          <w:rFonts w:ascii="Verdana" w:hAnsi="Verdana"/>
          <w:sz w:val="16"/>
          <w:szCs w:val="16"/>
        </w:rPr>
        <w:t>expert opinion provided by affidavit by</w:t>
      </w:r>
      <w:r w:rsidRPr="00954547">
        <w:rPr>
          <w:rFonts w:ascii="Verdana" w:hAnsi="Verdana"/>
          <w:sz w:val="16"/>
          <w:szCs w:val="16"/>
        </w:rPr>
        <w:t xml:space="preserve"> Verónica Undurraga </w:t>
      </w:r>
      <w:r w:rsidR="00FF2DDD" w:rsidRPr="00954547">
        <w:rPr>
          <w:rFonts w:ascii="Verdana" w:hAnsi="Verdana"/>
          <w:sz w:val="16"/>
          <w:szCs w:val="16"/>
        </w:rPr>
        <w:t>on March 5,</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3859</w:t>
      </w:r>
      <w:r w:rsidR="0060432C" w:rsidRPr="00954547">
        <w:rPr>
          <w:rFonts w:ascii="Verdana" w:hAnsi="Verdana"/>
          <w:sz w:val="16"/>
          <w:szCs w:val="16"/>
        </w:rPr>
        <w:t xml:space="preserve"> to </w:t>
      </w:r>
      <w:r w:rsidRPr="00954547">
        <w:rPr>
          <w:rFonts w:ascii="Verdana" w:hAnsi="Verdana"/>
          <w:sz w:val="16"/>
          <w:szCs w:val="16"/>
        </w:rPr>
        <w:t xml:space="preserve">3891); </w:t>
      </w:r>
      <w:r w:rsidR="0060432C" w:rsidRPr="00954547">
        <w:rPr>
          <w:rFonts w:ascii="Verdana" w:hAnsi="Verdana"/>
          <w:sz w:val="16"/>
          <w:szCs w:val="16"/>
        </w:rPr>
        <w:t>expert opinion provided by</w:t>
      </w:r>
      <w:r w:rsidRPr="00954547">
        <w:rPr>
          <w:rFonts w:ascii="Verdana" w:hAnsi="Verdana"/>
          <w:sz w:val="16"/>
          <w:szCs w:val="16"/>
        </w:rPr>
        <w:t xml:space="preserve"> David Ernesto Morales Cruz </w:t>
      </w:r>
      <w:r w:rsidR="007D7721" w:rsidRPr="00954547">
        <w:rPr>
          <w:rFonts w:ascii="Verdana" w:hAnsi="Verdana"/>
          <w:sz w:val="16"/>
          <w:szCs w:val="16"/>
        </w:rPr>
        <w:t>on March 4,</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3893</w:t>
      </w:r>
      <w:r w:rsidR="0060432C" w:rsidRPr="00954547">
        <w:rPr>
          <w:rFonts w:ascii="Verdana" w:hAnsi="Verdana"/>
          <w:sz w:val="16"/>
          <w:szCs w:val="16"/>
        </w:rPr>
        <w:t xml:space="preserve"> to </w:t>
      </w:r>
      <w:r w:rsidRPr="00954547">
        <w:rPr>
          <w:rFonts w:ascii="Verdana" w:hAnsi="Verdana"/>
          <w:sz w:val="16"/>
          <w:szCs w:val="16"/>
        </w:rPr>
        <w:t xml:space="preserve">3986); </w:t>
      </w:r>
      <w:r w:rsidR="0060432C" w:rsidRPr="00954547">
        <w:rPr>
          <w:rFonts w:ascii="Verdana" w:hAnsi="Verdana"/>
          <w:sz w:val="16"/>
          <w:szCs w:val="16"/>
        </w:rPr>
        <w:t>expert opinion provided by</w:t>
      </w:r>
      <w:r w:rsidRPr="00954547">
        <w:rPr>
          <w:rFonts w:ascii="Verdana" w:hAnsi="Verdana"/>
          <w:sz w:val="16"/>
          <w:szCs w:val="16"/>
        </w:rPr>
        <w:t xml:space="preserve"> Alba Evelyn Cortez </w:t>
      </w:r>
      <w:r w:rsidR="00FF2DDD" w:rsidRPr="00954547">
        <w:rPr>
          <w:rFonts w:ascii="Verdana" w:hAnsi="Verdana"/>
          <w:sz w:val="16"/>
          <w:szCs w:val="16"/>
        </w:rPr>
        <w:t>on March 5,</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3988</w:t>
      </w:r>
      <w:r w:rsidR="0060432C" w:rsidRPr="00954547">
        <w:rPr>
          <w:rFonts w:ascii="Verdana" w:hAnsi="Verdana"/>
          <w:sz w:val="16"/>
          <w:szCs w:val="16"/>
        </w:rPr>
        <w:t xml:space="preserve"> to </w:t>
      </w:r>
      <w:r w:rsidRPr="00954547">
        <w:rPr>
          <w:rFonts w:ascii="Verdana" w:hAnsi="Verdana"/>
          <w:sz w:val="16"/>
          <w:szCs w:val="16"/>
        </w:rPr>
        <w:t>4008),</w:t>
      </w:r>
      <w:r w:rsidR="0078694F" w:rsidRPr="00954547">
        <w:rPr>
          <w:rFonts w:ascii="Verdana" w:hAnsi="Verdana"/>
          <w:sz w:val="16"/>
          <w:szCs w:val="16"/>
        </w:rPr>
        <w:t xml:space="preserve"> and </w:t>
      </w:r>
      <w:r w:rsidR="0060432C" w:rsidRPr="00954547">
        <w:rPr>
          <w:rFonts w:ascii="Verdana" w:hAnsi="Verdana"/>
          <w:sz w:val="16"/>
          <w:szCs w:val="16"/>
        </w:rPr>
        <w:t>expert opinion provided by</w:t>
      </w:r>
      <w:r w:rsidRPr="00954547">
        <w:rPr>
          <w:rFonts w:ascii="Verdana" w:hAnsi="Verdana"/>
          <w:sz w:val="16"/>
          <w:szCs w:val="16"/>
        </w:rPr>
        <w:t xml:space="preserve"> Oscar A. Cabrera </w:t>
      </w:r>
      <w:r w:rsidR="007D7721" w:rsidRPr="00954547">
        <w:rPr>
          <w:rFonts w:ascii="Verdana" w:hAnsi="Verdana"/>
          <w:sz w:val="16"/>
          <w:szCs w:val="16"/>
        </w:rPr>
        <w:t>on March 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4015</w:t>
      </w:r>
      <w:r w:rsidR="0060432C" w:rsidRPr="00954547">
        <w:rPr>
          <w:rFonts w:ascii="Verdana" w:hAnsi="Verdana"/>
          <w:sz w:val="16"/>
          <w:szCs w:val="16"/>
        </w:rPr>
        <w:t xml:space="preserve"> to </w:t>
      </w:r>
      <w:r w:rsidRPr="00954547">
        <w:rPr>
          <w:rFonts w:ascii="Verdana" w:hAnsi="Verdana"/>
          <w:sz w:val="16"/>
          <w:szCs w:val="16"/>
        </w:rPr>
        <w:t>4050).</w:t>
      </w:r>
    </w:p>
  </w:footnote>
  <w:footnote w:id="80">
    <w:p w14:paraId="07315207" w14:textId="7D2406DA"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sz w:val="16"/>
          <w:szCs w:val="16"/>
        </w:rPr>
        <w:t xml:space="preserve"> </w:t>
      </w:r>
      <w:r w:rsidR="007D7721" w:rsidRPr="00954547">
        <w:rPr>
          <w:rFonts w:ascii="Verdana" w:hAnsi="Verdana"/>
          <w:sz w:val="16"/>
          <w:szCs w:val="16"/>
        </w:rPr>
        <w:t>Statements made by</w:t>
      </w:r>
      <w:r w:rsidRPr="00954547">
        <w:rPr>
          <w:rFonts w:ascii="Verdana" w:hAnsi="Verdana"/>
          <w:sz w:val="16"/>
          <w:szCs w:val="16"/>
        </w:rPr>
        <w:t xml:space="preserve"> Guillermo Antonio Ortiz Avendaño</w:t>
      </w:r>
      <w:r w:rsidR="0078694F" w:rsidRPr="00954547">
        <w:rPr>
          <w:rFonts w:ascii="Verdana" w:hAnsi="Verdana"/>
          <w:sz w:val="16"/>
          <w:szCs w:val="16"/>
        </w:rPr>
        <w:t xml:space="preserve"> and </w:t>
      </w:r>
      <w:r w:rsidRPr="00954547">
        <w:rPr>
          <w:rFonts w:ascii="Verdana" w:hAnsi="Verdana"/>
          <w:sz w:val="16"/>
          <w:szCs w:val="16"/>
        </w:rPr>
        <w:t xml:space="preserve">Laura Clérico, </w:t>
      </w:r>
      <w:r w:rsidR="007D7721" w:rsidRPr="00954547">
        <w:rPr>
          <w:rFonts w:ascii="Verdana" w:hAnsi="Verdana"/>
          <w:sz w:val="16"/>
          <w:szCs w:val="16"/>
        </w:rPr>
        <w:t>during the public hearing held in this case</w:t>
      </w:r>
      <w:r w:rsidRPr="00954547">
        <w:rPr>
          <w:rFonts w:ascii="Verdana" w:hAnsi="Verdana"/>
          <w:sz w:val="16"/>
          <w:szCs w:val="16"/>
        </w:rPr>
        <w:t>,</w:t>
      </w:r>
      <w:r w:rsidR="0078694F" w:rsidRPr="00954547">
        <w:rPr>
          <w:rFonts w:ascii="Verdana" w:hAnsi="Verdana"/>
          <w:sz w:val="16"/>
          <w:szCs w:val="16"/>
        </w:rPr>
        <w:t xml:space="preserve"> and </w:t>
      </w:r>
      <w:r w:rsidR="007D7721" w:rsidRPr="00954547">
        <w:rPr>
          <w:rFonts w:ascii="Verdana" w:hAnsi="Verdana"/>
          <w:sz w:val="16"/>
          <w:szCs w:val="16"/>
        </w:rPr>
        <w:t xml:space="preserve">written version of the expert opinion of </w:t>
      </w:r>
      <w:r w:rsidRPr="00954547">
        <w:rPr>
          <w:rFonts w:ascii="Verdana" w:hAnsi="Verdana"/>
          <w:sz w:val="16"/>
          <w:szCs w:val="16"/>
        </w:rPr>
        <w:t xml:space="preserve">Laura Clérico </w:t>
      </w:r>
      <w:r w:rsidR="007D7721" w:rsidRPr="00954547">
        <w:rPr>
          <w:rFonts w:ascii="Verdana" w:hAnsi="Verdana"/>
          <w:sz w:val="16"/>
          <w:szCs w:val="16"/>
        </w:rPr>
        <w:t>of March 10,</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4050</w:t>
      </w:r>
      <w:r w:rsidR="0060432C" w:rsidRPr="00954547">
        <w:rPr>
          <w:rFonts w:ascii="Verdana" w:hAnsi="Verdana"/>
          <w:sz w:val="16"/>
          <w:szCs w:val="16"/>
        </w:rPr>
        <w:t xml:space="preserve"> to </w:t>
      </w:r>
      <w:r w:rsidRPr="00954547">
        <w:rPr>
          <w:rFonts w:ascii="Verdana" w:hAnsi="Verdana"/>
          <w:sz w:val="16"/>
          <w:szCs w:val="16"/>
        </w:rPr>
        <w:t>4111).</w:t>
      </w:r>
    </w:p>
  </w:footnote>
  <w:footnote w:id="81">
    <w:p w14:paraId="0A2493EA" w14:textId="69BE35E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Manuela </w:t>
      </w:r>
      <w:r w:rsidR="00B8393C" w:rsidRPr="00954547">
        <w:rPr>
          <w:rFonts w:ascii="Verdana" w:hAnsi="Verdana"/>
          <w:i/>
          <w:sz w:val="16"/>
          <w:szCs w:val="16"/>
          <w:lang w:val="es-CR"/>
        </w:rPr>
        <w:t>et al. v.</w:t>
      </w:r>
      <w:r w:rsidRPr="00954547">
        <w:rPr>
          <w:rFonts w:ascii="Verdana" w:hAnsi="Verdana"/>
          <w:i/>
          <w:sz w:val="16"/>
          <w:szCs w:val="16"/>
          <w:lang w:val="es-CR"/>
        </w:rPr>
        <w:t xml:space="preserve"> El Salvador</w:t>
      </w:r>
      <w:r w:rsidRPr="00954547">
        <w:rPr>
          <w:rFonts w:ascii="Verdana" w:hAnsi="Verdana"/>
          <w:sz w:val="16"/>
          <w:szCs w:val="16"/>
          <w:lang w:val="es-CR"/>
        </w:rPr>
        <w:t xml:space="preserve">. </w:t>
      </w:r>
      <w:r w:rsidR="007D7721" w:rsidRPr="00954547">
        <w:rPr>
          <w:rFonts w:ascii="Verdana" w:hAnsi="Verdana"/>
          <w:sz w:val="16"/>
          <w:szCs w:val="16"/>
        </w:rPr>
        <w:t>Call to a hearing</w:t>
      </w:r>
      <w:r w:rsidRPr="00954547">
        <w:rPr>
          <w:rFonts w:ascii="Verdana" w:hAnsi="Verdana"/>
          <w:sz w:val="16"/>
          <w:szCs w:val="16"/>
        </w:rPr>
        <w:t xml:space="preserve">. </w:t>
      </w:r>
      <w:r w:rsidR="007D7721" w:rsidRPr="00954547">
        <w:rPr>
          <w:rFonts w:ascii="Verdana" w:hAnsi="Verdana"/>
          <w:sz w:val="16"/>
          <w:szCs w:val="16"/>
        </w:rPr>
        <w:t>Order</w:t>
      </w:r>
      <w:r w:rsidR="00607E12" w:rsidRPr="00954547">
        <w:rPr>
          <w:rFonts w:ascii="Verdana" w:hAnsi="Verdana"/>
          <w:sz w:val="16"/>
          <w:szCs w:val="16"/>
        </w:rPr>
        <w:t xml:space="preserve"> of the </w:t>
      </w:r>
      <w:r w:rsidR="00A42A4C" w:rsidRPr="00954547">
        <w:rPr>
          <w:rFonts w:ascii="Verdana" w:hAnsi="Verdana"/>
          <w:sz w:val="16"/>
          <w:szCs w:val="16"/>
        </w:rPr>
        <w:t>President</w:t>
      </w:r>
      <w:r w:rsidR="00607E12" w:rsidRPr="00954547">
        <w:rPr>
          <w:rFonts w:ascii="Verdana" w:hAnsi="Verdana"/>
          <w:sz w:val="16"/>
          <w:szCs w:val="16"/>
        </w:rPr>
        <w:t xml:space="preserve"> of the </w:t>
      </w:r>
      <w:r w:rsidR="00E76B1A" w:rsidRPr="00954547">
        <w:rPr>
          <w:rFonts w:ascii="Verdana" w:hAnsi="Verdana"/>
          <w:sz w:val="16"/>
          <w:szCs w:val="16"/>
        </w:rPr>
        <w:t>Inter-American Court of Human Rights</w:t>
      </w:r>
      <w:r w:rsidRPr="00954547">
        <w:rPr>
          <w:rFonts w:ascii="Verdana" w:hAnsi="Verdana"/>
          <w:sz w:val="16"/>
          <w:szCs w:val="16"/>
        </w:rPr>
        <w:t xml:space="preserve"> </w:t>
      </w:r>
      <w:r w:rsidR="00A70DC4" w:rsidRPr="00954547">
        <w:rPr>
          <w:rFonts w:ascii="Verdana" w:hAnsi="Verdana"/>
          <w:sz w:val="16"/>
          <w:szCs w:val="16"/>
        </w:rPr>
        <w:t>of December 2,</w:t>
      </w:r>
      <w:r w:rsidRPr="00954547">
        <w:rPr>
          <w:rFonts w:ascii="Verdana" w:hAnsi="Verdana"/>
          <w:sz w:val="16"/>
          <w:szCs w:val="16"/>
        </w:rPr>
        <w:t xml:space="preserve"> 2020, </w:t>
      </w:r>
      <w:r w:rsidR="007D7721" w:rsidRPr="00954547">
        <w:rPr>
          <w:rFonts w:ascii="Verdana" w:hAnsi="Verdana"/>
          <w:sz w:val="16"/>
          <w:szCs w:val="16"/>
        </w:rPr>
        <w:t>first operative paragraph.</w:t>
      </w:r>
    </w:p>
  </w:footnote>
  <w:footnote w:id="82">
    <w:p w14:paraId="11887699" w14:textId="412F5766"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A17F8C" w:rsidRPr="00954547">
        <w:t>Article</w:t>
      </w:r>
      <w:r w:rsidRPr="00954547">
        <w:t xml:space="preserve"> 169 </w:t>
      </w:r>
      <w:r w:rsidR="007D7721" w:rsidRPr="00954547">
        <w:t>of the 1973 Criminal Code</w:t>
      </w:r>
      <w:r w:rsidRPr="00954547">
        <w:t xml:space="preserve"> </w:t>
      </w:r>
      <w:r w:rsidR="007D7721" w:rsidRPr="00954547">
        <w:t>established that</w:t>
      </w:r>
      <w:r w:rsidR="007B346F" w:rsidRPr="00954547">
        <w:t>:</w:t>
      </w:r>
      <w:r w:rsidRPr="00954547">
        <w:t xml:space="preserve"> “</w:t>
      </w:r>
      <w:r w:rsidR="007B346F" w:rsidRPr="00954547">
        <w:t>The following are no</w:t>
      </w:r>
      <w:r w:rsidR="00240BF2" w:rsidRPr="00954547">
        <w:t>n-</w:t>
      </w:r>
      <w:r w:rsidR="002B24F9" w:rsidRPr="00954547">
        <w:t>punishabl</w:t>
      </w:r>
      <w:r w:rsidR="007B346F" w:rsidRPr="00954547">
        <w:t>e:</w:t>
      </w:r>
      <w:r w:rsidRPr="00954547">
        <w:t xml:space="preserve"> </w:t>
      </w:r>
      <w:r w:rsidR="007B346F" w:rsidRPr="00954547">
        <w:t>(</w:t>
      </w:r>
      <w:r w:rsidRPr="00954547">
        <w:t xml:space="preserve">1) </w:t>
      </w:r>
      <w:r w:rsidR="007B346F" w:rsidRPr="00954547">
        <w:t xml:space="preserve">Culpable self-induced abortion or attempted abortion; (2) Abortion performed by </w:t>
      </w:r>
      <w:r w:rsidR="00A5021C" w:rsidRPr="00954547">
        <w:t xml:space="preserve">a doctor to save the life of the mother, if there is no other </w:t>
      </w:r>
      <w:r w:rsidR="002B24F9" w:rsidRPr="00954547">
        <w:t xml:space="preserve">suitable </w:t>
      </w:r>
      <w:r w:rsidR="00A5021C" w:rsidRPr="00954547">
        <w:t>measure</w:t>
      </w:r>
      <w:r w:rsidR="002B24F9" w:rsidRPr="00954547">
        <w:t>,</w:t>
      </w:r>
      <w:r w:rsidR="00A5021C" w:rsidRPr="00954547">
        <w:t xml:space="preserve"> and performed with the consent of the woman and following a prior medical opinion. If the women should be a minor, incapable or unable to give her consent, the consent of her spouse, legal representative or a close relati</w:t>
      </w:r>
      <w:r w:rsidR="002B24F9" w:rsidRPr="00954547">
        <w:t>ve</w:t>
      </w:r>
      <w:r w:rsidR="00A5021C" w:rsidRPr="00954547">
        <w:t xml:space="preserve"> </w:t>
      </w:r>
      <w:r w:rsidR="00C86FE5" w:rsidRPr="00954547">
        <w:t>sha</w:t>
      </w:r>
      <w:r w:rsidR="00A5021C" w:rsidRPr="00954547">
        <w:t xml:space="preserve">ll be necessary; (3) The abortion performed by a doctor, when it is presumed that the pregnancy is the result of a crime of rape and </w:t>
      </w:r>
      <w:r w:rsidR="00C86FE5" w:rsidRPr="00954547">
        <w:t>it shall be performed with the woman’s consent, and (4) Abortion performed by a doctor with the woman’s consent when the purpose is to avoid a probable severe deformity of the fetus.</w:t>
      </w:r>
      <w:r w:rsidRPr="00954547">
        <w:t xml:space="preserve">” </w:t>
      </w:r>
      <w:r w:rsidR="00C86FE5" w:rsidRPr="00954547">
        <w:rPr>
          <w:rStyle w:val="FootnoteReference"/>
          <w:vertAlign w:val="baseline"/>
        </w:rPr>
        <w:t>Legislative Assembly</w:t>
      </w:r>
      <w:r w:rsidR="00607E12" w:rsidRPr="00954547">
        <w:rPr>
          <w:rStyle w:val="FootnoteReference"/>
          <w:vertAlign w:val="baseline"/>
        </w:rPr>
        <w:t xml:space="preserve"> of the </w:t>
      </w:r>
      <w:r w:rsidR="00B8393C" w:rsidRPr="00954547">
        <w:rPr>
          <w:rStyle w:val="FootnoteReference"/>
          <w:vertAlign w:val="baseline"/>
        </w:rPr>
        <w:t>Republic of</w:t>
      </w:r>
      <w:r w:rsidRPr="00954547">
        <w:rPr>
          <w:rStyle w:val="FootnoteReference"/>
          <w:vertAlign w:val="baseline"/>
        </w:rPr>
        <w:t xml:space="preserve"> El Salvador</w:t>
      </w:r>
      <w:r w:rsidRPr="00954547">
        <w:t xml:space="preserve">. </w:t>
      </w:r>
      <w:r w:rsidR="00C86FE5" w:rsidRPr="00954547">
        <w:t>Criminal Code</w:t>
      </w:r>
      <w:r w:rsidRPr="00954547">
        <w:t xml:space="preserve">, </w:t>
      </w:r>
      <w:r w:rsidR="00C86FE5" w:rsidRPr="00954547">
        <w:t>Legislative Decree</w:t>
      </w:r>
      <w:r w:rsidRPr="00954547">
        <w:t xml:space="preserve"> No. 270 </w:t>
      </w:r>
      <w:r w:rsidR="00C86FE5" w:rsidRPr="00954547">
        <w:t>of February 13,</w:t>
      </w:r>
      <w:r w:rsidRPr="00954547">
        <w:t xml:space="preserve"> 1973, </w:t>
      </w:r>
      <w:r w:rsidR="007D7721" w:rsidRPr="00954547">
        <w:t>a</w:t>
      </w:r>
      <w:r w:rsidR="00A17F8C" w:rsidRPr="00954547">
        <w:t>rticle</w:t>
      </w:r>
      <w:r w:rsidRPr="00954547">
        <w:t xml:space="preserve"> 169. </w:t>
      </w:r>
      <w:r w:rsidR="002F4617" w:rsidRPr="00954547">
        <w:t>Available at</w:t>
      </w:r>
      <w:r w:rsidRPr="00954547">
        <w:t xml:space="preserve">: </w:t>
      </w:r>
      <w:hyperlink r:id="rId2" w:history="1">
        <w:r w:rsidR="002B24F9" w:rsidRPr="00954547">
          <w:rPr>
            <w:rStyle w:val="Hyperlink"/>
          </w:rPr>
          <w:t>https://oig.cepal.org/sites/default/files/1973_decreto270 codigopenal_el_salvador.pdf</w:t>
        </w:r>
      </w:hyperlink>
      <w:r w:rsidRPr="00954547">
        <w:t xml:space="preserve"> </w:t>
      </w:r>
      <w:r w:rsidRPr="00954547">
        <w:rPr>
          <w:rStyle w:val="FootnoteReference"/>
          <w:vertAlign w:val="baseline"/>
        </w:rPr>
        <w:t xml:space="preserve"> </w:t>
      </w:r>
    </w:p>
  </w:footnote>
  <w:footnote w:id="83">
    <w:p w14:paraId="3B3A7864" w14:textId="5C474736"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Cambria"/>
          <w:sz w:val="16"/>
          <w:szCs w:val="16"/>
          <w:bdr w:val="none" w:sz="0" w:space="0" w:color="auto"/>
          <w:lang w:val="es-CR"/>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155 </w:t>
      </w:r>
      <w:r w:rsidR="007D7721" w:rsidRPr="00954547">
        <w:rPr>
          <w:rFonts w:ascii="Verdana" w:hAnsi="Verdana"/>
          <w:sz w:val="16"/>
          <w:szCs w:val="16"/>
        </w:rPr>
        <w:t>of the 1973 Criminal Code</w:t>
      </w:r>
      <w:r w:rsidRPr="00954547">
        <w:rPr>
          <w:rFonts w:ascii="Verdana" w:hAnsi="Verdana"/>
          <w:sz w:val="16"/>
          <w:szCs w:val="16"/>
        </w:rPr>
        <w:t xml:space="preserve"> </w:t>
      </w:r>
      <w:r w:rsidR="001101C0" w:rsidRPr="00954547">
        <w:rPr>
          <w:rFonts w:ascii="Verdana" w:hAnsi="Verdana"/>
          <w:sz w:val="16"/>
          <w:szCs w:val="16"/>
        </w:rPr>
        <w:t>established that</w:t>
      </w:r>
      <w:r w:rsidRPr="00954547">
        <w:rPr>
          <w:rFonts w:ascii="Verdana" w:hAnsi="Verdana"/>
          <w:sz w:val="16"/>
          <w:szCs w:val="16"/>
        </w:rPr>
        <w:t xml:space="preserve"> </w:t>
      </w:r>
      <w:r w:rsidRPr="00954547">
        <w:rPr>
          <w:rFonts w:ascii="Verdana" w:eastAsiaTheme="minorHAnsi" w:hAnsi="Verdana" w:cs="Cambria"/>
          <w:sz w:val="16"/>
          <w:szCs w:val="16"/>
          <w:bdr w:val="none" w:sz="0" w:space="0" w:color="auto"/>
        </w:rPr>
        <w:t>“</w:t>
      </w:r>
      <w:r w:rsidR="001101C0" w:rsidRPr="00954547">
        <w:rPr>
          <w:rFonts w:ascii="Verdana" w:eastAsiaTheme="minorHAnsi" w:hAnsi="Verdana" w:cs="Cambria"/>
          <w:sz w:val="16"/>
          <w:szCs w:val="16"/>
          <w:bdr w:val="none" w:sz="0" w:space="0" w:color="auto"/>
        </w:rPr>
        <w:t xml:space="preserve">the mother who kills her child during </w:t>
      </w:r>
      <w:r w:rsidR="00F02797" w:rsidRPr="00954547">
        <w:rPr>
          <w:rFonts w:ascii="Verdana" w:eastAsiaTheme="minorHAnsi" w:hAnsi="Verdana" w:cs="Cambria"/>
          <w:sz w:val="16"/>
          <w:szCs w:val="16"/>
          <w:bdr w:val="none" w:sz="0" w:space="0" w:color="auto"/>
        </w:rPr>
        <w:t>the delivery</w:t>
      </w:r>
      <w:r w:rsidR="001101C0" w:rsidRPr="00954547">
        <w:rPr>
          <w:rFonts w:ascii="Verdana" w:eastAsiaTheme="minorHAnsi" w:hAnsi="Verdana" w:cs="Cambria"/>
          <w:sz w:val="16"/>
          <w:szCs w:val="16"/>
          <w:bdr w:val="none" w:sz="0" w:space="0" w:color="auto"/>
        </w:rPr>
        <w:t xml:space="preserve"> or within the following seventy-two hours, in a state of violent emotion made excusable by the circumstances, shall be sentenced to one to four years’ </w:t>
      </w:r>
      <w:r w:rsidR="001101C0" w:rsidRPr="00954547">
        <w:rPr>
          <w:rFonts w:ascii="Verdana" w:hAnsi="Verdana"/>
          <w:sz w:val="16"/>
          <w:szCs w:val="16"/>
          <w:bdr w:val="none" w:sz="0" w:space="0" w:color="auto"/>
        </w:rPr>
        <w:t>imprisonment.</w:t>
      </w:r>
      <w:r w:rsidR="001101C0" w:rsidRPr="00954547">
        <w:rPr>
          <w:rFonts w:ascii="Verdana" w:eastAsiaTheme="minorHAnsi" w:hAnsi="Verdana" w:cs="Cambria"/>
          <w:sz w:val="16"/>
          <w:szCs w:val="16"/>
          <w:bdr w:val="none" w:sz="0" w:space="0" w:color="auto"/>
        </w:rPr>
        <w:t xml:space="preserve">” </w:t>
      </w:r>
      <w:r w:rsidR="00C86FE5" w:rsidRPr="00954547">
        <w:rPr>
          <w:rFonts w:ascii="Verdana" w:eastAsiaTheme="minorHAnsi" w:hAnsi="Verdana" w:cs="Cambria"/>
          <w:sz w:val="16"/>
          <w:szCs w:val="16"/>
          <w:bdr w:val="none" w:sz="0" w:space="0" w:color="auto"/>
        </w:rPr>
        <w:t>Legislative Assembly</w:t>
      </w:r>
      <w:r w:rsidR="00607E12" w:rsidRPr="00954547">
        <w:rPr>
          <w:rFonts w:ascii="Verdana" w:eastAsiaTheme="minorHAnsi" w:hAnsi="Verdana" w:cs="Cambria"/>
          <w:sz w:val="16"/>
          <w:szCs w:val="16"/>
          <w:bdr w:val="none" w:sz="0" w:space="0" w:color="auto"/>
        </w:rPr>
        <w:t xml:space="preserve"> of the </w:t>
      </w:r>
      <w:r w:rsidR="00B8393C" w:rsidRPr="00954547">
        <w:rPr>
          <w:rFonts w:ascii="Verdana" w:eastAsiaTheme="minorHAnsi" w:hAnsi="Verdana" w:cs="Cambria"/>
          <w:sz w:val="16"/>
          <w:szCs w:val="16"/>
          <w:bdr w:val="none" w:sz="0" w:space="0" w:color="auto"/>
        </w:rPr>
        <w:t>Republic of</w:t>
      </w:r>
      <w:r w:rsidRPr="00954547">
        <w:rPr>
          <w:rFonts w:ascii="Verdana" w:eastAsiaTheme="minorHAnsi" w:hAnsi="Verdana" w:cs="Cambria"/>
          <w:sz w:val="16"/>
          <w:szCs w:val="16"/>
          <w:bdr w:val="none" w:sz="0" w:space="0" w:color="auto"/>
        </w:rPr>
        <w:t xml:space="preserve"> El Salvador. </w:t>
      </w:r>
      <w:r w:rsidR="001101C0" w:rsidRPr="00954547">
        <w:rPr>
          <w:rFonts w:ascii="Verdana" w:eastAsiaTheme="minorHAnsi" w:hAnsi="Verdana" w:cs="Cambria"/>
          <w:sz w:val="16"/>
          <w:szCs w:val="16"/>
          <w:bdr w:val="none" w:sz="0" w:space="0" w:color="auto"/>
        </w:rPr>
        <w:t>Criminal Code</w:t>
      </w:r>
      <w:r w:rsidRPr="00954547">
        <w:rPr>
          <w:rFonts w:ascii="Verdana" w:eastAsiaTheme="minorHAnsi" w:hAnsi="Verdana" w:cs="Cambria"/>
          <w:sz w:val="16"/>
          <w:szCs w:val="16"/>
          <w:bdr w:val="none" w:sz="0" w:space="0" w:color="auto"/>
        </w:rPr>
        <w:t xml:space="preserve">, </w:t>
      </w:r>
      <w:r w:rsidR="00C86FE5" w:rsidRPr="00954547">
        <w:rPr>
          <w:rFonts w:ascii="Verdana" w:eastAsiaTheme="minorHAnsi" w:hAnsi="Verdana" w:cs="Cambria"/>
          <w:sz w:val="16"/>
          <w:szCs w:val="16"/>
          <w:bdr w:val="none" w:sz="0" w:space="0" w:color="auto"/>
        </w:rPr>
        <w:t>Legislative Decree</w:t>
      </w:r>
      <w:r w:rsidRPr="00954547">
        <w:rPr>
          <w:rFonts w:ascii="Verdana" w:eastAsiaTheme="minorHAnsi" w:hAnsi="Verdana" w:cs="Cambria"/>
          <w:sz w:val="16"/>
          <w:szCs w:val="16"/>
          <w:bdr w:val="none" w:sz="0" w:space="0" w:color="auto"/>
        </w:rPr>
        <w:t xml:space="preserve"> No. 270 </w:t>
      </w:r>
      <w:r w:rsidR="00C86FE5" w:rsidRPr="00954547">
        <w:rPr>
          <w:rFonts w:ascii="Verdana" w:eastAsiaTheme="minorHAnsi" w:hAnsi="Verdana" w:cs="Cambria"/>
          <w:sz w:val="16"/>
          <w:szCs w:val="16"/>
          <w:bdr w:val="none" w:sz="0" w:space="0" w:color="auto"/>
        </w:rPr>
        <w:t>of February 13,</w:t>
      </w:r>
      <w:r w:rsidRPr="00954547">
        <w:rPr>
          <w:rFonts w:ascii="Verdana" w:eastAsiaTheme="minorHAnsi" w:hAnsi="Verdana" w:cs="Cambria"/>
          <w:sz w:val="16"/>
          <w:szCs w:val="16"/>
          <w:bdr w:val="none" w:sz="0" w:space="0" w:color="auto"/>
        </w:rPr>
        <w:t xml:space="preserve"> 1973, </w:t>
      </w:r>
      <w:r w:rsidR="001101C0" w:rsidRPr="00954547">
        <w:rPr>
          <w:rFonts w:ascii="Verdana" w:eastAsiaTheme="minorHAnsi" w:hAnsi="Verdana" w:cs="Cambria"/>
          <w:sz w:val="16"/>
          <w:szCs w:val="16"/>
          <w:bdr w:val="none" w:sz="0" w:space="0" w:color="auto"/>
        </w:rPr>
        <w:t>a</w:t>
      </w:r>
      <w:r w:rsidR="00A17F8C" w:rsidRPr="00954547">
        <w:rPr>
          <w:rFonts w:ascii="Verdana" w:eastAsiaTheme="minorHAnsi" w:hAnsi="Verdana" w:cs="Cambria"/>
          <w:sz w:val="16"/>
          <w:szCs w:val="16"/>
          <w:bdr w:val="none" w:sz="0" w:space="0" w:color="auto"/>
        </w:rPr>
        <w:t>rticle</w:t>
      </w:r>
      <w:r w:rsidRPr="00954547">
        <w:rPr>
          <w:rFonts w:ascii="Verdana" w:eastAsiaTheme="minorHAnsi" w:hAnsi="Verdana" w:cs="Cambria"/>
          <w:sz w:val="16"/>
          <w:szCs w:val="16"/>
          <w:bdr w:val="none" w:sz="0" w:space="0" w:color="auto"/>
        </w:rPr>
        <w:t xml:space="preserve"> 155. </w:t>
      </w:r>
      <w:r w:rsidR="002F4617" w:rsidRPr="00954547">
        <w:rPr>
          <w:rFonts w:ascii="Verdana" w:eastAsiaTheme="minorHAnsi" w:hAnsi="Verdana" w:cs="Cambria"/>
          <w:sz w:val="16"/>
          <w:szCs w:val="16"/>
          <w:bdr w:val="none" w:sz="0" w:space="0" w:color="auto"/>
          <w:lang w:val="es-CR"/>
        </w:rPr>
        <w:t>Available at</w:t>
      </w:r>
      <w:r w:rsidRPr="00954547">
        <w:rPr>
          <w:rFonts w:ascii="Verdana" w:eastAsiaTheme="minorHAnsi" w:hAnsi="Verdana" w:cs="Cambria"/>
          <w:sz w:val="16"/>
          <w:szCs w:val="16"/>
          <w:bdr w:val="none" w:sz="0" w:space="0" w:color="auto"/>
          <w:lang w:val="es-CR"/>
        </w:rPr>
        <w:t xml:space="preserve">: </w:t>
      </w:r>
      <w:hyperlink r:id="rId3" w:history="1">
        <w:r w:rsidR="001101C0" w:rsidRPr="00954547">
          <w:rPr>
            <w:rStyle w:val="Hyperlink"/>
            <w:rFonts w:ascii="Verdana" w:eastAsiaTheme="minorHAnsi" w:hAnsi="Verdana" w:cs="Cambria"/>
            <w:sz w:val="16"/>
            <w:szCs w:val="16"/>
            <w:bdr w:val="none" w:sz="0" w:space="0" w:color="auto"/>
            <w:lang w:val="es-CR"/>
          </w:rPr>
          <w:t>https://oig.cepal.org/sites/default/files/ 1973_decreto270codigopenal_el_salvador.pdf</w:t>
        </w:r>
      </w:hyperlink>
      <w:r w:rsidRPr="00954547">
        <w:rPr>
          <w:rFonts w:ascii="Verdana" w:eastAsiaTheme="minorHAnsi" w:hAnsi="Verdana" w:cs="Cambria"/>
          <w:b/>
          <w:sz w:val="16"/>
          <w:szCs w:val="16"/>
          <w:bdr w:val="none" w:sz="0" w:space="0" w:color="auto"/>
          <w:lang w:val="es-CR"/>
        </w:rPr>
        <w:t xml:space="preserve"> </w:t>
      </w:r>
    </w:p>
  </w:footnote>
  <w:footnote w:id="84">
    <w:p w14:paraId="4D295FA1" w14:textId="1FAAE604" w:rsidR="005F001B" w:rsidRPr="00954547" w:rsidRDefault="005F001B" w:rsidP="007619E6">
      <w:pPr>
        <w:pStyle w:val="NoSpacing"/>
        <w:spacing w:before="0"/>
      </w:pPr>
      <w:r w:rsidRPr="00954547">
        <w:rPr>
          <w:rStyle w:val="FootnoteReference"/>
        </w:rPr>
        <w:footnoteRef/>
      </w:r>
      <w:r w:rsidRPr="00954547">
        <w:rPr>
          <w:lang w:val="es-CR"/>
        </w:rPr>
        <w:t xml:space="preserve"> </w:t>
      </w:r>
      <w:r w:rsidRPr="00954547">
        <w:rPr>
          <w:lang w:val="es-CR"/>
        </w:rPr>
        <w:tab/>
      </w:r>
      <w:r w:rsidR="001101C0" w:rsidRPr="00954547">
        <w:rPr>
          <w:lang w:val="es-CR"/>
        </w:rPr>
        <w:t>Criminal Code</w:t>
      </w:r>
      <w:r w:rsidRPr="00954547">
        <w:rPr>
          <w:lang w:val="es-CR"/>
        </w:rPr>
        <w:t xml:space="preserve"> </w:t>
      </w:r>
      <w:r w:rsidR="001101C0" w:rsidRPr="00954547">
        <w:rPr>
          <w:rFonts w:eastAsiaTheme="minorHAnsi" w:cs="Arial"/>
          <w:bdr w:val="none" w:sz="0" w:space="0" w:color="auto"/>
          <w:lang w:val="es-CR"/>
        </w:rPr>
        <w:t>of</w:t>
      </w:r>
      <w:r w:rsidRPr="00954547">
        <w:rPr>
          <w:rFonts w:eastAsiaTheme="minorHAnsi" w:cs="Arial"/>
          <w:bdr w:val="none" w:sz="0" w:space="0" w:color="auto"/>
          <w:lang w:val="es-CR"/>
        </w:rPr>
        <w:t xml:space="preserve"> El Salvador.</w:t>
      </w:r>
      <w:r w:rsidRPr="00954547">
        <w:rPr>
          <w:lang w:val="es-CR"/>
        </w:rPr>
        <w:t xml:space="preserve"> </w:t>
      </w:r>
      <w:r w:rsidR="00C86FE5" w:rsidRPr="00954547">
        <w:t>Legislative Decree</w:t>
      </w:r>
      <w:r w:rsidRPr="00954547">
        <w:t xml:space="preserve"> No. 1030 </w:t>
      </w:r>
      <w:r w:rsidR="001101C0" w:rsidRPr="00954547">
        <w:t>of April 26,</w:t>
      </w:r>
      <w:r w:rsidRPr="00954547">
        <w:t xml:space="preserve"> 1997, </w:t>
      </w:r>
      <w:r w:rsidR="001101C0" w:rsidRPr="00954547">
        <w:t>a</w:t>
      </w:r>
      <w:r w:rsidR="00A17F8C" w:rsidRPr="00954547">
        <w:t>rticle</w:t>
      </w:r>
      <w:r w:rsidRPr="00954547">
        <w:t>s 128, 129, 133, 135, 136,</w:t>
      </w:r>
      <w:r w:rsidR="0078694F" w:rsidRPr="00954547">
        <w:t xml:space="preserve"> and </w:t>
      </w:r>
      <w:r w:rsidRPr="00954547">
        <w:t xml:space="preserve">137. </w:t>
      </w:r>
      <w:r w:rsidR="002F4617" w:rsidRPr="00954547">
        <w:t>Available at</w:t>
      </w:r>
      <w:r w:rsidRPr="00954547">
        <w:t xml:space="preserve">: </w:t>
      </w:r>
      <w:hyperlink r:id="rId4" w:history="1">
        <w:r w:rsidRPr="00954547">
          <w:rPr>
            <w:rStyle w:val="Hyperlink"/>
          </w:rPr>
          <w:t>https://www.asamblea.gob.sv/sites/default/files/documents/decretos/C0AB56F8-AF37-4F25-AD90-08AE401C0BA7.pdf</w:t>
        </w:r>
      </w:hyperlink>
      <w:r w:rsidRPr="00954547">
        <w:t xml:space="preserve"> </w:t>
      </w:r>
    </w:p>
  </w:footnote>
  <w:footnote w:id="85">
    <w:p w14:paraId="49DB8018" w14:textId="0D381446"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1101C0" w:rsidRPr="00954547">
        <w:t>Constitution</w:t>
      </w:r>
      <w:r w:rsidR="00607E12" w:rsidRPr="00954547">
        <w:t xml:space="preserve"> of the </w:t>
      </w:r>
      <w:r w:rsidR="00B8393C" w:rsidRPr="00954547">
        <w:t>Republic of</w:t>
      </w:r>
      <w:r w:rsidRPr="00954547">
        <w:t xml:space="preserve"> El Salvador, </w:t>
      </w:r>
      <w:r w:rsidR="00C86FE5" w:rsidRPr="00954547">
        <w:t>Legislative Decree</w:t>
      </w:r>
      <w:r w:rsidRPr="00954547">
        <w:rPr>
          <w:rFonts w:eastAsiaTheme="minorHAnsi" w:cs="Cambria"/>
          <w:bdr w:val="none" w:sz="0" w:space="0" w:color="auto"/>
        </w:rPr>
        <w:t xml:space="preserve"> No. </w:t>
      </w:r>
      <w:r w:rsidRPr="00954547">
        <w:t xml:space="preserve"> 38 </w:t>
      </w:r>
      <w:r w:rsidR="001101C0" w:rsidRPr="00954547">
        <w:t>of</w:t>
      </w:r>
      <w:r w:rsidRPr="00954547">
        <w:t xml:space="preserve"> 1983, </w:t>
      </w:r>
      <w:r w:rsidR="001101C0" w:rsidRPr="00954547">
        <w:t>amended on February</w:t>
      </w:r>
      <w:r w:rsidRPr="00954547">
        <w:t xml:space="preserve"> 16</w:t>
      </w:r>
      <w:r w:rsidR="001101C0" w:rsidRPr="00954547">
        <w:t xml:space="preserve">, </w:t>
      </w:r>
      <w:r w:rsidRPr="00954547">
        <w:t>1999</w:t>
      </w:r>
      <w:r w:rsidR="001101C0" w:rsidRPr="00954547">
        <w:t>, by Decree No.</w:t>
      </w:r>
      <w:r w:rsidRPr="00954547">
        <w:t xml:space="preserve"> 1451. </w:t>
      </w:r>
      <w:r w:rsidR="002F4617" w:rsidRPr="00954547">
        <w:t>Available at</w:t>
      </w:r>
      <w:r w:rsidRPr="00954547">
        <w:t xml:space="preserve">: </w:t>
      </w:r>
      <w:hyperlink r:id="rId5" w:history="1">
        <w:r w:rsidR="001101C0" w:rsidRPr="00954547">
          <w:rPr>
            <w:rStyle w:val="Hyperlink"/>
          </w:rPr>
          <w:t>https://www.asamblea.gob.sv/sites/default/files/documents/decretos/ B93EEAF8-C2CE-47FD-804E-74489D7AAF1B.pdf</w:t>
        </w:r>
      </w:hyperlink>
      <w:r w:rsidRPr="00954547">
        <w:t xml:space="preserve"> </w:t>
      </w:r>
    </w:p>
  </w:footnote>
  <w:footnote w:id="86">
    <w:p w14:paraId="7ADBB1C1" w14:textId="21805D94"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1101C0" w:rsidRPr="00954547">
        <w:rPr>
          <w:rFonts w:ascii="Verdana" w:eastAsiaTheme="minorHAnsi" w:hAnsi="Verdana" w:cs="Arial"/>
          <w:sz w:val="16"/>
          <w:szCs w:val="16"/>
          <w:bdr w:val="none" w:sz="0" w:space="0" w:color="auto"/>
        </w:rPr>
        <w:t>Health Code</w:t>
      </w:r>
      <w:r w:rsidR="009E6B43" w:rsidRPr="00954547">
        <w:rPr>
          <w:rFonts w:ascii="Verdana" w:eastAsiaTheme="minorHAnsi" w:hAnsi="Verdana" w:cs="Arial"/>
          <w:sz w:val="16"/>
          <w:szCs w:val="16"/>
          <w:bdr w:val="none" w:sz="0" w:space="0" w:color="auto"/>
        </w:rPr>
        <w:t xml:space="preserve"> of El </w:t>
      </w:r>
      <w:r w:rsidRPr="00954547">
        <w:rPr>
          <w:rFonts w:ascii="Verdana" w:eastAsiaTheme="minorHAnsi" w:hAnsi="Verdana" w:cs="Arial"/>
          <w:sz w:val="16"/>
          <w:szCs w:val="16"/>
          <w:bdr w:val="none" w:sz="0" w:space="0" w:color="auto"/>
        </w:rPr>
        <w:t xml:space="preserve">Salvador. </w:t>
      </w:r>
      <w:r w:rsidR="00C86FE5" w:rsidRPr="00954547">
        <w:rPr>
          <w:rFonts w:ascii="Verdana" w:eastAsiaTheme="minorHAnsi" w:hAnsi="Verdana" w:cs="Arial"/>
          <w:sz w:val="16"/>
          <w:szCs w:val="16"/>
          <w:bdr w:val="none" w:sz="0" w:space="0" w:color="auto"/>
        </w:rPr>
        <w:t>Legislative Decree</w:t>
      </w:r>
      <w:r w:rsidRPr="00954547">
        <w:rPr>
          <w:rFonts w:ascii="Verdana" w:eastAsiaTheme="minorHAnsi" w:hAnsi="Verdana" w:cs="Cambria"/>
          <w:sz w:val="16"/>
          <w:szCs w:val="16"/>
          <w:bdr w:val="none" w:sz="0" w:space="0" w:color="auto"/>
        </w:rPr>
        <w:t xml:space="preserve"> No. </w:t>
      </w:r>
      <w:r w:rsidRPr="00954547">
        <w:rPr>
          <w:rFonts w:ascii="Verdana" w:eastAsiaTheme="minorHAnsi" w:hAnsi="Verdana" w:cs="Arial"/>
          <w:sz w:val="16"/>
          <w:szCs w:val="16"/>
          <w:bdr w:val="none" w:sz="0" w:space="0" w:color="auto"/>
        </w:rPr>
        <w:t xml:space="preserve">955 </w:t>
      </w:r>
      <w:r w:rsidR="009E6B43" w:rsidRPr="00954547">
        <w:rPr>
          <w:rFonts w:ascii="Verdana" w:eastAsiaTheme="minorHAnsi" w:hAnsi="Verdana" w:cs="Arial"/>
          <w:sz w:val="16"/>
          <w:szCs w:val="16"/>
          <w:bdr w:val="none" w:sz="0" w:space="0" w:color="auto"/>
        </w:rPr>
        <w:t>of</w:t>
      </w:r>
      <w:r w:rsidRPr="00954547">
        <w:rPr>
          <w:rFonts w:ascii="Verdana" w:eastAsiaTheme="minorHAnsi" w:hAnsi="Verdana" w:cs="Arial"/>
          <w:sz w:val="16"/>
          <w:szCs w:val="16"/>
          <w:bdr w:val="none" w:sz="0" w:space="0" w:color="auto"/>
        </w:rPr>
        <w:t xml:space="preserve"> 1988, </w:t>
      </w:r>
      <w:r w:rsidR="009E6B43" w:rsidRPr="00954547">
        <w:rPr>
          <w:rFonts w:ascii="Verdana" w:eastAsiaTheme="minorHAnsi" w:hAnsi="Verdana" w:cs="Arial"/>
          <w:sz w:val="16"/>
          <w:szCs w:val="16"/>
          <w:bdr w:val="none" w:sz="0" w:space="0" w:color="auto"/>
        </w:rPr>
        <w:t>a</w:t>
      </w:r>
      <w:r w:rsidR="00A17F8C" w:rsidRPr="00954547">
        <w:rPr>
          <w:rFonts w:ascii="Verdana" w:eastAsiaTheme="minorHAnsi" w:hAnsi="Verdana" w:cs="Arial"/>
          <w:sz w:val="16"/>
          <w:szCs w:val="16"/>
          <w:bdr w:val="none" w:sz="0" w:space="0" w:color="auto"/>
        </w:rPr>
        <w:t>rticle</w:t>
      </w:r>
      <w:r w:rsidR="009E6B43" w:rsidRPr="00954547">
        <w:rPr>
          <w:rFonts w:ascii="Verdana" w:eastAsiaTheme="minorHAnsi" w:hAnsi="Verdana" w:cs="Arial"/>
          <w:sz w:val="16"/>
          <w:szCs w:val="16"/>
          <w:bdr w:val="none" w:sz="0" w:space="0" w:color="auto"/>
        </w:rPr>
        <w:t>s</w:t>
      </w:r>
      <w:r w:rsidRPr="00954547">
        <w:rPr>
          <w:rFonts w:ascii="Verdana" w:eastAsiaTheme="minorHAnsi" w:hAnsi="Verdana" w:cs="Arial"/>
          <w:sz w:val="16"/>
          <w:szCs w:val="16"/>
          <w:bdr w:val="none" w:sz="0" w:space="0" w:color="auto"/>
        </w:rPr>
        <w:t xml:space="preserve"> 37</w:t>
      </w:r>
      <w:r w:rsidR="0078694F" w:rsidRPr="00954547">
        <w:rPr>
          <w:rFonts w:ascii="Verdana" w:eastAsiaTheme="minorHAnsi" w:hAnsi="Verdana" w:cs="Arial"/>
          <w:sz w:val="16"/>
          <w:szCs w:val="16"/>
          <w:bdr w:val="none" w:sz="0" w:space="0" w:color="auto"/>
        </w:rPr>
        <w:t xml:space="preserve"> and </w:t>
      </w:r>
      <w:r w:rsidRPr="00954547">
        <w:rPr>
          <w:rFonts w:ascii="Verdana" w:eastAsiaTheme="minorHAnsi" w:hAnsi="Verdana" w:cs="Arial"/>
          <w:sz w:val="16"/>
          <w:szCs w:val="16"/>
          <w:bdr w:val="none" w:sz="0" w:space="0" w:color="auto"/>
        </w:rPr>
        <w:t xml:space="preserve">38. </w:t>
      </w:r>
      <w:r w:rsidR="002F4617" w:rsidRPr="00954547">
        <w:rPr>
          <w:rFonts w:ascii="Verdana" w:eastAsiaTheme="minorHAnsi" w:hAnsi="Verdana" w:cs="Arial"/>
          <w:sz w:val="16"/>
          <w:szCs w:val="16"/>
          <w:bdr w:val="none" w:sz="0" w:space="0" w:color="auto"/>
        </w:rPr>
        <w:t>Available at</w:t>
      </w:r>
      <w:r w:rsidRPr="00954547">
        <w:rPr>
          <w:rFonts w:ascii="Verdana" w:eastAsiaTheme="minorHAnsi" w:hAnsi="Verdana" w:cs="Arial"/>
          <w:sz w:val="16"/>
          <w:szCs w:val="16"/>
          <w:bdr w:val="none" w:sz="0" w:space="0" w:color="auto"/>
        </w:rPr>
        <w:t>: http://asp.</w:t>
      </w:r>
      <w:r w:rsidR="00BC7072" w:rsidRPr="00954547">
        <w:rPr>
          <w:rFonts w:ascii="Verdana" w:eastAsiaTheme="minorHAnsi" w:hAnsi="Verdana" w:cs="Arial"/>
          <w:sz w:val="16"/>
          <w:szCs w:val="16"/>
          <w:bdr w:val="none" w:sz="0" w:space="0" w:color="auto"/>
        </w:rPr>
        <w:t>health</w:t>
      </w:r>
      <w:r w:rsidRPr="00954547">
        <w:rPr>
          <w:rFonts w:ascii="Verdana" w:eastAsiaTheme="minorHAnsi" w:hAnsi="Verdana" w:cs="Arial"/>
          <w:sz w:val="16"/>
          <w:szCs w:val="16"/>
          <w:bdr w:val="none" w:sz="0" w:space="0" w:color="auto"/>
        </w:rPr>
        <w:t>.gob.sv/regulacion/pdf/ley/codigo_de_</w:t>
      </w:r>
      <w:r w:rsidR="00BC7072" w:rsidRPr="00954547">
        <w:rPr>
          <w:rFonts w:ascii="Verdana" w:eastAsiaTheme="minorHAnsi" w:hAnsi="Verdana" w:cs="Arial"/>
          <w:sz w:val="16"/>
          <w:szCs w:val="16"/>
          <w:bdr w:val="none" w:sz="0" w:space="0" w:color="auto"/>
        </w:rPr>
        <w:t>health</w:t>
      </w:r>
      <w:r w:rsidRPr="00954547">
        <w:rPr>
          <w:rFonts w:ascii="Verdana" w:eastAsiaTheme="minorHAnsi" w:hAnsi="Verdana" w:cs="Arial"/>
          <w:sz w:val="16"/>
          <w:szCs w:val="16"/>
          <w:bdr w:val="none" w:sz="0" w:space="0" w:color="auto"/>
        </w:rPr>
        <w:t>.pdf</w:t>
      </w:r>
      <w:r w:rsidRPr="00954547">
        <w:rPr>
          <w:rFonts w:ascii="Verdana" w:hAnsi="Verdana"/>
          <w:sz w:val="16"/>
          <w:szCs w:val="16"/>
        </w:rPr>
        <w:t xml:space="preserve"> </w:t>
      </w:r>
    </w:p>
  </w:footnote>
  <w:footnote w:id="87">
    <w:p w14:paraId="593F22C3" w14:textId="7524AF5A"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1101C0" w:rsidRPr="00954547">
        <w:rPr>
          <w:rFonts w:ascii="Verdana" w:eastAsiaTheme="minorHAnsi" w:hAnsi="Verdana" w:cs="Arial"/>
          <w:sz w:val="16"/>
          <w:szCs w:val="16"/>
          <w:bdr w:val="none" w:sz="0" w:space="0" w:color="auto"/>
        </w:rPr>
        <w:t>Criminal Code</w:t>
      </w:r>
      <w:r w:rsidR="009E6B43" w:rsidRPr="00954547">
        <w:rPr>
          <w:rFonts w:ascii="Verdana" w:eastAsiaTheme="minorHAnsi" w:hAnsi="Verdana" w:cs="Arial"/>
          <w:sz w:val="16"/>
          <w:szCs w:val="16"/>
          <w:bdr w:val="none" w:sz="0" w:space="0" w:color="auto"/>
        </w:rPr>
        <w:t xml:space="preserve"> of El </w:t>
      </w:r>
      <w:r w:rsidRPr="00954547">
        <w:rPr>
          <w:rFonts w:ascii="Verdana" w:eastAsiaTheme="minorHAnsi" w:hAnsi="Verdana" w:cs="Arial"/>
          <w:sz w:val="16"/>
          <w:szCs w:val="16"/>
          <w:bdr w:val="none" w:sz="0" w:space="0" w:color="auto"/>
        </w:rPr>
        <w:t xml:space="preserve">Salvador, </w:t>
      </w:r>
      <w:r w:rsidR="00C86FE5" w:rsidRPr="00954547">
        <w:rPr>
          <w:rFonts w:ascii="Verdana" w:eastAsiaTheme="minorHAnsi" w:hAnsi="Verdana" w:cs="Arial"/>
          <w:sz w:val="16"/>
          <w:szCs w:val="16"/>
          <w:bdr w:val="none" w:sz="0" w:space="0" w:color="auto"/>
        </w:rPr>
        <w:t>Legislative Decree</w:t>
      </w:r>
      <w:r w:rsidRPr="00954547">
        <w:rPr>
          <w:rFonts w:ascii="Verdana" w:eastAsiaTheme="minorHAnsi" w:hAnsi="Verdana" w:cs="Cambria"/>
          <w:sz w:val="16"/>
          <w:szCs w:val="16"/>
          <w:bdr w:val="none" w:sz="0" w:space="0" w:color="auto"/>
        </w:rPr>
        <w:t xml:space="preserve"> No. </w:t>
      </w:r>
      <w:r w:rsidRPr="00954547">
        <w:rPr>
          <w:rFonts w:ascii="Verdana" w:eastAsiaTheme="minorHAnsi" w:hAnsi="Verdana" w:cs="Arial"/>
          <w:sz w:val="16"/>
          <w:szCs w:val="16"/>
          <w:bdr w:val="none" w:sz="0" w:space="0" w:color="auto"/>
        </w:rPr>
        <w:t xml:space="preserve">1030 </w:t>
      </w:r>
      <w:r w:rsidR="00B72FE4" w:rsidRPr="00954547">
        <w:rPr>
          <w:rFonts w:ascii="Verdana" w:eastAsiaTheme="minorHAnsi" w:hAnsi="Verdana" w:cs="Arial"/>
          <w:sz w:val="16"/>
          <w:szCs w:val="16"/>
          <w:bdr w:val="none" w:sz="0" w:space="0" w:color="auto"/>
        </w:rPr>
        <w:t>of</w:t>
      </w:r>
      <w:r w:rsidRPr="00954547">
        <w:rPr>
          <w:rFonts w:ascii="Verdana" w:eastAsiaTheme="minorHAnsi" w:hAnsi="Verdana" w:cs="Arial"/>
          <w:sz w:val="16"/>
          <w:szCs w:val="16"/>
          <w:bdr w:val="none" w:sz="0" w:space="0" w:color="auto"/>
        </w:rPr>
        <w:t xml:space="preserve"> 1997, </w:t>
      </w:r>
      <w:r w:rsidR="00B72FE4" w:rsidRPr="00954547">
        <w:rPr>
          <w:rFonts w:ascii="Verdana" w:eastAsiaTheme="minorHAnsi" w:hAnsi="Verdana" w:cs="Arial"/>
          <w:sz w:val="16"/>
          <w:szCs w:val="16"/>
          <w:bdr w:val="none" w:sz="0" w:space="0" w:color="auto"/>
        </w:rPr>
        <w:t>a</w:t>
      </w:r>
      <w:r w:rsidR="00A17F8C" w:rsidRPr="00954547">
        <w:rPr>
          <w:rFonts w:ascii="Verdana" w:eastAsiaTheme="minorHAnsi" w:hAnsi="Verdana" w:cs="Arial"/>
          <w:sz w:val="16"/>
          <w:szCs w:val="16"/>
          <w:bdr w:val="none" w:sz="0" w:space="0" w:color="auto"/>
        </w:rPr>
        <w:t>rticle</w:t>
      </w:r>
      <w:r w:rsidRPr="00954547">
        <w:rPr>
          <w:rFonts w:ascii="Verdana" w:eastAsiaTheme="minorHAnsi" w:hAnsi="Verdana" w:cs="Arial"/>
          <w:sz w:val="16"/>
          <w:szCs w:val="16"/>
          <w:bdr w:val="none" w:sz="0" w:space="0" w:color="auto"/>
        </w:rPr>
        <w:t xml:space="preserve"> 187. </w:t>
      </w:r>
      <w:r w:rsidR="002F4617" w:rsidRPr="00954547">
        <w:rPr>
          <w:rFonts w:ascii="Verdana" w:eastAsiaTheme="minorHAnsi" w:hAnsi="Verdana" w:cs="Arial"/>
          <w:sz w:val="16"/>
          <w:szCs w:val="16"/>
          <w:bdr w:val="none" w:sz="0" w:space="0" w:color="auto"/>
        </w:rPr>
        <w:t>Available at</w:t>
      </w:r>
      <w:r w:rsidRPr="00954547">
        <w:rPr>
          <w:rFonts w:ascii="Verdana" w:eastAsiaTheme="minorHAnsi" w:hAnsi="Verdana" w:cs="Arial"/>
          <w:sz w:val="16"/>
          <w:szCs w:val="16"/>
          <w:bdr w:val="none" w:sz="0" w:space="0" w:color="auto"/>
        </w:rPr>
        <w:t>: https://www.oas.org/dil/esp/Codigo_Penal_El_Salvador.pdf</w:t>
      </w:r>
    </w:p>
  </w:footnote>
  <w:footnote w:id="88">
    <w:p w14:paraId="6625712C" w14:textId="527D2EC1"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BA4784" w:rsidRPr="00954547">
        <w:t>Code of Criminal Procedure</w:t>
      </w:r>
      <w:r w:rsidR="009E6B43" w:rsidRPr="00954547">
        <w:t xml:space="preserve"> of El </w:t>
      </w:r>
      <w:r w:rsidRPr="00954547">
        <w:t xml:space="preserve">Salvador, </w:t>
      </w:r>
      <w:r w:rsidR="00C86FE5" w:rsidRPr="00954547">
        <w:t>Legislative Decree</w:t>
      </w:r>
      <w:r w:rsidRPr="00954547">
        <w:t xml:space="preserve"> No. 776 </w:t>
      </w:r>
      <w:r w:rsidR="00B72FE4" w:rsidRPr="00954547">
        <w:t>of</w:t>
      </w:r>
      <w:r w:rsidRPr="00954547">
        <w:t xml:space="preserve"> 1996, </w:t>
      </w:r>
      <w:r w:rsidR="00B72FE4" w:rsidRPr="00954547">
        <w:t>a</w:t>
      </w:r>
      <w:r w:rsidR="00A17F8C" w:rsidRPr="00954547">
        <w:t>rticle</w:t>
      </w:r>
      <w:r w:rsidRPr="00954547">
        <w:t xml:space="preserve"> 187. </w:t>
      </w:r>
      <w:r w:rsidR="002F4617" w:rsidRPr="00954547">
        <w:t>Available at</w:t>
      </w:r>
      <w:r w:rsidRPr="00954547">
        <w:t xml:space="preserve">: </w:t>
      </w:r>
      <w:hyperlink r:id="rId6" w:history="1">
        <w:r w:rsidRPr="00954547">
          <w:rPr>
            <w:rStyle w:val="Hyperlink"/>
          </w:rPr>
          <w:t>http://www.oas.org/juridico/spanish/mesicic3_slv_procesal.pdf</w:t>
        </w:r>
      </w:hyperlink>
      <w:r w:rsidRPr="00954547">
        <w:t xml:space="preserve"> </w:t>
      </w:r>
    </w:p>
  </w:footnote>
  <w:footnote w:id="89">
    <w:p w14:paraId="45739920" w14:textId="3085A08C"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BA4784" w:rsidRPr="00954547">
        <w:t>Code of Criminal Procedure</w:t>
      </w:r>
      <w:r w:rsidR="009E6B43" w:rsidRPr="00954547">
        <w:t xml:space="preserve"> of El </w:t>
      </w:r>
      <w:r w:rsidRPr="00954547">
        <w:t xml:space="preserve">Salvador, </w:t>
      </w:r>
      <w:r w:rsidR="00C86FE5" w:rsidRPr="00954547">
        <w:t>Legislative Decree</w:t>
      </w:r>
      <w:r w:rsidRPr="00954547">
        <w:t xml:space="preserve"> No. 776 </w:t>
      </w:r>
      <w:r w:rsidR="00B72FE4" w:rsidRPr="00954547">
        <w:t>of</w:t>
      </w:r>
      <w:r w:rsidRPr="00954547">
        <w:t xml:space="preserve"> 1996, </w:t>
      </w:r>
      <w:r w:rsidR="00B72FE4" w:rsidRPr="00954547">
        <w:t>a</w:t>
      </w:r>
      <w:r w:rsidR="00A17F8C" w:rsidRPr="00954547">
        <w:t>rticle</w:t>
      </w:r>
      <w:r w:rsidRPr="00954547">
        <w:t xml:space="preserve"> 232.2. </w:t>
      </w:r>
      <w:r w:rsidR="002F4617" w:rsidRPr="00954547">
        <w:t>Available at</w:t>
      </w:r>
      <w:r w:rsidRPr="00954547">
        <w:t xml:space="preserve">: </w:t>
      </w:r>
      <w:hyperlink r:id="rId7" w:history="1">
        <w:r w:rsidRPr="00954547">
          <w:rPr>
            <w:rStyle w:val="Hyperlink"/>
          </w:rPr>
          <w:t>http://www.oas.org/juridico/spanish/mesicic3_slv_procesal.pdf</w:t>
        </w:r>
      </w:hyperlink>
      <w:r w:rsidRPr="00954547">
        <w:t xml:space="preserve"> </w:t>
      </w:r>
    </w:p>
  </w:footnote>
  <w:footnote w:id="90">
    <w:p w14:paraId="648369C6" w14:textId="03A9F8E3"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1101C0" w:rsidRPr="00954547">
        <w:rPr>
          <w:rFonts w:eastAsiaTheme="minorHAnsi" w:cs="Arial"/>
          <w:bdr w:val="none" w:sz="0" w:space="0" w:color="auto"/>
        </w:rPr>
        <w:t>Criminal Code</w:t>
      </w:r>
      <w:r w:rsidR="009E6B43" w:rsidRPr="00954547">
        <w:rPr>
          <w:rFonts w:eastAsiaTheme="minorHAnsi" w:cs="Arial"/>
          <w:bdr w:val="none" w:sz="0" w:space="0" w:color="auto"/>
        </w:rPr>
        <w:t xml:space="preserve"> of El </w:t>
      </w:r>
      <w:r w:rsidRPr="00954547">
        <w:rPr>
          <w:rFonts w:eastAsiaTheme="minorHAnsi" w:cs="Arial"/>
          <w:bdr w:val="none" w:sz="0" w:space="0" w:color="auto"/>
        </w:rPr>
        <w:t xml:space="preserve">Salvador, </w:t>
      </w:r>
      <w:r w:rsidR="00C86FE5" w:rsidRPr="00954547">
        <w:rPr>
          <w:rFonts w:eastAsiaTheme="minorHAnsi" w:cs="Arial"/>
          <w:bdr w:val="none" w:sz="0" w:space="0" w:color="auto"/>
        </w:rPr>
        <w:t>Legislative Decree</w:t>
      </w:r>
      <w:r w:rsidRPr="00954547">
        <w:rPr>
          <w:rFonts w:eastAsiaTheme="minorHAnsi" w:cs="Cambria"/>
          <w:bdr w:val="none" w:sz="0" w:space="0" w:color="auto"/>
        </w:rPr>
        <w:t xml:space="preserve"> No. </w:t>
      </w:r>
      <w:r w:rsidRPr="00954547">
        <w:rPr>
          <w:rFonts w:eastAsiaTheme="minorHAnsi" w:cs="Arial"/>
          <w:bdr w:val="none" w:sz="0" w:space="0" w:color="auto"/>
        </w:rPr>
        <w:t xml:space="preserve">1030 </w:t>
      </w:r>
      <w:r w:rsidR="00B72FE4" w:rsidRPr="00954547">
        <w:rPr>
          <w:rFonts w:eastAsiaTheme="minorHAnsi" w:cs="Arial"/>
          <w:bdr w:val="none" w:sz="0" w:space="0" w:color="auto"/>
        </w:rPr>
        <w:t>of</w:t>
      </w:r>
      <w:r w:rsidRPr="00954547">
        <w:rPr>
          <w:rFonts w:eastAsiaTheme="minorHAnsi" w:cs="Arial"/>
          <w:bdr w:val="none" w:sz="0" w:space="0" w:color="auto"/>
        </w:rPr>
        <w:t xml:space="preserve"> 1997, </w:t>
      </w:r>
      <w:r w:rsidR="00B72FE4" w:rsidRPr="00954547">
        <w:rPr>
          <w:rFonts w:eastAsiaTheme="minorHAnsi" w:cs="Arial"/>
          <w:bdr w:val="none" w:sz="0" w:space="0" w:color="auto"/>
        </w:rPr>
        <w:t>a</w:t>
      </w:r>
      <w:r w:rsidR="00A17F8C" w:rsidRPr="00954547">
        <w:rPr>
          <w:rFonts w:eastAsiaTheme="minorHAnsi" w:cs="Arial"/>
          <w:bdr w:val="none" w:sz="0" w:space="0" w:color="auto"/>
        </w:rPr>
        <w:t>rticle</w:t>
      </w:r>
      <w:r w:rsidRPr="00954547">
        <w:rPr>
          <w:rFonts w:eastAsiaTheme="minorHAnsi" w:cs="Arial"/>
          <w:bdr w:val="none" w:sz="0" w:space="0" w:color="auto"/>
        </w:rPr>
        <w:t xml:space="preserve"> 312. </w:t>
      </w:r>
      <w:r w:rsidR="002F4617" w:rsidRPr="00954547">
        <w:rPr>
          <w:rFonts w:eastAsiaTheme="minorHAnsi" w:cs="Arial"/>
          <w:bdr w:val="none" w:sz="0" w:space="0" w:color="auto"/>
        </w:rPr>
        <w:t>Available at</w:t>
      </w:r>
      <w:r w:rsidRPr="00954547">
        <w:rPr>
          <w:rFonts w:eastAsiaTheme="minorHAnsi" w:cs="Arial"/>
          <w:bdr w:val="none" w:sz="0" w:space="0" w:color="auto"/>
        </w:rPr>
        <w:t>: https://www.oas.org/dil/esp/Codigo_Penal_El_Salvador.pdf</w:t>
      </w:r>
    </w:p>
  </w:footnote>
  <w:footnote w:id="91">
    <w:p w14:paraId="4D8DD55F" w14:textId="5404D69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72FE4" w:rsidRPr="00954547">
        <w:rPr>
          <w:rFonts w:ascii="Verdana" w:hAnsi="Verdana"/>
          <w:sz w:val="16"/>
          <w:szCs w:val="16"/>
        </w:rPr>
        <w:t xml:space="preserve">For the purposes </w:t>
      </w:r>
      <w:r w:rsidR="004B6621" w:rsidRPr="00954547">
        <w:rPr>
          <w:rFonts w:ascii="Verdana" w:hAnsi="Verdana"/>
          <w:sz w:val="16"/>
          <w:szCs w:val="16"/>
        </w:rPr>
        <w:t>of this judgment</w:t>
      </w:r>
      <w:r w:rsidRPr="00954547">
        <w:rPr>
          <w:rFonts w:ascii="Verdana" w:hAnsi="Verdana"/>
          <w:sz w:val="16"/>
          <w:szCs w:val="16"/>
        </w:rPr>
        <w:t xml:space="preserve">, </w:t>
      </w:r>
      <w:r w:rsidR="00B72FE4" w:rsidRPr="00954547">
        <w:rPr>
          <w:rFonts w:ascii="Verdana" w:hAnsi="Verdana"/>
          <w:sz w:val="16"/>
          <w:szCs w:val="16"/>
        </w:rPr>
        <w:t>it is useful to consider the definition of</w:t>
      </w:r>
      <w:r w:rsidRPr="00954547">
        <w:rPr>
          <w:rFonts w:ascii="Verdana" w:hAnsi="Verdana"/>
          <w:sz w:val="16"/>
          <w:szCs w:val="16"/>
        </w:rPr>
        <w:t xml:space="preserve"> </w:t>
      </w:r>
      <w:r w:rsidR="00B72FE4" w:rsidRPr="00954547">
        <w:rPr>
          <w:rFonts w:ascii="Verdana" w:hAnsi="Verdana"/>
          <w:sz w:val="16"/>
          <w:szCs w:val="16"/>
        </w:rPr>
        <w:t xml:space="preserve">obstetric emergency provided by expert witness </w:t>
      </w:r>
      <w:r w:rsidRPr="00954547">
        <w:rPr>
          <w:rFonts w:ascii="Verdana" w:hAnsi="Verdana"/>
          <w:sz w:val="16"/>
          <w:szCs w:val="16"/>
        </w:rPr>
        <w:t xml:space="preserve">Guillermo Ortiz, </w:t>
      </w:r>
      <w:r w:rsidR="00B72FE4" w:rsidRPr="00954547">
        <w:rPr>
          <w:rFonts w:ascii="Verdana" w:hAnsi="Verdana"/>
          <w:sz w:val="16"/>
          <w:szCs w:val="16"/>
        </w:rPr>
        <w:t>who indicated that</w:t>
      </w:r>
      <w:r w:rsidRPr="00954547">
        <w:rPr>
          <w:rFonts w:ascii="Verdana" w:hAnsi="Verdana"/>
          <w:sz w:val="16"/>
          <w:szCs w:val="16"/>
        </w:rPr>
        <w:t xml:space="preserve"> “</w:t>
      </w:r>
      <w:r w:rsidR="009E6B43" w:rsidRPr="00954547">
        <w:rPr>
          <w:rFonts w:ascii="Verdana" w:hAnsi="Verdana"/>
          <w:sz w:val="16"/>
          <w:szCs w:val="16"/>
        </w:rPr>
        <w:t>obstetric emergencies</w:t>
      </w:r>
      <w:r w:rsidRPr="00954547">
        <w:rPr>
          <w:rFonts w:ascii="Verdana" w:hAnsi="Verdana"/>
          <w:sz w:val="16"/>
          <w:szCs w:val="16"/>
        </w:rPr>
        <w:t xml:space="preserve"> </w:t>
      </w:r>
      <w:r w:rsidR="00B72FE4" w:rsidRPr="00954547">
        <w:rPr>
          <w:rFonts w:ascii="Verdana" w:hAnsi="Verdana"/>
          <w:sz w:val="16"/>
          <w:szCs w:val="16"/>
        </w:rPr>
        <w:t>are those situations suffered by the woman or the fetus that require immediate attention; to the contrary, she or the fetus may suffer irreparable harm to their health and even die.</w:t>
      </w:r>
      <w:r w:rsidRPr="00954547">
        <w:rPr>
          <w:rFonts w:ascii="Verdana" w:hAnsi="Verdana"/>
          <w:sz w:val="16"/>
          <w:szCs w:val="16"/>
        </w:rPr>
        <w:t xml:space="preserve"> </w:t>
      </w:r>
      <w:r w:rsidR="00B72FE4" w:rsidRPr="00954547">
        <w:rPr>
          <w:rFonts w:ascii="Verdana" w:hAnsi="Verdana"/>
          <w:sz w:val="16"/>
          <w:szCs w:val="16"/>
        </w:rPr>
        <w:t xml:space="preserve">This may happen at any moment of the pregnancy, </w:t>
      </w:r>
      <w:r w:rsidR="001B51B7" w:rsidRPr="00954547">
        <w:rPr>
          <w:rFonts w:ascii="Verdana" w:hAnsi="Verdana"/>
          <w:sz w:val="16"/>
          <w:szCs w:val="16"/>
        </w:rPr>
        <w:t xml:space="preserve">at </w:t>
      </w:r>
      <w:r w:rsidR="00B72FE4" w:rsidRPr="00954547">
        <w:rPr>
          <w:rFonts w:ascii="Verdana" w:hAnsi="Verdana"/>
          <w:sz w:val="16"/>
          <w:szCs w:val="16"/>
        </w:rPr>
        <w:t xml:space="preserve">either the outset, the middle or the end.” </w:t>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hAnsi="Verdana"/>
          <w:sz w:val="16"/>
          <w:szCs w:val="16"/>
        </w:rPr>
        <w:t>Expert opinion provided by Guillermo Antonio Ortiz Avendaño during the public hearing held</w:t>
      </w:r>
      <w:r w:rsidRPr="00954547">
        <w:rPr>
          <w:rFonts w:ascii="Verdana" w:hAnsi="Verdana"/>
          <w:sz w:val="16"/>
          <w:szCs w:val="16"/>
        </w:rPr>
        <w:t xml:space="preserve"> </w:t>
      </w:r>
      <w:r w:rsidR="00FC72C0" w:rsidRPr="00954547">
        <w:rPr>
          <w:rFonts w:ascii="Verdana" w:hAnsi="Verdana"/>
          <w:sz w:val="16"/>
          <w:szCs w:val="16"/>
        </w:rPr>
        <w:t>in this case</w:t>
      </w:r>
      <w:r w:rsidRPr="00954547">
        <w:rPr>
          <w:rFonts w:ascii="Verdana" w:hAnsi="Verdana"/>
          <w:sz w:val="16"/>
          <w:szCs w:val="16"/>
        </w:rPr>
        <w:t>.</w:t>
      </w:r>
    </w:p>
  </w:footnote>
  <w:footnote w:id="92">
    <w:p w14:paraId="2378278B" w14:textId="171C5E1C"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i/>
          <w:iCs/>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eastAsiaTheme="minorHAnsi" w:hAnsi="Verdana" w:cs="Arial"/>
          <w:sz w:val="16"/>
          <w:szCs w:val="16"/>
          <w:bdr w:val="none" w:sz="0" w:space="0" w:color="auto"/>
        </w:rPr>
        <w:t>Human Rights Committee</w:t>
      </w:r>
      <w:r w:rsidRPr="00954547">
        <w:rPr>
          <w:rFonts w:ascii="Verdana" w:eastAsiaTheme="minorHAnsi" w:hAnsi="Verdana" w:cs="Arial"/>
          <w:sz w:val="16"/>
          <w:szCs w:val="16"/>
          <w:bdr w:val="none" w:sz="0" w:space="0" w:color="auto"/>
        </w:rPr>
        <w:t xml:space="preserve">. </w:t>
      </w:r>
      <w:r w:rsidR="008C4B22" w:rsidRPr="00954547">
        <w:rPr>
          <w:rFonts w:ascii="Verdana" w:eastAsiaTheme="minorHAnsi" w:hAnsi="Verdana" w:cs="Arial"/>
          <w:iCs/>
          <w:sz w:val="16"/>
          <w:szCs w:val="16"/>
          <w:bdr w:val="none" w:sz="0" w:space="0" w:color="auto"/>
        </w:rPr>
        <w:t>Concluding observations on the seventh periodic report</w:t>
      </w:r>
      <w:r w:rsidR="009E6B43" w:rsidRPr="00954547">
        <w:rPr>
          <w:rFonts w:ascii="Verdana" w:eastAsiaTheme="minorHAnsi" w:hAnsi="Verdana" w:cs="Arial"/>
          <w:iCs/>
          <w:sz w:val="16"/>
          <w:szCs w:val="16"/>
          <w:bdr w:val="none" w:sz="0" w:space="0" w:color="auto"/>
        </w:rPr>
        <w:t xml:space="preserve"> of El </w:t>
      </w:r>
      <w:r w:rsidRPr="00954547">
        <w:rPr>
          <w:rFonts w:ascii="Verdana" w:eastAsiaTheme="minorHAnsi" w:hAnsi="Verdana" w:cs="Arial"/>
          <w:iCs/>
          <w:sz w:val="16"/>
          <w:szCs w:val="16"/>
          <w:bdr w:val="none" w:sz="0" w:space="0" w:color="auto"/>
        </w:rPr>
        <w:t>Salvador</w:t>
      </w:r>
      <w:r w:rsidRPr="00954547">
        <w:rPr>
          <w:rFonts w:ascii="Verdana" w:eastAsiaTheme="minorHAnsi" w:hAnsi="Verdana" w:cs="Arial"/>
          <w:i/>
          <w:iCs/>
          <w:sz w:val="16"/>
          <w:szCs w:val="16"/>
          <w:bdr w:val="none" w:sz="0" w:space="0" w:color="auto"/>
        </w:rPr>
        <w:t xml:space="preserve">. </w:t>
      </w:r>
      <w:r w:rsidRPr="00954547">
        <w:rPr>
          <w:rFonts w:ascii="Verdana" w:eastAsiaTheme="minorHAnsi" w:hAnsi="Verdana" w:cs="Arial"/>
          <w:sz w:val="16"/>
          <w:szCs w:val="16"/>
          <w:bdr w:val="none" w:sz="0" w:space="0" w:color="auto"/>
        </w:rPr>
        <w:t xml:space="preserve">CCPR/C/SLV/CO/7 </w:t>
      </w:r>
      <w:r w:rsidR="008C4B22" w:rsidRPr="00954547">
        <w:rPr>
          <w:rFonts w:ascii="Verdana" w:eastAsiaTheme="minorHAnsi" w:hAnsi="Verdana" w:cs="Arial"/>
          <w:sz w:val="16"/>
          <w:szCs w:val="16"/>
          <w:bdr w:val="none" w:sz="0" w:space="0" w:color="auto"/>
        </w:rPr>
        <w:t>of May 9,</w:t>
      </w:r>
      <w:r w:rsidRPr="00954547">
        <w:rPr>
          <w:rFonts w:ascii="Verdana" w:eastAsiaTheme="minorHAnsi" w:hAnsi="Verdana" w:cs="Arial"/>
          <w:sz w:val="16"/>
          <w:szCs w:val="16"/>
          <w:bdr w:val="none" w:sz="0" w:space="0" w:color="auto"/>
        </w:rPr>
        <w:t xml:space="preserve"> 2018, </w:t>
      </w:r>
      <w:r w:rsidR="00B10E5A" w:rsidRPr="00954547">
        <w:rPr>
          <w:rFonts w:ascii="Verdana" w:eastAsiaTheme="minorHAnsi" w:hAnsi="Verdana" w:cs="Arial"/>
          <w:sz w:val="16"/>
          <w:szCs w:val="16"/>
          <w:bdr w:val="none" w:sz="0" w:space="0" w:color="auto"/>
        </w:rPr>
        <w:t>para.</w:t>
      </w:r>
      <w:r w:rsidRPr="00954547">
        <w:rPr>
          <w:rFonts w:ascii="Verdana" w:eastAsiaTheme="minorHAnsi" w:hAnsi="Verdana" w:cs="Arial"/>
          <w:sz w:val="16"/>
          <w:szCs w:val="16"/>
          <w:bdr w:val="none" w:sz="0" w:space="0" w:color="auto"/>
        </w:rPr>
        <w:t xml:space="preserve"> 15;</w:t>
      </w:r>
      <w:r w:rsidRPr="00954547">
        <w:rPr>
          <w:rFonts w:ascii="Verdana" w:eastAsia="Times New Roman" w:hAnsi="Verdana" w:cs="Arial"/>
          <w:sz w:val="16"/>
          <w:szCs w:val="16"/>
          <w:lang w:eastAsia="es-AR"/>
        </w:rPr>
        <w:t xml:space="preserve"> </w:t>
      </w:r>
      <w:r w:rsidR="008C4B22" w:rsidRPr="00954547">
        <w:rPr>
          <w:rFonts w:ascii="Verdana" w:eastAsia="Times New Roman" w:hAnsi="Verdana" w:cs="Arial"/>
          <w:sz w:val="16"/>
          <w:szCs w:val="16"/>
          <w:lang w:eastAsia="es-AR"/>
        </w:rPr>
        <w:t>United Nations Committee on Economic, Social and Cultural Rights</w:t>
      </w:r>
      <w:r w:rsidRPr="00954547">
        <w:rPr>
          <w:rFonts w:ascii="Verdana" w:eastAsia="Times New Roman" w:hAnsi="Verdana" w:cs="Arial"/>
          <w:sz w:val="16"/>
          <w:szCs w:val="16"/>
          <w:lang w:eastAsia="es-AR"/>
        </w:rPr>
        <w:t xml:space="preserve">. </w:t>
      </w:r>
      <w:r w:rsidR="008C4B22" w:rsidRPr="00954547">
        <w:rPr>
          <w:rFonts w:ascii="Verdana" w:eastAsia="Times New Roman" w:hAnsi="Verdana" w:cs="Arial"/>
          <w:sz w:val="16"/>
          <w:szCs w:val="16"/>
          <w:lang w:eastAsia="es-AR"/>
        </w:rPr>
        <w:t>Concluding observations on</w:t>
      </w:r>
      <w:r w:rsidRPr="00954547">
        <w:rPr>
          <w:rFonts w:ascii="Verdana" w:eastAsia="Times New Roman" w:hAnsi="Verdana" w:cs="Arial"/>
          <w:sz w:val="16"/>
          <w:szCs w:val="16"/>
          <w:lang w:eastAsia="es-AR"/>
        </w:rPr>
        <w:t xml:space="preserve"> </w:t>
      </w:r>
      <w:r w:rsidR="008C4B22" w:rsidRPr="00954547">
        <w:rPr>
          <w:rFonts w:ascii="Verdana" w:eastAsia="Times New Roman" w:hAnsi="Verdana" w:cs="Arial"/>
          <w:sz w:val="16"/>
          <w:szCs w:val="16"/>
          <w:lang w:eastAsia="es-AR"/>
        </w:rPr>
        <w:t>the combined third, fourth and fifth periodic reports</w:t>
      </w:r>
      <w:r w:rsidR="009E6B43" w:rsidRPr="00954547">
        <w:rPr>
          <w:rFonts w:ascii="Verdana" w:eastAsia="Times New Roman" w:hAnsi="Verdana" w:cs="Arial"/>
          <w:sz w:val="16"/>
          <w:szCs w:val="16"/>
          <w:lang w:eastAsia="es-AR"/>
        </w:rPr>
        <w:t xml:space="preserve"> of El </w:t>
      </w:r>
      <w:r w:rsidRPr="00954547">
        <w:rPr>
          <w:rFonts w:ascii="Verdana" w:eastAsia="Times New Roman" w:hAnsi="Verdana" w:cs="Arial"/>
          <w:sz w:val="16"/>
          <w:szCs w:val="16"/>
          <w:lang w:eastAsia="es-AR"/>
        </w:rPr>
        <w:t xml:space="preserve">Salvador, E/C.12/SLV/CO/3-5 </w:t>
      </w:r>
      <w:r w:rsidR="008C4B22" w:rsidRPr="00954547">
        <w:rPr>
          <w:rFonts w:ascii="Verdana" w:eastAsia="Times New Roman" w:hAnsi="Verdana" w:cs="Arial"/>
          <w:sz w:val="16"/>
          <w:szCs w:val="16"/>
          <w:lang w:eastAsia="es-AR"/>
        </w:rPr>
        <w:t>of June 19,</w:t>
      </w:r>
      <w:r w:rsidRPr="00954547">
        <w:rPr>
          <w:rFonts w:ascii="Verdana" w:eastAsia="Times New Roman" w:hAnsi="Verdana" w:cs="Arial"/>
          <w:sz w:val="16"/>
          <w:szCs w:val="16"/>
          <w:lang w:eastAsia="es-AR"/>
        </w:rPr>
        <w:t xml:space="preserve"> 2014, </w:t>
      </w:r>
      <w:r w:rsidR="00B10E5A" w:rsidRPr="00954547">
        <w:rPr>
          <w:rFonts w:ascii="Verdana" w:eastAsia="Times New Roman" w:hAnsi="Verdana" w:cs="Arial"/>
          <w:sz w:val="16"/>
          <w:szCs w:val="16"/>
          <w:lang w:eastAsia="es-AR"/>
        </w:rPr>
        <w:t>para.</w:t>
      </w:r>
      <w:r w:rsidRPr="00954547">
        <w:rPr>
          <w:rFonts w:ascii="Verdana" w:eastAsia="Times New Roman" w:hAnsi="Verdana" w:cs="Arial"/>
          <w:sz w:val="16"/>
          <w:szCs w:val="16"/>
          <w:lang w:eastAsia="es-AR"/>
        </w:rPr>
        <w:t xml:space="preserve"> 22,</w:t>
      </w:r>
      <w:r w:rsidR="0078694F" w:rsidRPr="00954547">
        <w:rPr>
          <w:rFonts w:ascii="Verdana" w:eastAsia="Times New Roman" w:hAnsi="Verdana" w:cs="Arial"/>
          <w:sz w:val="16"/>
          <w:szCs w:val="16"/>
          <w:lang w:eastAsia="es-AR"/>
        </w:rPr>
        <w:t xml:space="preserve"> and </w:t>
      </w:r>
      <w:r w:rsidR="002A45FD" w:rsidRPr="00954547">
        <w:rPr>
          <w:rFonts w:ascii="Verdana" w:hAnsi="Verdana"/>
          <w:sz w:val="16"/>
          <w:szCs w:val="16"/>
        </w:rPr>
        <w:t>Committee for the Elimination of Discrimination against Women</w:t>
      </w:r>
      <w:r w:rsidRPr="00954547">
        <w:rPr>
          <w:rFonts w:ascii="Verdana" w:hAnsi="Verdana"/>
          <w:sz w:val="16"/>
          <w:szCs w:val="16"/>
        </w:rPr>
        <w:t xml:space="preserve">, </w:t>
      </w:r>
      <w:r w:rsidR="002A45FD" w:rsidRPr="00954547">
        <w:rPr>
          <w:rFonts w:ascii="Verdana" w:hAnsi="Verdana"/>
          <w:sz w:val="16"/>
          <w:szCs w:val="16"/>
        </w:rPr>
        <w:t>Concluding observations</w:t>
      </w:r>
      <w:r w:rsidRPr="00954547">
        <w:rPr>
          <w:rFonts w:ascii="Verdana" w:hAnsi="Verdana"/>
          <w:sz w:val="16"/>
          <w:szCs w:val="16"/>
        </w:rPr>
        <w:t xml:space="preserve"> </w:t>
      </w:r>
      <w:r w:rsidR="002A45FD" w:rsidRPr="00954547">
        <w:rPr>
          <w:rFonts w:ascii="Verdana" w:hAnsi="Verdana"/>
          <w:sz w:val="16"/>
          <w:szCs w:val="16"/>
        </w:rPr>
        <w:t>on the combined eighth and ninth periodic reports</w:t>
      </w:r>
      <w:r w:rsidR="009E6B43" w:rsidRPr="00954547">
        <w:rPr>
          <w:rFonts w:ascii="Verdana" w:hAnsi="Verdana"/>
          <w:sz w:val="16"/>
          <w:szCs w:val="16"/>
        </w:rPr>
        <w:t xml:space="preserve"> of El </w:t>
      </w:r>
      <w:r w:rsidRPr="00954547">
        <w:rPr>
          <w:rFonts w:ascii="Verdana" w:hAnsi="Verdana"/>
          <w:sz w:val="16"/>
          <w:szCs w:val="16"/>
        </w:rPr>
        <w:t xml:space="preserve">Salvador, CEDAW/C/SLV/CO/8-9 </w:t>
      </w:r>
      <w:r w:rsidR="002A45FD" w:rsidRPr="00954547">
        <w:rPr>
          <w:rFonts w:ascii="Verdana" w:hAnsi="Verdana"/>
          <w:sz w:val="16"/>
          <w:szCs w:val="16"/>
        </w:rPr>
        <w:t>of March 9,</w:t>
      </w:r>
      <w:r w:rsidRPr="00954547">
        <w:rPr>
          <w:rFonts w:ascii="Verdana" w:hAnsi="Verdana"/>
          <w:sz w:val="16"/>
          <w:szCs w:val="16"/>
        </w:rPr>
        <w:t xml:space="preserve"> 2017, </w:t>
      </w:r>
      <w:r w:rsidR="00B10E5A" w:rsidRPr="00954547">
        <w:rPr>
          <w:rFonts w:ascii="Verdana" w:hAnsi="Verdana"/>
          <w:sz w:val="16"/>
          <w:szCs w:val="16"/>
        </w:rPr>
        <w:t>para.</w:t>
      </w:r>
      <w:r w:rsidRPr="00954547">
        <w:rPr>
          <w:rFonts w:ascii="Verdana" w:hAnsi="Verdana"/>
          <w:sz w:val="16"/>
          <w:szCs w:val="16"/>
        </w:rPr>
        <w:t xml:space="preserve"> 38.</w:t>
      </w:r>
      <w:r w:rsidRPr="00954547">
        <w:rPr>
          <w:rFonts w:ascii="Verdana" w:eastAsia="Times New Roman" w:hAnsi="Verdana" w:cs="Arial"/>
          <w:sz w:val="16"/>
          <w:szCs w:val="16"/>
          <w:lang w:eastAsia="es-AR"/>
        </w:rPr>
        <w:t xml:space="preserve"> </w:t>
      </w:r>
      <w:r w:rsidR="002A45FD" w:rsidRPr="00954547">
        <w:rPr>
          <w:rFonts w:ascii="Verdana" w:eastAsia="Times New Roman" w:hAnsi="Verdana" w:cs="Arial"/>
          <w:iCs/>
          <w:sz w:val="16"/>
          <w:szCs w:val="16"/>
          <w:lang w:eastAsia="es-AR"/>
        </w:rPr>
        <w:t>See also,</w:t>
      </w:r>
      <w:r w:rsidRPr="00954547">
        <w:rPr>
          <w:rFonts w:ascii="Verdana" w:eastAsia="Times New Roman" w:hAnsi="Verdana" w:cs="Arial"/>
          <w:i/>
          <w:sz w:val="16"/>
          <w:szCs w:val="16"/>
          <w:lang w:eastAsia="es-AR"/>
        </w:rPr>
        <w:t xml:space="preserve"> </w:t>
      </w:r>
      <w:r w:rsidR="002A45FD" w:rsidRPr="00954547">
        <w:rPr>
          <w:rFonts w:ascii="Verdana" w:eastAsiaTheme="minorHAnsi" w:hAnsi="Verdana" w:cs="Arial"/>
          <w:iCs/>
          <w:sz w:val="16"/>
          <w:szCs w:val="16"/>
          <w:bdr w:val="none" w:sz="0" w:space="0" w:color="auto"/>
        </w:rPr>
        <w:t>Report of the Special Rapporteur on violence against women, its causes and consequences</w:t>
      </w:r>
      <w:r w:rsidRPr="00954547">
        <w:rPr>
          <w:rFonts w:ascii="Verdana" w:eastAsiaTheme="minorHAnsi" w:hAnsi="Verdana" w:cs="Arial"/>
          <w:iCs/>
          <w:sz w:val="16"/>
          <w:szCs w:val="16"/>
          <w:bdr w:val="none" w:sz="0" w:space="0" w:color="auto"/>
        </w:rPr>
        <w:t xml:space="preserve">, Rashida Manjoo: </w:t>
      </w:r>
      <w:r w:rsidR="002A45FD" w:rsidRPr="00954547">
        <w:rPr>
          <w:rFonts w:ascii="Verdana" w:eastAsiaTheme="minorHAnsi" w:hAnsi="Verdana" w:cs="Arial"/>
          <w:iCs/>
          <w:sz w:val="16"/>
          <w:szCs w:val="16"/>
          <w:bdr w:val="none" w:sz="0" w:space="0" w:color="auto"/>
        </w:rPr>
        <w:t>Follow-up mission to</w:t>
      </w:r>
      <w:r w:rsidRPr="00954547">
        <w:rPr>
          <w:rFonts w:ascii="Verdana" w:eastAsiaTheme="minorHAnsi" w:hAnsi="Verdana" w:cs="Arial"/>
          <w:iCs/>
          <w:sz w:val="16"/>
          <w:szCs w:val="16"/>
          <w:bdr w:val="none" w:sz="0" w:space="0" w:color="auto"/>
        </w:rPr>
        <w:t xml:space="preserve"> El Salvador</w:t>
      </w:r>
      <w:r w:rsidRPr="00954547">
        <w:rPr>
          <w:rFonts w:ascii="Verdana" w:eastAsiaTheme="minorHAnsi" w:hAnsi="Verdana" w:cs="Arial"/>
          <w:sz w:val="16"/>
          <w:szCs w:val="16"/>
          <w:bdr w:val="none" w:sz="0" w:space="0" w:color="auto"/>
        </w:rPr>
        <w:t xml:space="preserve">, A/HRC/17/26/Add.2 </w:t>
      </w:r>
      <w:r w:rsidR="002A45FD" w:rsidRPr="00954547">
        <w:rPr>
          <w:rFonts w:ascii="Verdana" w:eastAsiaTheme="minorHAnsi" w:hAnsi="Verdana" w:cs="Arial"/>
          <w:sz w:val="16"/>
          <w:szCs w:val="16"/>
          <w:bdr w:val="none" w:sz="0" w:space="0" w:color="auto"/>
        </w:rPr>
        <w:t>of February 14,</w:t>
      </w:r>
      <w:r w:rsidRPr="00954547">
        <w:rPr>
          <w:rFonts w:ascii="Verdana" w:eastAsiaTheme="minorHAnsi" w:hAnsi="Verdana" w:cs="Arial"/>
          <w:i/>
          <w:iCs/>
          <w:sz w:val="16"/>
          <w:szCs w:val="16"/>
          <w:bdr w:val="none" w:sz="0" w:space="0" w:color="auto"/>
        </w:rPr>
        <w:t xml:space="preserve"> </w:t>
      </w:r>
      <w:r w:rsidRPr="00954547">
        <w:rPr>
          <w:rFonts w:ascii="Verdana" w:eastAsiaTheme="minorHAnsi" w:hAnsi="Verdana" w:cs="Arial"/>
          <w:sz w:val="16"/>
          <w:szCs w:val="16"/>
          <w:bdr w:val="none" w:sz="0" w:space="0" w:color="auto"/>
        </w:rPr>
        <w:t xml:space="preserve">2011, </w:t>
      </w:r>
      <w:r w:rsidR="00B10E5A" w:rsidRPr="00954547">
        <w:rPr>
          <w:rFonts w:ascii="Verdana" w:eastAsiaTheme="minorHAnsi" w:hAnsi="Verdana" w:cs="Arial"/>
          <w:sz w:val="16"/>
          <w:szCs w:val="16"/>
          <w:bdr w:val="none" w:sz="0" w:space="0" w:color="auto"/>
        </w:rPr>
        <w:t>para.</w:t>
      </w:r>
      <w:r w:rsidRPr="00954547">
        <w:rPr>
          <w:rFonts w:ascii="Verdana" w:eastAsiaTheme="minorHAnsi" w:hAnsi="Verdana" w:cs="Arial"/>
          <w:sz w:val="16"/>
          <w:szCs w:val="16"/>
          <w:bdr w:val="none" w:sz="0" w:space="0" w:color="auto"/>
        </w:rPr>
        <w:t xml:space="preserve"> 68,</w:t>
      </w:r>
      <w:r w:rsidR="0078694F" w:rsidRPr="00954547">
        <w:rPr>
          <w:rFonts w:ascii="Verdana" w:eastAsiaTheme="minorHAnsi" w:hAnsi="Verdana" w:cs="Arial"/>
          <w:sz w:val="16"/>
          <w:szCs w:val="16"/>
          <w:bdr w:val="none" w:sz="0" w:space="0" w:color="auto"/>
        </w:rPr>
        <w:t xml:space="preserve"> and </w:t>
      </w:r>
      <w:r w:rsidR="00C409D9" w:rsidRPr="00954547">
        <w:rPr>
          <w:rFonts w:ascii="Verdana" w:eastAsiaTheme="minorHAnsi" w:hAnsi="Verdana" w:cs="Arial"/>
          <w:iCs/>
          <w:sz w:val="16"/>
          <w:szCs w:val="16"/>
          <w:bdr w:val="none" w:sz="0" w:space="0" w:color="auto"/>
        </w:rPr>
        <w:t>Statement of the United</w:t>
      </w:r>
      <w:r w:rsidR="002A45FD" w:rsidRPr="00954547">
        <w:rPr>
          <w:rFonts w:ascii="Verdana" w:eastAsiaTheme="minorHAnsi" w:hAnsi="Verdana" w:cs="Arial"/>
          <w:iCs/>
          <w:sz w:val="16"/>
          <w:szCs w:val="16"/>
          <w:bdr w:val="none" w:sz="0" w:space="0" w:color="auto"/>
        </w:rPr>
        <w:t xml:space="preserve"> Nations High Commissioner for Human Rights</w:t>
      </w:r>
      <w:r w:rsidRPr="00954547">
        <w:rPr>
          <w:rFonts w:ascii="Verdana" w:eastAsiaTheme="minorHAnsi" w:hAnsi="Verdana" w:cs="Arial-ItalicMT"/>
          <w:iCs/>
          <w:sz w:val="16"/>
          <w:szCs w:val="16"/>
          <w:bdr w:val="none" w:sz="0" w:space="0" w:color="auto"/>
        </w:rPr>
        <w:t xml:space="preserve"> Zeid Ra’ad Al Hussein </w:t>
      </w:r>
      <w:r w:rsidR="00C409D9" w:rsidRPr="00954547">
        <w:rPr>
          <w:rFonts w:ascii="Verdana" w:eastAsiaTheme="minorHAnsi" w:hAnsi="Verdana" w:cs="Arial-ItalicMT"/>
          <w:iCs/>
          <w:sz w:val="16"/>
          <w:szCs w:val="16"/>
          <w:bdr w:val="none" w:sz="0" w:space="0" w:color="auto"/>
        </w:rPr>
        <w:t>at the end of his mission</w:t>
      </w:r>
      <w:r w:rsidRPr="00954547">
        <w:rPr>
          <w:rFonts w:ascii="Verdana" w:eastAsiaTheme="minorHAnsi" w:hAnsi="Verdana" w:cs="Arial-ItalicMT"/>
          <w:iCs/>
          <w:sz w:val="16"/>
          <w:szCs w:val="16"/>
          <w:bdr w:val="none" w:sz="0" w:space="0" w:color="auto"/>
        </w:rPr>
        <w:t xml:space="preserve"> </w:t>
      </w:r>
      <w:r w:rsidR="00C409D9" w:rsidRPr="00954547">
        <w:rPr>
          <w:rFonts w:ascii="Verdana" w:eastAsiaTheme="minorHAnsi" w:hAnsi="Verdana" w:cs="Arial-ItalicMT"/>
          <w:iCs/>
          <w:sz w:val="16"/>
          <w:szCs w:val="16"/>
          <w:bdr w:val="none" w:sz="0" w:space="0" w:color="auto"/>
        </w:rPr>
        <w:t>to</w:t>
      </w:r>
      <w:r w:rsidR="00015F7C" w:rsidRPr="00954547">
        <w:rPr>
          <w:rFonts w:ascii="Verdana" w:eastAsiaTheme="minorHAnsi" w:hAnsi="Verdana" w:cs="Arial-ItalicMT"/>
          <w:iCs/>
          <w:sz w:val="16"/>
          <w:szCs w:val="16"/>
          <w:bdr w:val="none" w:sz="0" w:space="0" w:color="auto"/>
        </w:rPr>
        <w:t xml:space="preserve"> El Salvador</w:t>
      </w:r>
      <w:r w:rsidRPr="00954547">
        <w:rPr>
          <w:rFonts w:ascii="Verdana" w:eastAsiaTheme="minorHAnsi" w:hAnsi="Verdana" w:cs="Arial"/>
          <w:sz w:val="16"/>
          <w:szCs w:val="16"/>
          <w:bdr w:val="none" w:sz="0" w:space="0" w:color="auto"/>
        </w:rPr>
        <w:t xml:space="preserve">, </w:t>
      </w:r>
      <w:r w:rsidR="00C409D9" w:rsidRPr="00954547">
        <w:rPr>
          <w:rFonts w:ascii="Verdana" w:eastAsiaTheme="minorHAnsi" w:hAnsi="Verdana" w:cs="Arial"/>
          <w:sz w:val="16"/>
          <w:szCs w:val="16"/>
          <w:bdr w:val="none" w:sz="0" w:space="0" w:color="auto"/>
        </w:rPr>
        <w:t>November 17,</w:t>
      </w:r>
      <w:r w:rsidRPr="00954547">
        <w:rPr>
          <w:rFonts w:ascii="Verdana" w:eastAsiaTheme="minorHAnsi" w:hAnsi="Verdana" w:cs="Arial"/>
          <w:sz w:val="16"/>
          <w:szCs w:val="16"/>
          <w:bdr w:val="none" w:sz="0" w:space="0" w:color="auto"/>
        </w:rPr>
        <w:t xml:space="preserve"> 2017. </w:t>
      </w:r>
      <w:r w:rsidR="002F4617" w:rsidRPr="00954547">
        <w:rPr>
          <w:rFonts w:ascii="Verdana" w:eastAsiaTheme="minorHAnsi" w:hAnsi="Verdana" w:cs="Arial"/>
          <w:sz w:val="16"/>
          <w:szCs w:val="16"/>
          <w:bdr w:val="none" w:sz="0" w:space="0" w:color="auto"/>
        </w:rPr>
        <w:t>Available at</w:t>
      </w:r>
      <w:r w:rsidRPr="00954547">
        <w:rPr>
          <w:rFonts w:ascii="Verdana" w:eastAsiaTheme="minorHAnsi" w:hAnsi="Verdana" w:cs="Arial"/>
          <w:sz w:val="16"/>
          <w:szCs w:val="16"/>
          <w:bdr w:val="none" w:sz="0" w:space="0" w:color="auto"/>
        </w:rPr>
        <w:t>:</w:t>
      </w:r>
      <w:r w:rsidR="00C409D9" w:rsidRPr="00954547">
        <w:rPr>
          <w:rFonts w:ascii="Verdana" w:eastAsiaTheme="minorHAnsi" w:hAnsi="Verdana" w:cs="Arial"/>
          <w:sz w:val="16"/>
          <w:szCs w:val="16"/>
          <w:bdr w:val="none" w:sz="0" w:space="0" w:color="auto"/>
        </w:rPr>
        <w:t xml:space="preserve"> </w:t>
      </w:r>
      <w:hyperlink r:id="rId8" w:history="1">
        <w:r w:rsidR="00C409D9" w:rsidRPr="00954547">
          <w:rPr>
            <w:rStyle w:val="Hyperlink"/>
            <w:rFonts w:ascii="Verdana" w:eastAsiaTheme="minorHAnsi" w:hAnsi="Verdana" w:cs="Arial"/>
            <w:sz w:val="16"/>
            <w:szCs w:val="16"/>
            <w:bdr w:val="none" w:sz="0" w:space="0" w:color="auto"/>
          </w:rPr>
          <w:t>https://www.ohchr.org/en/NewsEvents/Pages</w:t>
        </w:r>
      </w:hyperlink>
      <w:r w:rsidR="00C409D9" w:rsidRPr="00954547">
        <w:rPr>
          <w:rFonts w:ascii="Verdana" w:eastAsiaTheme="minorHAnsi" w:hAnsi="Verdana" w:cs="Arial"/>
          <w:sz w:val="16"/>
          <w:szCs w:val="16"/>
          <w:bdr w:val="none" w:sz="0" w:space="0" w:color="auto"/>
        </w:rPr>
        <w:t>/Display</w:t>
      </w:r>
      <w:r w:rsidR="00B15AC6" w:rsidRPr="00954547">
        <w:rPr>
          <w:rFonts w:ascii="Verdana" w:eastAsiaTheme="minorHAnsi" w:hAnsi="Verdana" w:cs="Arial"/>
          <w:sz w:val="16"/>
          <w:szCs w:val="16"/>
          <w:bdr w:val="none" w:sz="0" w:space="0" w:color="auto"/>
        </w:rPr>
        <w:t xml:space="preserve"> </w:t>
      </w:r>
      <w:r w:rsidR="00C409D9" w:rsidRPr="00954547">
        <w:rPr>
          <w:rFonts w:ascii="Verdana" w:eastAsiaTheme="minorHAnsi" w:hAnsi="Verdana" w:cs="Arial"/>
          <w:sz w:val="16"/>
          <w:szCs w:val="16"/>
          <w:bdr w:val="none" w:sz="0" w:space="0" w:color="auto"/>
        </w:rPr>
        <w:t xml:space="preserve">News.aspx?NewsID=22412&amp;LangID=E </w:t>
      </w:r>
    </w:p>
  </w:footnote>
  <w:footnote w:id="93">
    <w:p w14:paraId="1D150085" w14:textId="3D2FD3CF"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i/>
          <w:iCs/>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eastAsiaTheme="minorHAnsi" w:hAnsi="Verdana" w:cs="Arial"/>
          <w:sz w:val="16"/>
          <w:szCs w:val="16"/>
          <w:bdr w:val="none" w:sz="0" w:space="0" w:color="auto"/>
        </w:rPr>
        <w:t>Human Rights Committee</w:t>
      </w:r>
      <w:r w:rsidRPr="00954547">
        <w:rPr>
          <w:rFonts w:ascii="Verdana" w:eastAsiaTheme="minorHAnsi" w:hAnsi="Verdana" w:cs="Arial"/>
          <w:sz w:val="16"/>
          <w:szCs w:val="16"/>
          <w:bdr w:val="none" w:sz="0" w:space="0" w:color="auto"/>
        </w:rPr>
        <w:t xml:space="preserve">. </w:t>
      </w:r>
      <w:r w:rsidR="008C4B22" w:rsidRPr="00954547">
        <w:rPr>
          <w:rFonts w:ascii="Verdana" w:eastAsiaTheme="minorHAnsi" w:hAnsi="Verdana" w:cs="Arial"/>
          <w:iCs/>
          <w:sz w:val="16"/>
          <w:szCs w:val="16"/>
          <w:bdr w:val="none" w:sz="0" w:space="0" w:color="auto"/>
        </w:rPr>
        <w:t>Concluding observations on the seventh periodic report</w:t>
      </w:r>
      <w:r w:rsidR="009E6B43" w:rsidRPr="00954547">
        <w:rPr>
          <w:rFonts w:ascii="Verdana" w:eastAsiaTheme="minorHAnsi" w:hAnsi="Verdana" w:cs="Arial"/>
          <w:iCs/>
          <w:sz w:val="16"/>
          <w:szCs w:val="16"/>
          <w:bdr w:val="none" w:sz="0" w:space="0" w:color="auto"/>
        </w:rPr>
        <w:t xml:space="preserve"> of El </w:t>
      </w:r>
      <w:r w:rsidRPr="00954547">
        <w:rPr>
          <w:rFonts w:ascii="Verdana" w:eastAsiaTheme="minorHAnsi" w:hAnsi="Verdana" w:cs="Arial"/>
          <w:iCs/>
          <w:sz w:val="16"/>
          <w:szCs w:val="16"/>
          <w:bdr w:val="none" w:sz="0" w:space="0" w:color="auto"/>
        </w:rPr>
        <w:t>Salvador</w:t>
      </w:r>
      <w:r w:rsidRPr="00954547">
        <w:rPr>
          <w:rFonts w:ascii="Verdana" w:eastAsiaTheme="minorHAnsi" w:hAnsi="Verdana" w:cs="Arial"/>
          <w:i/>
          <w:iCs/>
          <w:sz w:val="16"/>
          <w:szCs w:val="16"/>
          <w:bdr w:val="none" w:sz="0" w:space="0" w:color="auto"/>
        </w:rPr>
        <w:t xml:space="preserve">. </w:t>
      </w:r>
      <w:r w:rsidRPr="00954547">
        <w:rPr>
          <w:rFonts w:ascii="Verdana" w:eastAsiaTheme="minorHAnsi" w:hAnsi="Verdana" w:cs="Arial"/>
          <w:sz w:val="16"/>
          <w:szCs w:val="16"/>
          <w:bdr w:val="none" w:sz="0" w:space="0" w:color="auto"/>
        </w:rPr>
        <w:t xml:space="preserve">CCPR/C/SLV/CO/7 </w:t>
      </w:r>
      <w:r w:rsidR="00C409D9" w:rsidRPr="00954547">
        <w:rPr>
          <w:rFonts w:ascii="Verdana" w:eastAsiaTheme="minorHAnsi" w:hAnsi="Verdana" w:cs="Arial"/>
          <w:sz w:val="16"/>
          <w:szCs w:val="16"/>
          <w:bdr w:val="none" w:sz="0" w:space="0" w:color="auto"/>
        </w:rPr>
        <w:t xml:space="preserve">of May 9, </w:t>
      </w:r>
      <w:r w:rsidRPr="00954547">
        <w:rPr>
          <w:rFonts w:ascii="Verdana" w:eastAsiaTheme="minorHAnsi" w:hAnsi="Verdana" w:cs="Arial"/>
          <w:sz w:val="16"/>
          <w:szCs w:val="16"/>
          <w:bdr w:val="none" w:sz="0" w:space="0" w:color="auto"/>
        </w:rPr>
        <w:t xml:space="preserve">2018, </w:t>
      </w:r>
      <w:r w:rsidR="00B10E5A" w:rsidRPr="00954547">
        <w:rPr>
          <w:rFonts w:ascii="Verdana" w:eastAsiaTheme="minorHAnsi" w:hAnsi="Verdana" w:cs="Arial"/>
          <w:sz w:val="16"/>
          <w:szCs w:val="16"/>
          <w:bdr w:val="none" w:sz="0" w:space="0" w:color="auto"/>
        </w:rPr>
        <w:t>para.</w:t>
      </w:r>
      <w:r w:rsidRPr="00954547">
        <w:rPr>
          <w:rFonts w:ascii="Verdana" w:eastAsiaTheme="minorHAnsi" w:hAnsi="Verdana" w:cs="Arial"/>
          <w:sz w:val="16"/>
          <w:szCs w:val="16"/>
          <w:bdr w:val="none" w:sz="0" w:space="0" w:color="auto"/>
        </w:rPr>
        <w:t xml:space="preserve"> 15; </w:t>
      </w:r>
      <w:r w:rsidR="002A45FD" w:rsidRPr="00954547">
        <w:rPr>
          <w:rFonts w:ascii="Verdana" w:eastAsiaTheme="minorHAnsi" w:hAnsi="Verdana" w:cs="Arial"/>
          <w:iCs/>
          <w:sz w:val="16"/>
          <w:szCs w:val="16"/>
          <w:bdr w:val="none" w:sz="0" w:space="0" w:color="auto"/>
        </w:rPr>
        <w:t>Report of the Special Rapporteur on violence against women, its causes and consequences</w:t>
      </w:r>
      <w:r w:rsidRPr="00954547">
        <w:rPr>
          <w:rFonts w:ascii="Verdana" w:eastAsiaTheme="minorHAnsi" w:hAnsi="Verdana" w:cs="Arial"/>
          <w:iCs/>
          <w:sz w:val="16"/>
          <w:szCs w:val="16"/>
          <w:bdr w:val="none" w:sz="0" w:space="0" w:color="auto"/>
        </w:rPr>
        <w:t xml:space="preserve">, Rashida Manjoo: </w:t>
      </w:r>
      <w:r w:rsidR="002A45FD" w:rsidRPr="00954547">
        <w:rPr>
          <w:rFonts w:ascii="Verdana" w:eastAsiaTheme="minorHAnsi" w:hAnsi="Verdana" w:cs="Arial"/>
          <w:iCs/>
          <w:sz w:val="16"/>
          <w:szCs w:val="16"/>
          <w:bdr w:val="none" w:sz="0" w:space="0" w:color="auto"/>
        </w:rPr>
        <w:t>Follow-up mission to</w:t>
      </w:r>
      <w:r w:rsidRPr="00954547">
        <w:rPr>
          <w:rFonts w:ascii="Verdana" w:eastAsiaTheme="minorHAnsi" w:hAnsi="Verdana" w:cs="Arial"/>
          <w:iCs/>
          <w:sz w:val="16"/>
          <w:szCs w:val="16"/>
          <w:bdr w:val="none" w:sz="0" w:space="0" w:color="auto"/>
        </w:rPr>
        <w:t xml:space="preserve"> El Salvado</w:t>
      </w:r>
      <w:r w:rsidRPr="00954547">
        <w:rPr>
          <w:rFonts w:ascii="Verdana" w:eastAsiaTheme="minorHAnsi" w:hAnsi="Verdana" w:cs="Arial"/>
          <w:i/>
          <w:iCs/>
          <w:sz w:val="16"/>
          <w:szCs w:val="16"/>
          <w:bdr w:val="none" w:sz="0" w:space="0" w:color="auto"/>
        </w:rPr>
        <w:t>r</w:t>
      </w:r>
      <w:r w:rsidRPr="00954547">
        <w:rPr>
          <w:rFonts w:ascii="Verdana" w:eastAsiaTheme="minorHAnsi" w:hAnsi="Verdana" w:cs="Arial"/>
          <w:sz w:val="16"/>
          <w:szCs w:val="16"/>
          <w:bdr w:val="none" w:sz="0" w:space="0" w:color="auto"/>
        </w:rPr>
        <w:t xml:space="preserve">, A/HRC/17/26/Add.2 </w:t>
      </w:r>
      <w:r w:rsidR="002A45FD" w:rsidRPr="00954547">
        <w:rPr>
          <w:rFonts w:ascii="Verdana" w:eastAsiaTheme="minorHAnsi" w:hAnsi="Verdana" w:cs="Arial"/>
          <w:sz w:val="16"/>
          <w:szCs w:val="16"/>
          <w:bdr w:val="none" w:sz="0" w:space="0" w:color="auto"/>
        </w:rPr>
        <w:t>of February 14,</w:t>
      </w:r>
      <w:r w:rsidRPr="00954547">
        <w:rPr>
          <w:rFonts w:ascii="Verdana" w:eastAsiaTheme="minorHAnsi" w:hAnsi="Verdana" w:cs="Arial"/>
          <w:i/>
          <w:iCs/>
          <w:sz w:val="16"/>
          <w:szCs w:val="16"/>
          <w:bdr w:val="none" w:sz="0" w:space="0" w:color="auto"/>
        </w:rPr>
        <w:t xml:space="preserve"> </w:t>
      </w:r>
      <w:r w:rsidRPr="00954547">
        <w:rPr>
          <w:rFonts w:ascii="Verdana" w:eastAsiaTheme="minorHAnsi" w:hAnsi="Verdana" w:cs="Arial"/>
          <w:sz w:val="16"/>
          <w:szCs w:val="16"/>
          <w:bdr w:val="none" w:sz="0" w:space="0" w:color="auto"/>
        </w:rPr>
        <w:t xml:space="preserve">2011, </w:t>
      </w:r>
      <w:r w:rsidR="00B10E5A" w:rsidRPr="00954547">
        <w:rPr>
          <w:rFonts w:ascii="Verdana" w:eastAsiaTheme="minorHAnsi" w:hAnsi="Verdana" w:cs="Arial"/>
          <w:sz w:val="16"/>
          <w:szCs w:val="16"/>
          <w:bdr w:val="none" w:sz="0" w:space="0" w:color="auto"/>
        </w:rPr>
        <w:t>para.</w:t>
      </w:r>
      <w:r w:rsidRPr="00954547">
        <w:rPr>
          <w:rFonts w:ascii="Verdana" w:eastAsiaTheme="minorHAnsi" w:hAnsi="Verdana" w:cs="Arial"/>
          <w:sz w:val="16"/>
          <w:szCs w:val="16"/>
          <w:bdr w:val="none" w:sz="0" w:space="0" w:color="auto"/>
        </w:rPr>
        <w:t xml:space="preserve"> 68,</w:t>
      </w:r>
      <w:r w:rsidR="0078694F" w:rsidRPr="00954547">
        <w:rPr>
          <w:rFonts w:ascii="Verdana" w:eastAsiaTheme="minorHAnsi" w:hAnsi="Verdana" w:cs="Arial"/>
          <w:sz w:val="16"/>
          <w:szCs w:val="16"/>
          <w:bdr w:val="none" w:sz="0" w:space="0" w:color="auto"/>
        </w:rPr>
        <w:t xml:space="preserve"> and </w:t>
      </w:r>
      <w:r w:rsidR="00910767" w:rsidRPr="00954547">
        <w:rPr>
          <w:rFonts w:ascii="Verdana" w:eastAsiaTheme="minorHAnsi" w:hAnsi="Verdana" w:cs="Arial"/>
          <w:iCs/>
          <w:sz w:val="16"/>
          <w:szCs w:val="16"/>
          <w:bdr w:val="none" w:sz="0" w:space="0" w:color="auto"/>
        </w:rPr>
        <w:t>Statement of the United Nations High Commissioner for Human Rights</w:t>
      </w:r>
      <w:r w:rsidR="00910767" w:rsidRPr="00954547">
        <w:rPr>
          <w:rFonts w:ascii="Verdana" w:eastAsiaTheme="minorHAnsi" w:hAnsi="Verdana" w:cs="Arial-ItalicMT"/>
          <w:iCs/>
          <w:sz w:val="16"/>
          <w:szCs w:val="16"/>
          <w:bdr w:val="none" w:sz="0" w:space="0" w:color="auto"/>
        </w:rPr>
        <w:t xml:space="preserve"> Zeid Ra’ad Al Hussein at the end of his mission to El Salvador</w:t>
      </w:r>
      <w:r w:rsidR="00910767" w:rsidRPr="00954547">
        <w:rPr>
          <w:rFonts w:ascii="Verdana" w:eastAsiaTheme="minorHAnsi" w:hAnsi="Verdana" w:cs="Arial"/>
          <w:sz w:val="16"/>
          <w:szCs w:val="16"/>
          <w:bdr w:val="none" w:sz="0" w:space="0" w:color="auto"/>
        </w:rPr>
        <w:t xml:space="preserve">, November 17, 2017. Available at: </w:t>
      </w:r>
      <w:hyperlink r:id="rId9" w:history="1">
        <w:r w:rsidR="00910767" w:rsidRPr="00954547">
          <w:rPr>
            <w:rStyle w:val="Hyperlink"/>
            <w:rFonts w:ascii="Verdana" w:eastAsiaTheme="minorHAnsi" w:hAnsi="Verdana" w:cs="Arial"/>
            <w:sz w:val="16"/>
            <w:szCs w:val="16"/>
            <w:bdr w:val="none" w:sz="0" w:space="0" w:color="auto"/>
          </w:rPr>
          <w:t>https://www.ohchr.org/en/NewsEvents/Pages</w:t>
        </w:r>
      </w:hyperlink>
      <w:r w:rsidR="00910767" w:rsidRPr="00954547">
        <w:rPr>
          <w:rFonts w:ascii="Verdana" w:eastAsiaTheme="minorHAnsi" w:hAnsi="Verdana" w:cs="Arial"/>
          <w:sz w:val="16"/>
          <w:szCs w:val="16"/>
          <w:bdr w:val="none" w:sz="0" w:space="0" w:color="auto"/>
        </w:rPr>
        <w:t xml:space="preserve"> /DisplayNews.aspx?NewsID=22412&amp;LangID=E</w:t>
      </w:r>
    </w:p>
  </w:footnote>
  <w:footnote w:id="94">
    <w:p w14:paraId="683E471D" w14:textId="44A158F2"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2A45FD" w:rsidRPr="00954547">
        <w:t>Committee for the Elimination of Discrimination against Women</w:t>
      </w:r>
      <w:r w:rsidRPr="00954547">
        <w:t xml:space="preserve">. </w:t>
      </w:r>
      <w:r w:rsidR="002A45FD" w:rsidRPr="00954547">
        <w:t>Concluding observations</w:t>
      </w:r>
      <w:r w:rsidRPr="00954547">
        <w:t xml:space="preserve"> </w:t>
      </w:r>
      <w:r w:rsidR="002A45FD" w:rsidRPr="00954547">
        <w:t>on the combined eighth and ninth periodic reports</w:t>
      </w:r>
      <w:r w:rsidR="009E6B43" w:rsidRPr="00954547">
        <w:t xml:space="preserve"> of El </w:t>
      </w:r>
      <w:r w:rsidRPr="00954547">
        <w:t xml:space="preserve">Salvador, CEDAW/C/SLV/CO/8-9, </w:t>
      </w:r>
      <w:r w:rsidR="002A45FD" w:rsidRPr="00954547">
        <w:t>of March 9,</w:t>
      </w:r>
      <w:r w:rsidRPr="00954547">
        <w:t xml:space="preserve"> 2017, </w:t>
      </w:r>
      <w:r w:rsidR="00B10E5A" w:rsidRPr="00954547">
        <w:t>para.</w:t>
      </w:r>
      <w:r w:rsidRPr="00954547">
        <w:t xml:space="preserve"> 38 (a).</w:t>
      </w:r>
    </w:p>
  </w:footnote>
  <w:footnote w:id="95">
    <w:p w14:paraId="02426CB5" w14:textId="709724FE" w:rsidR="005F001B" w:rsidRPr="00954547" w:rsidRDefault="005F001B" w:rsidP="007619E6">
      <w:pPr>
        <w:pStyle w:val="FootnoteText"/>
        <w:tabs>
          <w:tab w:val="left" w:pos="567"/>
        </w:tabs>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eastAsia="Times New Roman" w:hAnsi="Verdana" w:cs="Arial"/>
          <w:sz w:val="16"/>
          <w:szCs w:val="16"/>
          <w:lang w:eastAsia="es-AR"/>
        </w:rPr>
        <w:t>United Nations Committee on Economic, Social and Cultural Rights</w:t>
      </w:r>
      <w:r w:rsidRPr="00954547">
        <w:rPr>
          <w:rFonts w:ascii="Verdana" w:eastAsia="Times New Roman" w:hAnsi="Verdana" w:cs="Arial"/>
          <w:sz w:val="16"/>
          <w:szCs w:val="16"/>
          <w:lang w:eastAsia="es-AR"/>
        </w:rPr>
        <w:t xml:space="preserve">, </w:t>
      </w:r>
      <w:r w:rsidR="008C4B22" w:rsidRPr="00954547">
        <w:rPr>
          <w:rFonts w:ascii="Verdana" w:eastAsia="Times New Roman" w:hAnsi="Verdana" w:cs="Arial"/>
          <w:sz w:val="16"/>
          <w:szCs w:val="16"/>
          <w:lang w:eastAsia="es-AR"/>
        </w:rPr>
        <w:t>Concluding observations on</w:t>
      </w:r>
      <w:r w:rsidRPr="00954547">
        <w:rPr>
          <w:rFonts w:ascii="Verdana" w:eastAsia="Times New Roman" w:hAnsi="Verdana" w:cs="Arial"/>
          <w:sz w:val="16"/>
          <w:szCs w:val="16"/>
          <w:lang w:eastAsia="es-AR"/>
        </w:rPr>
        <w:t xml:space="preserve"> </w:t>
      </w:r>
      <w:r w:rsidR="008C4B22" w:rsidRPr="00954547">
        <w:rPr>
          <w:rFonts w:ascii="Verdana" w:eastAsia="Times New Roman" w:hAnsi="Verdana" w:cs="Arial"/>
          <w:sz w:val="16"/>
          <w:szCs w:val="16"/>
          <w:lang w:eastAsia="es-AR"/>
        </w:rPr>
        <w:t>the combined third, fourth and fifth periodic reports</w:t>
      </w:r>
      <w:r w:rsidR="009E6B43" w:rsidRPr="00954547">
        <w:rPr>
          <w:rFonts w:ascii="Verdana" w:eastAsia="Times New Roman" w:hAnsi="Verdana" w:cs="Arial"/>
          <w:sz w:val="16"/>
          <w:szCs w:val="16"/>
          <w:lang w:eastAsia="es-AR"/>
        </w:rPr>
        <w:t xml:space="preserve"> of El </w:t>
      </w:r>
      <w:r w:rsidRPr="00954547">
        <w:rPr>
          <w:rFonts w:ascii="Verdana" w:eastAsia="Times New Roman" w:hAnsi="Verdana" w:cs="Arial"/>
          <w:sz w:val="16"/>
          <w:szCs w:val="16"/>
          <w:lang w:eastAsia="es-AR"/>
        </w:rPr>
        <w:t xml:space="preserve">Salvador, E/C.12/SLV/CO/3-5, </w:t>
      </w:r>
      <w:r w:rsidR="00BF25A2" w:rsidRPr="00954547">
        <w:rPr>
          <w:rFonts w:ascii="Verdana" w:eastAsia="Times New Roman" w:hAnsi="Verdana" w:cs="Arial"/>
          <w:sz w:val="16"/>
          <w:szCs w:val="16"/>
          <w:lang w:eastAsia="es-AR"/>
        </w:rPr>
        <w:t>June 19,</w:t>
      </w:r>
      <w:r w:rsidRPr="00954547">
        <w:rPr>
          <w:rFonts w:ascii="Verdana" w:eastAsia="Times New Roman" w:hAnsi="Verdana" w:cs="Arial"/>
          <w:sz w:val="16"/>
          <w:szCs w:val="16"/>
          <w:lang w:eastAsia="es-AR"/>
        </w:rPr>
        <w:t xml:space="preserve"> 2014, </w:t>
      </w:r>
      <w:r w:rsidR="00B10E5A" w:rsidRPr="00954547">
        <w:rPr>
          <w:rFonts w:ascii="Verdana" w:eastAsia="Times New Roman" w:hAnsi="Verdana" w:cs="Arial"/>
          <w:sz w:val="16"/>
          <w:szCs w:val="16"/>
          <w:lang w:eastAsia="es-AR"/>
        </w:rPr>
        <w:t>para.</w:t>
      </w:r>
      <w:r w:rsidRPr="00954547">
        <w:rPr>
          <w:rFonts w:ascii="Verdana" w:eastAsia="Times New Roman" w:hAnsi="Verdana" w:cs="Arial"/>
          <w:sz w:val="16"/>
          <w:szCs w:val="16"/>
          <w:lang w:eastAsia="es-AR"/>
        </w:rPr>
        <w:t xml:space="preserve"> 22.</w:t>
      </w:r>
    </w:p>
  </w:footnote>
  <w:footnote w:id="96">
    <w:p w14:paraId="581A24E3" w14:textId="16275986" w:rsidR="005F001B" w:rsidRPr="00954547" w:rsidRDefault="005F001B" w:rsidP="007619E6">
      <w:pPr>
        <w:pStyle w:val="FootnoteText"/>
        <w:tabs>
          <w:tab w:val="left" w:pos="567"/>
        </w:tabs>
        <w:spacing w:after="120"/>
        <w:jc w:val="both"/>
        <w:rPr>
          <w:rFonts w:ascii="Verdana" w:hAnsi="Verdana"/>
          <w:sz w:val="16"/>
          <w:szCs w:val="16"/>
          <w:lang w:val="es-CR"/>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432C" w:rsidRPr="00954547">
        <w:rPr>
          <w:rFonts w:ascii="Verdana" w:hAnsi="Verdana"/>
          <w:sz w:val="16"/>
          <w:szCs w:val="16"/>
        </w:rPr>
        <w:t>Expert opinion provided by</w:t>
      </w:r>
      <w:r w:rsidRPr="00954547">
        <w:rPr>
          <w:rFonts w:ascii="Verdana" w:hAnsi="Verdana"/>
          <w:sz w:val="16"/>
          <w:szCs w:val="16"/>
        </w:rPr>
        <w:t xml:space="preserve"> David Ernesto Morales Cruz </w:t>
      </w:r>
      <w:r w:rsidR="007D7721" w:rsidRPr="00954547">
        <w:rPr>
          <w:rFonts w:ascii="Verdana" w:hAnsi="Verdana"/>
          <w:sz w:val="16"/>
          <w:szCs w:val="16"/>
        </w:rPr>
        <w:t>on March 4,</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3940, 3941</w:t>
      </w:r>
      <w:r w:rsidR="0078694F" w:rsidRPr="00954547">
        <w:rPr>
          <w:rFonts w:ascii="Verdana" w:hAnsi="Verdana"/>
          <w:sz w:val="16"/>
          <w:szCs w:val="16"/>
        </w:rPr>
        <w:t xml:space="preserve"> and </w:t>
      </w:r>
      <w:r w:rsidRPr="00954547">
        <w:rPr>
          <w:rFonts w:ascii="Verdana" w:hAnsi="Verdana"/>
          <w:sz w:val="16"/>
          <w:szCs w:val="16"/>
        </w:rPr>
        <w:t xml:space="preserve">3942). </w:t>
      </w:r>
      <w:r w:rsidR="002A45FD" w:rsidRPr="00954547">
        <w:rPr>
          <w:rFonts w:ascii="Verdana" w:hAnsi="Verdana"/>
          <w:iCs/>
          <w:sz w:val="16"/>
          <w:szCs w:val="16"/>
          <w:lang w:val="es-CR"/>
        </w:rPr>
        <w:t>See also,</w:t>
      </w:r>
      <w:r w:rsidRPr="00954547">
        <w:rPr>
          <w:rFonts w:ascii="Verdana" w:hAnsi="Verdana"/>
          <w:sz w:val="16"/>
          <w:szCs w:val="16"/>
          <w:lang w:val="es-CR"/>
        </w:rPr>
        <w:t xml:space="preserve"> Viterna J.</w:t>
      </w:r>
      <w:r w:rsidR="0078694F" w:rsidRPr="00954547">
        <w:rPr>
          <w:rFonts w:ascii="Verdana" w:hAnsi="Verdana"/>
          <w:sz w:val="16"/>
          <w:szCs w:val="16"/>
          <w:lang w:val="es-CR"/>
        </w:rPr>
        <w:t xml:space="preserve"> and </w:t>
      </w:r>
      <w:r w:rsidRPr="00954547">
        <w:rPr>
          <w:rFonts w:ascii="Verdana" w:hAnsi="Verdana"/>
          <w:sz w:val="16"/>
          <w:szCs w:val="16"/>
          <w:lang w:val="es-CR"/>
        </w:rPr>
        <w:t xml:space="preserve">Santos J. </w:t>
      </w:r>
      <w:r w:rsidRPr="00954547">
        <w:rPr>
          <w:rFonts w:ascii="Verdana" w:hAnsi="Verdana"/>
          <w:i/>
          <w:iCs/>
          <w:sz w:val="16"/>
          <w:szCs w:val="16"/>
          <w:lang w:val="es-CR"/>
        </w:rPr>
        <w:t>Análisis independiente de la Discriminación Sistemática de Género en el Proceso Judicial</w:t>
      </w:r>
      <w:r w:rsidR="009E6B43" w:rsidRPr="00954547">
        <w:rPr>
          <w:rFonts w:ascii="Verdana" w:hAnsi="Verdana"/>
          <w:i/>
          <w:iCs/>
          <w:sz w:val="16"/>
          <w:szCs w:val="16"/>
          <w:lang w:val="es-CR"/>
        </w:rPr>
        <w:t xml:space="preserve"> </w:t>
      </w:r>
      <w:r w:rsidR="00BF25A2" w:rsidRPr="00954547">
        <w:rPr>
          <w:rFonts w:ascii="Verdana" w:hAnsi="Verdana"/>
          <w:i/>
          <w:iCs/>
          <w:sz w:val="16"/>
          <w:szCs w:val="16"/>
          <w:lang w:val="es-CR"/>
        </w:rPr>
        <w:t>de</w:t>
      </w:r>
      <w:r w:rsidR="009E6B43" w:rsidRPr="00954547">
        <w:rPr>
          <w:rFonts w:ascii="Verdana" w:hAnsi="Verdana"/>
          <w:i/>
          <w:iCs/>
          <w:sz w:val="16"/>
          <w:szCs w:val="16"/>
          <w:lang w:val="es-CR"/>
        </w:rPr>
        <w:t xml:space="preserve"> El </w:t>
      </w:r>
      <w:r w:rsidRPr="00954547">
        <w:rPr>
          <w:rFonts w:ascii="Verdana" w:hAnsi="Verdana"/>
          <w:i/>
          <w:iCs/>
          <w:sz w:val="16"/>
          <w:szCs w:val="16"/>
          <w:lang w:val="es-CR"/>
        </w:rPr>
        <w:t>Salvador contra las 17 Mujeres Acusadas del</w:t>
      </w:r>
      <w:r w:rsidR="00BF25A2" w:rsidRPr="00954547">
        <w:rPr>
          <w:rFonts w:ascii="Verdana" w:hAnsi="Verdana"/>
          <w:i/>
          <w:iCs/>
          <w:sz w:val="16"/>
          <w:szCs w:val="16"/>
          <w:lang w:val="es-CR"/>
        </w:rPr>
        <w:t xml:space="preserve"> Homicidio Agravado </w:t>
      </w:r>
      <w:r w:rsidRPr="00954547">
        <w:rPr>
          <w:rFonts w:ascii="Verdana" w:hAnsi="Verdana"/>
          <w:i/>
          <w:iCs/>
          <w:sz w:val="16"/>
          <w:szCs w:val="16"/>
          <w:lang w:val="es-CR"/>
        </w:rPr>
        <w:t>de sus Recién Nacidos</w:t>
      </w:r>
      <w:r w:rsidR="00BF25A2" w:rsidRPr="00954547">
        <w:rPr>
          <w:rFonts w:ascii="Verdana" w:hAnsi="Verdana"/>
          <w:i/>
          <w:iCs/>
          <w:sz w:val="16"/>
          <w:szCs w:val="16"/>
          <w:lang w:val="es-CR"/>
        </w:rPr>
        <w:t>,</w:t>
      </w:r>
      <w:r w:rsidR="00C409D9" w:rsidRPr="00954547">
        <w:rPr>
          <w:rFonts w:ascii="Verdana" w:hAnsi="Verdana"/>
          <w:sz w:val="16"/>
          <w:szCs w:val="16"/>
          <w:lang w:val="es-CR"/>
        </w:rPr>
        <w:t xml:space="preserve"> November 17,</w:t>
      </w:r>
      <w:r w:rsidRPr="00954547">
        <w:rPr>
          <w:rFonts w:ascii="Verdana" w:hAnsi="Verdana"/>
          <w:sz w:val="16"/>
          <w:szCs w:val="16"/>
          <w:lang w:val="es-CR"/>
        </w:rPr>
        <w:t xml:space="preserve"> 2014, </w:t>
      </w:r>
      <w:r w:rsidR="002F4617" w:rsidRPr="00954547">
        <w:rPr>
          <w:rFonts w:ascii="Verdana" w:hAnsi="Verdana"/>
          <w:sz w:val="16"/>
          <w:szCs w:val="16"/>
          <w:lang w:val="es-CR"/>
        </w:rPr>
        <w:t>Available at</w:t>
      </w:r>
      <w:r w:rsidRPr="00954547">
        <w:rPr>
          <w:rFonts w:ascii="Verdana" w:hAnsi="Verdana"/>
          <w:sz w:val="16"/>
          <w:szCs w:val="16"/>
          <w:lang w:val="es-CR"/>
        </w:rPr>
        <w:t xml:space="preserve">:  </w:t>
      </w:r>
      <w:hyperlink r:id="rId10" w:history="1">
        <w:r w:rsidR="00BF25A2" w:rsidRPr="00954547">
          <w:rPr>
            <w:rStyle w:val="Hyperlink"/>
            <w:rFonts w:ascii="Verdana" w:hAnsi="Verdana"/>
            <w:sz w:val="16"/>
            <w:szCs w:val="16"/>
            <w:lang w:val="es-CR"/>
          </w:rPr>
          <w:t>https://scholar.harvard.edu/files/viterna/files/viterna_guardado_2014_ white_paper_spanish.pdf</w:t>
        </w:r>
      </w:hyperlink>
    </w:p>
  </w:footnote>
  <w:footnote w:id="97">
    <w:p w14:paraId="427F9C01" w14:textId="2487C6FE"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C4B22" w:rsidRPr="00954547">
        <w:rPr>
          <w:rFonts w:ascii="Verdana" w:eastAsiaTheme="minorHAnsi" w:hAnsi="Verdana" w:cs="Arial"/>
          <w:sz w:val="16"/>
          <w:szCs w:val="16"/>
          <w:bdr w:val="none" w:sz="0" w:space="0" w:color="auto"/>
        </w:rPr>
        <w:t>Human Rights Committee</w:t>
      </w:r>
      <w:r w:rsidRPr="00954547">
        <w:rPr>
          <w:rFonts w:ascii="Verdana" w:eastAsiaTheme="minorHAnsi" w:hAnsi="Verdana" w:cs="Arial"/>
          <w:sz w:val="16"/>
          <w:szCs w:val="16"/>
          <w:bdr w:val="none" w:sz="0" w:space="0" w:color="auto"/>
        </w:rPr>
        <w:t xml:space="preserve">. </w:t>
      </w:r>
      <w:r w:rsidR="008C4B22" w:rsidRPr="00954547">
        <w:rPr>
          <w:rFonts w:ascii="Verdana" w:eastAsiaTheme="minorHAnsi" w:hAnsi="Verdana" w:cs="Arial"/>
          <w:iCs/>
          <w:sz w:val="16"/>
          <w:szCs w:val="16"/>
          <w:bdr w:val="none" w:sz="0" w:space="0" w:color="auto"/>
        </w:rPr>
        <w:t>Concluding observations on the seventh periodic report</w:t>
      </w:r>
      <w:r w:rsidR="009E6B43" w:rsidRPr="00954547">
        <w:rPr>
          <w:rFonts w:ascii="Verdana" w:eastAsiaTheme="minorHAnsi" w:hAnsi="Verdana" w:cs="Arial"/>
          <w:iCs/>
          <w:sz w:val="16"/>
          <w:szCs w:val="16"/>
          <w:bdr w:val="none" w:sz="0" w:space="0" w:color="auto"/>
        </w:rPr>
        <w:t xml:space="preserve"> of El </w:t>
      </w:r>
      <w:r w:rsidRPr="00954547">
        <w:rPr>
          <w:rFonts w:ascii="Verdana" w:eastAsiaTheme="minorHAnsi" w:hAnsi="Verdana" w:cs="Arial"/>
          <w:iCs/>
          <w:sz w:val="16"/>
          <w:szCs w:val="16"/>
          <w:bdr w:val="none" w:sz="0" w:space="0" w:color="auto"/>
        </w:rPr>
        <w:t>Salvador</w:t>
      </w:r>
      <w:r w:rsidRPr="00954547">
        <w:rPr>
          <w:rFonts w:ascii="Verdana" w:eastAsiaTheme="minorHAnsi" w:hAnsi="Verdana" w:cs="Arial"/>
          <w:i/>
          <w:iCs/>
          <w:sz w:val="16"/>
          <w:szCs w:val="16"/>
          <w:bdr w:val="none" w:sz="0" w:space="0" w:color="auto"/>
        </w:rPr>
        <w:t xml:space="preserve">, </w:t>
      </w:r>
      <w:r w:rsidRPr="00954547">
        <w:rPr>
          <w:rFonts w:ascii="Verdana" w:eastAsiaTheme="minorHAnsi" w:hAnsi="Verdana" w:cs="Arial"/>
          <w:sz w:val="16"/>
          <w:szCs w:val="16"/>
          <w:bdr w:val="none" w:sz="0" w:space="0" w:color="auto"/>
        </w:rPr>
        <w:t xml:space="preserve">CCPR/C/SLV/CO/7 </w:t>
      </w:r>
      <w:r w:rsidR="008C4B22" w:rsidRPr="00954547">
        <w:rPr>
          <w:rFonts w:ascii="Verdana" w:eastAsiaTheme="minorHAnsi" w:hAnsi="Verdana" w:cs="Arial"/>
          <w:sz w:val="16"/>
          <w:szCs w:val="16"/>
          <w:bdr w:val="none" w:sz="0" w:space="0" w:color="auto"/>
        </w:rPr>
        <w:t>of May 9,</w:t>
      </w:r>
      <w:r w:rsidRPr="00954547">
        <w:rPr>
          <w:rFonts w:ascii="Verdana" w:eastAsiaTheme="minorHAnsi" w:hAnsi="Verdana" w:cs="Arial"/>
          <w:sz w:val="16"/>
          <w:szCs w:val="16"/>
          <w:bdr w:val="none" w:sz="0" w:space="0" w:color="auto"/>
        </w:rPr>
        <w:t xml:space="preserve"> 2018, </w:t>
      </w:r>
      <w:r w:rsidR="00B10E5A" w:rsidRPr="00954547">
        <w:rPr>
          <w:rFonts w:ascii="Verdana" w:eastAsiaTheme="minorHAnsi" w:hAnsi="Verdana" w:cs="Arial"/>
          <w:sz w:val="16"/>
          <w:szCs w:val="16"/>
          <w:bdr w:val="none" w:sz="0" w:space="0" w:color="auto"/>
        </w:rPr>
        <w:t>para.</w:t>
      </w:r>
      <w:r w:rsidRPr="00954547">
        <w:rPr>
          <w:rFonts w:ascii="Verdana" w:eastAsiaTheme="minorHAnsi" w:hAnsi="Verdana" w:cs="Arial"/>
          <w:sz w:val="16"/>
          <w:szCs w:val="16"/>
          <w:bdr w:val="none" w:sz="0" w:space="0" w:color="auto"/>
        </w:rPr>
        <w:t xml:space="preserve"> 15; </w:t>
      </w:r>
      <w:r w:rsidR="00BF25A2" w:rsidRPr="00954547">
        <w:rPr>
          <w:rFonts w:ascii="Verdana" w:hAnsi="Verdana"/>
          <w:sz w:val="16"/>
          <w:szCs w:val="16"/>
        </w:rPr>
        <w:t>Working Group on Arbitrary Detention</w:t>
      </w:r>
      <w:r w:rsidRPr="00954547">
        <w:rPr>
          <w:rFonts w:ascii="Verdana" w:hAnsi="Verdana"/>
          <w:sz w:val="16"/>
          <w:szCs w:val="16"/>
        </w:rPr>
        <w:t>. Opini</w:t>
      </w:r>
      <w:r w:rsidR="00BF25A2" w:rsidRPr="00954547">
        <w:rPr>
          <w:rFonts w:ascii="Verdana" w:hAnsi="Verdana"/>
          <w:sz w:val="16"/>
          <w:szCs w:val="16"/>
        </w:rPr>
        <w:t>on No</w:t>
      </w:r>
      <w:r w:rsidRPr="00954547">
        <w:rPr>
          <w:rFonts w:ascii="Verdana" w:hAnsi="Verdana"/>
          <w:sz w:val="16"/>
          <w:szCs w:val="16"/>
        </w:rPr>
        <w:t xml:space="preserve">. 68/2019, </w:t>
      </w:r>
      <w:r w:rsidR="00605068" w:rsidRPr="00954547">
        <w:rPr>
          <w:rFonts w:ascii="Verdana" w:hAnsi="Verdana"/>
          <w:sz w:val="16"/>
          <w:szCs w:val="16"/>
        </w:rPr>
        <w:t>c</w:t>
      </w:r>
      <w:r w:rsidR="00BF25A2" w:rsidRPr="00954547">
        <w:rPr>
          <w:rFonts w:ascii="Verdana" w:hAnsi="Verdana"/>
          <w:sz w:val="16"/>
          <w:szCs w:val="16"/>
        </w:rPr>
        <w:t>on</w:t>
      </w:r>
      <w:r w:rsidR="00605068" w:rsidRPr="00954547">
        <w:rPr>
          <w:rFonts w:ascii="Verdana" w:hAnsi="Verdana"/>
          <w:sz w:val="16"/>
          <w:szCs w:val="16"/>
        </w:rPr>
        <w:t>cerning</w:t>
      </w:r>
      <w:r w:rsidRPr="00954547">
        <w:rPr>
          <w:rFonts w:ascii="Verdana" w:hAnsi="Verdana"/>
          <w:sz w:val="16"/>
          <w:szCs w:val="16"/>
        </w:rPr>
        <w:t xml:space="preserve"> Sara del Rosario Roge</w:t>
      </w:r>
      <w:r w:rsidR="00605068" w:rsidRPr="00954547">
        <w:rPr>
          <w:rFonts w:ascii="Verdana" w:hAnsi="Verdana"/>
          <w:sz w:val="16"/>
          <w:szCs w:val="16"/>
        </w:rPr>
        <w:t xml:space="preserve">l </w:t>
      </w:r>
      <w:r w:rsidRPr="00954547">
        <w:rPr>
          <w:rFonts w:ascii="Verdana" w:hAnsi="Verdana"/>
          <w:sz w:val="16"/>
          <w:szCs w:val="16"/>
        </w:rPr>
        <w:t>García, Berta Margarita Arana Hernández</w:t>
      </w:r>
      <w:r w:rsidR="0078694F" w:rsidRPr="00954547">
        <w:rPr>
          <w:rFonts w:ascii="Verdana" w:hAnsi="Verdana"/>
          <w:sz w:val="16"/>
          <w:szCs w:val="16"/>
        </w:rPr>
        <w:t xml:space="preserve"> and </w:t>
      </w:r>
      <w:r w:rsidRPr="00954547">
        <w:rPr>
          <w:rFonts w:ascii="Verdana" w:hAnsi="Verdana"/>
          <w:sz w:val="16"/>
          <w:szCs w:val="16"/>
        </w:rPr>
        <w:t xml:space="preserve">Evelyn Beatriz Hernández Cruz (El Salvador) A/HRC/WGAD/2019/68 </w:t>
      </w:r>
      <w:r w:rsidR="007D7721" w:rsidRPr="00954547">
        <w:rPr>
          <w:rFonts w:ascii="Verdana" w:hAnsi="Verdana"/>
          <w:sz w:val="16"/>
          <w:szCs w:val="16"/>
        </w:rPr>
        <w:t>o</w:t>
      </w:r>
      <w:r w:rsidR="00BF25A2" w:rsidRPr="00954547">
        <w:rPr>
          <w:rFonts w:ascii="Verdana" w:hAnsi="Verdana"/>
          <w:sz w:val="16"/>
          <w:szCs w:val="16"/>
        </w:rPr>
        <w:t>f</w:t>
      </w:r>
      <w:r w:rsidR="007D7721" w:rsidRPr="00954547">
        <w:rPr>
          <w:rFonts w:ascii="Verdana" w:hAnsi="Verdana"/>
          <w:sz w:val="16"/>
          <w:szCs w:val="16"/>
        </w:rPr>
        <w:t xml:space="preserve"> March 4,</w:t>
      </w:r>
      <w:r w:rsidRPr="00954547">
        <w:rPr>
          <w:rFonts w:ascii="Verdana" w:hAnsi="Verdana"/>
          <w:sz w:val="16"/>
          <w:szCs w:val="16"/>
        </w:rPr>
        <w:t xml:space="preserve"> 2020, </w:t>
      </w:r>
      <w:r w:rsidR="00B10E5A" w:rsidRPr="00954547">
        <w:rPr>
          <w:rFonts w:ascii="Verdana" w:hAnsi="Verdana"/>
          <w:sz w:val="16"/>
          <w:szCs w:val="16"/>
        </w:rPr>
        <w:t>para.</w:t>
      </w:r>
      <w:r w:rsidRPr="00954547">
        <w:rPr>
          <w:rFonts w:ascii="Verdana" w:hAnsi="Verdana"/>
          <w:sz w:val="16"/>
          <w:szCs w:val="16"/>
        </w:rPr>
        <w:t xml:space="preserve"> </w:t>
      </w:r>
      <w:r w:rsidRPr="00954547">
        <w:rPr>
          <w:rFonts w:ascii="Verdana" w:hAnsi="Verdana"/>
          <w:sz w:val="16"/>
          <w:szCs w:val="16"/>
          <w:lang w:val="es-CR"/>
        </w:rPr>
        <w:t>101,</w:t>
      </w:r>
      <w:r w:rsidR="0078694F" w:rsidRPr="00954547">
        <w:rPr>
          <w:rFonts w:ascii="Verdana" w:hAnsi="Verdana"/>
          <w:sz w:val="16"/>
          <w:szCs w:val="16"/>
          <w:lang w:val="es-CR"/>
        </w:rPr>
        <w:t xml:space="preserve"> and </w:t>
      </w:r>
      <w:r w:rsidRPr="00954547">
        <w:rPr>
          <w:rFonts w:ascii="Verdana" w:eastAsiaTheme="minorHAnsi" w:hAnsi="Verdana" w:cs="Arial"/>
          <w:sz w:val="16"/>
          <w:szCs w:val="16"/>
          <w:bdr w:val="none" w:sz="0" w:space="0" w:color="auto"/>
          <w:lang w:val="es-CR"/>
        </w:rPr>
        <w:t xml:space="preserve">Feusier, O. </w:t>
      </w:r>
      <w:r w:rsidRPr="00954547">
        <w:rPr>
          <w:rFonts w:ascii="Verdana" w:eastAsiaTheme="minorHAnsi" w:hAnsi="Verdana" w:cs="Arial"/>
          <w:i/>
          <w:sz w:val="16"/>
          <w:szCs w:val="16"/>
          <w:bdr w:val="none" w:sz="0" w:space="0" w:color="auto"/>
          <w:lang w:val="es-CR"/>
        </w:rPr>
        <w:t>Pasado</w:t>
      </w:r>
      <w:r w:rsidR="0078694F" w:rsidRPr="00954547">
        <w:rPr>
          <w:rFonts w:ascii="Verdana" w:eastAsiaTheme="minorHAnsi" w:hAnsi="Verdana" w:cs="Arial"/>
          <w:i/>
          <w:sz w:val="16"/>
          <w:szCs w:val="16"/>
          <w:bdr w:val="none" w:sz="0" w:space="0" w:color="auto"/>
          <w:lang w:val="es-CR"/>
        </w:rPr>
        <w:t xml:space="preserve"> </w:t>
      </w:r>
      <w:r w:rsidR="00BF25A2" w:rsidRPr="00954547">
        <w:rPr>
          <w:rFonts w:ascii="Verdana" w:eastAsiaTheme="minorHAnsi" w:hAnsi="Verdana" w:cs="Arial"/>
          <w:i/>
          <w:sz w:val="16"/>
          <w:szCs w:val="16"/>
          <w:bdr w:val="none" w:sz="0" w:space="0" w:color="auto"/>
          <w:lang w:val="es-CR"/>
        </w:rPr>
        <w:t>y</w:t>
      </w:r>
      <w:r w:rsidR="0078694F" w:rsidRPr="00954547">
        <w:rPr>
          <w:rFonts w:ascii="Verdana" w:eastAsiaTheme="minorHAnsi" w:hAnsi="Verdana" w:cs="Arial"/>
          <w:i/>
          <w:sz w:val="16"/>
          <w:szCs w:val="16"/>
          <w:bdr w:val="none" w:sz="0" w:space="0" w:color="auto"/>
          <w:lang w:val="es-CR"/>
        </w:rPr>
        <w:t xml:space="preserve"> </w:t>
      </w:r>
      <w:r w:rsidRPr="00954547">
        <w:rPr>
          <w:rFonts w:ascii="Verdana" w:eastAsiaTheme="minorHAnsi" w:hAnsi="Verdana" w:cs="Arial"/>
          <w:i/>
          <w:sz w:val="16"/>
          <w:szCs w:val="16"/>
          <w:bdr w:val="none" w:sz="0" w:space="0" w:color="auto"/>
          <w:lang w:val="es-CR"/>
        </w:rPr>
        <w:t xml:space="preserve">presente del delito de aborto </w:t>
      </w:r>
      <w:r w:rsidR="00015F7C" w:rsidRPr="00954547">
        <w:rPr>
          <w:rFonts w:ascii="Verdana" w:eastAsiaTheme="minorHAnsi" w:hAnsi="Verdana" w:cs="Arial"/>
          <w:i/>
          <w:sz w:val="16"/>
          <w:szCs w:val="16"/>
          <w:bdr w:val="none" w:sz="0" w:space="0" w:color="auto"/>
          <w:lang w:val="es-CR"/>
        </w:rPr>
        <w:t>in El</w:t>
      </w:r>
      <w:r w:rsidR="00015F7C" w:rsidRPr="00954547">
        <w:rPr>
          <w:rFonts w:ascii="Verdana" w:eastAsiaTheme="minorHAnsi" w:hAnsi="Verdana" w:cs="Arial"/>
          <w:iCs/>
          <w:sz w:val="16"/>
          <w:szCs w:val="16"/>
          <w:bdr w:val="none" w:sz="0" w:space="0" w:color="auto"/>
          <w:lang w:val="es-CR"/>
        </w:rPr>
        <w:t xml:space="preserve"> </w:t>
      </w:r>
      <w:r w:rsidR="00015F7C" w:rsidRPr="00954547">
        <w:rPr>
          <w:rFonts w:ascii="Verdana" w:eastAsiaTheme="minorHAnsi" w:hAnsi="Verdana" w:cs="Arial"/>
          <w:i/>
          <w:sz w:val="16"/>
          <w:szCs w:val="16"/>
          <w:bdr w:val="none" w:sz="0" w:space="0" w:color="auto"/>
          <w:lang w:val="es-CR"/>
        </w:rPr>
        <w:t>Salvador</w:t>
      </w:r>
      <w:r w:rsidRPr="00954547">
        <w:rPr>
          <w:rFonts w:ascii="Verdana" w:eastAsiaTheme="minorHAnsi" w:hAnsi="Verdana" w:cs="Arial"/>
          <w:i/>
          <w:iCs/>
          <w:sz w:val="16"/>
          <w:szCs w:val="16"/>
          <w:bdr w:val="none" w:sz="0" w:space="0" w:color="auto"/>
          <w:lang w:val="es-CR"/>
        </w:rPr>
        <w:t xml:space="preserve">. </w:t>
      </w:r>
      <w:r w:rsidRPr="00954547">
        <w:rPr>
          <w:rFonts w:ascii="Verdana" w:eastAsiaTheme="minorHAnsi" w:hAnsi="Verdana" w:cs="Arial"/>
          <w:sz w:val="16"/>
          <w:szCs w:val="16"/>
          <w:bdr w:val="none" w:sz="0" w:space="0" w:color="auto"/>
          <w:lang w:val="es-CR"/>
        </w:rPr>
        <w:t>Universidad Centroamericana Jos</w:t>
      </w:r>
      <w:r w:rsidRPr="00954547">
        <w:rPr>
          <w:rFonts w:ascii="Verdana" w:eastAsiaTheme="minorHAnsi" w:hAnsi="Verdana" w:cs="ArialMT"/>
          <w:sz w:val="16"/>
          <w:szCs w:val="16"/>
          <w:bdr w:val="none" w:sz="0" w:space="0" w:color="auto"/>
          <w:lang w:val="es-CR"/>
        </w:rPr>
        <w:t xml:space="preserve">é </w:t>
      </w:r>
      <w:r w:rsidRPr="00954547">
        <w:rPr>
          <w:rFonts w:ascii="Verdana" w:eastAsiaTheme="minorHAnsi" w:hAnsi="Verdana" w:cs="Arial"/>
          <w:sz w:val="16"/>
          <w:szCs w:val="16"/>
          <w:bdr w:val="none" w:sz="0" w:space="0" w:color="auto"/>
          <w:lang w:val="es-CR"/>
        </w:rPr>
        <w:t>Sime</w:t>
      </w:r>
      <w:r w:rsidRPr="00954547">
        <w:rPr>
          <w:rFonts w:ascii="Verdana" w:eastAsiaTheme="minorHAnsi" w:hAnsi="Verdana" w:cs="ArialMT"/>
          <w:sz w:val="16"/>
          <w:szCs w:val="16"/>
          <w:bdr w:val="none" w:sz="0" w:space="0" w:color="auto"/>
          <w:lang w:val="es-CR"/>
        </w:rPr>
        <w:t>ó</w:t>
      </w:r>
      <w:r w:rsidRPr="00954547">
        <w:rPr>
          <w:rFonts w:ascii="Verdana" w:eastAsiaTheme="minorHAnsi" w:hAnsi="Verdana" w:cs="Arial"/>
          <w:sz w:val="16"/>
          <w:szCs w:val="16"/>
          <w:bdr w:val="none" w:sz="0" w:space="0" w:color="auto"/>
          <w:lang w:val="es-CR"/>
        </w:rPr>
        <w:t>n Ca</w:t>
      </w:r>
      <w:r w:rsidRPr="00954547">
        <w:rPr>
          <w:rFonts w:ascii="Verdana" w:eastAsiaTheme="minorHAnsi" w:hAnsi="Verdana" w:cs="ArialMT"/>
          <w:sz w:val="16"/>
          <w:szCs w:val="16"/>
          <w:bdr w:val="none" w:sz="0" w:space="0" w:color="auto"/>
          <w:lang w:val="es-CR"/>
        </w:rPr>
        <w:t>ñ</w:t>
      </w:r>
      <w:r w:rsidRPr="00954547">
        <w:rPr>
          <w:rFonts w:ascii="Verdana" w:eastAsiaTheme="minorHAnsi" w:hAnsi="Verdana" w:cs="Arial"/>
          <w:sz w:val="16"/>
          <w:szCs w:val="16"/>
          <w:bdr w:val="none" w:sz="0" w:space="0" w:color="auto"/>
          <w:lang w:val="es-CR"/>
        </w:rPr>
        <w:t xml:space="preserve">as (UCA): </w:t>
      </w:r>
      <w:r w:rsidR="00605068" w:rsidRPr="00954547">
        <w:rPr>
          <w:rFonts w:ascii="Verdana" w:eastAsiaTheme="minorHAnsi" w:hAnsi="Verdana" w:cs="Arial"/>
          <w:sz w:val="16"/>
          <w:szCs w:val="16"/>
          <w:bdr w:val="none" w:sz="0" w:space="0" w:color="auto"/>
          <w:lang w:val="es-CR"/>
        </w:rPr>
        <w:t>Legal</w:t>
      </w:r>
      <w:r w:rsidR="00BF25A2" w:rsidRPr="00954547">
        <w:rPr>
          <w:rFonts w:ascii="Verdana" w:eastAsiaTheme="minorHAnsi" w:hAnsi="Verdana" w:cs="Arial"/>
          <w:sz w:val="16"/>
          <w:szCs w:val="16"/>
          <w:bdr w:val="none" w:sz="0" w:space="0" w:color="auto"/>
          <w:lang w:val="es-CR"/>
        </w:rPr>
        <w:t xml:space="preserve"> Research Depar</w:t>
      </w:r>
      <w:r w:rsidR="00605068" w:rsidRPr="00954547">
        <w:rPr>
          <w:rFonts w:ascii="Verdana" w:eastAsiaTheme="minorHAnsi" w:hAnsi="Verdana" w:cs="Arial"/>
          <w:sz w:val="16"/>
          <w:szCs w:val="16"/>
          <w:bdr w:val="none" w:sz="0" w:space="0" w:color="auto"/>
          <w:lang w:val="es-CR"/>
        </w:rPr>
        <w:t>t</w:t>
      </w:r>
      <w:r w:rsidR="00BF25A2" w:rsidRPr="00954547">
        <w:rPr>
          <w:rFonts w:ascii="Verdana" w:eastAsiaTheme="minorHAnsi" w:hAnsi="Verdana" w:cs="Arial"/>
          <w:sz w:val="16"/>
          <w:szCs w:val="16"/>
          <w:bdr w:val="none" w:sz="0" w:space="0" w:color="auto"/>
          <w:lang w:val="es-CR"/>
        </w:rPr>
        <w:t>ment</w:t>
      </w:r>
      <w:r w:rsidRPr="00954547">
        <w:rPr>
          <w:rFonts w:ascii="Verdana" w:eastAsiaTheme="minorHAnsi" w:hAnsi="Verdana" w:cs="Arial"/>
          <w:sz w:val="16"/>
          <w:szCs w:val="16"/>
          <w:bdr w:val="none" w:sz="0" w:space="0" w:color="auto"/>
          <w:lang w:val="es-CR"/>
        </w:rPr>
        <w:t xml:space="preserve">, 2012. p. 57. </w:t>
      </w:r>
      <w:r w:rsidR="002F4617" w:rsidRPr="00954547">
        <w:rPr>
          <w:rFonts w:ascii="Verdana" w:eastAsiaTheme="minorHAnsi" w:hAnsi="Verdana" w:cs="Arial"/>
          <w:sz w:val="16"/>
          <w:szCs w:val="16"/>
          <w:bdr w:val="none" w:sz="0" w:space="0" w:color="auto"/>
        </w:rPr>
        <w:t>Available at</w:t>
      </w:r>
      <w:r w:rsidRPr="00954547">
        <w:rPr>
          <w:rFonts w:ascii="Verdana" w:eastAsiaTheme="minorHAnsi" w:hAnsi="Verdana" w:cs="Arial"/>
          <w:sz w:val="16"/>
          <w:szCs w:val="16"/>
          <w:bdr w:val="none" w:sz="0" w:space="0" w:color="auto"/>
        </w:rPr>
        <w:t xml:space="preserve">: </w:t>
      </w:r>
      <w:hyperlink r:id="rId11" w:history="1">
        <w:r w:rsidR="00605068" w:rsidRPr="00954547">
          <w:rPr>
            <w:rStyle w:val="Hyperlink"/>
            <w:rFonts w:ascii="Verdana" w:eastAsiaTheme="minorHAnsi" w:hAnsi="Verdana" w:cs="Arial"/>
            <w:sz w:val="16"/>
            <w:szCs w:val="16"/>
            <w:bdr w:val="none" w:sz="0" w:space="0" w:color="auto"/>
          </w:rPr>
          <w:t>http://www.uca.edu.sv/deptos/ccjj/media/archivo/95bbb4_pasadoypresentedeldelitodeabortoen elsalvador.pdf</w:t>
        </w:r>
      </w:hyperlink>
      <w:r w:rsidRPr="00954547">
        <w:rPr>
          <w:rFonts w:ascii="Verdana" w:eastAsiaTheme="minorHAnsi" w:hAnsi="Verdana" w:cs="Arial"/>
          <w:sz w:val="16"/>
          <w:szCs w:val="16"/>
          <w:bdr w:val="none" w:sz="0" w:space="0" w:color="auto"/>
        </w:rPr>
        <w:t xml:space="preserve">  </w:t>
      </w:r>
    </w:p>
  </w:footnote>
  <w:footnote w:id="98">
    <w:p w14:paraId="02D5CECC" w14:textId="60C564C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A45FD" w:rsidRPr="00954547">
        <w:rPr>
          <w:rFonts w:ascii="Verdana" w:hAnsi="Verdana"/>
          <w:sz w:val="16"/>
          <w:szCs w:val="16"/>
        </w:rPr>
        <w:t>Committee for the Elimination of Discrimination against Women</w:t>
      </w:r>
      <w:r w:rsidRPr="00954547">
        <w:rPr>
          <w:rFonts w:ascii="Verdana" w:hAnsi="Verdana"/>
          <w:sz w:val="16"/>
          <w:szCs w:val="16"/>
        </w:rPr>
        <w:t xml:space="preserve">, </w:t>
      </w:r>
      <w:r w:rsidR="002A45FD" w:rsidRPr="00954547">
        <w:rPr>
          <w:rFonts w:ascii="Verdana" w:hAnsi="Verdana"/>
          <w:sz w:val="16"/>
          <w:szCs w:val="16"/>
        </w:rPr>
        <w:t>Concluding observations</w:t>
      </w:r>
      <w:r w:rsidRPr="00954547">
        <w:rPr>
          <w:rFonts w:ascii="Verdana" w:hAnsi="Verdana"/>
          <w:sz w:val="16"/>
          <w:szCs w:val="16"/>
        </w:rPr>
        <w:t xml:space="preserve"> </w:t>
      </w:r>
      <w:r w:rsidR="002A45FD" w:rsidRPr="00954547">
        <w:rPr>
          <w:rFonts w:ascii="Verdana" w:hAnsi="Verdana"/>
          <w:sz w:val="16"/>
          <w:szCs w:val="16"/>
        </w:rPr>
        <w:t>on the combined eighth and ninth periodic reports</w:t>
      </w:r>
      <w:r w:rsidR="009E6B43" w:rsidRPr="00954547">
        <w:rPr>
          <w:rFonts w:ascii="Verdana" w:hAnsi="Verdana"/>
          <w:sz w:val="16"/>
          <w:szCs w:val="16"/>
        </w:rPr>
        <w:t xml:space="preserve"> of El </w:t>
      </w:r>
      <w:r w:rsidRPr="00954547">
        <w:rPr>
          <w:rFonts w:ascii="Verdana" w:hAnsi="Verdana"/>
          <w:sz w:val="16"/>
          <w:szCs w:val="16"/>
        </w:rPr>
        <w:t xml:space="preserve">Salvador, CEDAW/C/SLV/CO/8-9, </w:t>
      </w:r>
      <w:r w:rsidR="00B10E5A" w:rsidRPr="00954547">
        <w:rPr>
          <w:rFonts w:ascii="Verdana" w:hAnsi="Verdana"/>
          <w:sz w:val="16"/>
          <w:szCs w:val="16"/>
        </w:rPr>
        <w:t>para.</w:t>
      </w:r>
      <w:r w:rsidRPr="00954547">
        <w:rPr>
          <w:rFonts w:ascii="Verdana" w:hAnsi="Verdana"/>
          <w:sz w:val="16"/>
          <w:szCs w:val="16"/>
        </w:rPr>
        <w:t xml:space="preserve"> 38.</w:t>
      </w:r>
    </w:p>
  </w:footnote>
  <w:footnote w:id="99">
    <w:p w14:paraId="1B9B03F3" w14:textId="71B6C231"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Pr="00954547">
        <w:rPr>
          <w:rFonts w:ascii="Verdana" w:eastAsiaTheme="minorHAnsi" w:hAnsi="Verdana" w:cs="Arial"/>
          <w:sz w:val="16"/>
          <w:szCs w:val="16"/>
          <w:bdr w:val="none" w:sz="0" w:space="0" w:color="auto"/>
        </w:rPr>
        <w:t>McNaughton, H., Mitchell, E., Hernandez, E., Padilla, K., &amp; Blandon, M. Patient Privacy and Conflicting Legal and Ethical Obligations in El Salvador: Reporting of Unlawful Abortions.</w:t>
      </w:r>
      <w:r w:rsidRPr="00954547">
        <w:rPr>
          <w:rFonts w:ascii="Verdana" w:eastAsiaTheme="minorHAnsi" w:hAnsi="Verdana" w:cs="Arial"/>
          <w:i/>
          <w:iCs/>
          <w:sz w:val="16"/>
          <w:szCs w:val="16"/>
          <w:bdr w:val="none" w:sz="0" w:space="0" w:color="auto"/>
        </w:rPr>
        <w:t xml:space="preserve"> </w:t>
      </w:r>
      <w:r w:rsidRPr="00954547">
        <w:rPr>
          <w:rFonts w:ascii="Verdana" w:eastAsiaTheme="minorHAnsi" w:hAnsi="Verdana" w:cs="Arial"/>
          <w:sz w:val="16"/>
          <w:szCs w:val="16"/>
          <w:bdr w:val="none" w:sz="0" w:space="0" w:color="auto"/>
        </w:rPr>
        <w:t>American Journal of Public Health: Health Policy</w:t>
      </w:r>
      <w:r w:rsidRPr="00954547">
        <w:rPr>
          <w:rFonts w:ascii="Verdana" w:eastAsiaTheme="minorHAnsi" w:hAnsi="Verdana" w:cs="Arial"/>
          <w:i/>
          <w:iCs/>
          <w:sz w:val="16"/>
          <w:szCs w:val="16"/>
          <w:bdr w:val="none" w:sz="0" w:space="0" w:color="auto"/>
        </w:rPr>
        <w:t xml:space="preserve"> </w:t>
      </w:r>
      <w:r w:rsidRPr="00954547">
        <w:rPr>
          <w:rFonts w:ascii="Verdana" w:eastAsiaTheme="minorHAnsi" w:hAnsi="Verdana" w:cs="Arial"/>
          <w:sz w:val="16"/>
          <w:szCs w:val="16"/>
          <w:bdr w:val="none" w:sz="0" w:space="0" w:color="auto"/>
        </w:rPr>
        <w:t xml:space="preserve">and Ethics. Vol 96, No. 11. 2006. </w:t>
      </w:r>
      <w:r w:rsidR="002F4617" w:rsidRPr="00954547">
        <w:rPr>
          <w:rFonts w:ascii="Verdana" w:eastAsiaTheme="minorHAnsi" w:hAnsi="Verdana" w:cs="Arial"/>
          <w:sz w:val="16"/>
          <w:szCs w:val="16"/>
          <w:bdr w:val="none" w:sz="0" w:space="0" w:color="auto"/>
        </w:rPr>
        <w:t>Available at</w:t>
      </w:r>
      <w:r w:rsidRPr="00954547">
        <w:rPr>
          <w:rFonts w:ascii="Verdana" w:eastAsiaTheme="minorHAnsi" w:hAnsi="Verdana" w:cs="Arial"/>
          <w:sz w:val="16"/>
          <w:szCs w:val="16"/>
          <w:bdr w:val="none" w:sz="0" w:space="0" w:color="auto"/>
        </w:rPr>
        <w:t xml:space="preserve">: </w:t>
      </w:r>
      <w:hyperlink r:id="rId12" w:history="1">
        <w:r w:rsidR="00605068" w:rsidRPr="00954547">
          <w:rPr>
            <w:rStyle w:val="Hyperlink"/>
            <w:rFonts w:ascii="Verdana" w:eastAsiaTheme="minorHAnsi" w:hAnsi="Verdana" w:cs="Arial"/>
            <w:sz w:val="16"/>
            <w:szCs w:val="16"/>
            <w:bdr w:val="none" w:sz="0" w:space="0" w:color="auto"/>
          </w:rPr>
          <w:t>https://ajph.aphapublications.org/doi/pdf/10.2105 /AJPH.2005.071720</w:t>
        </w:r>
      </w:hyperlink>
    </w:p>
  </w:footnote>
  <w:footnote w:id="100">
    <w:p w14:paraId="67298923" w14:textId="5003CB1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BF25A2" w:rsidRPr="00954547">
        <w:rPr>
          <w:rFonts w:ascii="Verdana" w:hAnsi="Verdana"/>
          <w:color w:val="auto"/>
          <w:sz w:val="16"/>
          <w:szCs w:val="16"/>
        </w:rPr>
        <w:t>Working Group on Arbitrary Detention</w:t>
      </w:r>
      <w:r w:rsidRPr="00954547">
        <w:rPr>
          <w:rFonts w:ascii="Verdana" w:hAnsi="Verdana"/>
          <w:color w:val="auto"/>
          <w:sz w:val="16"/>
          <w:szCs w:val="16"/>
        </w:rPr>
        <w:t xml:space="preserve">. </w:t>
      </w:r>
      <w:r w:rsidR="00605068" w:rsidRPr="00954547">
        <w:rPr>
          <w:rFonts w:ascii="Verdana" w:hAnsi="Verdana"/>
          <w:color w:val="auto"/>
          <w:sz w:val="16"/>
          <w:szCs w:val="16"/>
        </w:rPr>
        <w:t>Opinion No</w:t>
      </w:r>
      <w:r w:rsidRPr="00954547">
        <w:rPr>
          <w:rFonts w:ascii="Verdana" w:hAnsi="Verdana"/>
          <w:color w:val="auto"/>
          <w:sz w:val="16"/>
          <w:szCs w:val="16"/>
        </w:rPr>
        <w:t xml:space="preserve">. 68/2019 </w:t>
      </w:r>
      <w:r w:rsidR="00605068" w:rsidRPr="00954547">
        <w:rPr>
          <w:rFonts w:ascii="Verdana" w:hAnsi="Verdana"/>
          <w:color w:val="auto"/>
          <w:sz w:val="16"/>
          <w:szCs w:val="16"/>
        </w:rPr>
        <w:t>concerning</w:t>
      </w:r>
      <w:r w:rsidRPr="00954547">
        <w:rPr>
          <w:rFonts w:ascii="Verdana" w:hAnsi="Verdana"/>
          <w:color w:val="auto"/>
          <w:sz w:val="16"/>
          <w:szCs w:val="16"/>
        </w:rPr>
        <w:t xml:space="preserve"> Sara del Rosario Roge</w:t>
      </w:r>
      <w:r w:rsidR="00605068" w:rsidRPr="00954547">
        <w:rPr>
          <w:rFonts w:ascii="Verdana" w:hAnsi="Verdana"/>
          <w:color w:val="auto"/>
          <w:sz w:val="16"/>
          <w:szCs w:val="16"/>
        </w:rPr>
        <w:t>l</w:t>
      </w:r>
      <w:r w:rsidRPr="00954547">
        <w:rPr>
          <w:rFonts w:ascii="Verdana" w:hAnsi="Verdana"/>
          <w:color w:val="auto"/>
          <w:sz w:val="16"/>
          <w:szCs w:val="16"/>
        </w:rPr>
        <w:t xml:space="preserve"> García, Berta Margarita Arana Hernández</w:t>
      </w:r>
      <w:r w:rsidR="0078694F" w:rsidRPr="00954547">
        <w:rPr>
          <w:rFonts w:ascii="Verdana" w:hAnsi="Verdana"/>
          <w:color w:val="auto"/>
          <w:sz w:val="16"/>
          <w:szCs w:val="16"/>
        </w:rPr>
        <w:t xml:space="preserve"> and </w:t>
      </w:r>
      <w:r w:rsidRPr="00954547">
        <w:rPr>
          <w:rFonts w:ascii="Verdana" w:hAnsi="Verdana"/>
          <w:color w:val="auto"/>
          <w:sz w:val="16"/>
          <w:szCs w:val="16"/>
        </w:rPr>
        <w:t xml:space="preserve">Evelyn Beatriz Hernández Cruz (El Salvador) A/HRC/WGAD/2019/68, </w:t>
      </w:r>
      <w:r w:rsidR="007D7721" w:rsidRPr="00954547">
        <w:rPr>
          <w:rFonts w:ascii="Verdana" w:hAnsi="Verdana"/>
          <w:color w:val="auto"/>
          <w:sz w:val="16"/>
          <w:szCs w:val="16"/>
        </w:rPr>
        <w:t>on March 4,</w:t>
      </w:r>
      <w:r w:rsidRPr="00954547">
        <w:rPr>
          <w:rFonts w:ascii="Verdana" w:hAnsi="Verdana"/>
          <w:color w:val="auto"/>
          <w:sz w:val="16"/>
          <w:szCs w:val="16"/>
        </w:rPr>
        <w:t xml:space="preserve"> 2020, </w:t>
      </w:r>
      <w:r w:rsidR="0052231D" w:rsidRPr="00954547">
        <w:rPr>
          <w:rFonts w:ascii="Verdana" w:hAnsi="Verdana"/>
          <w:color w:val="auto"/>
          <w:sz w:val="16"/>
          <w:szCs w:val="16"/>
        </w:rPr>
        <w:t>paras.</w:t>
      </w:r>
      <w:r w:rsidRPr="00954547">
        <w:rPr>
          <w:rFonts w:ascii="Verdana" w:hAnsi="Verdana"/>
          <w:color w:val="auto"/>
          <w:sz w:val="16"/>
          <w:szCs w:val="16"/>
        </w:rPr>
        <w:t xml:space="preserve"> 100</w:t>
      </w:r>
      <w:r w:rsidR="0078694F" w:rsidRPr="00954547">
        <w:rPr>
          <w:rFonts w:ascii="Verdana" w:hAnsi="Verdana"/>
          <w:color w:val="auto"/>
          <w:sz w:val="16"/>
          <w:szCs w:val="16"/>
        </w:rPr>
        <w:t xml:space="preserve"> and </w:t>
      </w:r>
      <w:r w:rsidRPr="00954547">
        <w:rPr>
          <w:rFonts w:ascii="Verdana" w:hAnsi="Verdana"/>
          <w:color w:val="auto"/>
          <w:sz w:val="16"/>
          <w:szCs w:val="16"/>
        </w:rPr>
        <w:t xml:space="preserve">101; </w:t>
      </w:r>
      <w:r w:rsidR="00910767" w:rsidRPr="00954547">
        <w:rPr>
          <w:rFonts w:ascii="Verdana" w:eastAsiaTheme="minorHAnsi" w:hAnsi="Verdana" w:cs="Arial"/>
          <w:iCs/>
          <w:sz w:val="16"/>
          <w:szCs w:val="16"/>
          <w:bdr w:val="none" w:sz="0" w:space="0" w:color="auto"/>
        </w:rPr>
        <w:t>Statement of the United Nations High Commissioner for Human Rights</w:t>
      </w:r>
      <w:r w:rsidR="00910767" w:rsidRPr="00954547">
        <w:rPr>
          <w:rFonts w:ascii="Verdana" w:eastAsiaTheme="minorHAnsi" w:hAnsi="Verdana" w:cs="Arial-ItalicMT"/>
          <w:iCs/>
          <w:sz w:val="16"/>
          <w:szCs w:val="16"/>
          <w:bdr w:val="none" w:sz="0" w:space="0" w:color="auto"/>
        </w:rPr>
        <w:t xml:space="preserve"> Zeid Ra’ad Al Hussein at the end of his mission to El Salvador</w:t>
      </w:r>
      <w:r w:rsidR="00910767" w:rsidRPr="00954547">
        <w:rPr>
          <w:rFonts w:ascii="Verdana" w:eastAsiaTheme="minorHAnsi" w:hAnsi="Verdana" w:cs="Arial"/>
          <w:sz w:val="16"/>
          <w:szCs w:val="16"/>
          <w:bdr w:val="none" w:sz="0" w:space="0" w:color="auto"/>
        </w:rPr>
        <w:t xml:space="preserve">, November 17, 2017. Available at: </w:t>
      </w:r>
      <w:hyperlink r:id="rId13" w:history="1">
        <w:r w:rsidR="00910767" w:rsidRPr="00954547">
          <w:rPr>
            <w:rStyle w:val="Hyperlink"/>
            <w:rFonts w:ascii="Verdana" w:eastAsiaTheme="minorHAnsi" w:hAnsi="Verdana" w:cs="Arial"/>
            <w:sz w:val="16"/>
            <w:szCs w:val="16"/>
            <w:bdr w:val="none" w:sz="0" w:space="0" w:color="auto"/>
          </w:rPr>
          <w:t>https://www.ohchr.org/ en/NewsEvents/Pages</w:t>
        </w:r>
      </w:hyperlink>
      <w:r w:rsidR="00910767" w:rsidRPr="00954547">
        <w:rPr>
          <w:rFonts w:ascii="Verdana" w:eastAsiaTheme="minorHAnsi" w:hAnsi="Verdana" w:cs="Arial"/>
          <w:sz w:val="16"/>
          <w:szCs w:val="16"/>
          <w:bdr w:val="none" w:sz="0" w:space="0" w:color="auto"/>
        </w:rPr>
        <w:t xml:space="preserve"> /DisplayNews.aspx?NewsID=22412&amp;LangID=E</w:t>
      </w:r>
      <w:r w:rsidRPr="00954547">
        <w:rPr>
          <w:rFonts w:ascii="Verdana" w:hAnsi="Verdana"/>
          <w:sz w:val="16"/>
          <w:szCs w:val="16"/>
        </w:rPr>
        <w:t>;</w:t>
      </w:r>
      <w:r w:rsidRPr="00954547">
        <w:rPr>
          <w:rFonts w:ascii="Verdana" w:hAnsi="Verdana"/>
          <w:color w:val="auto"/>
          <w:sz w:val="16"/>
          <w:szCs w:val="16"/>
        </w:rPr>
        <w:t xml:space="preserve"> </w:t>
      </w:r>
      <w:r w:rsidR="0060432C" w:rsidRPr="00954547">
        <w:rPr>
          <w:rFonts w:ascii="Verdana" w:hAnsi="Verdana"/>
          <w:sz w:val="16"/>
          <w:szCs w:val="16"/>
        </w:rPr>
        <w:t>expert opinion provided by</w:t>
      </w:r>
      <w:r w:rsidRPr="00954547">
        <w:rPr>
          <w:rFonts w:ascii="Verdana" w:hAnsi="Verdana"/>
          <w:sz w:val="16"/>
          <w:szCs w:val="16"/>
        </w:rPr>
        <w:t xml:space="preserve"> David Ernesto Morales Cruz </w:t>
      </w:r>
      <w:r w:rsidR="007D7721" w:rsidRPr="00954547">
        <w:rPr>
          <w:rFonts w:ascii="Verdana" w:hAnsi="Verdana"/>
          <w:sz w:val="16"/>
          <w:szCs w:val="16"/>
        </w:rPr>
        <w:t>on March 4,</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folio 3940). </w:t>
      </w:r>
      <w:r w:rsidR="002A45FD" w:rsidRPr="00954547">
        <w:rPr>
          <w:rFonts w:ascii="Verdana" w:eastAsiaTheme="minorHAnsi" w:hAnsi="Verdana" w:cs="Arial"/>
          <w:iCs/>
          <w:sz w:val="16"/>
          <w:szCs w:val="16"/>
          <w:bdr w:val="none" w:sz="0" w:space="0" w:color="auto"/>
        </w:rPr>
        <w:t>See also,</w:t>
      </w:r>
      <w:r w:rsidRPr="00954547">
        <w:rPr>
          <w:rFonts w:ascii="Verdana" w:eastAsiaTheme="minorHAnsi" w:hAnsi="Verdana" w:cs="Arial"/>
          <w:i/>
          <w:sz w:val="16"/>
          <w:szCs w:val="16"/>
          <w:bdr w:val="none" w:sz="0" w:space="0" w:color="auto"/>
        </w:rPr>
        <w:t xml:space="preserve"> </w:t>
      </w:r>
      <w:r w:rsidR="00FF2DDD" w:rsidRPr="00954547">
        <w:rPr>
          <w:rFonts w:ascii="Verdana" w:hAnsi="Verdana"/>
          <w:sz w:val="16"/>
          <w:szCs w:val="16"/>
        </w:rPr>
        <w:t>affidavit made by</w:t>
      </w:r>
      <w:r w:rsidRPr="00954547">
        <w:rPr>
          <w:rFonts w:ascii="Verdana" w:hAnsi="Verdana"/>
          <w:sz w:val="16"/>
          <w:szCs w:val="16"/>
        </w:rPr>
        <w:t xml:space="preserve"> María Teresa Rivera </w:t>
      </w:r>
      <w:r w:rsidR="0060432C" w:rsidRPr="00954547">
        <w:rPr>
          <w:rFonts w:ascii="Verdana" w:hAnsi="Verdana"/>
          <w:sz w:val="16"/>
          <w:szCs w:val="16"/>
        </w:rPr>
        <w:t>on February 23,</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folio 3809); </w:t>
      </w:r>
      <w:r w:rsidR="00FF2DDD" w:rsidRPr="00954547">
        <w:rPr>
          <w:rFonts w:ascii="Verdana" w:hAnsi="Verdana"/>
          <w:sz w:val="16"/>
          <w:szCs w:val="16"/>
        </w:rPr>
        <w:t>affidavit made by</w:t>
      </w:r>
      <w:r w:rsidRPr="00954547">
        <w:rPr>
          <w:rFonts w:ascii="Verdana" w:hAnsi="Verdana"/>
          <w:sz w:val="16"/>
          <w:szCs w:val="16"/>
        </w:rPr>
        <w:t xml:space="preserve"> María Marina Pérez </w:t>
      </w:r>
      <w:r w:rsidR="00FF2DDD" w:rsidRPr="00954547">
        <w:rPr>
          <w:rFonts w:ascii="Verdana" w:hAnsi="Verdana"/>
          <w:sz w:val="16"/>
          <w:szCs w:val="16"/>
        </w:rPr>
        <w:t>on 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folio 3813); </w:t>
      </w:r>
      <w:r w:rsidR="00FF2DDD" w:rsidRPr="00954547">
        <w:rPr>
          <w:rFonts w:ascii="Verdana" w:hAnsi="Verdana"/>
          <w:sz w:val="16"/>
          <w:szCs w:val="16"/>
        </w:rPr>
        <w:t>affidavit made by</w:t>
      </w:r>
      <w:r w:rsidRPr="00954547">
        <w:rPr>
          <w:rFonts w:ascii="Verdana" w:hAnsi="Verdana"/>
          <w:sz w:val="16"/>
          <w:szCs w:val="16"/>
        </w:rPr>
        <w:t xml:space="preserve"> Johana Iris Rosa Gutiérrez </w:t>
      </w:r>
      <w:r w:rsidR="0060432C" w:rsidRPr="00954547">
        <w:rPr>
          <w:rFonts w:ascii="Verdana" w:hAnsi="Verdana"/>
          <w:sz w:val="16"/>
          <w:szCs w:val="16"/>
        </w:rPr>
        <w:t>on February 22,</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3817),</w:t>
      </w:r>
      <w:r w:rsidR="0078694F" w:rsidRPr="00954547">
        <w:rPr>
          <w:rFonts w:ascii="Verdana" w:hAnsi="Verdana"/>
          <w:sz w:val="16"/>
          <w:szCs w:val="16"/>
        </w:rPr>
        <w:t xml:space="preserve"> and </w:t>
      </w:r>
      <w:r w:rsidR="00FF2DDD" w:rsidRPr="00954547">
        <w:rPr>
          <w:rFonts w:ascii="Verdana" w:hAnsi="Verdana"/>
          <w:sz w:val="16"/>
          <w:szCs w:val="16"/>
        </w:rPr>
        <w:t>affidavit made by</w:t>
      </w:r>
      <w:r w:rsidRPr="00954547">
        <w:rPr>
          <w:rFonts w:ascii="Verdana" w:hAnsi="Verdana"/>
          <w:sz w:val="16"/>
          <w:szCs w:val="16"/>
        </w:rPr>
        <w:t xml:space="preserve"> Teodora del Carmen Vásquez </w:t>
      </w:r>
      <w:r w:rsidR="0060432C" w:rsidRPr="00954547">
        <w:rPr>
          <w:rFonts w:ascii="Verdana" w:hAnsi="Verdana"/>
          <w:sz w:val="16"/>
          <w:szCs w:val="16"/>
        </w:rPr>
        <w:t>on March 3,</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3827).</w:t>
      </w:r>
    </w:p>
  </w:footnote>
  <w:footnote w:id="101">
    <w:p w14:paraId="3F7EE25A" w14:textId="206B051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BF25A2" w:rsidRPr="00954547">
        <w:rPr>
          <w:rFonts w:ascii="Verdana" w:hAnsi="Verdana"/>
          <w:color w:val="auto"/>
          <w:sz w:val="16"/>
          <w:szCs w:val="16"/>
        </w:rPr>
        <w:t>Working Group on Arbitrary Detention</w:t>
      </w:r>
      <w:r w:rsidRPr="00954547">
        <w:rPr>
          <w:rFonts w:ascii="Verdana" w:hAnsi="Verdana"/>
          <w:color w:val="auto"/>
          <w:sz w:val="16"/>
          <w:szCs w:val="16"/>
        </w:rPr>
        <w:t xml:space="preserve">, </w:t>
      </w:r>
      <w:r w:rsidR="00910767" w:rsidRPr="00954547">
        <w:rPr>
          <w:rFonts w:ascii="Verdana" w:hAnsi="Verdana"/>
          <w:color w:val="auto"/>
          <w:sz w:val="16"/>
          <w:szCs w:val="16"/>
        </w:rPr>
        <w:t>Opinion No.</w:t>
      </w:r>
      <w:r w:rsidRPr="00954547">
        <w:rPr>
          <w:rFonts w:ascii="Verdana" w:hAnsi="Verdana"/>
          <w:color w:val="auto"/>
          <w:sz w:val="16"/>
          <w:szCs w:val="16"/>
        </w:rPr>
        <w:t xml:space="preserve"> 68/2019 </w:t>
      </w:r>
      <w:r w:rsidR="00910767" w:rsidRPr="00954547">
        <w:rPr>
          <w:rFonts w:ascii="Verdana" w:hAnsi="Verdana"/>
          <w:color w:val="auto"/>
          <w:sz w:val="16"/>
          <w:szCs w:val="16"/>
        </w:rPr>
        <w:t>concerning Sara del Rosario Rogel García</w:t>
      </w:r>
      <w:r w:rsidRPr="00954547">
        <w:rPr>
          <w:rFonts w:ascii="Verdana" w:hAnsi="Verdana"/>
          <w:color w:val="auto"/>
          <w:sz w:val="16"/>
          <w:szCs w:val="16"/>
        </w:rPr>
        <w:t>, Berta Margarita Arana Hernández</w:t>
      </w:r>
      <w:r w:rsidR="0078694F" w:rsidRPr="00954547">
        <w:rPr>
          <w:rFonts w:ascii="Verdana" w:hAnsi="Verdana"/>
          <w:color w:val="auto"/>
          <w:sz w:val="16"/>
          <w:szCs w:val="16"/>
        </w:rPr>
        <w:t xml:space="preserve"> and </w:t>
      </w:r>
      <w:r w:rsidRPr="00954547">
        <w:rPr>
          <w:rFonts w:ascii="Verdana" w:hAnsi="Verdana"/>
          <w:color w:val="auto"/>
          <w:sz w:val="16"/>
          <w:szCs w:val="16"/>
        </w:rPr>
        <w:t>Evelyn Beatriz Hernández Cruz (El Salvador)</w:t>
      </w:r>
      <w:r w:rsidR="00910767" w:rsidRPr="00954547">
        <w:rPr>
          <w:rFonts w:ascii="Verdana" w:hAnsi="Verdana"/>
          <w:color w:val="auto"/>
          <w:sz w:val="16"/>
          <w:szCs w:val="16"/>
        </w:rPr>
        <w:t>,</w:t>
      </w:r>
      <w:r w:rsidRPr="00954547">
        <w:rPr>
          <w:rFonts w:ascii="Verdana" w:hAnsi="Verdana"/>
          <w:color w:val="auto"/>
          <w:sz w:val="16"/>
          <w:szCs w:val="16"/>
        </w:rPr>
        <w:t xml:space="preserve"> A/HRC/WGAD/2019/68 </w:t>
      </w:r>
      <w:r w:rsidR="007D7721" w:rsidRPr="00954547">
        <w:rPr>
          <w:rFonts w:ascii="Verdana" w:hAnsi="Verdana"/>
          <w:color w:val="auto"/>
          <w:sz w:val="16"/>
          <w:szCs w:val="16"/>
        </w:rPr>
        <w:t>o</w:t>
      </w:r>
      <w:r w:rsidR="00910767" w:rsidRPr="00954547">
        <w:rPr>
          <w:rFonts w:ascii="Verdana" w:hAnsi="Verdana"/>
          <w:color w:val="auto"/>
          <w:sz w:val="16"/>
          <w:szCs w:val="16"/>
        </w:rPr>
        <w:t>f</w:t>
      </w:r>
      <w:r w:rsidR="007D7721" w:rsidRPr="00954547">
        <w:rPr>
          <w:rFonts w:ascii="Verdana" w:hAnsi="Verdana"/>
          <w:color w:val="auto"/>
          <w:sz w:val="16"/>
          <w:szCs w:val="16"/>
        </w:rPr>
        <w:t xml:space="preserve"> March 4,</w:t>
      </w:r>
      <w:r w:rsidRPr="00954547">
        <w:rPr>
          <w:rFonts w:ascii="Verdana" w:hAnsi="Verdana"/>
          <w:color w:val="auto"/>
          <w:sz w:val="16"/>
          <w:szCs w:val="16"/>
        </w:rPr>
        <w:t xml:space="preserve"> 2020, </w:t>
      </w:r>
      <w:r w:rsidR="0052231D" w:rsidRPr="00954547">
        <w:rPr>
          <w:rFonts w:ascii="Verdana" w:hAnsi="Verdana"/>
          <w:color w:val="auto"/>
          <w:sz w:val="16"/>
          <w:szCs w:val="16"/>
        </w:rPr>
        <w:t>paras.</w:t>
      </w:r>
      <w:r w:rsidRPr="00954547">
        <w:rPr>
          <w:rFonts w:ascii="Verdana" w:hAnsi="Verdana"/>
          <w:color w:val="auto"/>
          <w:sz w:val="16"/>
          <w:szCs w:val="16"/>
        </w:rPr>
        <w:t xml:space="preserve"> 100</w:t>
      </w:r>
      <w:r w:rsidR="0078694F" w:rsidRPr="00954547">
        <w:rPr>
          <w:rFonts w:ascii="Verdana" w:hAnsi="Verdana"/>
          <w:color w:val="auto"/>
          <w:sz w:val="16"/>
          <w:szCs w:val="16"/>
        </w:rPr>
        <w:t xml:space="preserve"> and </w:t>
      </w:r>
      <w:r w:rsidRPr="00954547">
        <w:rPr>
          <w:rFonts w:ascii="Verdana" w:hAnsi="Verdana"/>
          <w:color w:val="auto"/>
          <w:sz w:val="16"/>
          <w:szCs w:val="16"/>
        </w:rPr>
        <w:t>101,</w:t>
      </w:r>
      <w:r w:rsidR="0078694F" w:rsidRPr="00954547">
        <w:rPr>
          <w:rFonts w:ascii="Verdana" w:hAnsi="Verdana"/>
          <w:color w:val="auto"/>
          <w:sz w:val="16"/>
          <w:szCs w:val="16"/>
        </w:rPr>
        <w:t xml:space="preserve"> and </w:t>
      </w:r>
      <w:r w:rsidR="0060432C" w:rsidRPr="00954547">
        <w:rPr>
          <w:rFonts w:ascii="Verdana" w:hAnsi="Verdana"/>
          <w:sz w:val="16"/>
          <w:szCs w:val="16"/>
        </w:rPr>
        <w:t>expert opinion provided by</w:t>
      </w:r>
      <w:r w:rsidRPr="00954547">
        <w:rPr>
          <w:rFonts w:ascii="Verdana" w:hAnsi="Verdana"/>
          <w:sz w:val="16"/>
          <w:szCs w:val="16"/>
        </w:rPr>
        <w:t xml:space="preserve"> David Ernesto Morales Cruz</w:t>
      </w:r>
      <w:r w:rsidR="00910767" w:rsidRPr="00954547">
        <w:rPr>
          <w:rFonts w:ascii="Verdana" w:hAnsi="Verdana"/>
          <w:sz w:val="16"/>
          <w:szCs w:val="16"/>
        </w:rPr>
        <w:t xml:space="preserve"> on</w:t>
      </w:r>
      <w:r w:rsidR="007D7721" w:rsidRPr="00954547">
        <w:rPr>
          <w:rFonts w:ascii="Verdana" w:hAnsi="Verdana"/>
          <w:sz w:val="16"/>
          <w:szCs w:val="16"/>
        </w:rPr>
        <w:t xml:space="preserve"> March 4,</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folio 3940). </w:t>
      </w:r>
      <w:r w:rsidR="002A45FD" w:rsidRPr="00954547">
        <w:rPr>
          <w:rFonts w:ascii="Verdana" w:eastAsiaTheme="minorHAnsi" w:hAnsi="Verdana" w:cs="Arial"/>
          <w:iCs/>
          <w:sz w:val="16"/>
          <w:szCs w:val="16"/>
          <w:bdr w:val="none" w:sz="0" w:space="0" w:color="auto"/>
        </w:rPr>
        <w:t>See also</w:t>
      </w:r>
      <w:r w:rsidR="002A45FD" w:rsidRPr="00954547">
        <w:rPr>
          <w:rFonts w:ascii="Verdana" w:eastAsiaTheme="minorHAnsi" w:hAnsi="Verdana" w:cs="Arial"/>
          <w:i/>
          <w:sz w:val="16"/>
          <w:szCs w:val="16"/>
          <w:bdr w:val="none" w:sz="0" w:space="0" w:color="auto"/>
        </w:rPr>
        <w:t>,</w:t>
      </w:r>
      <w:r w:rsidRPr="00954547">
        <w:rPr>
          <w:rFonts w:ascii="Verdana" w:eastAsiaTheme="minorHAnsi" w:hAnsi="Verdana" w:cs="Arial"/>
          <w:i/>
          <w:sz w:val="16"/>
          <w:szCs w:val="16"/>
          <w:bdr w:val="none" w:sz="0" w:space="0" w:color="auto"/>
        </w:rPr>
        <w:t xml:space="preserve"> </w:t>
      </w:r>
      <w:r w:rsidR="00FF2DDD" w:rsidRPr="00954547">
        <w:rPr>
          <w:rFonts w:ascii="Verdana" w:hAnsi="Verdana"/>
          <w:sz w:val="16"/>
          <w:szCs w:val="16"/>
        </w:rPr>
        <w:t>affidavit made by</w:t>
      </w:r>
      <w:r w:rsidRPr="00954547">
        <w:rPr>
          <w:rFonts w:ascii="Verdana" w:hAnsi="Verdana"/>
          <w:sz w:val="16"/>
          <w:szCs w:val="16"/>
        </w:rPr>
        <w:t xml:space="preserve"> María Teresa Rivera </w:t>
      </w:r>
      <w:r w:rsidR="0060432C" w:rsidRPr="00954547">
        <w:rPr>
          <w:rFonts w:ascii="Verdana" w:hAnsi="Verdana"/>
          <w:sz w:val="16"/>
          <w:szCs w:val="16"/>
        </w:rPr>
        <w:t>on February 23,</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3809),</w:t>
      </w:r>
      <w:r w:rsidR="0078694F" w:rsidRPr="00954547">
        <w:rPr>
          <w:rFonts w:ascii="Verdana" w:hAnsi="Verdana"/>
          <w:sz w:val="16"/>
          <w:szCs w:val="16"/>
        </w:rPr>
        <w:t xml:space="preserve"> and </w:t>
      </w:r>
      <w:r w:rsidR="00FF2DDD" w:rsidRPr="00954547">
        <w:rPr>
          <w:rFonts w:ascii="Verdana" w:hAnsi="Verdana"/>
          <w:sz w:val="16"/>
          <w:szCs w:val="16"/>
        </w:rPr>
        <w:t>affidavit made by</w:t>
      </w:r>
      <w:r w:rsidRPr="00954547">
        <w:rPr>
          <w:rFonts w:ascii="Verdana" w:hAnsi="Verdana"/>
          <w:sz w:val="16"/>
          <w:szCs w:val="16"/>
        </w:rPr>
        <w:t xml:space="preserve"> Teodora del Carmen Vásquez </w:t>
      </w:r>
      <w:r w:rsidR="0060432C" w:rsidRPr="00954547">
        <w:rPr>
          <w:rFonts w:ascii="Verdana" w:hAnsi="Verdana"/>
          <w:sz w:val="16"/>
          <w:szCs w:val="16"/>
        </w:rPr>
        <w:t>on March 3,</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3827).</w:t>
      </w:r>
    </w:p>
  </w:footnote>
  <w:footnote w:id="102">
    <w:p w14:paraId="01BE59FC" w14:textId="5AB452E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432C" w:rsidRPr="00954547">
        <w:rPr>
          <w:rFonts w:ascii="Verdana" w:hAnsi="Verdana"/>
          <w:sz w:val="16"/>
          <w:szCs w:val="16"/>
        </w:rPr>
        <w:t>Expert opinion provided by</w:t>
      </w:r>
      <w:r w:rsidRPr="00954547">
        <w:rPr>
          <w:rFonts w:ascii="Verdana" w:hAnsi="Verdana"/>
          <w:sz w:val="16"/>
          <w:szCs w:val="16"/>
        </w:rPr>
        <w:t xml:space="preserve"> David Ernesto Morales Cruz </w:t>
      </w:r>
      <w:r w:rsidR="007D7721" w:rsidRPr="00954547">
        <w:rPr>
          <w:rFonts w:ascii="Verdana" w:hAnsi="Verdana"/>
          <w:sz w:val="16"/>
          <w:szCs w:val="16"/>
        </w:rPr>
        <w:t>on March 4,</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folio 3940). </w:t>
      </w:r>
      <w:r w:rsidR="002A45FD" w:rsidRPr="00954547">
        <w:rPr>
          <w:rFonts w:ascii="Verdana" w:eastAsiaTheme="minorHAnsi" w:hAnsi="Verdana" w:cs="Arial"/>
          <w:i/>
          <w:sz w:val="16"/>
          <w:szCs w:val="16"/>
          <w:bdr w:val="none" w:sz="0" w:space="0" w:color="auto"/>
        </w:rPr>
        <w:t>See also,</w:t>
      </w:r>
      <w:r w:rsidRPr="00954547">
        <w:rPr>
          <w:rFonts w:ascii="Verdana" w:hAnsi="Verdana"/>
          <w:sz w:val="16"/>
          <w:szCs w:val="16"/>
        </w:rPr>
        <w:t xml:space="preserve"> </w:t>
      </w:r>
      <w:r w:rsidR="00FF2DDD" w:rsidRPr="00954547">
        <w:rPr>
          <w:rFonts w:ascii="Verdana" w:hAnsi="Verdana"/>
          <w:sz w:val="16"/>
          <w:szCs w:val="16"/>
        </w:rPr>
        <w:t>Affidavit made by</w:t>
      </w:r>
      <w:r w:rsidRPr="00954547">
        <w:rPr>
          <w:rFonts w:ascii="Verdana" w:hAnsi="Verdana"/>
          <w:sz w:val="16"/>
          <w:szCs w:val="16"/>
        </w:rPr>
        <w:t xml:space="preserve"> María Marina Pérez </w:t>
      </w:r>
      <w:r w:rsidR="00FF2DDD" w:rsidRPr="00954547">
        <w:rPr>
          <w:rFonts w:ascii="Verdana" w:hAnsi="Verdana"/>
          <w:sz w:val="16"/>
          <w:szCs w:val="16"/>
        </w:rPr>
        <w:t>on 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folio 3813); </w:t>
      </w:r>
      <w:r w:rsidR="00FF2DDD" w:rsidRPr="00954547">
        <w:rPr>
          <w:rFonts w:ascii="Verdana" w:hAnsi="Verdana"/>
          <w:sz w:val="16"/>
          <w:szCs w:val="16"/>
        </w:rPr>
        <w:t>affidavit made by</w:t>
      </w:r>
      <w:r w:rsidRPr="00954547">
        <w:rPr>
          <w:rFonts w:ascii="Verdana" w:hAnsi="Verdana"/>
          <w:sz w:val="16"/>
          <w:szCs w:val="16"/>
        </w:rPr>
        <w:t xml:space="preserve"> Alva Lorena Rodríguez </w:t>
      </w:r>
      <w:r w:rsidR="0060432C" w:rsidRPr="00954547">
        <w:rPr>
          <w:rFonts w:ascii="Verdana" w:hAnsi="Verdana"/>
          <w:sz w:val="16"/>
          <w:szCs w:val="16"/>
        </w:rPr>
        <w:t>on February 24,</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3823),</w:t>
      </w:r>
      <w:r w:rsidR="0078694F" w:rsidRPr="00954547">
        <w:rPr>
          <w:rFonts w:ascii="Verdana" w:hAnsi="Verdana"/>
          <w:sz w:val="16"/>
          <w:szCs w:val="16"/>
        </w:rPr>
        <w:t xml:space="preserve"> and </w:t>
      </w:r>
      <w:r w:rsidR="00FF2DDD" w:rsidRPr="00954547">
        <w:rPr>
          <w:rFonts w:ascii="Verdana" w:hAnsi="Verdana"/>
          <w:sz w:val="16"/>
          <w:szCs w:val="16"/>
        </w:rPr>
        <w:t>affidavit made by</w:t>
      </w:r>
      <w:r w:rsidRPr="00954547">
        <w:rPr>
          <w:rFonts w:ascii="Verdana" w:hAnsi="Verdana"/>
          <w:sz w:val="16"/>
          <w:szCs w:val="16"/>
        </w:rPr>
        <w:t xml:space="preserve"> Teodora del Carmen Vásquez </w:t>
      </w:r>
      <w:r w:rsidR="0060432C" w:rsidRPr="00954547">
        <w:rPr>
          <w:rFonts w:ascii="Verdana" w:hAnsi="Verdana"/>
          <w:sz w:val="16"/>
          <w:szCs w:val="16"/>
        </w:rPr>
        <w:t>on March 3,</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3827).</w:t>
      </w:r>
    </w:p>
  </w:footnote>
  <w:footnote w:id="103">
    <w:p w14:paraId="7E8ED05D" w14:textId="0FFA7B6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BF25A2" w:rsidRPr="00954547">
        <w:rPr>
          <w:rFonts w:ascii="Verdana" w:hAnsi="Verdana"/>
          <w:color w:val="auto"/>
          <w:sz w:val="16"/>
          <w:szCs w:val="16"/>
        </w:rPr>
        <w:t>Working Group on Arbitrary Detention</w:t>
      </w:r>
      <w:r w:rsidRPr="00954547">
        <w:rPr>
          <w:rFonts w:ascii="Verdana" w:hAnsi="Verdana"/>
          <w:color w:val="auto"/>
          <w:sz w:val="16"/>
          <w:szCs w:val="16"/>
        </w:rPr>
        <w:t xml:space="preserve">, </w:t>
      </w:r>
      <w:r w:rsidR="00910767" w:rsidRPr="00954547">
        <w:rPr>
          <w:rFonts w:ascii="Verdana" w:hAnsi="Verdana"/>
          <w:color w:val="auto"/>
          <w:sz w:val="16"/>
          <w:szCs w:val="16"/>
        </w:rPr>
        <w:t>Opinion No.</w:t>
      </w:r>
      <w:r w:rsidRPr="00954547">
        <w:rPr>
          <w:rFonts w:ascii="Verdana" w:hAnsi="Verdana"/>
          <w:color w:val="auto"/>
          <w:sz w:val="16"/>
          <w:szCs w:val="16"/>
        </w:rPr>
        <w:t xml:space="preserve"> 68/2019, </w:t>
      </w:r>
      <w:r w:rsidR="00910767" w:rsidRPr="00954547">
        <w:rPr>
          <w:rFonts w:ascii="Verdana" w:hAnsi="Verdana"/>
          <w:color w:val="auto"/>
          <w:sz w:val="16"/>
          <w:szCs w:val="16"/>
        </w:rPr>
        <w:t>concerning Sara del Rosario Rogel García</w:t>
      </w:r>
      <w:r w:rsidRPr="00954547">
        <w:rPr>
          <w:rFonts w:ascii="Verdana" w:hAnsi="Verdana"/>
          <w:color w:val="auto"/>
          <w:sz w:val="16"/>
          <w:szCs w:val="16"/>
        </w:rPr>
        <w:t>, Berta Margarita Arana Hernández</w:t>
      </w:r>
      <w:r w:rsidR="0078694F" w:rsidRPr="00954547">
        <w:rPr>
          <w:rFonts w:ascii="Verdana" w:hAnsi="Verdana"/>
          <w:color w:val="auto"/>
          <w:sz w:val="16"/>
          <w:szCs w:val="16"/>
        </w:rPr>
        <w:t xml:space="preserve"> and </w:t>
      </w:r>
      <w:r w:rsidRPr="00954547">
        <w:rPr>
          <w:rFonts w:ascii="Verdana" w:hAnsi="Verdana"/>
          <w:color w:val="auto"/>
          <w:sz w:val="16"/>
          <w:szCs w:val="16"/>
        </w:rPr>
        <w:t>Evelyn Beatriz Hernández Cruz (El Salvador), A/HRC/WGAD/2019/68</w:t>
      </w:r>
      <w:r w:rsidR="00910767" w:rsidRPr="00954547">
        <w:rPr>
          <w:rFonts w:ascii="Verdana" w:hAnsi="Verdana"/>
          <w:color w:val="auto"/>
          <w:sz w:val="16"/>
          <w:szCs w:val="16"/>
        </w:rPr>
        <w:t>,</w:t>
      </w:r>
      <w:r w:rsidR="007D7721" w:rsidRPr="00954547">
        <w:rPr>
          <w:rFonts w:ascii="Verdana" w:hAnsi="Verdana"/>
          <w:color w:val="auto"/>
          <w:sz w:val="16"/>
          <w:szCs w:val="16"/>
        </w:rPr>
        <w:t xml:space="preserve"> March 4,</w:t>
      </w:r>
      <w:r w:rsidRPr="00954547">
        <w:rPr>
          <w:rFonts w:ascii="Verdana" w:hAnsi="Verdana"/>
          <w:color w:val="auto"/>
          <w:sz w:val="16"/>
          <w:szCs w:val="16"/>
        </w:rPr>
        <w:t xml:space="preserve"> 2020, </w:t>
      </w:r>
      <w:r w:rsidR="00B10E5A" w:rsidRPr="00954547">
        <w:rPr>
          <w:rFonts w:ascii="Verdana" w:hAnsi="Verdana"/>
          <w:color w:val="auto"/>
          <w:sz w:val="16"/>
          <w:szCs w:val="16"/>
        </w:rPr>
        <w:t>para.</w:t>
      </w:r>
      <w:r w:rsidRPr="00954547">
        <w:rPr>
          <w:rFonts w:ascii="Verdana" w:hAnsi="Verdana"/>
          <w:color w:val="auto"/>
          <w:sz w:val="16"/>
          <w:szCs w:val="16"/>
        </w:rPr>
        <w:t xml:space="preserve"> 101.</w:t>
      </w:r>
    </w:p>
  </w:footnote>
  <w:footnote w:id="104">
    <w:p w14:paraId="7114A868" w14:textId="1659C42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Pr="00954547">
        <w:rPr>
          <w:rFonts w:ascii="Verdana" w:hAnsi="Verdana"/>
          <w:sz w:val="16"/>
          <w:szCs w:val="16"/>
        </w:rPr>
        <w:t>San Francisco Gotera</w:t>
      </w:r>
      <w:r w:rsidR="00910767" w:rsidRPr="00954547">
        <w:rPr>
          <w:rFonts w:ascii="Verdana" w:hAnsi="Verdana"/>
          <w:sz w:val="16"/>
          <w:szCs w:val="16"/>
        </w:rPr>
        <w:t xml:space="preserve"> National Hospital</w:t>
      </w:r>
      <w:r w:rsidRPr="00954547">
        <w:rPr>
          <w:rFonts w:ascii="Verdana" w:hAnsi="Verdana"/>
          <w:sz w:val="16"/>
          <w:szCs w:val="16"/>
        </w:rPr>
        <w:t xml:space="preserve">. </w:t>
      </w:r>
      <w:r w:rsidR="00910767" w:rsidRPr="00954547">
        <w:rPr>
          <w:rFonts w:ascii="Verdana" w:hAnsi="Verdana"/>
          <w:sz w:val="16"/>
          <w:szCs w:val="16"/>
        </w:rPr>
        <w:t>Perinatal medical record of March 27,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3160).</w:t>
      </w:r>
    </w:p>
  </w:footnote>
  <w:footnote w:id="105">
    <w:p w14:paraId="30DEF227" w14:textId="63C9093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354B24" w:rsidRPr="00954547">
        <w:rPr>
          <w:rFonts w:ascii="Verdana" w:hAnsi="Verdana"/>
          <w:sz w:val="16"/>
          <w:szCs w:val="16"/>
        </w:rPr>
        <w:t>Emergency record</w:t>
      </w:r>
      <w:r w:rsidRPr="00954547">
        <w:rPr>
          <w:rFonts w:ascii="Verdana" w:hAnsi="Verdana"/>
          <w:sz w:val="16"/>
          <w:szCs w:val="16"/>
        </w:rPr>
        <w:t xml:space="preserve"> </w:t>
      </w:r>
      <w:r w:rsidR="00910767" w:rsidRPr="00954547">
        <w:rPr>
          <w:rFonts w:ascii="Verdana" w:hAnsi="Verdana"/>
          <w:sz w:val="16"/>
          <w:szCs w:val="16"/>
        </w:rPr>
        <w:t>dated</w:t>
      </w:r>
      <w:r w:rsidR="003D24A2" w:rsidRPr="00954547">
        <w:rPr>
          <w:rFonts w:ascii="Verdana" w:hAnsi="Verdana"/>
          <w:sz w:val="16"/>
          <w:szCs w:val="16"/>
        </w:rPr>
        <w:t xml:space="preserve"> February 27,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3164); </w:t>
      </w:r>
      <w:r w:rsidR="00FF2DDD" w:rsidRPr="00954547">
        <w:rPr>
          <w:rFonts w:ascii="Verdana" w:hAnsi="Verdana"/>
          <w:sz w:val="16"/>
          <w:szCs w:val="16"/>
        </w:rPr>
        <w:t>Affidavit made by</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2281),</w:t>
      </w:r>
      <w:r w:rsidR="0078694F" w:rsidRPr="00954547">
        <w:rPr>
          <w:rFonts w:ascii="Verdana" w:hAnsi="Verdana"/>
          <w:sz w:val="16"/>
          <w:szCs w:val="16"/>
        </w:rPr>
        <w:t xml:space="preserve"> and </w:t>
      </w:r>
      <w:r w:rsidR="00E60BF1" w:rsidRPr="00954547">
        <w:rPr>
          <w:rFonts w:ascii="Verdana" w:hAnsi="Verdana"/>
          <w:sz w:val="16"/>
          <w:szCs w:val="16"/>
        </w:rPr>
        <w:t xml:space="preserve">Record of the </w:t>
      </w:r>
      <w:r w:rsidR="009A60F6" w:rsidRPr="00954547">
        <w:rPr>
          <w:rFonts w:ascii="Verdana" w:hAnsi="Verdana"/>
          <w:sz w:val="16"/>
          <w:szCs w:val="16"/>
        </w:rPr>
        <w:t>i</w:t>
      </w:r>
      <w:r w:rsidR="00E60BF1" w:rsidRPr="00954547">
        <w:rPr>
          <w:rFonts w:ascii="Verdana" w:hAnsi="Verdana"/>
          <w:sz w:val="16"/>
          <w:szCs w:val="16"/>
        </w:rPr>
        <w:t>nterview of Manuela’s sister</w:t>
      </w:r>
      <w:r w:rsidRPr="00954547">
        <w:rPr>
          <w:rFonts w:ascii="Verdana" w:hAnsi="Verdana"/>
          <w:sz w:val="16"/>
          <w:szCs w:val="16"/>
        </w:rPr>
        <w:t xml:space="preserve"> </w:t>
      </w:r>
      <w:r w:rsidR="00E60BF1" w:rsidRPr="00954547">
        <w:rPr>
          <w:rFonts w:ascii="Verdana" w:hAnsi="Verdana"/>
          <w:sz w:val="16"/>
          <w:szCs w:val="16"/>
        </w:rPr>
        <w:t>o</w:t>
      </w:r>
      <w:r w:rsidR="009A60F6" w:rsidRPr="00954547">
        <w:rPr>
          <w:rFonts w:ascii="Verdana" w:hAnsi="Verdana"/>
          <w:sz w:val="16"/>
          <w:szCs w:val="16"/>
        </w:rPr>
        <w:t>n</w:t>
      </w:r>
      <w:r w:rsidR="00E60BF1" w:rsidRPr="00954547">
        <w:rPr>
          <w:rFonts w:ascii="Verdana" w:hAnsi="Verdana"/>
          <w:sz w:val="16"/>
          <w:szCs w:val="16"/>
        </w:rPr>
        <w:t xml:space="preserve"> February 28,</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1803</w:t>
      </w:r>
      <w:r w:rsidR="0078694F" w:rsidRPr="00954547">
        <w:rPr>
          <w:rFonts w:ascii="Verdana" w:hAnsi="Verdana"/>
          <w:sz w:val="16"/>
          <w:szCs w:val="16"/>
        </w:rPr>
        <w:t xml:space="preserve"> and </w:t>
      </w:r>
      <w:r w:rsidRPr="00954547">
        <w:rPr>
          <w:rFonts w:ascii="Verdana" w:hAnsi="Verdana"/>
          <w:sz w:val="16"/>
          <w:szCs w:val="16"/>
        </w:rPr>
        <w:t>1804).</w:t>
      </w:r>
    </w:p>
  </w:footnote>
  <w:footnote w:id="106">
    <w:p w14:paraId="77DCC1F4" w14:textId="47AA1D0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E60BF1" w:rsidRPr="00954547">
        <w:rPr>
          <w:rFonts w:ascii="Verdana" w:hAnsi="Verdana"/>
          <w:sz w:val="16"/>
          <w:szCs w:val="16"/>
        </w:rPr>
        <w:t>Psychological appraisal of</w:t>
      </w:r>
      <w:r w:rsidRPr="00954547">
        <w:rPr>
          <w:rFonts w:ascii="Verdana" w:hAnsi="Verdana"/>
          <w:sz w:val="16"/>
          <w:szCs w:val="16"/>
        </w:rPr>
        <w:t xml:space="preserve"> Manuela </w:t>
      </w:r>
      <w:r w:rsidR="00E60BF1" w:rsidRPr="00954547">
        <w:rPr>
          <w:rFonts w:ascii="Verdana" w:hAnsi="Verdana"/>
          <w:sz w:val="16"/>
          <w:szCs w:val="16"/>
        </w:rPr>
        <w:t>by the Institute of Forensic Medicine</w:t>
      </w:r>
      <w:r w:rsidRPr="00954547">
        <w:rPr>
          <w:rFonts w:ascii="Verdana" w:hAnsi="Verdana"/>
          <w:sz w:val="16"/>
          <w:szCs w:val="16"/>
        </w:rPr>
        <w:t xml:space="preserve"> </w:t>
      </w:r>
      <w:r w:rsidR="00E60BF1" w:rsidRPr="00954547">
        <w:rPr>
          <w:rFonts w:ascii="Verdana" w:hAnsi="Verdana"/>
          <w:sz w:val="16"/>
          <w:szCs w:val="16"/>
        </w:rPr>
        <w:t>of April 25,</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103); </w:t>
      </w:r>
      <w:r w:rsidR="00FF2DDD" w:rsidRPr="00954547">
        <w:rPr>
          <w:rFonts w:ascii="Verdana" w:hAnsi="Verdana"/>
          <w:sz w:val="16"/>
          <w:szCs w:val="16"/>
        </w:rPr>
        <w:t>Affidavit made by</w:t>
      </w:r>
      <w:r w:rsidRPr="00954547">
        <w:rPr>
          <w:rFonts w:ascii="Verdana" w:hAnsi="Verdana"/>
          <w:sz w:val="16"/>
          <w:szCs w:val="16"/>
        </w:rPr>
        <w:t xml:space="preserve"> </w:t>
      </w:r>
      <w:r w:rsidR="00FF2DDD" w:rsidRPr="00954547">
        <w:rPr>
          <w:rFonts w:ascii="Verdana" w:hAnsi="Verdana"/>
          <w:sz w:val="16"/>
          <w:szCs w:val="16"/>
        </w:rPr>
        <w:t>Manuela’s father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2288),</w:t>
      </w:r>
      <w:r w:rsidR="0078694F" w:rsidRPr="00954547">
        <w:rPr>
          <w:rFonts w:ascii="Verdana" w:hAnsi="Verdana"/>
          <w:sz w:val="16"/>
          <w:szCs w:val="16"/>
        </w:rPr>
        <w:t xml:space="preserve"> and </w:t>
      </w:r>
      <w:r w:rsidR="00E60BF1" w:rsidRPr="00954547">
        <w:rPr>
          <w:rFonts w:ascii="Verdana" w:hAnsi="Verdana"/>
          <w:sz w:val="16"/>
          <w:szCs w:val="16"/>
        </w:rPr>
        <w:t>Interview of</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656B0B" w:rsidRPr="00954547">
        <w:rPr>
          <w:rFonts w:ascii="Verdana" w:hAnsi="Verdana"/>
          <w:sz w:val="16"/>
          <w:szCs w:val="16"/>
        </w:rPr>
        <w:t>by</w:t>
      </w:r>
      <w:r w:rsidRPr="00954547">
        <w:rPr>
          <w:rFonts w:ascii="Verdana" w:hAnsi="Verdana"/>
          <w:sz w:val="16"/>
          <w:szCs w:val="16"/>
        </w:rPr>
        <w:t xml:space="preserve"> </w:t>
      </w:r>
      <w:r w:rsidR="00B8393C" w:rsidRPr="00954547">
        <w:rPr>
          <w:rFonts w:ascii="Verdana" w:hAnsi="Verdana"/>
          <w:sz w:val="16"/>
          <w:szCs w:val="16"/>
        </w:rPr>
        <w:t xml:space="preserve">the </w:t>
      </w:r>
      <w:r w:rsidR="00B6299C" w:rsidRPr="00954547">
        <w:rPr>
          <w:rFonts w:ascii="Verdana" w:hAnsi="Verdana"/>
          <w:sz w:val="16"/>
          <w:szCs w:val="16"/>
        </w:rPr>
        <w:t>representatives</w:t>
      </w:r>
      <w:r w:rsidRPr="00954547">
        <w:rPr>
          <w:rFonts w:ascii="Verdana" w:hAnsi="Verdana"/>
          <w:sz w:val="16"/>
          <w:szCs w:val="16"/>
        </w:rPr>
        <w:t xml:space="preserve"> </w:t>
      </w:r>
      <w:r w:rsidR="00656B0B" w:rsidRPr="00954547">
        <w:rPr>
          <w:rFonts w:ascii="Verdana" w:hAnsi="Verdana"/>
          <w:sz w:val="16"/>
          <w:szCs w:val="16"/>
        </w:rPr>
        <w:t>on 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w:t>
      </w:r>
      <w:r w:rsidR="00656B0B" w:rsidRPr="00954547">
        <w:rPr>
          <w:rFonts w:ascii="Verdana" w:hAnsi="Verdana"/>
          <w:sz w:val="16"/>
          <w:szCs w:val="16"/>
        </w:rPr>
        <w:t xml:space="preserve">folder of audiovisual material, minute </w:t>
      </w:r>
      <w:r w:rsidRPr="00954547">
        <w:rPr>
          <w:rFonts w:ascii="Verdana" w:hAnsi="Verdana"/>
          <w:sz w:val="16"/>
          <w:szCs w:val="16"/>
        </w:rPr>
        <w:t xml:space="preserve">2:11).  </w:t>
      </w:r>
    </w:p>
  </w:footnote>
  <w:footnote w:id="107">
    <w:p w14:paraId="005C395C" w14:textId="5C42EE7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2282E" w:rsidRPr="00954547">
        <w:rPr>
          <w:rFonts w:ascii="Verdana" w:hAnsi="Verdana"/>
          <w:sz w:val="16"/>
          <w:szCs w:val="16"/>
        </w:rPr>
        <w:t>Identification document from the</w:t>
      </w:r>
      <w:r w:rsidRPr="00954547">
        <w:rPr>
          <w:rFonts w:ascii="Verdana" w:hAnsi="Verdana"/>
          <w:sz w:val="16"/>
          <w:szCs w:val="16"/>
        </w:rPr>
        <w:t xml:space="preserve"> </w:t>
      </w:r>
      <w:r w:rsidR="00F500B0" w:rsidRPr="00954547">
        <w:rPr>
          <w:rFonts w:ascii="Verdana" w:hAnsi="Verdana"/>
          <w:sz w:val="16"/>
          <w:szCs w:val="16"/>
        </w:rPr>
        <w:t>medical record</w:t>
      </w:r>
      <w:r w:rsidRPr="00954547">
        <w:rPr>
          <w:rFonts w:ascii="Verdana" w:hAnsi="Verdana"/>
          <w:sz w:val="16"/>
          <w:szCs w:val="16"/>
        </w:rPr>
        <w:t xml:space="preserve"> </w:t>
      </w:r>
      <w:r w:rsidR="00F500B0" w:rsidRPr="00954547">
        <w:rPr>
          <w:rFonts w:ascii="Verdana" w:hAnsi="Verdana"/>
          <w:sz w:val="16"/>
          <w:szCs w:val="16"/>
        </w:rPr>
        <w:t>of August 24,</w:t>
      </w:r>
      <w:r w:rsidRPr="00954547">
        <w:rPr>
          <w:rFonts w:ascii="Verdana" w:hAnsi="Verdana"/>
          <w:sz w:val="16"/>
          <w:szCs w:val="16"/>
        </w:rPr>
        <w:t xml:space="preserve"> 2006 (</w:t>
      </w:r>
      <w:r w:rsidR="001C328F" w:rsidRPr="00954547">
        <w:rPr>
          <w:rFonts w:ascii="Verdana" w:hAnsi="Verdana"/>
          <w:sz w:val="16"/>
          <w:szCs w:val="16"/>
        </w:rPr>
        <w:t>evidence file</w:t>
      </w:r>
      <w:r w:rsidRPr="00954547">
        <w:rPr>
          <w:rFonts w:ascii="Verdana" w:hAnsi="Verdana"/>
          <w:sz w:val="16"/>
          <w:szCs w:val="16"/>
        </w:rPr>
        <w:t xml:space="preserve">, folios 1812 </w:t>
      </w:r>
      <w:r w:rsidR="00F2282E" w:rsidRPr="00954547">
        <w:rPr>
          <w:rFonts w:ascii="Verdana" w:hAnsi="Verdana"/>
          <w:sz w:val="16"/>
          <w:szCs w:val="16"/>
        </w:rPr>
        <w:t>to</w:t>
      </w:r>
      <w:r w:rsidRPr="00954547">
        <w:rPr>
          <w:rFonts w:ascii="Verdana" w:hAnsi="Verdana"/>
          <w:sz w:val="16"/>
          <w:szCs w:val="16"/>
        </w:rPr>
        <w:t xml:space="preserve"> 1814</w:t>
      </w:r>
      <w:r w:rsidR="0078694F" w:rsidRPr="00954547">
        <w:rPr>
          <w:rFonts w:ascii="Verdana" w:hAnsi="Verdana"/>
          <w:sz w:val="16"/>
          <w:szCs w:val="16"/>
        </w:rPr>
        <w:t xml:space="preserve"> and </w:t>
      </w:r>
      <w:r w:rsidRPr="00954547">
        <w:rPr>
          <w:rFonts w:ascii="Verdana" w:hAnsi="Verdana"/>
          <w:sz w:val="16"/>
          <w:szCs w:val="16"/>
        </w:rPr>
        <w:t>5176),</w:t>
      </w:r>
      <w:r w:rsidR="0078694F" w:rsidRPr="00954547">
        <w:rPr>
          <w:rFonts w:ascii="Verdana" w:hAnsi="Verdana"/>
          <w:sz w:val="16"/>
          <w:szCs w:val="16"/>
        </w:rPr>
        <w:t xml:space="preserve"> and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 186).</w:t>
      </w:r>
    </w:p>
  </w:footnote>
  <w:footnote w:id="108">
    <w:p w14:paraId="265E5F4F" w14:textId="6E3B832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 186).</w:t>
      </w:r>
    </w:p>
  </w:footnote>
  <w:footnote w:id="109">
    <w:p w14:paraId="3AB1C372" w14:textId="5BA0CB0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xml:space="preserve">, folio 186), </w:t>
      </w:r>
      <w:r w:rsidR="00F500B0" w:rsidRPr="00954547">
        <w:rPr>
          <w:rFonts w:ascii="Verdana" w:hAnsi="Verdana"/>
          <w:sz w:val="16"/>
          <w:szCs w:val="16"/>
        </w:rPr>
        <w:t xml:space="preserve">and Medical record of </w:t>
      </w:r>
      <w:r w:rsidRPr="00954547">
        <w:rPr>
          <w:rFonts w:ascii="Verdana" w:hAnsi="Verdana"/>
          <w:sz w:val="16"/>
          <w:szCs w:val="16"/>
        </w:rPr>
        <w:t xml:space="preserve">Manuela </w:t>
      </w:r>
      <w:r w:rsidR="00F500B0" w:rsidRPr="00954547">
        <w:rPr>
          <w:rFonts w:ascii="Verdana" w:hAnsi="Verdana"/>
          <w:sz w:val="16"/>
          <w:szCs w:val="16"/>
        </w:rPr>
        <w:t>from March to June</w:t>
      </w:r>
      <w:r w:rsidRPr="00954547">
        <w:rPr>
          <w:rFonts w:ascii="Verdana" w:hAnsi="Verdana"/>
          <w:sz w:val="16"/>
          <w:szCs w:val="16"/>
        </w:rPr>
        <w:t xml:space="preserve"> 2007 (</w:t>
      </w:r>
      <w:r w:rsidR="001C328F" w:rsidRPr="00954547">
        <w:rPr>
          <w:rFonts w:ascii="Verdana" w:hAnsi="Verdana"/>
          <w:sz w:val="16"/>
          <w:szCs w:val="16"/>
        </w:rPr>
        <w:t>evidence file</w:t>
      </w:r>
      <w:r w:rsidRPr="00954547">
        <w:rPr>
          <w:rFonts w:ascii="Verdana" w:hAnsi="Verdana"/>
          <w:sz w:val="16"/>
          <w:szCs w:val="16"/>
        </w:rPr>
        <w:t xml:space="preserve">, folios 5179 </w:t>
      </w:r>
      <w:r w:rsidR="00F500B0" w:rsidRPr="00954547">
        <w:rPr>
          <w:rFonts w:ascii="Verdana" w:hAnsi="Verdana"/>
          <w:sz w:val="16"/>
          <w:szCs w:val="16"/>
        </w:rPr>
        <w:t>to</w:t>
      </w:r>
      <w:r w:rsidRPr="00954547">
        <w:rPr>
          <w:rFonts w:ascii="Verdana" w:hAnsi="Verdana"/>
          <w:sz w:val="16"/>
          <w:szCs w:val="16"/>
        </w:rPr>
        <w:t xml:space="preserve"> 5181).</w:t>
      </w:r>
    </w:p>
  </w:footnote>
  <w:footnote w:id="110">
    <w:p w14:paraId="4083614C" w14:textId="7090588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folios 186</w:t>
      </w:r>
      <w:r w:rsidR="0078694F" w:rsidRPr="00954547">
        <w:rPr>
          <w:rFonts w:ascii="Verdana" w:hAnsi="Verdana"/>
          <w:sz w:val="16"/>
          <w:szCs w:val="16"/>
        </w:rPr>
        <w:t xml:space="preserve"> and </w:t>
      </w:r>
      <w:r w:rsidRPr="00954547">
        <w:rPr>
          <w:rFonts w:ascii="Verdana" w:hAnsi="Verdana"/>
          <w:sz w:val="16"/>
          <w:szCs w:val="16"/>
        </w:rPr>
        <w:t xml:space="preserve">187); </w:t>
      </w:r>
      <w:r w:rsidR="00F500B0" w:rsidRPr="00954547">
        <w:rPr>
          <w:rFonts w:ascii="Verdana" w:hAnsi="Verdana"/>
          <w:sz w:val="16"/>
          <w:szCs w:val="16"/>
        </w:rPr>
        <w:t>Manuela’s medical record</w:t>
      </w:r>
      <w:r w:rsidRPr="00954547">
        <w:rPr>
          <w:rFonts w:ascii="Verdana" w:hAnsi="Verdana"/>
          <w:sz w:val="16"/>
          <w:szCs w:val="16"/>
        </w:rPr>
        <w:t xml:space="preserve"> </w:t>
      </w:r>
      <w:r w:rsidR="00F500B0" w:rsidRPr="00954547">
        <w:rPr>
          <w:rFonts w:ascii="Verdana" w:hAnsi="Verdana"/>
          <w:sz w:val="16"/>
          <w:szCs w:val="16"/>
        </w:rPr>
        <w:t>of June 6,</w:t>
      </w:r>
      <w:r w:rsidRPr="00954547">
        <w:rPr>
          <w:rFonts w:ascii="Verdana" w:hAnsi="Verdana"/>
          <w:sz w:val="16"/>
          <w:szCs w:val="16"/>
        </w:rPr>
        <w:t xml:space="preserve"> 2007 (</w:t>
      </w:r>
      <w:r w:rsidR="001C328F" w:rsidRPr="00954547">
        <w:rPr>
          <w:rFonts w:ascii="Verdana" w:hAnsi="Verdana"/>
          <w:sz w:val="16"/>
          <w:szCs w:val="16"/>
        </w:rPr>
        <w:t>evidence file</w:t>
      </w:r>
      <w:r w:rsidRPr="00954547">
        <w:rPr>
          <w:rFonts w:ascii="Verdana" w:hAnsi="Verdana"/>
          <w:sz w:val="16"/>
          <w:szCs w:val="16"/>
        </w:rPr>
        <w:t>, folios 5180 a</w:t>
      </w:r>
      <w:r w:rsidR="0032123B" w:rsidRPr="00954547">
        <w:rPr>
          <w:rFonts w:ascii="Verdana" w:hAnsi="Verdana"/>
          <w:sz w:val="16"/>
          <w:szCs w:val="16"/>
        </w:rPr>
        <w:t>nd</w:t>
      </w:r>
      <w:r w:rsidRPr="00954547">
        <w:rPr>
          <w:rFonts w:ascii="Verdana" w:hAnsi="Verdana"/>
          <w:sz w:val="16"/>
          <w:szCs w:val="16"/>
        </w:rPr>
        <w:t xml:space="preserve"> 5181); </w:t>
      </w:r>
      <w:r w:rsidR="0032123B" w:rsidRPr="00954547">
        <w:rPr>
          <w:rFonts w:ascii="Verdana" w:hAnsi="Verdana"/>
          <w:sz w:val="16"/>
          <w:szCs w:val="16"/>
        </w:rPr>
        <w:t>Sworn statement of</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2281),</w:t>
      </w:r>
      <w:r w:rsidR="0078694F" w:rsidRPr="00954547">
        <w:rPr>
          <w:rFonts w:ascii="Verdana" w:hAnsi="Verdana"/>
          <w:sz w:val="16"/>
          <w:szCs w:val="16"/>
        </w:rPr>
        <w:t xml:space="preserve"> and </w:t>
      </w:r>
      <w:r w:rsidR="0032123B" w:rsidRPr="00954547">
        <w:rPr>
          <w:rFonts w:ascii="Verdana" w:hAnsi="Verdana"/>
          <w:sz w:val="16"/>
          <w:szCs w:val="16"/>
        </w:rPr>
        <w:t>Sworn statement of M</w:t>
      </w:r>
      <w:r w:rsidR="00FF2DDD" w:rsidRPr="00954547">
        <w:rPr>
          <w:rFonts w:ascii="Verdana" w:hAnsi="Verdana"/>
          <w:sz w:val="16"/>
          <w:szCs w:val="16"/>
        </w:rPr>
        <w:t>anuela’s father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2288).</w:t>
      </w:r>
    </w:p>
  </w:footnote>
  <w:footnote w:id="111">
    <w:p w14:paraId="259AA1AB" w14:textId="7EC2A5BE"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32123B" w:rsidRPr="00954547">
        <w:rPr>
          <w:rFonts w:ascii="Verdana" w:hAnsi="Verdana"/>
          <w:sz w:val="16"/>
          <w:szCs w:val="16"/>
        </w:rPr>
        <w:t>Record of interview of</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32123B" w:rsidRPr="00954547">
        <w:rPr>
          <w:rFonts w:ascii="Verdana" w:hAnsi="Verdana"/>
          <w:sz w:val="16"/>
          <w:szCs w:val="16"/>
        </w:rPr>
        <w:t>on February 28,</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1822</w:t>
      </w:r>
      <w:r w:rsidR="0078694F" w:rsidRPr="00954547">
        <w:rPr>
          <w:rFonts w:ascii="Verdana" w:hAnsi="Verdana"/>
          <w:sz w:val="16"/>
          <w:szCs w:val="16"/>
        </w:rPr>
        <w:t xml:space="preserve"> and </w:t>
      </w:r>
      <w:r w:rsidRPr="00954547">
        <w:rPr>
          <w:rFonts w:ascii="Verdana" w:hAnsi="Verdana"/>
          <w:sz w:val="16"/>
          <w:szCs w:val="16"/>
        </w:rPr>
        <w:t xml:space="preserve">1823). </w:t>
      </w:r>
    </w:p>
  </w:footnote>
  <w:footnote w:id="112">
    <w:p w14:paraId="24CAA532" w14:textId="0AC74064"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32123B" w:rsidRPr="00954547">
        <w:rPr>
          <w:rFonts w:ascii="Verdana" w:hAnsi="Verdana"/>
          <w:sz w:val="16"/>
          <w:szCs w:val="16"/>
        </w:rPr>
        <w:t>Emergency record of</w:t>
      </w:r>
      <w:r w:rsidR="003D24A2" w:rsidRPr="00954547">
        <w:rPr>
          <w:rFonts w:ascii="Verdana" w:hAnsi="Verdana"/>
          <w:sz w:val="16"/>
          <w:szCs w:val="16"/>
        </w:rPr>
        <w:t xml:space="preserve"> February 27,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16); </w:t>
      </w:r>
      <w:r w:rsidR="0032123B" w:rsidRPr="00954547">
        <w:rPr>
          <w:rFonts w:ascii="Verdana" w:hAnsi="Verdana"/>
          <w:sz w:val="16"/>
          <w:szCs w:val="16"/>
        </w:rPr>
        <w:t>Sworn statement of M</w:t>
      </w:r>
      <w:r w:rsidR="00FF2DDD" w:rsidRPr="00954547">
        <w:rPr>
          <w:rFonts w:ascii="Verdana" w:hAnsi="Verdana"/>
          <w:sz w:val="16"/>
          <w:szCs w:val="16"/>
        </w:rPr>
        <w:t>anuela’s father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2288),</w:t>
      </w:r>
      <w:r w:rsidR="0078694F" w:rsidRPr="00954547">
        <w:rPr>
          <w:rFonts w:ascii="Verdana" w:hAnsi="Verdana"/>
          <w:sz w:val="16"/>
          <w:szCs w:val="16"/>
        </w:rPr>
        <w:t xml:space="preserve"> and </w:t>
      </w:r>
      <w:r w:rsidR="0032123B" w:rsidRPr="00954547">
        <w:rPr>
          <w:rFonts w:ascii="Verdana" w:hAnsi="Verdana"/>
          <w:sz w:val="16"/>
          <w:szCs w:val="16"/>
        </w:rPr>
        <w:t>Sworn statement of</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2281).</w:t>
      </w:r>
    </w:p>
  </w:footnote>
  <w:footnote w:id="113">
    <w:p w14:paraId="6C119FA2" w14:textId="6235D460"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32123B" w:rsidRPr="00954547">
        <w:rPr>
          <w:rFonts w:ascii="Verdana" w:hAnsi="Verdana"/>
          <w:sz w:val="16"/>
          <w:szCs w:val="16"/>
        </w:rPr>
        <w:t>Emergency record of</w:t>
      </w:r>
      <w:r w:rsidR="003D24A2" w:rsidRPr="00954547">
        <w:rPr>
          <w:rFonts w:ascii="Verdana" w:hAnsi="Verdana"/>
          <w:sz w:val="16"/>
          <w:szCs w:val="16"/>
        </w:rPr>
        <w:t xml:space="preserve"> February 27,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16).</w:t>
      </w:r>
    </w:p>
  </w:footnote>
  <w:footnote w:id="114">
    <w:p w14:paraId="3BA1BC38" w14:textId="4B52B7E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32123B" w:rsidRPr="00954547">
        <w:rPr>
          <w:rFonts w:ascii="Verdana" w:hAnsi="Verdana"/>
          <w:sz w:val="16"/>
          <w:szCs w:val="16"/>
        </w:rPr>
        <w:t>Sworn statement of</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xml:space="preserve">, folio 2281); </w:t>
      </w:r>
      <w:r w:rsidR="0032123B" w:rsidRPr="00954547">
        <w:rPr>
          <w:rFonts w:ascii="Verdana" w:hAnsi="Verdana"/>
          <w:sz w:val="16"/>
          <w:szCs w:val="16"/>
        </w:rPr>
        <w:t>Sworn statement of M</w:t>
      </w:r>
      <w:r w:rsidR="00FF2DDD" w:rsidRPr="00954547">
        <w:rPr>
          <w:rFonts w:ascii="Verdana" w:hAnsi="Verdana"/>
          <w:sz w:val="16"/>
          <w:szCs w:val="16"/>
        </w:rPr>
        <w:t>anuela’s father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2288),</w:t>
      </w:r>
      <w:r w:rsidR="0078694F" w:rsidRPr="00954547">
        <w:rPr>
          <w:rFonts w:ascii="Verdana" w:hAnsi="Verdana"/>
          <w:sz w:val="16"/>
          <w:szCs w:val="16"/>
        </w:rPr>
        <w:t xml:space="preserve"> and </w:t>
      </w:r>
      <w:r w:rsidR="0032123B" w:rsidRPr="00954547">
        <w:rPr>
          <w:rFonts w:ascii="Verdana" w:hAnsi="Verdana"/>
          <w:sz w:val="16"/>
          <w:szCs w:val="16"/>
        </w:rPr>
        <w:t>Record of interview of</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32123B" w:rsidRPr="00954547">
        <w:rPr>
          <w:rFonts w:ascii="Verdana" w:hAnsi="Verdana"/>
          <w:sz w:val="16"/>
          <w:szCs w:val="16"/>
        </w:rPr>
        <w:t>on February 28,</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1822). </w:t>
      </w:r>
      <w:r w:rsidR="00354B24" w:rsidRPr="00954547">
        <w:rPr>
          <w:rFonts w:ascii="Verdana" w:hAnsi="Verdana"/>
          <w:sz w:val="16"/>
          <w:szCs w:val="16"/>
        </w:rPr>
        <w:t>Similarly</w:t>
      </w:r>
      <w:r w:rsidRPr="00954547">
        <w:rPr>
          <w:rFonts w:ascii="Verdana" w:hAnsi="Verdana"/>
          <w:sz w:val="16"/>
          <w:szCs w:val="16"/>
        </w:rPr>
        <w:t xml:space="preserve">, </w:t>
      </w:r>
      <w:r w:rsidR="00E60BF1" w:rsidRPr="00954547">
        <w:rPr>
          <w:rFonts w:ascii="Verdana" w:hAnsi="Verdana"/>
          <w:sz w:val="16"/>
          <w:szCs w:val="16"/>
        </w:rPr>
        <w:t xml:space="preserve">Record of the </w:t>
      </w:r>
      <w:r w:rsidR="00354B24" w:rsidRPr="00954547">
        <w:rPr>
          <w:rFonts w:ascii="Verdana" w:hAnsi="Verdana"/>
          <w:sz w:val="16"/>
          <w:szCs w:val="16"/>
        </w:rPr>
        <w:t>i</w:t>
      </w:r>
      <w:r w:rsidR="00E60BF1" w:rsidRPr="00954547">
        <w:rPr>
          <w:rFonts w:ascii="Verdana" w:hAnsi="Verdana"/>
          <w:sz w:val="16"/>
          <w:szCs w:val="16"/>
        </w:rPr>
        <w:t>nterview of Manuela’s sister</w:t>
      </w:r>
      <w:r w:rsidRPr="00954547">
        <w:rPr>
          <w:rFonts w:ascii="Verdana" w:hAnsi="Verdana"/>
          <w:sz w:val="16"/>
          <w:szCs w:val="16"/>
        </w:rPr>
        <w:t xml:space="preserve"> </w:t>
      </w:r>
      <w:r w:rsidR="00E60BF1" w:rsidRPr="00954547">
        <w:rPr>
          <w:rFonts w:ascii="Verdana" w:hAnsi="Verdana"/>
          <w:sz w:val="16"/>
          <w:szCs w:val="16"/>
        </w:rPr>
        <w:t>of February 28,</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1803</w:t>
      </w:r>
      <w:r w:rsidR="0078694F" w:rsidRPr="00954547">
        <w:rPr>
          <w:rFonts w:ascii="Verdana" w:hAnsi="Verdana"/>
          <w:sz w:val="16"/>
          <w:szCs w:val="16"/>
        </w:rPr>
        <w:t xml:space="preserve"> and </w:t>
      </w:r>
      <w:r w:rsidRPr="00954547">
        <w:rPr>
          <w:rFonts w:ascii="Verdana" w:hAnsi="Verdana"/>
          <w:sz w:val="16"/>
          <w:szCs w:val="16"/>
        </w:rPr>
        <w:t>1804).</w:t>
      </w:r>
    </w:p>
  </w:footnote>
  <w:footnote w:id="115">
    <w:p w14:paraId="60962D16" w14:textId="4ACFEFA1"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eastAsiaTheme="minorHAnsi" w:hAnsi="Verdana" w:cs="Arial"/>
          <w:i/>
          <w:sz w:val="16"/>
          <w:szCs w:val="16"/>
          <w:bdr w:val="none" w:sz="0" w:space="0" w:color="auto"/>
        </w:rPr>
        <w:t>Cf.</w:t>
      </w:r>
      <w:r w:rsidRPr="00954547">
        <w:rPr>
          <w:rFonts w:ascii="Verdana" w:eastAsiaTheme="minorHAnsi" w:hAnsi="Verdana" w:cs="Arial"/>
          <w:sz w:val="16"/>
          <w:szCs w:val="16"/>
          <w:bdr w:val="none" w:sz="0" w:space="0" w:color="auto"/>
        </w:rPr>
        <w:t xml:space="preserve"> </w:t>
      </w:r>
      <w:r w:rsidR="00354B24" w:rsidRPr="00954547">
        <w:rPr>
          <w:rFonts w:ascii="Verdana" w:eastAsiaTheme="minorHAnsi" w:hAnsi="Verdana" w:cs="Arial"/>
          <w:sz w:val="16"/>
          <w:szCs w:val="16"/>
          <w:bdr w:val="none" w:sz="0" w:space="0" w:color="auto"/>
        </w:rPr>
        <w:t>Record of the interview of</w:t>
      </w:r>
      <w:r w:rsidRPr="00954547">
        <w:rPr>
          <w:rFonts w:ascii="Verdana" w:eastAsiaTheme="minorHAnsi" w:hAnsi="Verdana" w:cs="Arial"/>
          <w:sz w:val="16"/>
          <w:szCs w:val="16"/>
          <w:bdr w:val="none" w:sz="0" w:space="0" w:color="auto"/>
        </w:rPr>
        <w:t xml:space="preserve"> </w:t>
      </w:r>
      <w:r w:rsidR="00354B24" w:rsidRPr="00954547">
        <w:rPr>
          <w:rFonts w:ascii="Verdana" w:eastAsiaTheme="minorHAnsi" w:hAnsi="Verdana" w:cs="Arial"/>
          <w:sz w:val="16"/>
          <w:szCs w:val="16"/>
          <w:bdr w:val="none" w:sz="0" w:space="0" w:color="auto"/>
        </w:rPr>
        <w:t>the treating physician</w:t>
      </w:r>
      <w:r w:rsidRPr="00954547">
        <w:rPr>
          <w:rFonts w:ascii="Verdana" w:eastAsiaTheme="minorHAnsi" w:hAnsi="Verdana" w:cs="Arial"/>
          <w:sz w:val="16"/>
          <w:szCs w:val="16"/>
          <w:bdr w:val="none" w:sz="0" w:space="0" w:color="auto"/>
        </w:rPr>
        <w:t xml:space="preserve"> </w:t>
      </w:r>
      <w:r w:rsidR="0032123B" w:rsidRPr="00954547">
        <w:rPr>
          <w:rFonts w:ascii="Verdana" w:eastAsiaTheme="minorHAnsi" w:hAnsi="Verdana" w:cs="Arial"/>
          <w:sz w:val="16"/>
          <w:szCs w:val="16"/>
          <w:bdr w:val="none" w:sz="0" w:space="0" w:color="auto"/>
        </w:rPr>
        <w:t>o</w:t>
      </w:r>
      <w:r w:rsidR="00723719" w:rsidRPr="00954547">
        <w:rPr>
          <w:rFonts w:ascii="Verdana" w:eastAsiaTheme="minorHAnsi" w:hAnsi="Verdana" w:cs="Arial"/>
          <w:sz w:val="16"/>
          <w:szCs w:val="16"/>
          <w:bdr w:val="none" w:sz="0" w:space="0" w:color="auto"/>
        </w:rPr>
        <w:t>n</w:t>
      </w:r>
      <w:r w:rsidR="0032123B" w:rsidRPr="00954547">
        <w:rPr>
          <w:rFonts w:ascii="Verdana" w:eastAsiaTheme="minorHAnsi" w:hAnsi="Verdana" w:cs="Arial"/>
          <w:sz w:val="16"/>
          <w:szCs w:val="16"/>
          <w:bdr w:val="none" w:sz="0" w:space="0" w:color="auto"/>
        </w:rPr>
        <w:t xml:space="preserve"> February 28,</w:t>
      </w:r>
      <w:r w:rsidRPr="00954547">
        <w:rPr>
          <w:rFonts w:ascii="Verdana" w:eastAsiaTheme="minorHAnsi" w:hAnsi="Verdana" w:cs="Arial"/>
          <w:sz w:val="16"/>
          <w:szCs w:val="16"/>
          <w:bdr w:val="none" w:sz="0" w:space="0" w:color="auto"/>
        </w:rPr>
        <w:t xml:space="preserve"> 2008 (</w:t>
      </w:r>
      <w:r w:rsidR="001C328F" w:rsidRPr="00954547">
        <w:rPr>
          <w:rFonts w:ascii="Verdana" w:eastAsiaTheme="minorHAnsi" w:hAnsi="Verdana" w:cs="Arial"/>
          <w:sz w:val="16"/>
          <w:szCs w:val="16"/>
          <w:bdr w:val="none" w:sz="0" w:space="0" w:color="auto"/>
        </w:rPr>
        <w:t>evidence file</w:t>
      </w:r>
      <w:r w:rsidRPr="00954547">
        <w:rPr>
          <w:rFonts w:ascii="Verdana" w:eastAsiaTheme="minorHAnsi" w:hAnsi="Verdana" w:cs="Arial"/>
          <w:sz w:val="16"/>
          <w:szCs w:val="16"/>
          <w:bdr w:val="none" w:sz="0" w:space="0" w:color="auto"/>
        </w:rPr>
        <w:t>, folio 24).</w:t>
      </w:r>
    </w:p>
  </w:footnote>
  <w:footnote w:id="116">
    <w:p w14:paraId="28BAEFD8" w14:textId="609EEB2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C04E50" w:rsidRPr="00954547">
        <w:rPr>
          <w:rFonts w:ascii="Verdana" w:hAnsi="Verdana"/>
          <w:sz w:val="16"/>
          <w:szCs w:val="16"/>
        </w:rPr>
        <w:t>Record of evolution</w:t>
      </w:r>
      <w:r w:rsidR="00C30E67" w:rsidRPr="00954547">
        <w:rPr>
          <w:rFonts w:ascii="Verdana" w:hAnsi="Verdana"/>
          <w:sz w:val="16"/>
          <w:szCs w:val="16"/>
        </w:rPr>
        <w:t xml:space="preserve"> following anesthesia of the</w:t>
      </w:r>
      <w:r w:rsidRPr="00954547">
        <w:rPr>
          <w:rFonts w:ascii="Verdana" w:hAnsi="Verdana"/>
          <w:sz w:val="16"/>
          <w:szCs w:val="16"/>
        </w:rPr>
        <w:t xml:space="preserve"> </w:t>
      </w:r>
      <w:r w:rsidR="00C04E50" w:rsidRPr="00954547">
        <w:rPr>
          <w:rFonts w:ascii="Verdana" w:hAnsi="Verdana"/>
          <w:sz w:val="16"/>
          <w:szCs w:val="16"/>
        </w:rPr>
        <w:t>San Francisco Gotera National Hospital</w:t>
      </w:r>
      <w:r w:rsidRPr="00954547">
        <w:rPr>
          <w:rFonts w:ascii="Verdana" w:hAnsi="Verdana"/>
          <w:sz w:val="16"/>
          <w:szCs w:val="16"/>
        </w:rPr>
        <w:t xml:space="preserve"> </w:t>
      </w:r>
      <w:r w:rsidR="003D24A2" w:rsidRPr="00954547">
        <w:rPr>
          <w:rFonts w:ascii="Verdana" w:hAnsi="Verdana"/>
          <w:sz w:val="16"/>
          <w:szCs w:val="16"/>
        </w:rPr>
        <w:t>of February 27,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2),</w:t>
      </w:r>
      <w:r w:rsidR="0078694F" w:rsidRPr="00954547">
        <w:rPr>
          <w:rFonts w:ascii="Verdana" w:hAnsi="Verdana"/>
          <w:sz w:val="16"/>
          <w:szCs w:val="16"/>
        </w:rPr>
        <w:t xml:space="preserve"> and </w:t>
      </w:r>
      <w:r w:rsidR="00C04E50" w:rsidRPr="00954547">
        <w:rPr>
          <w:rFonts w:ascii="Verdana" w:hAnsi="Verdana"/>
          <w:sz w:val="16"/>
          <w:szCs w:val="16"/>
        </w:rPr>
        <w:t>record of admittance and departure</w:t>
      </w:r>
      <w:r w:rsidRPr="00954547">
        <w:rPr>
          <w:rFonts w:ascii="Verdana" w:hAnsi="Verdana"/>
          <w:sz w:val="16"/>
          <w:szCs w:val="16"/>
        </w:rPr>
        <w:t xml:space="preserve"> (</w:t>
      </w:r>
      <w:r w:rsidR="001C328F" w:rsidRPr="00954547">
        <w:rPr>
          <w:rFonts w:ascii="Verdana" w:hAnsi="Verdana"/>
          <w:sz w:val="16"/>
          <w:szCs w:val="16"/>
        </w:rPr>
        <w:t>evidence file</w:t>
      </w:r>
      <w:r w:rsidRPr="00954547">
        <w:rPr>
          <w:rFonts w:ascii="Verdana" w:hAnsi="Verdana"/>
          <w:sz w:val="16"/>
          <w:szCs w:val="16"/>
        </w:rPr>
        <w:t>, folio 17).</w:t>
      </w:r>
    </w:p>
  </w:footnote>
  <w:footnote w:id="117">
    <w:p w14:paraId="29AB7DDF" w14:textId="0726825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color w:val="auto"/>
          <w:sz w:val="16"/>
          <w:szCs w:val="16"/>
        </w:rPr>
        <w:tab/>
      </w:r>
      <w:r w:rsidR="00B8393C" w:rsidRPr="00954547">
        <w:rPr>
          <w:rFonts w:ascii="Verdana" w:hAnsi="Verdana"/>
          <w:i/>
          <w:color w:val="auto"/>
          <w:sz w:val="16"/>
          <w:szCs w:val="16"/>
        </w:rPr>
        <w:t>Cf.</w:t>
      </w:r>
      <w:r w:rsidRPr="00954547">
        <w:rPr>
          <w:rFonts w:ascii="Verdana" w:hAnsi="Verdana"/>
          <w:i/>
          <w:color w:val="auto"/>
          <w:sz w:val="16"/>
          <w:szCs w:val="16"/>
        </w:rPr>
        <w:t xml:space="preserve"> </w:t>
      </w:r>
      <w:r w:rsidR="0032123B" w:rsidRPr="00954547">
        <w:rPr>
          <w:rFonts w:ascii="Verdana" w:hAnsi="Verdana"/>
          <w:color w:val="auto"/>
          <w:sz w:val="16"/>
          <w:szCs w:val="16"/>
        </w:rPr>
        <w:t>Emergency record of</w:t>
      </w:r>
      <w:r w:rsidR="003D24A2" w:rsidRPr="00954547">
        <w:rPr>
          <w:rFonts w:ascii="Verdana" w:hAnsi="Verdana"/>
          <w:color w:val="auto"/>
          <w:sz w:val="16"/>
          <w:szCs w:val="16"/>
        </w:rPr>
        <w:t xml:space="preserve"> February 27,</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folio 16).</w:t>
      </w:r>
    </w:p>
  </w:footnote>
  <w:footnote w:id="118">
    <w:p w14:paraId="3308A563" w14:textId="5F4ED2C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color w:val="auto"/>
          <w:sz w:val="16"/>
          <w:szCs w:val="16"/>
        </w:rPr>
        <w:tab/>
      </w:r>
      <w:r w:rsidR="00B8393C" w:rsidRPr="00954547">
        <w:rPr>
          <w:rFonts w:ascii="Verdana" w:hAnsi="Verdana"/>
          <w:i/>
          <w:color w:val="auto"/>
          <w:sz w:val="16"/>
          <w:szCs w:val="16"/>
        </w:rPr>
        <w:t>Cf.</w:t>
      </w:r>
      <w:r w:rsidRPr="00954547">
        <w:rPr>
          <w:rFonts w:ascii="Verdana" w:hAnsi="Verdana"/>
          <w:i/>
          <w:color w:val="auto"/>
          <w:sz w:val="16"/>
          <w:szCs w:val="16"/>
        </w:rPr>
        <w:t xml:space="preserve"> </w:t>
      </w:r>
      <w:r w:rsidR="0032123B" w:rsidRPr="00954547">
        <w:rPr>
          <w:rFonts w:ascii="Verdana" w:hAnsi="Verdana"/>
          <w:color w:val="auto"/>
          <w:sz w:val="16"/>
          <w:szCs w:val="16"/>
        </w:rPr>
        <w:t>Emergency record of</w:t>
      </w:r>
      <w:r w:rsidR="003D24A2" w:rsidRPr="00954547">
        <w:rPr>
          <w:rFonts w:ascii="Verdana" w:hAnsi="Verdana"/>
          <w:color w:val="auto"/>
          <w:sz w:val="16"/>
          <w:szCs w:val="16"/>
        </w:rPr>
        <w:t xml:space="preserve"> February 27,</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folio 16).</w:t>
      </w:r>
    </w:p>
  </w:footnote>
  <w:footnote w:id="119">
    <w:p w14:paraId="21183513" w14:textId="4786C3B3" w:rsidR="005F001B" w:rsidRPr="00954547" w:rsidRDefault="005F001B" w:rsidP="007619E6">
      <w:pPr>
        <w:pStyle w:val="FootnoteText"/>
        <w:tabs>
          <w:tab w:val="left" w:pos="567"/>
        </w:tabs>
        <w:spacing w:after="120"/>
        <w:jc w:val="both"/>
        <w:rPr>
          <w:rFonts w:ascii="Verdana" w:hAnsi="Verdana"/>
          <w:color w:val="auto"/>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color w:val="auto"/>
          <w:sz w:val="16"/>
          <w:szCs w:val="16"/>
        </w:rPr>
        <w:t xml:space="preserve">Communication issued by </w:t>
      </w:r>
      <w:r w:rsidR="006D5A9B" w:rsidRPr="00954547">
        <w:rPr>
          <w:rFonts w:ascii="Verdana" w:hAnsi="Verdana"/>
          <w:color w:val="auto"/>
          <w:sz w:val="16"/>
          <w:szCs w:val="16"/>
        </w:rPr>
        <w:t>the director of the</w:t>
      </w:r>
      <w:r w:rsidR="00807D09" w:rsidRPr="00954547">
        <w:rPr>
          <w:rFonts w:ascii="Verdana" w:hAnsi="Verdana"/>
          <w:color w:val="auto"/>
          <w:sz w:val="16"/>
          <w:szCs w:val="16"/>
        </w:rPr>
        <w:t xml:space="preserve"> San Francisco Gotera National Hospital o</w:t>
      </w:r>
      <w:r w:rsidR="00681148" w:rsidRPr="00954547">
        <w:rPr>
          <w:rFonts w:ascii="Verdana" w:hAnsi="Verdana"/>
          <w:color w:val="auto"/>
          <w:sz w:val="16"/>
          <w:szCs w:val="16"/>
        </w:rPr>
        <w:t>n</w:t>
      </w:r>
      <w:r w:rsidR="00807D09" w:rsidRPr="00954547">
        <w:rPr>
          <w:rFonts w:ascii="Verdana" w:hAnsi="Verdana"/>
          <w:color w:val="auto"/>
          <w:sz w:val="16"/>
          <w:szCs w:val="16"/>
        </w:rPr>
        <w:t xml:space="preserve"> February 29,</w:t>
      </w:r>
      <w:r w:rsidRPr="00954547">
        <w:rPr>
          <w:rFonts w:ascii="Verdana" w:hAnsi="Verdana"/>
          <w:color w:val="auto"/>
          <w:sz w:val="16"/>
          <w:szCs w:val="16"/>
        </w:rPr>
        <w:t xml:space="preserve"> 2008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 58).</w:t>
      </w:r>
    </w:p>
  </w:footnote>
  <w:footnote w:id="120">
    <w:p w14:paraId="7C968D70" w14:textId="7D75E961" w:rsidR="005F001B" w:rsidRPr="00954547" w:rsidRDefault="005F001B" w:rsidP="007619E6">
      <w:pPr>
        <w:pStyle w:val="FootnoteText"/>
        <w:tabs>
          <w:tab w:val="left" w:pos="567"/>
        </w:tabs>
        <w:spacing w:after="120"/>
        <w:jc w:val="both"/>
        <w:rPr>
          <w:rFonts w:ascii="Verdana" w:hAnsi="Verdana"/>
          <w:color w:val="auto"/>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color w:val="auto"/>
          <w:sz w:val="16"/>
          <w:szCs w:val="16"/>
        </w:rPr>
        <w:t xml:space="preserve">Communication issued by </w:t>
      </w:r>
      <w:r w:rsidR="006D5A9B" w:rsidRPr="00954547">
        <w:rPr>
          <w:rFonts w:ascii="Verdana" w:hAnsi="Verdana"/>
          <w:color w:val="auto"/>
          <w:sz w:val="16"/>
          <w:szCs w:val="16"/>
        </w:rPr>
        <w:t>the director of the</w:t>
      </w:r>
      <w:r w:rsidR="00807D09" w:rsidRPr="00954547">
        <w:rPr>
          <w:rFonts w:ascii="Verdana" w:hAnsi="Verdana"/>
          <w:color w:val="auto"/>
          <w:sz w:val="16"/>
          <w:szCs w:val="16"/>
        </w:rPr>
        <w:t xml:space="preserve"> San Francisco Gotera National Hospital o</w:t>
      </w:r>
      <w:r w:rsidR="00681148" w:rsidRPr="00954547">
        <w:rPr>
          <w:rFonts w:ascii="Verdana" w:hAnsi="Verdana"/>
          <w:color w:val="auto"/>
          <w:sz w:val="16"/>
          <w:szCs w:val="16"/>
        </w:rPr>
        <w:t>n</w:t>
      </w:r>
      <w:r w:rsidR="00807D09" w:rsidRPr="00954547">
        <w:rPr>
          <w:rFonts w:ascii="Verdana" w:hAnsi="Verdana"/>
          <w:color w:val="auto"/>
          <w:sz w:val="16"/>
          <w:szCs w:val="16"/>
        </w:rPr>
        <w:t xml:space="preserve"> February 29,</w:t>
      </w:r>
      <w:r w:rsidRPr="00954547">
        <w:rPr>
          <w:rFonts w:ascii="Verdana" w:hAnsi="Verdana"/>
          <w:color w:val="auto"/>
          <w:sz w:val="16"/>
          <w:szCs w:val="16"/>
        </w:rPr>
        <w:t xml:space="preserve"> 2008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 58).</w:t>
      </w:r>
    </w:p>
  </w:footnote>
  <w:footnote w:id="121">
    <w:p w14:paraId="042CC353" w14:textId="71C542EF" w:rsidR="005F001B" w:rsidRPr="00954547" w:rsidRDefault="005F001B" w:rsidP="007619E6">
      <w:pPr>
        <w:pStyle w:val="FootnoteText"/>
        <w:tabs>
          <w:tab w:val="left" w:pos="567"/>
        </w:tabs>
        <w:spacing w:after="120"/>
        <w:jc w:val="both"/>
        <w:rPr>
          <w:rFonts w:ascii="Verdana" w:hAnsi="Verdana"/>
          <w:color w:val="auto"/>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color w:val="auto"/>
          <w:sz w:val="16"/>
          <w:szCs w:val="16"/>
        </w:rPr>
        <w:t xml:space="preserve">Communication issued by </w:t>
      </w:r>
      <w:r w:rsidR="006D5A9B" w:rsidRPr="00954547">
        <w:rPr>
          <w:rFonts w:ascii="Verdana" w:hAnsi="Verdana"/>
          <w:color w:val="auto"/>
          <w:sz w:val="16"/>
          <w:szCs w:val="16"/>
        </w:rPr>
        <w:t>the director of the</w:t>
      </w:r>
      <w:r w:rsidR="00807D09" w:rsidRPr="00954547">
        <w:rPr>
          <w:rFonts w:ascii="Verdana" w:hAnsi="Verdana"/>
          <w:color w:val="auto"/>
          <w:sz w:val="16"/>
          <w:szCs w:val="16"/>
        </w:rPr>
        <w:t xml:space="preserve"> San Francisco Gotera National Hospital o</w:t>
      </w:r>
      <w:r w:rsidR="00681148" w:rsidRPr="00954547">
        <w:rPr>
          <w:rFonts w:ascii="Verdana" w:hAnsi="Verdana"/>
          <w:color w:val="auto"/>
          <w:sz w:val="16"/>
          <w:szCs w:val="16"/>
        </w:rPr>
        <w:t>n</w:t>
      </w:r>
      <w:r w:rsidR="00807D09" w:rsidRPr="00954547">
        <w:rPr>
          <w:rFonts w:ascii="Verdana" w:hAnsi="Verdana"/>
          <w:color w:val="auto"/>
          <w:sz w:val="16"/>
          <w:szCs w:val="16"/>
        </w:rPr>
        <w:t xml:space="preserve"> February 29,</w:t>
      </w:r>
      <w:r w:rsidRPr="00954547">
        <w:rPr>
          <w:rFonts w:ascii="Verdana" w:hAnsi="Verdana"/>
          <w:color w:val="auto"/>
          <w:sz w:val="16"/>
          <w:szCs w:val="16"/>
        </w:rPr>
        <w:t xml:space="preserve"> 2008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 59).</w:t>
      </w:r>
    </w:p>
  </w:footnote>
  <w:footnote w:id="122">
    <w:p w14:paraId="03886753" w14:textId="67CB9E6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sz w:val="16"/>
          <w:szCs w:val="16"/>
        </w:rPr>
        <w:t>Note addressed to the prosecution service dated</w:t>
      </w:r>
      <w:r w:rsidR="003D24A2" w:rsidRPr="00954547">
        <w:rPr>
          <w:rFonts w:ascii="Verdana" w:hAnsi="Verdana"/>
          <w:sz w:val="16"/>
          <w:szCs w:val="16"/>
        </w:rPr>
        <w:t xml:space="preserve"> February 27,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22). </w:t>
      </w:r>
    </w:p>
  </w:footnote>
  <w:footnote w:id="123">
    <w:p w14:paraId="01F15704" w14:textId="0D1345B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sz w:val="16"/>
          <w:szCs w:val="16"/>
        </w:rPr>
        <w:t>Record of interview</w:t>
      </w:r>
      <w:r w:rsidR="00E60BF1" w:rsidRPr="00954547">
        <w:rPr>
          <w:rFonts w:ascii="Verdana" w:hAnsi="Verdana"/>
          <w:sz w:val="16"/>
          <w:szCs w:val="16"/>
        </w:rPr>
        <w:t xml:space="preserve"> of</w:t>
      </w:r>
      <w:r w:rsidRPr="00954547">
        <w:rPr>
          <w:rFonts w:ascii="Verdana" w:hAnsi="Verdana"/>
          <w:sz w:val="16"/>
          <w:szCs w:val="16"/>
        </w:rPr>
        <w:t xml:space="preserve"> </w:t>
      </w:r>
      <w:r w:rsidR="00354B24" w:rsidRPr="00954547">
        <w:rPr>
          <w:rFonts w:ascii="Verdana" w:hAnsi="Verdana"/>
          <w:sz w:val="16"/>
          <w:szCs w:val="16"/>
        </w:rPr>
        <w:t>the treating physician</w:t>
      </w:r>
      <w:r w:rsidRPr="00954547">
        <w:rPr>
          <w:rFonts w:ascii="Verdana" w:hAnsi="Verdana"/>
          <w:sz w:val="16"/>
          <w:szCs w:val="16"/>
        </w:rPr>
        <w:t xml:space="preserve"> </w:t>
      </w:r>
      <w:r w:rsidR="0032123B" w:rsidRPr="00954547">
        <w:rPr>
          <w:rFonts w:ascii="Verdana" w:hAnsi="Verdana"/>
          <w:sz w:val="16"/>
          <w:szCs w:val="16"/>
        </w:rPr>
        <w:t>of February 28,</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24</w:t>
      </w:r>
      <w:r w:rsidR="0078694F" w:rsidRPr="00954547">
        <w:rPr>
          <w:rFonts w:ascii="Verdana" w:hAnsi="Verdana"/>
          <w:sz w:val="16"/>
          <w:szCs w:val="16"/>
        </w:rPr>
        <w:t xml:space="preserve"> and </w:t>
      </w:r>
      <w:r w:rsidRPr="00954547">
        <w:rPr>
          <w:rFonts w:ascii="Verdana" w:hAnsi="Verdana"/>
          <w:sz w:val="16"/>
          <w:szCs w:val="16"/>
        </w:rPr>
        <w:t xml:space="preserve">25). </w:t>
      </w:r>
    </w:p>
  </w:footnote>
  <w:footnote w:id="124">
    <w:p w14:paraId="1A3F8521" w14:textId="6F48041B"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sz w:val="16"/>
          <w:szCs w:val="16"/>
        </w:rPr>
        <w:t>Record of interview</w:t>
      </w:r>
      <w:r w:rsidR="00E60BF1" w:rsidRPr="00954547">
        <w:rPr>
          <w:rFonts w:ascii="Verdana" w:hAnsi="Verdana"/>
          <w:sz w:val="16"/>
          <w:szCs w:val="16"/>
        </w:rPr>
        <w:t xml:space="preserve"> of</w:t>
      </w:r>
      <w:r w:rsidRPr="00954547">
        <w:rPr>
          <w:rFonts w:ascii="Verdana" w:hAnsi="Verdana"/>
          <w:sz w:val="16"/>
          <w:szCs w:val="16"/>
        </w:rPr>
        <w:t xml:space="preserve"> </w:t>
      </w:r>
      <w:r w:rsidR="00A56980" w:rsidRPr="00954547">
        <w:rPr>
          <w:rFonts w:ascii="Verdana" w:hAnsi="Verdana"/>
          <w:sz w:val="16"/>
          <w:szCs w:val="16"/>
        </w:rPr>
        <w:t>February 29,</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51</w:t>
      </w:r>
      <w:r w:rsidR="0078694F" w:rsidRPr="00954547">
        <w:rPr>
          <w:rFonts w:ascii="Verdana" w:hAnsi="Verdana"/>
          <w:sz w:val="16"/>
          <w:szCs w:val="16"/>
        </w:rPr>
        <w:t xml:space="preserve"> and </w:t>
      </w:r>
      <w:r w:rsidRPr="00954547">
        <w:rPr>
          <w:rFonts w:ascii="Verdana" w:hAnsi="Verdana"/>
          <w:sz w:val="16"/>
          <w:szCs w:val="16"/>
        </w:rPr>
        <w:t xml:space="preserve">52). </w:t>
      </w:r>
      <w:r w:rsidR="00A56980" w:rsidRPr="00954547">
        <w:rPr>
          <w:rFonts w:ascii="Verdana" w:hAnsi="Verdana"/>
          <w:iCs/>
          <w:sz w:val="16"/>
          <w:szCs w:val="16"/>
        </w:rPr>
        <w:t>See also</w:t>
      </w:r>
      <w:r w:rsidR="00A56980" w:rsidRPr="00954547">
        <w:rPr>
          <w:rFonts w:ascii="Verdana" w:hAnsi="Verdana"/>
          <w:i/>
          <w:sz w:val="16"/>
          <w:szCs w:val="16"/>
        </w:rPr>
        <w:t xml:space="preserve">, </w:t>
      </w:r>
      <w:r w:rsidR="0032123B" w:rsidRPr="00954547">
        <w:rPr>
          <w:rFonts w:ascii="Verdana" w:hAnsi="Verdana"/>
          <w:sz w:val="16"/>
          <w:szCs w:val="16"/>
        </w:rPr>
        <w:t>Sworn statement of M</w:t>
      </w:r>
      <w:r w:rsidR="00FF2DDD" w:rsidRPr="00954547">
        <w:rPr>
          <w:rFonts w:ascii="Verdana" w:hAnsi="Verdana"/>
          <w:sz w:val="16"/>
          <w:szCs w:val="16"/>
        </w:rPr>
        <w:t>anuela’s father</w:t>
      </w:r>
      <w:r w:rsidRPr="00954547">
        <w:rPr>
          <w:rFonts w:ascii="Verdana" w:hAnsi="Verdana"/>
          <w:sz w:val="16"/>
          <w:szCs w:val="16"/>
        </w:rPr>
        <w:t xml:space="preserve"> </w:t>
      </w:r>
      <w:r w:rsidR="00E60BF1" w:rsidRPr="00954547">
        <w:rPr>
          <w:rFonts w:ascii="Verdana" w:hAnsi="Verdana"/>
          <w:sz w:val="16"/>
          <w:szCs w:val="16"/>
        </w:rPr>
        <w:t>o</w:t>
      </w:r>
      <w:r w:rsidR="00A56980" w:rsidRPr="00954547">
        <w:rPr>
          <w:rFonts w:ascii="Verdana" w:hAnsi="Verdana"/>
          <w:sz w:val="16"/>
          <w:szCs w:val="16"/>
        </w:rPr>
        <w:t>f</w:t>
      </w:r>
      <w:r w:rsidR="00E60BF1" w:rsidRPr="00954547">
        <w:rPr>
          <w:rFonts w:ascii="Verdana" w:hAnsi="Verdana"/>
          <w:sz w:val="16"/>
          <w:szCs w:val="16"/>
        </w:rPr>
        <w:t xml:space="preserve">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2288).</w:t>
      </w:r>
    </w:p>
  </w:footnote>
  <w:footnote w:id="125">
    <w:p w14:paraId="50954972" w14:textId="4EE411BD" w:rsidR="005F001B" w:rsidRPr="00954547" w:rsidRDefault="005F001B" w:rsidP="007619E6">
      <w:pPr>
        <w:tabs>
          <w:tab w:val="left" w:pos="567"/>
          <w:tab w:val="left" w:pos="14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56980" w:rsidRPr="00954547">
        <w:rPr>
          <w:rFonts w:ascii="Verdana" w:hAnsi="Verdana"/>
          <w:sz w:val="16"/>
          <w:szCs w:val="16"/>
        </w:rPr>
        <w:t xml:space="preserve">Report of </w:t>
      </w:r>
      <w:r w:rsidR="002F200A" w:rsidRPr="00954547">
        <w:rPr>
          <w:rFonts w:ascii="Verdana" w:hAnsi="Verdana"/>
          <w:sz w:val="16"/>
          <w:szCs w:val="16"/>
        </w:rPr>
        <w:t xml:space="preserve">forensic autopsy by the </w:t>
      </w:r>
      <w:r w:rsidR="00E60BF1" w:rsidRPr="00954547">
        <w:rPr>
          <w:rFonts w:ascii="Verdana" w:hAnsi="Verdana"/>
          <w:sz w:val="16"/>
          <w:szCs w:val="16"/>
        </w:rPr>
        <w:t>Institute of Forensic Medicine</w:t>
      </w:r>
      <w:r w:rsidRPr="00954547">
        <w:rPr>
          <w:rFonts w:ascii="Verdana" w:hAnsi="Verdana"/>
          <w:sz w:val="16"/>
          <w:szCs w:val="16"/>
        </w:rPr>
        <w:t xml:space="preserve"> </w:t>
      </w:r>
      <w:r w:rsidR="0032123B" w:rsidRPr="00954547">
        <w:rPr>
          <w:rFonts w:ascii="Verdana" w:hAnsi="Verdana"/>
          <w:sz w:val="16"/>
          <w:szCs w:val="16"/>
        </w:rPr>
        <w:t>o</w:t>
      </w:r>
      <w:r w:rsidR="0036714E" w:rsidRPr="00954547">
        <w:rPr>
          <w:rFonts w:ascii="Verdana" w:hAnsi="Verdana"/>
          <w:sz w:val="16"/>
          <w:szCs w:val="16"/>
        </w:rPr>
        <w:t>n</w:t>
      </w:r>
      <w:r w:rsidR="0032123B" w:rsidRPr="00954547">
        <w:rPr>
          <w:rFonts w:ascii="Verdana" w:hAnsi="Verdana"/>
          <w:sz w:val="16"/>
          <w:szCs w:val="16"/>
        </w:rPr>
        <w:t xml:space="preserve"> February 28,</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37).</w:t>
      </w:r>
    </w:p>
  </w:footnote>
  <w:footnote w:id="126">
    <w:p w14:paraId="29CA5259" w14:textId="38EAD25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8393C" w:rsidRPr="00954547">
        <w:rPr>
          <w:rFonts w:ascii="Verdana" w:hAnsi="Verdana"/>
          <w:i/>
          <w:color w:val="auto"/>
          <w:sz w:val="16"/>
          <w:szCs w:val="16"/>
        </w:rPr>
        <w:t>Cf.</w:t>
      </w:r>
      <w:r w:rsidRPr="00954547">
        <w:rPr>
          <w:rFonts w:ascii="Verdana" w:hAnsi="Verdana"/>
          <w:color w:val="auto"/>
          <w:sz w:val="16"/>
          <w:szCs w:val="16"/>
        </w:rPr>
        <w:t xml:space="preserve"> </w:t>
      </w:r>
      <w:r w:rsidR="002F200A" w:rsidRPr="00954547">
        <w:rPr>
          <w:rFonts w:ascii="Verdana" w:hAnsi="Verdana"/>
          <w:color w:val="auto"/>
          <w:sz w:val="16"/>
          <w:szCs w:val="16"/>
        </w:rPr>
        <w:t>Request for entry and search warrant of</w:t>
      </w:r>
      <w:r w:rsidRPr="00954547">
        <w:rPr>
          <w:rFonts w:ascii="Verdana" w:hAnsi="Verdana"/>
          <w:color w:val="auto"/>
          <w:sz w:val="16"/>
          <w:szCs w:val="16"/>
        </w:rPr>
        <w:t xml:space="preserve"> </w:t>
      </w:r>
      <w:r w:rsidR="002F200A" w:rsidRPr="00954547">
        <w:rPr>
          <w:rFonts w:ascii="Verdana" w:hAnsi="Verdana"/>
          <w:color w:val="auto"/>
          <w:sz w:val="16"/>
          <w:szCs w:val="16"/>
        </w:rPr>
        <w:t>February 28,</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folio 27),</w:t>
      </w:r>
      <w:r w:rsidR="0078694F" w:rsidRPr="00954547">
        <w:rPr>
          <w:rFonts w:ascii="Verdana" w:hAnsi="Verdana"/>
          <w:color w:val="auto"/>
          <w:sz w:val="16"/>
          <w:szCs w:val="16"/>
        </w:rPr>
        <w:t xml:space="preserve"> and </w:t>
      </w:r>
      <w:r w:rsidR="002F200A" w:rsidRPr="00954547">
        <w:rPr>
          <w:rFonts w:ascii="Verdana" w:hAnsi="Verdana"/>
          <w:color w:val="auto"/>
          <w:sz w:val="16"/>
          <w:szCs w:val="16"/>
        </w:rPr>
        <w:t>Decision of the Magistrate’s Court of</w:t>
      </w:r>
      <w:r w:rsidRPr="00954547">
        <w:rPr>
          <w:rFonts w:ascii="Verdana" w:hAnsi="Verdana"/>
          <w:color w:val="auto"/>
          <w:sz w:val="16"/>
          <w:szCs w:val="16"/>
        </w:rPr>
        <w:t xml:space="preserve"> Cacaopera </w:t>
      </w:r>
      <w:r w:rsidR="002F200A" w:rsidRPr="00954547">
        <w:rPr>
          <w:rFonts w:ascii="Verdana" w:hAnsi="Verdana"/>
          <w:color w:val="auto"/>
          <w:sz w:val="16"/>
          <w:szCs w:val="16"/>
        </w:rPr>
        <w:t>of</w:t>
      </w:r>
      <w:r w:rsidRPr="00954547">
        <w:rPr>
          <w:rFonts w:ascii="Verdana" w:hAnsi="Verdana"/>
          <w:color w:val="auto"/>
          <w:sz w:val="16"/>
          <w:szCs w:val="16"/>
        </w:rPr>
        <w:t xml:space="preserve"> </w:t>
      </w:r>
      <w:r w:rsidR="002F200A" w:rsidRPr="00954547">
        <w:rPr>
          <w:rFonts w:ascii="Verdana" w:hAnsi="Verdana"/>
          <w:color w:val="auto"/>
          <w:sz w:val="16"/>
          <w:szCs w:val="16"/>
        </w:rPr>
        <w:t>February 28,</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folio 29).</w:t>
      </w:r>
    </w:p>
  </w:footnote>
  <w:footnote w:id="127">
    <w:p w14:paraId="51C5EA96" w14:textId="1244084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sz w:val="16"/>
          <w:szCs w:val="16"/>
        </w:rPr>
        <w:t xml:space="preserve">The </w:t>
      </w:r>
      <w:r w:rsidR="00B6299C" w:rsidRPr="00954547">
        <w:rPr>
          <w:rFonts w:ascii="Verdana" w:hAnsi="Verdana"/>
          <w:sz w:val="16"/>
          <w:szCs w:val="16"/>
        </w:rPr>
        <w:t>representatives</w:t>
      </w:r>
      <w:r w:rsidRPr="00954547">
        <w:rPr>
          <w:rFonts w:ascii="Verdana" w:hAnsi="Verdana"/>
          <w:sz w:val="16"/>
          <w:szCs w:val="16"/>
        </w:rPr>
        <w:t xml:space="preserve"> </w:t>
      </w:r>
      <w:r w:rsidR="002F200A" w:rsidRPr="00954547">
        <w:rPr>
          <w:rFonts w:ascii="Verdana" w:hAnsi="Verdana"/>
          <w:sz w:val="16"/>
          <w:szCs w:val="16"/>
        </w:rPr>
        <w:t xml:space="preserve">argued that there is insufficient evidence to conclude that the fetus was </w:t>
      </w:r>
      <w:r w:rsidR="00DC4FB7" w:rsidRPr="00954547">
        <w:rPr>
          <w:rFonts w:ascii="Verdana" w:hAnsi="Verdana"/>
          <w:sz w:val="16"/>
          <w:szCs w:val="16"/>
        </w:rPr>
        <w:t>a</w:t>
      </w:r>
      <w:r w:rsidR="002F200A" w:rsidRPr="00954547">
        <w:rPr>
          <w:rFonts w:ascii="Verdana" w:hAnsi="Verdana"/>
          <w:sz w:val="16"/>
          <w:szCs w:val="16"/>
        </w:rPr>
        <w:t>live. It is not incumbent</w:t>
      </w:r>
      <w:r w:rsidR="00DC4FB7" w:rsidRPr="00954547">
        <w:rPr>
          <w:rFonts w:ascii="Verdana" w:hAnsi="Verdana"/>
          <w:sz w:val="16"/>
          <w:szCs w:val="16"/>
        </w:rPr>
        <w:t xml:space="preserve"> </w:t>
      </w:r>
      <w:r w:rsidR="002F200A" w:rsidRPr="00954547">
        <w:rPr>
          <w:rFonts w:ascii="Verdana" w:hAnsi="Verdana"/>
          <w:sz w:val="16"/>
          <w:szCs w:val="16"/>
        </w:rPr>
        <w:t>on the Court to determine that possibility. To make this judgment easier to read, the Court will use the term newbor</w:t>
      </w:r>
      <w:r w:rsidR="00DC4FB7" w:rsidRPr="00954547">
        <w:rPr>
          <w:rFonts w:ascii="Verdana" w:hAnsi="Verdana"/>
          <w:sz w:val="16"/>
          <w:szCs w:val="16"/>
        </w:rPr>
        <w:t>n</w:t>
      </w:r>
      <w:r w:rsidR="002F200A" w:rsidRPr="00954547">
        <w:rPr>
          <w:rFonts w:ascii="Verdana" w:hAnsi="Verdana"/>
          <w:sz w:val="16"/>
          <w:szCs w:val="16"/>
        </w:rPr>
        <w:t xml:space="preserve">, without this implying any determination on whether or not the fetus was </w:t>
      </w:r>
      <w:r w:rsidR="00DC4FB7" w:rsidRPr="00954547">
        <w:rPr>
          <w:rFonts w:ascii="Verdana" w:hAnsi="Verdana"/>
          <w:sz w:val="16"/>
          <w:szCs w:val="16"/>
        </w:rPr>
        <w:t>alive when born.</w:t>
      </w:r>
    </w:p>
  </w:footnote>
  <w:footnote w:id="128">
    <w:p w14:paraId="557D0B1B" w14:textId="3A98073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color w:val="auto"/>
          <w:sz w:val="16"/>
          <w:szCs w:val="16"/>
        </w:rPr>
        <w:tab/>
      </w:r>
      <w:r w:rsidR="00DC4FB7" w:rsidRPr="00954547">
        <w:rPr>
          <w:rFonts w:ascii="Verdana" w:hAnsi="Verdana"/>
          <w:color w:val="auto"/>
          <w:sz w:val="16"/>
          <w:szCs w:val="16"/>
        </w:rPr>
        <w:t>Record of inspection</w:t>
      </w:r>
      <w:r w:rsidRPr="00954547">
        <w:rPr>
          <w:rFonts w:ascii="Verdana" w:hAnsi="Verdana"/>
          <w:color w:val="auto"/>
          <w:sz w:val="16"/>
          <w:szCs w:val="16"/>
        </w:rPr>
        <w:t xml:space="preserve"> </w:t>
      </w:r>
      <w:r w:rsidR="0032123B" w:rsidRPr="00954547">
        <w:rPr>
          <w:rFonts w:ascii="Verdana" w:hAnsi="Verdana"/>
          <w:color w:val="auto"/>
          <w:sz w:val="16"/>
          <w:szCs w:val="16"/>
        </w:rPr>
        <w:t>of February 28,</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xml:space="preserve">, folio 33). </w:t>
      </w:r>
    </w:p>
  </w:footnote>
  <w:footnote w:id="129">
    <w:p w14:paraId="11C1A4C2" w14:textId="50516A1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DC4FB7" w:rsidRPr="00954547">
        <w:rPr>
          <w:rFonts w:ascii="Verdana" w:hAnsi="Verdana"/>
          <w:sz w:val="16"/>
          <w:szCs w:val="16"/>
        </w:rPr>
        <w:t xml:space="preserve">In addition, the autopsy indicates that: </w:t>
      </w:r>
      <w:r w:rsidRPr="00954547">
        <w:rPr>
          <w:rFonts w:ascii="Verdana" w:hAnsi="Verdana"/>
          <w:sz w:val="16"/>
          <w:szCs w:val="16"/>
        </w:rPr>
        <w:t>“[</w:t>
      </w:r>
      <w:r w:rsidR="00DC4FB7" w:rsidRPr="00954547">
        <w:rPr>
          <w:rFonts w:ascii="Verdana" w:hAnsi="Verdana"/>
          <w:sz w:val="16"/>
          <w:szCs w:val="16"/>
        </w:rPr>
        <w:t>r</w:t>
      </w:r>
      <w:r w:rsidRPr="00954547">
        <w:rPr>
          <w:rFonts w:ascii="Verdana" w:hAnsi="Verdana"/>
          <w:sz w:val="16"/>
          <w:szCs w:val="16"/>
        </w:rPr>
        <w:t>]</w:t>
      </w:r>
      <w:r w:rsidR="00DC4FB7" w:rsidRPr="00954547">
        <w:rPr>
          <w:rFonts w:ascii="Verdana" w:hAnsi="Verdana"/>
          <w:sz w:val="16"/>
          <w:szCs w:val="16"/>
        </w:rPr>
        <w:t xml:space="preserve">emoval of the umbilical cord at its base can be observed, and excreta was extracted from the nose and mouth. The corpse was at a stage of accelerated putrefaction owing to the fecal material, the heat of the tank, and the humidity. </w:t>
      </w:r>
      <w:r w:rsidR="005B0E99" w:rsidRPr="00954547">
        <w:rPr>
          <w:rFonts w:ascii="Verdana" w:hAnsi="Verdana"/>
          <w:sz w:val="16"/>
          <w:szCs w:val="16"/>
        </w:rPr>
        <w:t>Internally, it was found that excreta obstructed the upper airway, the optic dosimasia revealed total expansion of both lungs in the thoracic cavity; the hydrostatic docimasia was positive for air, which shows that the infant was born alive and breathed. The cause of its death was mechanical asphyxia due to obstruction of the upper airway with excreta</w:t>
      </w:r>
      <w:r w:rsidR="0009081A" w:rsidRPr="00954547">
        <w:rPr>
          <w:rFonts w:ascii="Verdana" w:hAnsi="Verdana"/>
          <w:sz w:val="16"/>
          <w:szCs w:val="16"/>
        </w:rPr>
        <w:t>,</w:t>
      </w:r>
      <w:r w:rsidR="005B0E99" w:rsidRPr="00954547">
        <w:rPr>
          <w:rFonts w:ascii="Verdana" w:hAnsi="Verdana"/>
          <w:sz w:val="16"/>
          <w:szCs w:val="16"/>
        </w:rPr>
        <w:t xml:space="preserve"> and severe</w:t>
      </w:r>
      <w:r w:rsidR="00210BDE" w:rsidRPr="00954547">
        <w:rPr>
          <w:rFonts w:ascii="Verdana" w:hAnsi="Verdana"/>
          <w:sz w:val="16"/>
          <w:szCs w:val="16"/>
        </w:rPr>
        <w:t xml:space="preserve"> umbilical</w:t>
      </w:r>
      <w:r w:rsidR="005B0E99" w:rsidRPr="00954547">
        <w:rPr>
          <w:rFonts w:ascii="Verdana" w:hAnsi="Verdana"/>
          <w:sz w:val="16"/>
          <w:szCs w:val="16"/>
        </w:rPr>
        <w:t xml:space="preserve"> hemorrhage.</w:t>
      </w:r>
      <w:r w:rsidRPr="00954547">
        <w:rPr>
          <w:rFonts w:ascii="Verdana" w:hAnsi="Verdana"/>
          <w:sz w:val="16"/>
          <w:szCs w:val="16"/>
        </w:rPr>
        <w:t>”</w:t>
      </w:r>
      <w:r w:rsidRPr="00954547">
        <w:rPr>
          <w:rFonts w:ascii="Verdana" w:hAnsi="Verdana"/>
          <w:color w:val="auto"/>
          <w:sz w:val="16"/>
          <w:szCs w:val="16"/>
        </w:rPr>
        <w:t xml:space="preserve"> Autops</w:t>
      </w:r>
      <w:r w:rsidR="00210BDE" w:rsidRPr="00954547">
        <w:rPr>
          <w:rFonts w:ascii="Verdana" w:hAnsi="Verdana"/>
          <w:color w:val="auto"/>
          <w:sz w:val="16"/>
          <w:szCs w:val="16"/>
        </w:rPr>
        <w:t>y of</w:t>
      </w:r>
      <w:r w:rsidRPr="00954547">
        <w:rPr>
          <w:rFonts w:ascii="Verdana" w:hAnsi="Verdana"/>
          <w:color w:val="auto"/>
          <w:sz w:val="16"/>
          <w:szCs w:val="16"/>
        </w:rPr>
        <w:t xml:space="preserve"> </w:t>
      </w:r>
      <w:r w:rsidR="002F200A" w:rsidRPr="00954547">
        <w:rPr>
          <w:rFonts w:ascii="Verdana" w:hAnsi="Verdana"/>
          <w:color w:val="auto"/>
          <w:sz w:val="16"/>
          <w:szCs w:val="16"/>
        </w:rPr>
        <w:t>February 28,</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folio 39).</w:t>
      </w:r>
    </w:p>
  </w:footnote>
  <w:footnote w:id="130">
    <w:p w14:paraId="4DBFBA3D" w14:textId="49C9FE7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200A" w:rsidRPr="00954547">
        <w:rPr>
          <w:rFonts w:ascii="Verdana" w:hAnsi="Verdana"/>
          <w:sz w:val="16"/>
          <w:szCs w:val="16"/>
        </w:rPr>
        <w:t>Record of statement by</w:t>
      </w:r>
      <w:r w:rsidR="00B002CD" w:rsidRPr="00954547">
        <w:rPr>
          <w:rFonts w:ascii="Verdana" w:hAnsi="Verdana"/>
          <w:sz w:val="16"/>
          <w:szCs w:val="16"/>
        </w:rPr>
        <w:t xml:space="preserve"> Manuela</w:t>
      </w:r>
      <w:r w:rsidR="00FF2DDD" w:rsidRPr="00954547">
        <w:rPr>
          <w:rFonts w:ascii="Verdana" w:hAnsi="Verdana"/>
          <w:sz w:val="16"/>
          <w:szCs w:val="16"/>
        </w:rPr>
        <w:t>’s father</w:t>
      </w:r>
      <w:r w:rsidRPr="00954547">
        <w:rPr>
          <w:rFonts w:ascii="Verdana" w:hAnsi="Verdana"/>
          <w:sz w:val="16"/>
          <w:szCs w:val="16"/>
        </w:rPr>
        <w:t xml:space="preserve"> </w:t>
      </w:r>
      <w:r w:rsidR="0032123B" w:rsidRPr="00954547">
        <w:rPr>
          <w:rFonts w:ascii="Verdana" w:hAnsi="Verdana"/>
          <w:sz w:val="16"/>
          <w:szCs w:val="16"/>
        </w:rPr>
        <w:t>of February 28,</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folios 44</w:t>
      </w:r>
      <w:r w:rsidR="0078694F" w:rsidRPr="00954547">
        <w:rPr>
          <w:rFonts w:ascii="Verdana" w:hAnsi="Verdana"/>
          <w:color w:val="auto"/>
          <w:sz w:val="16"/>
          <w:szCs w:val="16"/>
        </w:rPr>
        <w:t xml:space="preserve"> and </w:t>
      </w:r>
      <w:r w:rsidRPr="00954547">
        <w:rPr>
          <w:rFonts w:ascii="Verdana" w:hAnsi="Verdana"/>
          <w:color w:val="auto"/>
          <w:sz w:val="16"/>
          <w:szCs w:val="16"/>
        </w:rPr>
        <w:t>45).</w:t>
      </w:r>
    </w:p>
  </w:footnote>
  <w:footnote w:id="131">
    <w:p w14:paraId="4F588D60" w14:textId="7B712FE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32123B" w:rsidRPr="00954547">
        <w:rPr>
          <w:rFonts w:ascii="Verdana" w:hAnsi="Verdana"/>
          <w:sz w:val="16"/>
          <w:szCs w:val="16"/>
        </w:rPr>
        <w:t xml:space="preserve">Sworn statement </w:t>
      </w:r>
      <w:r w:rsidR="00210BDE" w:rsidRPr="00954547">
        <w:rPr>
          <w:rFonts w:ascii="Verdana" w:hAnsi="Verdana"/>
          <w:sz w:val="16"/>
          <w:szCs w:val="16"/>
        </w:rPr>
        <w:t>by</w:t>
      </w:r>
      <w:r w:rsidR="0032123B" w:rsidRPr="00954547">
        <w:rPr>
          <w:rFonts w:ascii="Verdana" w:hAnsi="Verdana"/>
          <w:sz w:val="16"/>
          <w:szCs w:val="16"/>
        </w:rPr>
        <w:t xml:space="preserve"> M</w:t>
      </w:r>
      <w:r w:rsidR="00FF2DDD" w:rsidRPr="00954547">
        <w:rPr>
          <w:rFonts w:ascii="Verdana" w:hAnsi="Verdana"/>
          <w:sz w:val="16"/>
          <w:szCs w:val="16"/>
        </w:rPr>
        <w:t>anuela’s father</w:t>
      </w:r>
      <w:r w:rsidRPr="00954547">
        <w:rPr>
          <w:rFonts w:ascii="Verdana" w:hAnsi="Verdana"/>
          <w:sz w:val="16"/>
          <w:szCs w:val="16"/>
        </w:rPr>
        <w:t xml:space="preserve"> </w:t>
      </w:r>
      <w:r w:rsidR="00210BDE" w:rsidRPr="00954547">
        <w:rPr>
          <w:rFonts w:ascii="Verdana" w:hAnsi="Verdana"/>
          <w:sz w:val="16"/>
          <w:szCs w:val="16"/>
        </w:rPr>
        <w:t>on</w:t>
      </w:r>
      <w:r w:rsidRPr="00954547">
        <w:rPr>
          <w:rFonts w:ascii="Verdana" w:hAnsi="Verdana"/>
          <w:sz w:val="16"/>
          <w:szCs w:val="16"/>
        </w:rPr>
        <w:t xml:space="preserve"> </w:t>
      </w:r>
      <w:r w:rsidR="002F200A" w:rsidRPr="00954547">
        <w:rPr>
          <w:rFonts w:ascii="Verdana" w:hAnsi="Verdana"/>
          <w:sz w:val="16"/>
          <w:szCs w:val="16"/>
        </w:rPr>
        <w:t>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folio 3797). </w:t>
      </w:r>
      <w:r w:rsidR="002A45FD" w:rsidRPr="00954547">
        <w:rPr>
          <w:rFonts w:ascii="Verdana" w:hAnsi="Verdana"/>
          <w:iCs/>
          <w:sz w:val="16"/>
          <w:szCs w:val="16"/>
        </w:rPr>
        <w:t>See also,</w:t>
      </w:r>
      <w:r w:rsidRPr="00954547">
        <w:rPr>
          <w:rFonts w:ascii="Verdana" w:hAnsi="Verdana"/>
          <w:i/>
          <w:sz w:val="16"/>
          <w:szCs w:val="16"/>
        </w:rPr>
        <w:t xml:space="preserve"> </w:t>
      </w:r>
      <w:r w:rsidR="00E60BF1" w:rsidRPr="00954547">
        <w:rPr>
          <w:rFonts w:ascii="Verdana" w:hAnsi="Verdana"/>
          <w:sz w:val="16"/>
          <w:szCs w:val="16"/>
        </w:rPr>
        <w:t>Interview of</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210BDE" w:rsidRPr="00954547">
        <w:rPr>
          <w:rFonts w:ascii="Verdana" w:hAnsi="Verdana"/>
          <w:sz w:val="16"/>
          <w:szCs w:val="16"/>
        </w:rPr>
        <w:t>by</w:t>
      </w:r>
      <w:r w:rsidRPr="00954547">
        <w:rPr>
          <w:rFonts w:ascii="Verdana" w:hAnsi="Verdana"/>
          <w:sz w:val="16"/>
          <w:szCs w:val="16"/>
        </w:rPr>
        <w:t xml:space="preserve"> </w:t>
      </w:r>
      <w:r w:rsidR="00B8393C" w:rsidRPr="00954547">
        <w:rPr>
          <w:rFonts w:ascii="Verdana" w:hAnsi="Verdana"/>
          <w:sz w:val="16"/>
          <w:szCs w:val="16"/>
        </w:rPr>
        <w:t xml:space="preserve">the </w:t>
      </w:r>
      <w:r w:rsidR="00B6299C" w:rsidRPr="00954547">
        <w:rPr>
          <w:rFonts w:ascii="Verdana" w:hAnsi="Verdana"/>
          <w:sz w:val="16"/>
          <w:szCs w:val="16"/>
        </w:rPr>
        <w:t>representatives</w:t>
      </w:r>
      <w:r w:rsidRPr="00954547">
        <w:rPr>
          <w:rFonts w:ascii="Verdana" w:hAnsi="Verdana"/>
          <w:sz w:val="16"/>
          <w:szCs w:val="16"/>
        </w:rPr>
        <w:t xml:space="preserve"> </w:t>
      </w:r>
      <w:r w:rsidR="00210BDE" w:rsidRPr="00954547">
        <w:rPr>
          <w:rFonts w:ascii="Verdana" w:hAnsi="Verdana"/>
          <w:sz w:val="16"/>
          <w:szCs w:val="16"/>
        </w:rPr>
        <w:t>on</w:t>
      </w:r>
      <w:r w:rsidRPr="00954547">
        <w:rPr>
          <w:rFonts w:ascii="Verdana" w:hAnsi="Verdana"/>
          <w:sz w:val="16"/>
          <w:szCs w:val="16"/>
        </w:rPr>
        <w:t xml:space="preserve"> </w:t>
      </w:r>
      <w:r w:rsidR="002F200A" w:rsidRPr="00954547">
        <w:rPr>
          <w:rFonts w:ascii="Verdana" w:hAnsi="Verdana"/>
          <w:sz w:val="16"/>
          <w:szCs w:val="16"/>
        </w:rPr>
        <w:t>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w:t>
      </w:r>
      <w:r w:rsidR="00210BDE" w:rsidRPr="00954547">
        <w:rPr>
          <w:rFonts w:ascii="Verdana" w:hAnsi="Verdana"/>
          <w:sz w:val="16"/>
          <w:szCs w:val="16"/>
        </w:rPr>
        <w:t>folder of audiovisual material, minute</w:t>
      </w:r>
      <w:r w:rsidRPr="00954547">
        <w:rPr>
          <w:rFonts w:ascii="Verdana" w:hAnsi="Verdana"/>
          <w:sz w:val="16"/>
          <w:szCs w:val="16"/>
        </w:rPr>
        <w:t xml:space="preserve"> 6:05 </w:t>
      </w:r>
      <w:r w:rsidR="0009081A" w:rsidRPr="00954547">
        <w:rPr>
          <w:rFonts w:ascii="Verdana" w:hAnsi="Verdana"/>
          <w:sz w:val="16"/>
          <w:szCs w:val="16"/>
        </w:rPr>
        <w:t>to</w:t>
      </w:r>
      <w:r w:rsidRPr="00954547">
        <w:rPr>
          <w:rFonts w:ascii="Verdana" w:hAnsi="Verdana"/>
          <w:sz w:val="16"/>
          <w:szCs w:val="16"/>
        </w:rPr>
        <w:t xml:space="preserve"> 6:22),</w:t>
      </w:r>
      <w:r w:rsidR="0078694F" w:rsidRPr="00954547">
        <w:rPr>
          <w:rFonts w:ascii="Verdana" w:hAnsi="Verdana"/>
          <w:sz w:val="16"/>
          <w:szCs w:val="16"/>
        </w:rPr>
        <w:t xml:space="preserve"> and </w:t>
      </w:r>
      <w:r w:rsidR="00210BDE" w:rsidRPr="00954547">
        <w:rPr>
          <w:rFonts w:ascii="Verdana" w:hAnsi="Verdana"/>
          <w:sz w:val="16"/>
          <w:szCs w:val="16"/>
        </w:rPr>
        <w:t>expert appraisal of the psychological impact on the members of Manuela’s family of July 17,</w:t>
      </w:r>
      <w:r w:rsidRPr="00954547">
        <w:rPr>
          <w:rFonts w:ascii="Verdana" w:hAnsi="Verdana"/>
          <w:sz w:val="16"/>
          <w:szCs w:val="16"/>
        </w:rPr>
        <w:t xml:space="preserve"> 2012 (</w:t>
      </w:r>
      <w:r w:rsidR="001C328F" w:rsidRPr="00954547">
        <w:rPr>
          <w:rFonts w:ascii="Verdana" w:hAnsi="Verdana"/>
          <w:sz w:val="16"/>
          <w:szCs w:val="16"/>
        </w:rPr>
        <w:t>evidence file</w:t>
      </w:r>
      <w:r w:rsidRPr="00954547">
        <w:rPr>
          <w:rFonts w:ascii="Verdana" w:hAnsi="Verdana"/>
          <w:sz w:val="16"/>
          <w:szCs w:val="16"/>
        </w:rPr>
        <w:t>, folio 1559).</w:t>
      </w:r>
    </w:p>
  </w:footnote>
  <w:footnote w:id="132">
    <w:p w14:paraId="3EA4B37E" w14:textId="32054A4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CC074D" w:rsidRPr="00954547">
        <w:rPr>
          <w:rFonts w:ascii="Verdana" w:hAnsi="Verdana"/>
          <w:sz w:val="16"/>
          <w:szCs w:val="16"/>
        </w:rPr>
        <w:t>Record of arrest</w:t>
      </w:r>
      <w:r w:rsidRPr="00954547">
        <w:rPr>
          <w:rFonts w:ascii="Verdana" w:hAnsi="Verdana"/>
          <w:sz w:val="16"/>
          <w:szCs w:val="16"/>
        </w:rPr>
        <w:t xml:space="preserve"> </w:t>
      </w:r>
      <w:r w:rsidR="0032123B" w:rsidRPr="00954547">
        <w:rPr>
          <w:rFonts w:ascii="Verdana" w:hAnsi="Verdana"/>
          <w:sz w:val="16"/>
          <w:szCs w:val="16"/>
        </w:rPr>
        <w:t>of February 28,</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47).</w:t>
      </w:r>
    </w:p>
  </w:footnote>
  <w:footnote w:id="133">
    <w:p w14:paraId="2EECE673" w14:textId="380092A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CC074D" w:rsidRPr="00954547">
        <w:rPr>
          <w:rFonts w:ascii="Verdana" w:hAnsi="Verdana"/>
          <w:sz w:val="16"/>
          <w:szCs w:val="16"/>
        </w:rPr>
        <w:t>Record of arrest</w:t>
      </w:r>
      <w:r w:rsidRPr="00954547">
        <w:rPr>
          <w:rFonts w:ascii="Verdana" w:hAnsi="Verdana"/>
          <w:sz w:val="16"/>
          <w:szCs w:val="16"/>
        </w:rPr>
        <w:t xml:space="preserve"> </w:t>
      </w:r>
      <w:r w:rsidR="0032123B" w:rsidRPr="00954547">
        <w:rPr>
          <w:rFonts w:ascii="Verdana" w:hAnsi="Verdana"/>
          <w:sz w:val="16"/>
          <w:szCs w:val="16"/>
        </w:rPr>
        <w:t>of February 28,</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47).</w:t>
      </w:r>
    </w:p>
  </w:footnote>
  <w:footnote w:id="134">
    <w:p w14:paraId="1CB4B7B5" w14:textId="18E36E28"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32123B" w:rsidRPr="00954547">
        <w:rPr>
          <w:rFonts w:ascii="Verdana" w:hAnsi="Verdana"/>
          <w:sz w:val="16"/>
          <w:szCs w:val="16"/>
        </w:rPr>
        <w:t>Sworn statement of M</w:t>
      </w:r>
      <w:r w:rsidR="00FF2DDD" w:rsidRPr="00954547">
        <w:rPr>
          <w:rFonts w:ascii="Verdana" w:hAnsi="Verdana"/>
          <w:sz w:val="16"/>
          <w:szCs w:val="16"/>
        </w:rPr>
        <w:t>anuela’s father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2288),</w:t>
      </w:r>
      <w:r w:rsidR="0078694F" w:rsidRPr="00954547">
        <w:rPr>
          <w:rFonts w:ascii="Verdana" w:hAnsi="Verdana"/>
          <w:sz w:val="16"/>
          <w:szCs w:val="16"/>
        </w:rPr>
        <w:t xml:space="preserve"> and </w:t>
      </w:r>
      <w:r w:rsidR="0032123B" w:rsidRPr="00954547">
        <w:rPr>
          <w:rFonts w:ascii="Verdana" w:hAnsi="Verdana"/>
          <w:sz w:val="16"/>
          <w:szCs w:val="16"/>
        </w:rPr>
        <w:t>Sworn statement of M</w:t>
      </w:r>
      <w:r w:rsidR="00FF2DDD" w:rsidRPr="00954547">
        <w:rPr>
          <w:rFonts w:ascii="Verdana" w:hAnsi="Verdana"/>
          <w:sz w:val="16"/>
          <w:szCs w:val="16"/>
        </w:rPr>
        <w:t>anuela’s father</w:t>
      </w:r>
      <w:r w:rsidRPr="00954547">
        <w:rPr>
          <w:rFonts w:ascii="Verdana" w:hAnsi="Verdana"/>
          <w:sz w:val="16"/>
          <w:szCs w:val="16"/>
        </w:rPr>
        <w:t xml:space="preserve"> </w:t>
      </w:r>
      <w:r w:rsidR="00CC074D" w:rsidRPr="00954547">
        <w:rPr>
          <w:rFonts w:ascii="Verdana" w:hAnsi="Verdana"/>
          <w:sz w:val="16"/>
          <w:szCs w:val="16"/>
        </w:rPr>
        <w:t>on</w:t>
      </w:r>
      <w:r w:rsidRPr="00954547">
        <w:rPr>
          <w:rFonts w:ascii="Verdana" w:hAnsi="Verdana"/>
          <w:sz w:val="16"/>
          <w:szCs w:val="16"/>
        </w:rPr>
        <w:t xml:space="preserve"> </w:t>
      </w:r>
      <w:r w:rsidR="002F200A" w:rsidRPr="00954547">
        <w:rPr>
          <w:rFonts w:ascii="Verdana" w:hAnsi="Verdana"/>
          <w:sz w:val="16"/>
          <w:szCs w:val="16"/>
        </w:rPr>
        <w:t>February 26,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3797).</w:t>
      </w:r>
    </w:p>
  </w:footnote>
  <w:footnote w:id="135">
    <w:p w14:paraId="15EA21F9" w14:textId="574DF1C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CC074D" w:rsidRPr="00954547">
        <w:rPr>
          <w:rFonts w:ascii="Verdana" w:hAnsi="Verdana"/>
          <w:sz w:val="16"/>
          <w:szCs w:val="16"/>
        </w:rPr>
        <w:t xml:space="preserve">Police record of appointment of a public defender </w:t>
      </w:r>
      <w:r w:rsidR="0032123B" w:rsidRPr="00954547">
        <w:rPr>
          <w:rFonts w:ascii="Verdana" w:hAnsi="Verdana"/>
          <w:sz w:val="16"/>
          <w:szCs w:val="16"/>
        </w:rPr>
        <w:t>of February 28,</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49). </w:t>
      </w:r>
    </w:p>
  </w:footnote>
  <w:footnote w:id="136">
    <w:p w14:paraId="5DD99B1F" w14:textId="115AE71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color w:val="auto"/>
          <w:sz w:val="16"/>
          <w:szCs w:val="16"/>
        </w:rPr>
        <w:tab/>
      </w:r>
      <w:r w:rsidR="00F238E3" w:rsidRPr="00954547">
        <w:rPr>
          <w:rFonts w:ascii="Verdana" w:hAnsi="Verdana"/>
          <w:sz w:val="16"/>
          <w:szCs w:val="16"/>
        </w:rPr>
        <w:t>Women and Children’s Unit of the Morazán Prosecution Service</w:t>
      </w:r>
      <w:r w:rsidRPr="00954547">
        <w:rPr>
          <w:rFonts w:ascii="Verdana" w:hAnsi="Verdana"/>
          <w:color w:val="auto"/>
          <w:sz w:val="16"/>
          <w:szCs w:val="16"/>
        </w:rPr>
        <w:t xml:space="preserve">. </w:t>
      </w:r>
      <w:r w:rsidR="009B422D" w:rsidRPr="00954547">
        <w:rPr>
          <w:rFonts w:ascii="Verdana" w:hAnsi="Verdana"/>
          <w:color w:val="auto"/>
          <w:sz w:val="16"/>
          <w:szCs w:val="16"/>
        </w:rPr>
        <w:t>Collaboration request</w:t>
      </w:r>
      <w:r w:rsidRPr="00954547">
        <w:rPr>
          <w:rFonts w:ascii="Verdana" w:hAnsi="Verdana"/>
          <w:color w:val="auto"/>
          <w:sz w:val="16"/>
          <w:szCs w:val="16"/>
        </w:rPr>
        <w:t xml:space="preserve"> </w:t>
      </w:r>
      <w:r w:rsidR="00807D09" w:rsidRPr="00954547">
        <w:rPr>
          <w:rFonts w:ascii="Verdana" w:hAnsi="Verdana"/>
          <w:color w:val="auto"/>
          <w:sz w:val="16"/>
          <w:szCs w:val="16"/>
        </w:rPr>
        <w:t>of February 29,</w:t>
      </w:r>
      <w:r w:rsidRPr="00954547">
        <w:rPr>
          <w:rFonts w:ascii="Verdana" w:hAnsi="Verdana"/>
          <w:color w:val="auto"/>
          <w:sz w:val="16"/>
          <w:szCs w:val="16"/>
        </w:rPr>
        <w:t xml:space="preserve"> 2008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 55).</w:t>
      </w:r>
    </w:p>
  </w:footnote>
  <w:footnote w:id="137">
    <w:p w14:paraId="5C4C3B37" w14:textId="42606109" w:rsidR="005F001B" w:rsidRPr="00954547" w:rsidRDefault="005F001B" w:rsidP="007619E6">
      <w:pPr>
        <w:pStyle w:val="FootnoteText"/>
        <w:tabs>
          <w:tab w:val="left" w:pos="567"/>
        </w:tabs>
        <w:spacing w:after="120"/>
        <w:jc w:val="both"/>
        <w:rPr>
          <w:rFonts w:ascii="Verdana" w:hAnsi="Verdana"/>
          <w:color w:val="auto"/>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07D09" w:rsidRPr="00954547">
        <w:rPr>
          <w:rFonts w:ascii="Verdana" w:hAnsi="Verdana"/>
          <w:color w:val="auto"/>
          <w:sz w:val="16"/>
          <w:szCs w:val="16"/>
        </w:rPr>
        <w:t xml:space="preserve">Communication issued by </w:t>
      </w:r>
      <w:r w:rsidR="006D5A9B" w:rsidRPr="00954547">
        <w:rPr>
          <w:rFonts w:ascii="Verdana" w:hAnsi="Verdana"/>
          <w:color w:val="auto"/>
          <w:sz w:val="16"/>
          <w:szCs w:val="16"/>
        </w:rPr>
        <w:t>the director of the</w:t>
      </w:r>
      <w:r w:rsidR="00807D09" w:rsidRPr="00954547">
        <w:rPr>
          <w:rFonts w:ascii="Verdana" w:hAnsi="Verdana"/>
          <w:color w:val="auto"/>
          <w:sz w:val="16"/>
          <w:szCs w:val="16"/>
        </w:rPr>
        <w:t xml:space="preserve"> San Francisco Gotera National Hospital of February 29,</w:t>
      </w:r>
      <w:r w:rsidRPr="00954547">
        <w:rPr>
          <w:rFonts w:ascii="Verdana" w:hAnsi="Verdana"/>
          <w:color w:val="auto"/>
          <w:sz w:val="16"/>
          <w:szCs w:val="16"/>
        </w:rPr>
        <w:t xml:space="preserve"> 2008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xml:space="preserve">, folios 57 </w:t>
      </w:r>
      <w:r w:rsidR="009B422D" w:rsidRPr="00954547">
        <w:rPr>
          <w:rFonts w:ascii="Verdana" w:hAnsi="Verdana"/>
          <w:sz w:val="16"/>
          <w:szCs w:val="16"/>
        </w:rPr>
        <w:t>to</w:t>
      </w:r>
      <w:r w:rsidRPr="00954547">
        <w:rPr>
          <w:rFonts w:ascii="Verdana" w:hAnsi="Verdana"/>
          <w:sz w:val="16"/>
          <w:szCs w:val="16"/>
        </w:rPr>
        <w:t xml:space="preserve"> 59).</w:t>
      </w:r>
    </w:p>
  </w:footnote>
  <w:footnote w:id="138">
    <w:p w14:paraId="05E31946" w14:textId="50254C8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sz w:val="16"/>
          <w:szCs w:val="16"/>
        </w:rPr>
        <w:t>Office of the Prosecutor General</w:t>
      </w:r>
      <w:r w:rsidRPr="00954547">
        <w:rPr>
          <w:rFonts w:ascii="Verdana" w:hAnsi="Verdana"/>
          <w:sz w:val="16"/>
          <w:szCs w:val="16"/>
        </w:rPr>
        <w:t>.</w:t>
      </w:r>
      <w:r w:rsidRPr="00954547">
        <w:rPr>
          <w:rFonts w:ascii="Verdana" w:hAnsi="Verdana"/>
          <w:i/>
          <w:sz w:val="16"/>
          <w:szCs w:val="16"/>
        </w:rPr>
        <w:t xml:space="preserve"> </w:t>
      </w:r>
      <w:r w:rsidR="009B422D" w:rsidRPr="00954547">
        <w:rPr>
          <w:rFonts w:ascii="Verdana" w:hAnsi="Verdana"/>
          <w:color w:val="auto"/>
          <w:sz w:val="16"/>
          <w:szCs w:val="16"/>
        </w:rPr>
        <w:t xml:space="preserve">Request for a formal investigation with provisional detention </w:t>
      </w:r>
      <w:r w:rsidR="00807D09" w:rsidRPr="00954547">
        <w:rPr>
          <w:rFonts w:ascii="Verdana" w:hAnsi="Verdana"/>
          <w:color w:val="auto"/>
          <w:sz w:val="16"/>
          <w:szCs w:val="16"/>
        </w:rPr>
        <w:t>of February 29,</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folio 67).</w:t>
      </w:r>
    </w:p>
  </w:footnote>
  <w:footnote w:id="139">
    <w:p w14:paraId="744D4A8C" w14:textId="41F57B9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sz w:val="16"/>
          <w:szCs w:val="16"/>
        </w:rPr>
        <w:t>Office of the Prosecutor General</w:t>
      </w:r>
      <w:r w:rsidRPr="00954547">
        <w:rPr>
          <w:rFonts w:ascii="Verdana" w:hAnsi="Verdana"/>
          <w:sz w:val="16"/>
          <w:szCs w:val="16"/>
        </w:rPr>
        <w:t>.</w:t>
      </w:r>
      <w:r w:rsidRPr="00954547">
        <w:rPr>
          <w:rFonts w:ascii="Verdana" w:hAnsi="Verdana"/>
          <w:i/>
          <w:sz w:val="16"/>
          <w:szCs w:val="16"/>
        </w:rPr>
        <w:t xml:space="preserve"> </w:t>
      </w:r>
      <w:r w:rsidR="009B422D" w:rsidRPr="00954547">
        <w:rPr>
          <w:rFonts w:ascii="Verdana" w:hAnsi="Verdana"/>
          <w:color w:val="auto"/>
          <w:sz w:val="16"/>
          <w:szCs w:val="16"/>
        </w:rPr>
        <w:t xml:space="preserve">Request for a formal investigation with provisional detention </w:t>
      </w:r>
      <w:r w:rsidR="00807D09" w:rsidRPr="00954547">
        <w:rPr>
          <w:rFonts w:ascii="Verdana" w:hAnsi="Verdana"/>
          <w:color w:val="auto"/>
          <w:sz w:val="16"/>
          <w:szCs w:val="16"/>
        </w:rPr>
        <w:t>of February 29,</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folio 66).</w:t>
      </w:r>
    </w:p>
  </w:footnote>
  <w:footnote w:id="140">
    <w:p w14:paraId="571EED53" w14:textId="61FD6A6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200A" w:rsidRPr="00954547">
        <w:rPr>
          <w:rFonts w:ascii="Verdana" w:hAnsi="Verdana"/>
          <w:color w:val="auto"/>
          <w:sz w:val="16"/>
          <w:szCs w:val="16"/>
        </w:rPr>
        <w:t>Decision of the Magistrate’s Court of</w:t>
      </w:r>
      <w:r w:rsidRPr="00954547">
        <w:rPr>
          <w:rFonts w:ascii="Verdana" w:hAnsi="Verdana"/>
          <w:color w:val="auto"/>
          <w:sz w:val="16"/>
          <w:szCs w:val="16"/>
        </w:rPr>
        <w:t xml:space="preserve"> Cacaopera, </w:t>
      </w:r>
      <w:r w:rsidR="006029D7" w:rsidRPr="00954547">
        <w:rPr>
          <w:rFonts w:ascii="Verdana" w:hAnsi="Verdana"/>
          <w:color w:val="auto"/>
          <w:sz w:val="16"/>
          <w:szCs w:val="16"/>
        </w:rPr>
        <w:t>d</w:t>
      </w:r>
      <w:r w:rsidR="009B422D" w:rsidRPr="00954547">
        <w:rPr>
          <w:rFonts w:ascii="Verdana" w:hAnsi="Verdana"/>
          <w:color w:val="auto"/>
          <w:sz w:val="16"/>
          <w:szCs w:val="16"/>
        </w:rPr>
        <w:t>epartment of</w:t>
      </w:r>
      <w:r w:rsidRPr="00954547">
        <w:rPr>
          <w:rFonts w:ascii="Verdana" w:hAnsi="Verdana"/>
          <w:color w:val="auto"/>
          <w:sz w:val="16"/>
          <w:szCs w:val="16"/>
        </w:rPr>
        <w:t xml:space="preserve"> Morazán</w:t>
      </w:r>
      <w:r w:rsidR="009C7854" w:rsidRPr="00954547">
        <w:rPr>
          <w:rFonts w:ascii="Verdana" w:hAnsi="Verdana"/>
          <w:color w:val="auto"/>
          <w:sz w:val="16"/>
          <w:szCs w:val="16"/>
        </w:rPr>
        <w:t>,</w:t>
      </w:r>
      <w:r w:rsidRPr="00954547">
        <w:rPr>
          <w:rFonts w:ascii="Verdana" w:hAnsi="Verdana"/>
          <w:color w:val="auto"/>
          <w:sz w:val="16"/>
          <w:szCs w:val="16"/>
        </w:rPr>
        <w:t xml:space="preserve"> </w:t>
      </w:r>
      <w:r w:rsidR="006029D7" w:rsidRPr="00954547">
        <w:rPr>
          <w:rFonts w:ascii="Verdana" w:hAnsi="Verdana"/>
          <w:color w:val="auto"/>
          <w:sz w:val="16"/>
          <w:szCs w:val="16"/>
        </w:rPr>
        <w:t>of March 2,</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folio 69).</w:t>
      </w:r>
    </w:p>
  </w:footnote>
  <w:footnote w:id="141">
    <w:p w14:paraId="76999E44" w14:textId="2CB631B1" w:rsidR="005F001B" w:rsidRPr="00954547" w:rsidRDefault="005F001B" w:rsidP="007619E6">
      <w:pPr>
        <w:pStyle w:val="NoSpacing"/>
        <w:spacing w:before="0"/>
        <w:rPr>
          <w:rFonts w:eastAsiaTheme="minorHAnsi"/>
          <w:bdr w:val="none" w:sz="0" w:space="0" w:color="auto" w:frame="1"/>
        </w:rPr>
      </w:pPr>
      <w:r w:rsidRPr="00954547">
        <w:rPr>
          <w:rStyle w:val="FootnoteReference"/>
        </w:rPr>
        <w:footnoteRef/>
      </w:r>
      <w:r w:rsidRPr="00954547">
        <w:t xml:space="preserve">  </w:t>
      </w:r>
      <w:r w:rsidRPr="00954547">
        <w:tab/>
      </w:r>
      <w:r w:rsidR="00B8393C" w:rsidRPr="00954547">
        <w:rPr>
          <w:i/>
          <w:iCs/>
          <w:bdr w:val="none" w:sz="0" w:space="0" w:color="auto" w:frame="1"/>
        </w:rPr>
        <w:t>Cf.</w:t>
      </w:r>
      <w:r w:rsidRPr="00954547">
        <w:rPr>
          <w:bdr w:val="none" w:sz="0" w:space="0" w:color="auto" w:frame="1"/>
        </w:rPr>
        <w:t xml:space="preserve"> </w:t>
      </w:r>
      <w:r w:rsidR="006029D7" w:rsidRPr="00954547">
        <w:rPr>
          <w:bdr w:val="none" w:sz="0" w:space="0" w:color="auto" w:frame="1"/>
        </w:rPr>
        <w:t>Record prior to the statement by the detained defendant of March 2,</w:t>
      </w:r>
      <w:r w:rsidRPr="00954547">
        <w:rPr>
          <w:bdr w:val="none" w:sz="0" w:space="0" w:color="auto" w:frame="1"/>
        </w:rPr>
        <w:t xml:space="preserve"> 2008 (</w:t>
      </w:r>
      <w:r w:rsidR="001C328F" w:rsidRPr="00954547">
        <w:rPr>
          <w:bdr w:val="none" w:sz="0" w:space="0" w:color="auto" w:frame="1"/>
        </w:rPr>
        <w:t>evidence file</w:t>
      </w:r>
      <w:r w:rsidRPr="00954547">
        <w:rPr>
          <w:bdr w:val="none" w:sz="0" w:space="0" w:color="auto" w:frame="1"/>
        </w:rPr>
        <w:t>, folio 1835).</w:t>
      </w:r>
    </w:p>
  </w:footnote>
  <w:footnote w:id="142">
    <w:p w14:paraId="18537F34" w14:textId="7C4E286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color w:val="auto"/>
          <w:sz w:val="16"/>
          <w:szCs w:val="16"/>
        </w:rPr>
        <w:t>Magistrate’s Court</w:t>
      </w:r>
      <w:r w:rsidRPr="00954547">
        <w:rPr>
          <w:rFonts w:ascii="Verdana" w:hAnsi="Verdana"/>
          <w:color w:val="auto"/>
          <w:sz w:val="16"/>
          <w:szCs w:val="16"/>
        </w:rPr>
        <w:t xml:space="preserve"> </w:t>
      </w:r>
      <w:r w:rsidR="006029D7" w:rsidRPr="00954547">
        <w:rPr>
          <w:rFonts w:ascii="Verdana" w:hAnsi="Verdana"/>
          <w:color w:val="auto"/>
          <w:sz w:val="16"/>
          <w:szCs w:val="16"/>
        </w:rPr>
        <w:t>of Cacaopera, department</w:t>
      </w:r>
      <w:r w:rsidR="009B422D" w:rsidRPr="00954547">
        <w:rPr>
          <w:rFonts w:ascii="Verdana" w:hAnsi="Verdana"/>
          <w:color w:val="auto"/>
          <w:sz w:val="16"/>
          <w:szCs w:val="16"/>
        </w:rPr>
        <w:t xml:space="preserve"> of</w:t>
      </w:r>
      <w:r w:rsidRPr="00954547">
        <w:rPr>
          <w:rFonts w:ascii="Verdana" w:hAnsi="Verdana"/>
          <w:color w:val="auto"/>
          <w:sz w:val="16"/>
          <w:szCs w:val="16"/>
        </w:rPr>
        <w:t xml:space="preserve"> Morazán. </w:t>
      </w:r>
      <w:r w:rsidR="006029D7" w:rsidRPr="00954547">
        <w:rPr>
          <w:rFonts w:ascii="Verdana" w:hAnsi="Verdana"/>
          <w:sz w:val="16"/>
          <w:szCs w:val="16"/>
        </w:rPr>
        <w:t>Record of initial hearing</w:t>
      </w:r>
      <w:r w:rsidRPr="00954547">
        <w:rPr>
          <w:rFonts w:ascii="Verdana" w:hAnsi="Verdana"/>
          <w:sz w:val="16"/>
          <w:szCs w:val="16"/>
        </w:rPr>
        <w:t xml:space="preserve"> </w:t>
      </w:r>
      <w:r w:rsidR="0060432C" w:rsidRPr="00954547">
        <w:rPr>
          <w:rFonts w:ascii="Verdana" w:hAnsi="Verdana"/>
          <w:sz w:val="16"/>
          <w:szCs w:val="16"/>
        </w:rPr>
        <w:t>on March 3,</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72).</w:t>
      </w:r>
    </w:p>
  </w:footnote>
  <w:footnote w:id="143">
    <w:p w14:paraId="5643B572" w14:textId="5017F4A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color w:val="auto"/>
          <w:sz w:val="16"/>
          <w:szCs w:val="16"/>
        </w:rPr>
        <w:t>Magistrate’s Court</w:t>
      </w:r>
      <w:r w:rsidRPr="00954547">
        <w:rPr>
          <w:rFonts w:ascii="Verdana" w:hAnsi="Verdana"/>
          <w:color w:val="auto"/>
          <w:sz w:val="16"/>
          <w:szCs w:val="16"/>
        </w:rPr>
        <w:t xml:space="preserve"> </w:t>
      </w:r>
      <w:r w:rsidR="006029D7" w:rsidRPr="00954547">
        <w:rPr>
          <w:rFonts w:ascii="Verdana" w:hAnsi="Verdana"/>
          <w:color w:val="auto"/>
          <w:sz w:val="16"/>
          <w:szCs w:val="16"/>
        </w:rPr>
        <w:t>of Cacaopera, department</w:t>
      </w:r>
      <w:r w:rsidR="009B422D" w:rsidRPr="00954547">
        <w:rPr>
          <w:rFonts w:ascii="Verdana" w:hAnsi="Verdana"/>
          <w:color w:val="auto"/>
          <w:sz w:val="16"/>
          <w:szCs w:val="16"/>
        </w:rPr>
        <w:t xml:space="preserve"> of</w:t>
      </w:r>
      <w:r w:rsidRPr="00954547">
        <w:rPr>
          <w:rFonts w:ascii="Verdana" w:hAnsi="Verdana"/>
          <w:color w:val="auto"/>
          <w:sz w:val="16"/>
          <w:szCs w:val="16"/>
        </w:rPr>
        <w:t xml:space="preserve"> Morazán. </w:t>
      </w:r>
      <w:r w:rsidR="006029D7" w:rsidRPr="00954547">
        <w:rPr>
          <w:rFonts w:ascii="Verdana" w:hAnsi="Verdana"/>
          <w:sz w:val="16"/>
          <w:szCs w:val="16"/>
        </w:rPr>
        <w:t>Record of initial hearing</w:t>
      </w:r>
      <w:r w:rsidRPr="00954547">
        <w:rPr>
          <w:rFonts w:ascii="Verdana" w:hAnsi="Verdana"/>
          <w:sz w:val="16"/>
          <w:szCs w:val="16"/>
        </w:rPr>
        <w:t xml:space="preserve"> </w:t>
      </w:r>
      <w:r w:rsidR="0060432C" w:rsidRPr="00954547">
        <w:rPr>
          <w:rFonts w:ascii="Verdana" w:hAnsi="Verdana"/>
          <w:sz w:val="16"/>
          <w:szCs w:val="16"/>
        </w:rPr>
        <w:t>on March 3,</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74).</w:t>
      </w:r>
    </w:p>
  </w:footnote>
  <w:footnote w:id="144">
    <w:p w14:paraId="7E94C228" w14:textId="62A8D3F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color w:val="auto"/>
          <w:sz w:val="16"/>
          <w:szCs w:val="16"/>
        </w:rPr>
        <w:t>Magistrate’s Court</w:t>
      </w:r>
      <w:r w:rsidRPr="00954547">
        <w:rPr>
          <w:rFonts w:ascii="Verdana" w:hAnsi="Verdana"/>
          <w:color w:val="auto"/>
          <w:sz w:val="16"/>
          <w:szCs w:val="16"/>
        </w:rPr>
        <w:t xml:space="preserve"> </w:t>
      </w:r>
      <w:r w:rsidR="006029D7" w:rsidRPr="00954547">
        <w:rPr>
          <w:rFonts w:ascii="Verdana" w:hAnsi="Verdana"/>
          <w:color w:val="auto"/>
          <w:sz w:val="16"/>
          <w:szCs w:val="16"/>
        </w:rPr>
        <w:t>of Cacaopera, department</w:t>
      </w:r>
      <w:r w:rsidR="009B422D" w:rsidRPr="00954547">
        <w:rPr>
          <w:rFonts w:ascii="Verdana" w:hAnsi="Verdana"/>
          <w:color w:val="auto"/>
          <w:sz w:val="16"/>
          <w:szCs w:val="16"/>
        </w:rPr>
        <w:t xml:space="preserve"> of</w:t>
      </w:r>
      <w:r w:rsidRPr="00954547">
        <w:rPr>
          <w:rFonts w:ascii="Verdana" w:hAnsi="Verdana"/>
          <w:color w:val="auto"/>
          <w:sz w:val="16"/>
          <w:szCs w:val="16"/>
        </w:rPr>
        <w:t xml:space="preserve"> Morazán. </w:t>
      </w:r>
      <w:r w:rsidR="006029D7" w:rsidRPr="00954547">
        <w:rPr>
          <w:rFonts w:ascii="Verdana" w:hAnsi="Verdana"/>
          <w:sz w:val="16"/>
          <w:szCs w:val="16"/>
        </w:rPr>
        <w:t>Record of initial hearing</w:t>
      </w:r>
      <w:r w:rsidRPr="00954547">
        <w:rPr>
          <w:rFonts w:ascii="Verdana" w:hAnsi="Verdana"/>
          <w:sz w:val="16"/>
          <w:szCs w:val="16"/>
        </w:rPr>
        <w:t xml:space="preserve"> </w:t>
      </w:r>
      <w:r w:rsidR="0060432C" w:rsidRPr="00954547">
        <w:rPr>
          <w:rFonts w:ascii="Verdana" w:hAnsi="Verdana"/>
          <w:sz w:val="16"/>
          <w:szCs w:val="16"/>
        </w:rPr>
        <w:t>on March 3,</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75).</w:t>
      </w:r>
    </w:p>
  </w:footnote>
  <w:footnote w:id="145">
    <w:p w14:paraId="583F39E4" w14:textId="6A2C092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color w:val="auto"/>
          <w:sz w:val="16"/>
          <w:szCs w:val="16"/>
        </w:rPr>
        <w:t>Magistrate’s Court</w:t>
      </w:r>
      <w:r w:rsidRPr="00954547">
        <w:rPr>
          <w:rFonts w:ascii="Verdana" w:hAnsi="Verdana"/>
          <w:color w:val="auto"/>
          <w:sz w:val="16"/>
          <w:szCs w:val="16"/>
        </w:rPr>
        <w:t xml:space="preserve"> </w:t>
      </w:r>
      <w:r w:rsidR="006029D7" w:rsidRPr="00954547">
        <w:rPr>
          <w:rFonts w:ascii="Verdana" w:hAnsi="Verdana"/>
          <w:color w:val="auto"/>
          <w:sz w:val="16"/>
          <w:szCs w:val="16"/>
        </w:rPr>
        <w:t>of Cacaopera, department</w:t>
      </w:r>
      <w:r w:rsidR="009B422D" w:rsidRPr="00954547">
        <w:rPr>
          <w:rFonts w:ascii="Verdana" w:hAnsi="Verdana"/>
          <w:color w:val="auto"/>
          <w:sz w:val="16"/>
          <w:szCs w:val="16"/>
        </w:rPr>
        <w:t xml:space="preserve"> of</w:t>
      </w:r>
      <w:r w:rsidRPr="00954547">
        <w:rPr>
          <w:rFonts w:ascii="Verdana" w:hAnsi="Verdana"/>
          <w:color w:val="auto"/>
          <w:sz w:val="16"/>
          <w:szCs w:val="16"/>
        </w:rPr>
        <w:t xml:space="preserve"> Morazán. </w:t>
      </w:r>
      <w:r w:rsidR="006029D7" w:rsidRPr="00954547">
        <w:rPr>
          <w:rFonts w:ascii="Verdana" w:hAnsi="Verdana"/>
          <w:sz w:val="16"/>
          <w:szCs w:val="16"/>
        </w:rPr>
        <w:t>Record of initial hearing</w:t>
      </w:r>
      <w:r w:rsidRPr="00954547">
        <w:rPr>
          <w:rFonts w:ascii="Verdana" w:hAnsi="Verdana"/>
          <w:sz w:val="16"/>
          <w:szCs w:val="16"/>
        </w:rPr>
        <w:t xml:space="preserve"> </w:t>
      </w:r>
      <w:r w:rsidR="0060432C" w:rsidRPr="00954547">
        <w:rPr>
          <w:rFonts w:ascii="Verdana" w:hAnsi="Verdana"/>
          <w:sz w:val="16"/>
          <w:szCs w:val="16"/>
        </w:rPr>
        <w:t>on March 3,</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75).</w:t>
      </w:r>
    </w:p>
  </w:footnote>
  <w:footnote w:id="146">
    <w:p w14:paraId="0C9CCA88" w14:textId="64A6059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color w:val="auto"/>
          <w:sz w:val="16"/>
          <w:szCs w:val="16"/>
        </w:rPr>
        <w:t>Magistrate’s Court</w:t>
      </w:r>
      <w:r w:rsidRPr="00954547">
        <w:rPr>
          <w:rFonts w:ascii="Verdana" w:hAnsi="Verdana"/>
          <w:color w:val="auto"/>
          <w:sz w:val="16"/>
          <w:szCs w:val="16"/>
        </w:rPr>
        <w:t xml:space="preserve"> </w:t>
      </w:r>
      <w:r w:rsidR="006029D7" w:rsidRPr="00954547">
        <w:rPr>
          <w:rFonts w:ascii="Verdana" w:hAnsi="Verdana"/>
          <w:color w:val="auto"/>
          <w:sz w:val="16"/>
          <w:szCs w:val="16"/>
        </w:rPr>
        <w:t>of Cacaopera, department</w:t>
      </w:r>
      <w:r w:rsidR="009B422D" w:rsidRPr="00954547">
        <w:rPr>
          <w:rFonts w:ascii="Verdana" w:hAnsi="Verdana"/>
          <w:color w:val="auto"/>
          <w:sz w:val="16"/>
          <w:szCs w:val="16"/>
        </w:rPr>
        <w:t xml:space="preserve"> of</w:t>
      </w:r>
      <w:r w:rsidRPr="00954547">
        <w:rPr>
          <w:rFonts w:ascii="Verdana" w:hAnsi="Verdana"/>
          <w:color w:val="auto"/>
          <w:sz w:val="16"/>
          <w:szCs w:val="16"/>
        </w:rPr>
        <w:t xml:space="preserve"> Morazán. </w:t>
      </w:r>
      <w:r w:rsidR="006029D7" w:rsidRPr="00954547">
        <w:rPr>
          <w:rFonts w:ascii="Verdana" w:hAnsi="Verdana"/>
          <w:sz w:val="16"/>
          <w:szCs w:val="16"/>
        </w:rPr>
        <w:t>Record of initial hearing</w:t>
      </w:r>
      <w:r w:rsidRPr="00954547">
        <w:rPr>
          <w:rFonts w:ascii="Verdana" w:hAnsi="Verdana"/>
          <w:sz w:val="16"/>
          <w:szCs w:val="16"/>
        </w:rPr>
        <w:t xml:space="preserve"> </w:t>
      </w:r>
      <w:r w:rsidR="0060432C" w:rsidRPr="00954547">
        <w:rPr>
          <w:rFonts w:ascii="Verdana" w:hAnsi="Verdana"/>
          <w:sz w:val="16"/>
          <w:szCs w:val="16"/>
        </w:rPr>
        <w:t>on March 3,</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81).</w:t>
      </w:r>
    </w:p>
  </w:footnote>
  <w:footnote w:id="147">
    <w:p w14:paraId="5EFE6046" w14:textId="203FED6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color w:val="auto"/>
          <w:sz w:val="16"/>
          <w:szCs w:val="16"/>
        </w:rPr>
        <w:t>Magistrate’s Court</w:t>
      </w:r>
      <w:r w:rsidRPr="00954547">
        <w:rPr>
          <w:rFonts w:ascii="Verdana" w:hAnsi="Verdana"/>
          <w:color w:val="auto"/>
          <w:sz w:val="16"/>
          <w:szCs w:val="16"/>
        </w:rPr>
        <w:t xml:space="preserve"> </w:t>
      </w:r>
      <w:r w:rsidR="006029D7" w:rsidRPr="00954547">
        <w:rPr>
          <w:rFonts w:ascii="Verdana" w:hAnsi="Verdana"/>
          <w:color w:val="auto"/>
          <w:sz w:val="16"/>
          <w:szCs w:val="16"/>
        </w:rPr>
        <w:t>of Cacaopera, department</w:t>
      </w:r>
      <w:r w:rsidR="009B422D" w:rsidRPr="00954547">
        <w:rPr>
          <w:rFonts w:ascii="Verdana" w:hAnsi="Verdana"/>
          <w:color w:val="auto"/>
          <w:sz w:val="16"/>
          <w:szCs w:val="16"/>
        </w:rPr>
        <w:t xml:space="preserve"> of</w:t>
      </w:r>
      <w:r w:rsidRPr="00954547">
        <w:rPr>
          <w:rFonts w:ascii="Verdana" w:hAnsi="Verdana"/>
          <w:color w:val="auto"/>
          <w:sz w:val="16"/>
          <w:szCs w:val="16"/>
        </w:rPr>
        <w:t xml:space="preserve"> Morazán. </w:t>
      </w:r>
      <w:r w:rsidR="006029D7" w:rsidRPr="00954547">
        <w:rPr>
          <w:rFonts w:ascii="Verdana" w:hAnsi="Verdana"/>
          <w:sz w:val="16"/>
          <w:szCs w:val="16"/>
        </w:rPr>
        <w:t>Record of initial hearing</w:t>
      </w:r>
      <w:r w:rsidRPr="00954547">
        <w:rPr>
          <w:rFonts w:ascii="Verdana" w:hAnsi="Verdana"/>
          <w:sz w:val="16"/>
          <w:szCs w:val="16"/>
        </w:rPr>
        <w:t xml:space="preserve"> </w:t>
      </w:r>
      <w:r w:rsidR="0060432C" w:rsidRPr="00954547">
        <w:rPr>
          <w:rFonts w:ascii="Verdana" w:hAnsi="Verdana"/>
          <w:sz w:val="16"/>
          <w:szCs w:val="16"/>
        </w:rPr>
        <w:t>on March 3,</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82).</w:t>
      </w:r>
    </w:p>
  </w:footnote>
  <w:footnote w:id="148">
    <w:p w14:paraId="26594BDD" w14:textId="5D548C2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color w:val="auto"/>
          <w:sz w:val="16"/>
          <w:szCs w:val="16"/>
        </w:rPr>
        <w:t>Magistrate’s Court</w:t>
      </w:r>
      <w:r w:rsidRPr="00954547">
        <w:rPr>
          <w:rFonts w:ascii="Verdana" w:hAnsi="Verdana"/>
          <w:color w:val="auto"/>
          <w:sz w:val="16"/>
          <w:szCs w:val="16"/>
        </w:rPr>
        <w:t xml:space="preserve"> </w:t>
      </w:r>
      <w:r w:rsidR="006029D7" w:rsidRPr="00954547">
        <w:rPr>
          <w:rFonts w:ascii="Verdana" w:hAnsi="Verdana"/>
          <w:color w:val="auto"/>
          <w:sz w:val="16"/>
          <w:szCs w:val="16"/>
        </w:rPr>
        <w:t>of Cacaopera, department</w:t>
      </w:r>
      <w:r w:rsidR="009B422D" w:rsidRPr="00954547">
        <w:rPr>
          <w:rFonts w:ascii="Verdana" w:hAnsi="Verdana"/>
          <w:color w:val="auto"/>
          <w:sz w:val="16"/>
          <w:szCs w:val="16"/>
        </w:rPr>
        <w:t xml:space="preserve"> of</w:t>
      </w:r>
      <w:r w:rsidRPr="00954547">
        <w:rPr>
          <w:rFonts w:ascii="Verdana" w:hAnsi="Verdana"/>
          <w:color w:val="auto"/>
          <w:sz w:val="16"/>
          <w:szCs w:val="16"/>
        </w:rPr>
        <w:t xml:space="preserve"> Morazán. </w:t>
      </w:r>
      <w:r w:rsidR="006029D7" w:rsidRPr="00954547">
        <w:rPr>
          <w:rFonts w:ascii="Verdana" w:hAnsi="Verdana"/>
          <w:sz w:val="16"/>
          <w:szCs w:val="16"/>
        </w:rPr>
        <w:t>Record of initial hearing</w:t>
      </w:r>
      <w:r w:rsidRPr="00954547">
        <w:rPr>
          <w:rFonts w:ascii="Verdana" w:hAnsi="Verdana"/>
          <w:sz w:val="16"/>
          <w:szCs w:val="16"/>
        </w:rPr>
        <w:t xml:space="preserve"> </w:t>
      </w:r>
      <w:r w:rsidR="0060432C" w:rsidRPr="00954547">
        <w:rPr>
          <w:rFonts w:ascii="Verdana" w:hAnsi="Verdana"/>
          <w:sz w:val="16"/>
          <w:szCs w:val="16"/>
        </w:rPr>
        <w:t>on March 3,</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83).</w:t>
      </w:r>
    </w:p>
  </w:footnote>
  <w:footnote w:id="149">
    <w:p w14:paraId="7AE837E1" w14:textId="3A8538BF"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B8393C" w:rsidRPr="00954547">
        <w:rPr>
          <w:i/>
        </w:rPr>
        <w:t>Cf.</w:t>
      </w:r>
      <w:r w:rsidRPr="00954547">
        <w:t xml:space="preserve"> </w:t>
      </w:r>
      <w:r w:rsidR="006029D7" w:rsidRPr="00954547">
        <w:t>Second Trial Court of</w:t>
      </w:r>
      <w:r w:rsidRPr="00954547">
        <w:t xml:space="preserve"> San Francisco Gotera. </w:t>
      </w:r>
      <w:r w:rsidR="00C525F6" w:rsidRPr="00954547">
        <w:t>Order of</w:t>
      </w:r>
      <w:r w:rsidR="007D7721" w:rsidRPr="00954547">
        <w:t xml:space="preserve"> March 6,</w:t>
      </w:r>
      <w:r w:rsidRPr="00954547">
        <w:t xml:space="preserve"> 2008 (</w:t>
      </w:r>
      <w:r w:rsidR="001C328F" w:rsidRPr="00954547">
        <w:t>evidence file</w:t>
      </w:r>
      <w:r w:rsidRPr="00954547">
        <w:t>, folio 1868).</w:t>
      </w:r>
    </w:p>
  </w:footnote>
  <w:footnote w:id="150">
    <w:p w14:paraId="39B4B663" w14:textId="16118ECA"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C30E67" w:rsidRPr="00954547">
        <w:rPr>
          <w:rFonts w:ascii="Verdana" w:hAnsi="Verdana"/>
          <w:sz w:val="16"/>
          <w:szCs w:val="16"/>
        </w:rPr>
        <w:t xml:space="preserve">Morazán </w:t>
      </w:r>
      <w:r w:rsidR="00C525F6" w:rsidRPr="00954547">
        <w:rPr>
          <w:rFonts w:ascii="Verdana" w:eastAsiaTheme="minorHAnsi" w:hAnsi="Verdana" w:cs="Arial"/>
          <w:sz w:val="16"/>
          <w:szCs w:val="16"/>
          <w:bdr w:val="none" w:sz="0" w:space="0" w:color="auto"/>
        </w:rPr>
        <w:t>National Civil Police</w:t>
      </w:r>
      <w:r w:rsidR="00C30E67" w:rsidRPr="00954547">
        <w:rPr>
          <w:rFonts w:ascii="Verdana" w:eastAsiaTheme="minorHAnsi" w:hAnsi="Verdana" w:cs="Arial"/>
          <w:sz w:val="16"/>
          <w:szCs w:val="16"/>
          <w:bdr w:val="none" w:sz="0" w:space="0" w:color="auto"/>
        </w:rPr>
        <w:t xml:space="preserve"> Station. </w:t>
      </w:r>
      <w:r w:rsidR="00C525F6" w:rsidRPr="00954547">
        <w:rPr>
          <w:rFonts w:ascii="Verdana" w:eastAsiaTheme="minorHAnsi" w:hAnsi="Verdana" w:cs="Arial"/>
          <w:sz w:val="16"/>
          <w:szCs w:val="16"/>
          <w:bdr w:val="none" w:sz="0" w:space="0" w:color="auto"/>
        </w:rPr>
        <w:t>Communication addressed to the</w:t>
      </w:r>
      <w:r w:rsidRPr="00954547">
        <w:rPr>
          <w:rFonts w:ascii="Verdana" w:eastAsiaTheme="minorHAnsi" w:hAnsi="Verdana" w:cs="Arial"/>
          <w:sz w:val="16"/>
          <w:szCs w:val="16"/>
          <w:bdr w:val="none" w:sz="0" w:space="0" w:color="auto"/>
        </w:rPr>
        <w:t xml:space="preserve"> </w:t>
      </w:r>
      <w:r w:rsidR="00C525F6" w:rsidRPr="00954547">
        <w:rPr>
          <w:rFonts w:ascii="Verdana" w:eastAsiaTheme="minorHAnsi" w:hAnsi="Verdana" w:cs="Arial"/>
          <w:sz w:val="16"/>
          <w:szCs w:val="16"/>
          <w:bdr w:val="none" w:sz="0" w:space="0" w:color="auto"/>
        </w:rPr>
        <w:t>Second Trial Judge on March 7,</w:t>
      </w:r>
      <w:r w:rsidRPr="00954547">
        <w:rPr>
          <w:rFonts w:ascii="Verdana" w:eastAsiaTheme="minorHAnsi" w:hAnsi="Verdana" w:cs="Arial"/>
          <w:sz w:val="16"/>
          <w:szCs w:val="16"/>
          <w:bdr w:val="none" w:sz="0" w:space="0" w:color="auto"/>
        </w:rPr>
        <w:t xml:space="preserve"> 2008 (</w:t>
      </w:r>
      <w:r w:rsidR="001C328F" w:rsidRPr="00954547">
        <w:rPr>
          <w:rFonts w:ascii="Verdana" w:eastAsiaTheme="minorHAnsi" w:hAnsi="Verdana" w:cs="Arial"/>
          <w:sz w:val="16"/>
          <w:szCs w:val="16"/>
          <w:bdr w:val="none" w:sz="0" w:space="0" w:color="auto"/>
        </w:rPr>
        <w:t>evidence file</w:t>
      </w:r>
      <w:r w:rsidRPr="00954547">
        <w:rPr>
          <w:rFonts w:ascii="Verdana" w:eastAsiaTheme="minorHAnsi" w:hAnsi="Verdana" w:cs="Arial"/>
          <w:sz w:val="16"/>
          <w:szCs w:val="16"/>
          <w:bdr w:val="none" w:sz="0" w:space="0" w:color="auto"/>
        </w:rPr>
        <w:t>, folio 1870).</w:t>
      </w:r>
    </w:p>
  </w:footnote>
  <w:footnote w:id="151">
    <w:p w14:paraId="64C5D359" w14:textId="4E8CC70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t>Cacaopera</w:t>
      </w:r>
      <w:r w:rsidR="005558FD" w:rsidRPr="00954547">
        <w:rPr>
          <w:rFonts w:ascii="Verdana" w:hAnsi="Verdana"/>
          <w:sz w:val="16"/>
          <w:szCs w:val="16"/>
        </w:rPr>
        <w:t xml:space="preserve"> municipal town hall</w:t>
      </w:r>
      <w:r w:rsidRPr="00954547">
        <w:rPr>
          <w:rFonts w:ascii="Verdana" w:hAnsi="Verdana"/>
          <w:sz w:val="16"/>
          <w:szCs w:val="16"/>
        </w:rPr>
        <w:t xml:space="preserve">. </w:t>
      </w:r>
      <w:r w:rsidR="005558FD" w:rsidRPr="00954547">
        <w:rPr>
          <w:rFonts w:ascii="Verdana" w:hAnsi="Verdana"/>
          <w:sz w:val="16"/>
          <w:szCs w:val="16"/>
        </w:rPr>
        <w:t xml:space="preserve">Death certificate of April 11, </w:t>
      </w:r>
      <w:r w:rsidRPr="00954547">
        <w:rPr>
          <w:rFonts w:ascii="Verdana" w:hAnsi="Verdana"/>
          <w:sz w:val="16"/>
          <w:szCs w:val="16"/>
        </w:rPr>
        <w:t xml:space="preserve">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1000).</w:t>
      </w:r>
    </w:p>
  </w:footnote>
  <w:footnote w:id="152">
    <w:p w14:paraId="3F71A121" w14:textId="4E6C240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35EA0" w:rsidRPr="00954547">
        <w:rPr>
          <w:rFonts w:ascii="Verdana" w:hAnsi="Verdana"/>
          <w:sz w:val="16"/>
          <w:szCs w:val="16"/>
        </w:rPr>
        <w:t>Institute of Forensic Medicine</w:t>
      </w:r>
      <w:r w:rsidRPr="00954547">
        <w:rPr>
          <w:rFonts w:ascii="Verdana" w:hAnsi="Verdana"/>
          <w:sz w:val="16"/>
          <w:szCs w:val="16"/>
        </w:rPr>
        <w:t>. Protocol</w:t>
      </w:r>
      <w:r w:rsidR="00835EA0" w:rsidRPr="00954547">
        <w:rPr>
          <w:rFonts w:ascii="Verdana" w:hAnsi="Verdana"/>
          <w:sz w:val="16"/>
          <w:szCs w:val="16"/>
        </w:rPr>
        <w:t xml:space="preserve"> of</w:t>
      </w:r>
      <w:r w:rsidRPr="00954547">
        <w:rPr>
          <w:rFonts w:ascii="Verdana" w:hAnsi="Verdana"/>
          <w:sz w:val="16"/>
          <w:szCs w:val="16"/>
        </w:rPr>
        <w:t xml:space="preserve"> </w:t>
      </w:r>
      <w:r w:rsidR="00835EA0" w:rsidRPr="00954547">
        <w:rPr>
          <w:rFonts w:ascii="Verdana" w:hAnsi="Verdana"/>
          <w:sz w:val="16"/>
          <w:szCs w:val="16"/>
        </w:rPr>
        <w:t>p</w:t>
      </w:r>
      <w:r w:rsidR="00E60BF1" w:rsidRPr="00954547">
        <w:rPr>
          <w:rFonts w:ascii="Verdana" w:hAnsi="Verdana"/>
          <w:sz w:val="16"/>
          <w:szCs w:val="16"/>
        </w:rPr>
        <w:t>sychological appraisal of</w:t>
      </w:r>
      <w:r w:rsidRPr="00954547">
        <w:rPr>
          <w:rFonts w:ascii="Verdana" w:hAnsi="Verdana"/>
          <w:sz w:val="16"/>
          <w:szCs w:val="16"/>
        </w:rPr>
        <w:t xml:space="preserve"> Manuela </w:t>
      </w:r>
      <w:r w:rsidR="00053A7C" w:rsidRPr="00954547">
        <w:rPr>
          <w:rFonts w:ascii="Verdana" w:hAnsi="Verdana"/>
          <w:sz w:val="16"/>
          <w:szCs w:val="16"/>
        </w:rPr>
        <w:t>on</w:t>
      </w:r>
      <w:r w:rsidR="00E60BF1" w:rsidRPr="00954547">
        <w:rPr>
          <w:rFonts w:ascii="Verdana" w:hAnsi="Verdana"/>
          <w:sz w:val="16"/>
          <w:szCs w:val="16"/>
        </w:rPr>
        <w:t xml:space="preserve"> April 25,</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105).</w:t>
      </w:r>
    </w:p>
  </w:footnote>
  <w:footnote w:id="153">
    <w:p w14:paraId="053F44B6" w14:textId="5349B8B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Pr="00954547">
        <w:rPr>
          <w:rFonts w:ascii="Verdana" w:hAnsi="Verdana"/>
          <w:sz w:val="16"/>
          <w:szCs w:val="16"/>
        </w:rPr>
        <w:t>Ac</w:t>
      </w:r>
      <w:r w:rsidR="00053A7C" w:rsidRPr="00954547">
        <w:rPr>
          <w:rFonts w:ascii="Verdana" w:hAnsi="Verdana"/>
          <w:sz w:val="16"/>
          <w:szCs w:val="16"/>
        </w:rPr>
        <w:t xml:space="preserve">ceptance of legal representation by the </w:t>
      </w:r>
      <w:r w:rsidR="006029D7" w:rsidRPr="00954547">
        <w:rPr>
          <w:rFonts w:ascii="Verdana" w:hAnsi="Verdana"/>
          <w:sz w:val="16"/>
          <w:szCs w:val="16"/>
        </w:rPr>
        <w:t xml:space="preserve">Second Trial Court </w:t>
      </w:r>
      <w:r w:rsidR="00053A7C" w:rsidRPr="00954547">
        <w:rPr>
          <w:rFonts w:ascii="Verdana" w:hAnsi="Verdana"/>
          <w:sz w:val="16"/>
          <w:szCs w:val="16"/>
        </w:rPr>
        <w:t>on June 5,</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107),</w:t>
      </w:r>
      <w:r w:rsidR="0078694F" w:rsidRPr="00954547">
        <w:rPr>
          <w:rFonts w:ascii="Verdana" w:hAnsi="Verdana"/>
          <w:color w:val="auto"/>
          <w:sz w:val="16"/>
          <w:szCs w:val="16"/>
        </w:rPr>
        <w:t xml:space="preserve"> and </w:t>
      </w:r>
      <w:r w:rsidR="00053A7C" w:rsidRPr="00954547">
        <w:rPr>
          <w:rFonts w:ascii="Verdana" w:hAnsi="Verdana"/>
          <w:sz w:val="16"/>
          <w:szCs w:val="16"/>
        </w:rPr>
        <w:t xml:space="preserve">Record of hearing to review a precautionary measure of June 5, </w:t>
      </w:r>
      <w:r w:rsidRPr="00954547">
        <w:rPr>
          <w:rFonts w:ascii="Verdana" w:hAnsi="Verdana"/>
          <w:sz w:val="16"/>
          <w:szCs w:val="16"/>
        </w:rPr>
        <w:t xml:space="preserve">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109).</w:t>
      </w:r>
    </w:p>
  </w:footnote>
  <w:footnote w:id="154">
    <w:p w14:paraId="673BA5CC" w14:textId="05774B9D"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053A7C" w:rsidRPr="00954547">
        <w:rPr>
          <w:rFonts w:ascii="Verdana" w:hAnsi="Verdana"/>
          <w:sz w:val="16"/>
          <w:szCs w:val="16"/>
        </w:rPr>
        <w:t>Record of hearing to review a precautionary measure of June 5,</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110).</w:t>
      </w:r>
    </w:p>
  </w:footnote>
  <w:footnote w:id="155">
    <w:p w14:paraId="6EC371C8" w14:textId="35E47CB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29D7" w:rsidRPr="00954547">
        <w:rPr>
          <w:rFonts w:ascii="Verdana" w:hAnsi="Verdana"/>
          <w:sz w:val="16"/>
          <w:szCs w:val="16"/>
        </w:rPr>
        <w:t>Second Trial Court of</w:t>
      </w:r>
      <w:r w:rsidRPr="00954547">
        <w:rPr>
          <w:rFonts w:ascii="Verdana" w:hAnsi="Verdana"/>
          <w:sz w:val="16"/>
          <w:szCs w:val="16"/>
        </w:rPr>
        <w:t xml:space="preserve"> San Francisco Gotera, Morazán.</w:t>
      </w:r>
      <w:r w:rsidRPr="00954547">
        <w:rPr>
          <w:rFonts w:ascii="Verdana" w:hAnsi="Verdana"/>
          <w:i/>
          <w:sz w:val="16"/>
          <w:szCs w:val="16"/>
        </w:rPr>
        <w:t xml:space="preserve"> </w:t>
      </w:r>
      <w:r w:rsidR="00053A7C" w:rsidRPr="00954547">
        <w:rPr>
          <w:rFonts w:ascii="Verdana" w:hAnsi="Verdana"/>
          <w:sz w:val="16"/>
          <w:szCs w:val="16"/>
        </w:rPr>
        <w:t>Record of hearing of July</w:t>
      </w:r>
      <w:r w:rsidRPr="00954547">
        <w:rPr>
          <w:rFonts w:ascii="Verdana" w:hAnsi="Verdana"/>
          <w:sz w:val="16"/>
          <w:szCs w:val="16"/>
        </w:rPr>
        <w:t xml:space="preserve"> 7</w:t>
      </w:r>
      <w:r w:rsidR="00053A7C" w:rsidRPr="00954547">
        <w:rPr>
          <w:rFonts w:ascii="Verdana" w:hAnsi="Verdana"/>
          <w:sz w:val="16"/>
          <w:szCs w:val="16"/>
        </w:rPr>
        <w:t xml:space="preserve">, </w:t>
      </w:r>
      <w:r w:rsidRPr="00954547">
        <w:rPr>
          <w:rFonts w:ascii="Verdana" w:hAnsi="Verdana"/>
          <w:sz w:val="16"/>
          <w:szCs w:val="16"/>
        </w:rPr>
        <w:t>2008 (</w:t>
      </w:r>
      <w:r w:rsidR="001C328F" w:rsidRPr="00954547">
        <w:rPr>
          <w:rFonts w:ascii="Verdana" w:hAnsi="Verdana"/>
          <w:sz w:val="16"/>
          <w:szCs w:val="16"/>
        </w:rPr>
        <w:t>evidence file</w:t>
      </w:r>
      <w:r w:rsidRPr="00954547">
        <w:rPr>
          <w:rFonts w:ascii="Verdana" w:hAnsi="Verdana"/>
          <w:sz w:val="16"/>
          <w:szCs w:val="16"/>
        </w:rPr>
        <w:t>, folio 132).</w:t>
      </w:r>
    </w:p>
  </w:footnote>
  <w:footnote w:id="156">
    <w:p w14:paraId="5AF0FE70" w14:textId="3448FD5B"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eastAsiaTheme="minorHAnsi" w:hAnsi="Verdana" w:cs="Arial"/>
          <w:i/>
          <w:sz w:val="16"/>
          <w:szCs w:val="16"/>
          <w:bdr w:val="none" w:sz="0" w:space="0" w:color="auto"/>
        </w:rPr>
        <w:t>Cf.</w:t>
      </w:r>
      <w:r w:rsidRPr="00954547">
        <w:rPr>
          <w:rFonts w:ascii="Verdana" w:eastAsiaTheme="minorHAnsi" w:hAnsi="Verdana" w:cs="Arial"/>
          <w:sz w:val="16"/>
          <w:szCs w:val="16"/>
          <w:bdr w:val="none" w:sz="0" w:space="0" w:color="auto"/>
        </w:rPr>
        <w:t xml:space="preserve"> </w:t>
      </w:r>
      <w:r w:rsidR="00053A7C" w:rsidRPr="00954547">
        <w:rPr>
          <w:rFonts w:ascii="Verdana" w:eastAsiaTheme="minorHAnsi" w:hAnsi="Verdana" w:cs="Arial"/>
          <w:sz w:val="16"/>
          <w:szCs w:val="16"/>
          <w:bdr w:val="none" w:sz="0" w:space="0" w:color="auto"/>
        </w:rPr>
        <w:t xml:space="preserve">Request of Manuela’s defense to the </w:t>
      </w:r>
      <w:r w:rsidR="006029D7" w:rsidRPr="00954547">
        <w:rPr>
          <w:rFonts w:ascii="Verdana" w:eastAsiaTheme="minorHAnsi" w:hAnsi="Verdana" w:cs="Arial"/>
          <w:sz w:val="16"/>
          <w:szCs w:val="16"/>
          <w:bdr w:val="none" w:sz="0" w:space="0" w:color="auto"/>
        </w:rPr>
        <w:t>Second Trial Court of</w:t>
      </w:r>
      <w:r w:rsidRPr="00954547">
        <w:rPr>
          <w:rFonts w:ascii="Verdana" w:eastAsiaTheme="minorHAnsi" w:hAnsi="Verdana" w:cs="Arial"/>
          <w:sz w:val="16"/>
          <w:szCs w:val="16"/>
          <w:bdr w:val="none" w:sz="0" w:space="0" w:color="auto"/>
        </w:rPr>
        <w:t xml:space="preserve"> San Francisco de Gotera </w:t>
      </w:r>
      <w:r w:rsidR="00053A7C" w:rsidRPr="00954547">
        <w:rPr>
          <w:rFonts w:ascii="Verdana" w:eastAsiaTheme="minorHAnsi" w:hAnsi="Verdana" w:cs="Arial"/>
          <w:sz w:val="16"/>
          <w:szCs w:val="16"/>
          <w:bdr w:val="none" w:sz="0" w:space="0" w:color="auto"/>
        </w:rPr>
        <w:t>of July 7,</w:t>
      </w:r>
      <w:r w:rsidRPr="00954547">
        <w:rPr>
          <w:rFonts w:ascii="Verdana" w:eastAsiaTheme="minorHAnsi" w:hAnsi="Verdana" w:cs="Arial"/>
          <w:sz w:val="16"/>
          <w:szCs w:val="16"/>
          <w:bdr w:val="none" w:sz="0" w:space="0" w:color="auto"/>
        </w:rPr>
        <w:t xml:space="preserve"> 2008</w:t>
      </w:r>
      <w:r w:rsidR="00053A7C" w:rsidRPr="00954547">
        <w:rPr>
          <w:rFonts w:ascii="Verdana" w:eastAsiaTheme="minorHAnsi" w:hAnsi="Verdana" w:cs="Arial"/>
          <w:sz w:val="16"/>
          <w:szCs w:val="16"/>
          <w:bdr w:val="none" w:sz="0" w:space="0" w:color="auto"/>
        </w:rPr>
        <w:t>,</w:t>
      </w:r>
      <w:r w:rsidRPr="00954547">
        <w:rPr>
          <w:rFonts w:ascii="Verdana" w:eastAsiaTheme="minorHAnsi" w:hAnsi="Verdana" w:cs="Arial"/>
          <w:sz w:val="16"/>
          <w:szCs w:val="16"/>
          <w:bdr w:val="none" w:sz="0" w:space="0" w:color="auto"/>
        </w:rPr>
        <w:t xml:space="preserve"> </w:t>
      </w:r>
      <w:r w:rsidR="00053A7C" w:rsidRPr="00954547">
        <w:rPr>
          <w:rFonts w:ascii="Verdana" w:eastAsiaTheme="minorHAnsi" w:hAnsi="Verdana" w:cs="Arial"/>
          <w:sz w:val="16"/>
          <w:szCs w:val="16"/>
          <w:bdr w:val="none" w:sz="0" w:space="0" w:color="auto"/>
        </w:rPr>
        <w:t xml:space="preserve">asking that Manuela’s public defender be substituted </w:t>
      </w:r>
      <w:r w:rsidRPr="00954547">
        <w:rPr>
          <w:rFonts w:ascii="Verdana" w:eastAsiaTheme="minorHAnsi" w:hAnsi="Verdana" w:cs="Arial"/>
          <w:sz w:val="16"/>
          <w:szCs w:val="16"/>
          <w:bdr w:val="none" w:sz="0" w:space="0" w:color="auto"/>
        </w:rPr>
        <w:t>(</w:t>
      </w:r>
      <w:r w:rsidR="001C328F" w:rsidRPr="00954547">
        <w:rPr>
          <w:rFonts w:ascii="Verdana" w:eastAsiaTheme="minorHAnsi" w:hAnsi="Verdana" w:cs="Arial"/>
          <w:sz w:val="16"/>
          <w:szCs w:val="16"/>
          <w:bdr w:val="none" w:sz="0" w:space="0" w:color="auto"/>
        </w:rPr>
        <w:t>evidence file</w:t>
      </w:r>
      <w:r w:rsidRPr="00954547">
        <w:rPr>
          <w:rFonts w:ascii="Verdana" w:eastAsiaTheme="minorHAnsi" w:hAnsi="Verdana" w:cs="Arial"/>
          <w:sz w:val="16"/>
          <w:szCs w:val="16"/>
          <w:bdr w:val="none" w:sz="0" w:space="0" w:color="auto"/>
        </w:rPr>
        <w:t>, folio 1939)</w:t>
      </w:r>
      <w:r w:rsidR="0078694F" w:rsidRPr="00954547">
        <w:rPr>
          <w:rFonts w:ascii="Verdana" w:eastAsiaTheme="minorHAnsi" w:hAnsi="Verdana" w:cs="Arial"/>
          <w:sz w:val="16"/>
          <w:szCs w:val="16"/>
          <w:bdr w:val="none" w:sz="0" w:space="0" w:color="auto"/>
        </w:rPr>
        <w:t xml:space="preserve"> and </w:t>
      </w:r>
      <w:r w:rsidR="00807D09" w:rsidRPr="00954547">
        <w:rPr>
          <w:rFonts w:ascii="Verdana" w:eastAsiaTheme="minorHAnsi" w:hAnsi="Verdana" w:cs="Arial"/>
          <w:sz w:val="16"/>
          <w:szCs w:val="16"/>
          <w:bdr w:val="none" w:sz="0" w:space="0" w:color="auto"/>
        </w:rPr>
        <w:t>Communication issued by the</w:t>
      </w:r>
      <w:r w:rsidRPr="00954547">
        <w:rPr>
          <w:rFonts w:ascii="Verdana" w:eastAsiaTheme="minorHAnsi" w:hAnsi="Verdana" w:cs="Arial"/>
          <w:sz w:val="16"/>
          <w:szCs w:val="16"/>
          <w:bdr w:val="none" w:sz="0" w:space="0" w:color="auto"/>
        </w:rPr>
        <w:t xml:space="preserve"> </w:t>
      </w:r>
      <w:r w:rsidR="006029D7" w:rsidRPr="00954547">
        <w:rPr>
          <w:rFonts w:ascii="Verdana" w:eastAsiaTheme="minorHAnsi" w:hAnsi="Verdana" w:cs="Arial"/>
          <w:sz w:val="16"/>
          <w:szCs w:val="16"/>
          <w:bdr w:val="none" w:sz="0" w:space="0" w:color="auto"/>
        </w:rPr>
        <w:t>Second Trial Court of</w:t>
      </w:r>
      <w:r w:rsidRPr="00954547">
        <w:rPr>
          <w:rFonts w:ascii="Verdana" w:eastAsiaTheme="minorHAnsi" w:hAnsi="Verdana" w:cs="Arial"/>
          <w:sz w:val="16"/>
          <w:szCs w:val="16"/>
          <w:bdr w:val="none" w:sz="0" w:space="0" w:color="auto"/>
        </w:rPr>
        <w:t xml:space="preserve"> San Francisco de Gotera </w:t>
      </w:r>
      <w:r w:rsidR="004E2578" w:rsidRPr="00954547">
        <w:rPr>
          <w:rFonts w:ascii="Verdana" w:eastAsiaTheme="minorHAnsi" w:hAnsi="Verdana" w:cs="Arial"/>
          <w:sz w:val="16"/>
          <w:szCs w:val="16"/>
          <w:bdr w:val="none" w:sz="0" w:space="0" w:color="auto"/>
        </w:rPr>
        <w:t>at 8</w:t>
      </w:r>
      <w:r w:rsidR="00076692" w:rsidRPr="00954547">
        <w:rPr>
          <w:rFonts w:ascii="Verdana" w:eastAsiaTheme="minorHAnsi" w:hAnsi="Verdana" w:cs="Arial"/>
          <w:sz w:val="16"/>
          <w:szCs w:val="16"/>
          <w:bdr w:val="none" w:sz="0" w:space="0" w:color="auto"/>
        </w:rPr>
        <w:t>:</w:t>
      </w:r>
      <w:r w:rsidR="004E2578" w:rsidRPr="00954547">
        <w:rPr>
          <w:rFonts w:ascii="Verdana" w:eastAsiaTheme="minorHAnsi" w:hAnsi="Verdana" w:cs="Arial"/>
          <w:sz w:val="16"/>
          <w:szCs w:val="16"/>
          <w:bdr w:val="none" w:sz="0" w:space="0" w:color="auto"/>
        </w:rPr>
        <w:t xml:space="preserve">30 a.m. on </w:t>
      </w:r>
      <w:r w:rsidR="00053A7C" w:rsidRPr="00954547">
        <w:rPr>
          <w:rFonts w:ascii="Verdana" w:eastAsiaTheme="minorHAnsi" w:hAnsi="Verdana" w:cs="Arial"/>
          <w:sz w:val="16"/>
          <w:szCs w:val="16"/>
          <w:bdr w:val="none" w:sz="0" w:space="0" w:color="auto"/>
        </w:rPr>
        <w:t>July 7,</w:t>
      </w:r>
      <w:r w:rsidRPr="00954547">
        <w:rPr>
          <w:rFonts w:ascii="Verdana" w:eastAsiaTheme="minorHAnsi" w:hAnsi="Verdana" w:cs="Arial"/>
          <w:sz w:val="16"/>
          <w:szCs w:val="16"/>
          <w:bdr w:val="none" w:sz="0" w:space="0" w:color="auto"/>
        </w:rPr>
        <w:t xml:space="preserve"> 2008 (</w:t>
      </w:r>
      <w:r w:rsidR="001C328F" w:rsidRPr="00954547">
        <w:rPr>
          <w:rFonts w:ascii="Verdana" w:eastAsiaTheme="minorHAnsi" w:hAnsi="Verdana" w:cs="Arial"/>
          <w:sz w:val="16"/>
          <w:szCs w:val="16"/>
          <w:bdr w:val="none" w:sz="0" w:space="0" w:color="auto"/>
        </w:rPr>
        <w:t>evidence file</w:t>
      </w:r>
      <w:r w:rsidRPr="00954547">
        <w:rPr>
          <w:rFonts w:ascii="Verdana" w:eastAsiaTheme="minorHAnsi" w:hAnsi="Verdana" w:cs="Arial"/>
          <w:sz w:val="16"/>
          <w:szCs w:val="16"/>
          <w:bdr w:val="none" w:sz="0" w:space="0" w:color="auto"/>
        </w:rPr>
        <w:t>, folio 1940).</w:t>
      </w:r>
    </w:p>
  </w:footnote>
  <w:footnote w:id="157">
    <w:p w14:paraId="6A5E0765" w14:textId="796BF21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29D7" w:rsidRPr="00954547">
        <w:rPr>
          <w:rFonts w:ascii="Verdana" w:hAnsi="Verdana"/>
          <w:sz w:val="16"/>
          <w:szCs w:val="16"/>
        </w:rPr>
        <w:t>Second Trial Court of</w:t>
      </w:r>
      <w:r w:rsidRPr="00954547">
        <w:rPr>
          <w:rFonts w:ascii="Verdana" w:hAnsi="Verdana"/>
          <w:sz w:val="16"/>
          <w:szCs w:val="16"/>
        </w:rPr>
        <w:t xml:space="preserve"> San Francisco Gotera, Morazán. </w:t>
      </w:r>
      <w:r w:rsidR="004E2A50" w:rsidRPr="00954547">
        <w:rPr>
          <w:rFonts w:ascii="Verdana" w:hAnsi="Verdana"/>
          <w:sz w:val="16"/>
          <w:szCs w:val="16"/>
        </w:rPr>
        <w:t>Ruling of</w:t>
      </w:r>
      <w:r w:rsidRPr="00954547">
        <w:rPr>
          <w:rFonts w:ascii="Verdana" w:hAnsi="Verdana"/>
          <w:sz w:val="16"/>
          <w:szCs w:val="16"/>
        </w:rPr>
        <w:t xml:space="preserve"> </w:t>
      </w:r>
      <w:r w:rsidR="00053A7C" w:rsidRPr="00954547">
        <w:rPr>
          <w:rFonts w:ascii="Verdana" w:hAnsi="Verdana"/>
          <w:sz w:val="16"/>
          <w:szCs w:val="16"/>
        </w:rPr>
        <w:t>July 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140</w:t>
      </w:r>
      <w:r w:rsidR="0078694F" w:rsidRPr="00954547">
        <w:rPr>
          <w:rFonts w:ascii="Verdana" w:hAnsi="Verdana"/>
          <w:sz w:val="16"/>
          <w:szCs w:val="16"/>
        </w:rPr>
        <w:t xml:space="preserve"> and </w:t>
      </w:r>
      <w:r w:rsidRPr="00954547">
        <w:rPr>
          <w:rFonts w:ascii="Verdana" w:hAnsi="Verdana"/>
          <w:sz w:val="16"/>
          <w:szCs w:val="16"/>
        </w:rPr>
        <w:t>141).</w:t>
      </w:r>
    </w:p>
  </w:footnote>
  <w:footnote w:id="158">
    <w:p w14:paraId="344E9F6F" w14:textId="17F149F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29D7" w:rsidRPr="00954547">
        <w:rPr>
          <w:rFonts w:ascii="Verdana" w:hAnsi="Verdana"/>
          <w:sz w:val="16"/>
          <w:szCs w:val="16"/>
        </w:rPr>
        <w:t>Second Trial Court of</w:t>
      </w:r>
      <w:r w:rsidRPr="00954547">
        <w:rPr>
          <w:rFonts w:ascii="Verdana" w:hAnsi="Verdana"/>
          <w:sz w:val="16"/>
          <w:szCs w:val="16"/>
        </w:rPr>
        <w:t xml:space="preserve"> San Francisco Gotera, Morazán. </w:t>
      </w:r>
      <w:r w:rsidR="004E2A50" w:rsidRPr="00954547">
        <w:rPr>
          <w:rFonts w:ascii="Verdana" w:hAnsi="Verdana"/>
          <w:sz w:val="16"/>
          <w:szCs w:val="16"/>
        </w:rPr>
        <w:t>Ruling of</w:t>
      </w:r>
      <w:r w:rsidRPr="00954547">
        <w:rPr>
          <w:rFonts w:ascii="Verdana" w:hAnsi="Verdana"/>
          <w:sz w:val="16"/>
          <w:szCs w:val="16"/>
        </w:rPr>
        <w:t xml:space="preserve"> </w:t>
      </w:r>
      <w:r w:rsidR="00053A7C" w:rsidRPr="00954547">
        <w:rPr>
          <w:rFonts w:ascii="Verdana" w:hAnsi="Verdana"/>
          <w:sz w:val="16"/>
          <w:szCs w:val="16"/>
        </w:rPr>
        <w:t>July 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137).</w:t>
      </w:r>
    </w:p>
  </w:footnote>
  <w:footnote w:id="159">
    <w:p w14:paraId="474734D3" w14:textId="7122230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29D7" w:rsidRPr="00954547">
        <w:rPr>
          <w:rFonts w:ascii="Verdana" w:hAnsi="Verdana"/>
          <w:sz w:val="16"/>
          <w:szCs w:val="16"/>
        </w:rPr>
        <w:t>Second Trial Court of</w:t>
      </w:r>
      <w:r w:rsidRPr="00954547">
        <w:rPr>
          <w:rFonts w:ascii="Verdana" w:hAnsi="Verdana"/>
          <w:sz w:val="16"/>
          <w:szCs w:val="16"/>
        </w:rPr>
        <w:t xml:space="preserve"> San Francisco Gotera, Morazán. </w:t>
      </w:r>
      <w:r w:rsidR="004E2A50" w:rsidRPr="00954547">
        <w:rPr>
          <w:rFonts w:ascii="Verdana" w:hAnsi="Verdana"/>
          <w:sz w:val="16"/>
          <w:szCs w:val="16"/>
        </w:rPr>
        <w:t>Ruling of</w:t>
      </w:r>
      <w:r w:rsidRPr="00954547">
        <w:rPr>
          <w:rFonts w:ascii="Verdana" w:hAnsi="Verdana"/>
          <w:sz w:val="16"/>
          <w:szCs w:val="16"/>
        </w:rPr>
        <w:t xml:space="preserve"> </w:t>
      </w:r>
      <w:r w:rsidR="00053A7C" w:rsidRPr="00954547">
        <w:rPr>
          <w:rFonts w:ascii="Verdana" w:hAnsi="Verdana"/>
          <w:sz w:val="16"/>
          <w:szCs w:val="16"/>
        </w:rPr>
        <w:t>July 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137</w:t>
      </w:r>
      <w:r w:rsidR="0078694F" w:rsidRPr="00954547">
        <w:rPr>
          <w:rFonts w:ascii="Verdana" w:hAnsi="Verdana"/>
          <w:sz w:val="16"/>
          <w:szCs w:val="16"/>
        </w:rPr>
        <w:t xml:space="preserve"> and </w:t>
      </w:r>
      <w:r w:rsidRPr="00954547">
        <w:rPr>
          <w:rFonts w:ascii="Verdana" w:hAnsi="Verdana"/>
          <w:sz w:val="16"/>
          <w:szCs w:val="16"/>
        </w:rPr>
        <w:t>138).</w:t>
      </w:r>
    </w:p>
  </w:footnote>
  <w:footnote w:id="160">
    <w:p w14:paraId="11C251C8" w14:textId="4AE7569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35EA0" w:rsidRPr="00954547">
        <w:rPr>
          <w:rFonts w:ascii="Verdana" w:hAnsi="Verdana"/>
          <w:sz w:val="16"/>
          <w:szCs w:val="16"/>
        </w:rPr>
        <w:t>Institute of Forensic Medicine</w:t>
      </w:r>
      <w:r w:rsidRPr="00954547">
        <w:rPr>
          <w:rFonts w:ascii="Verdana" w:hAnsi="Verdana"/>
          <w:sz w:val="16"/>
          <w:szCs w:val="16"/>
        </w:rPr>
        <w:t xml:space="preserve">, </w:t>
      </w:r>
      <w:r w:rsidR="004E2A50" w:rsidRPr="00954547">
        <w:rPr>
          <w:rFonts w:ascii="Verdana" w:hAnsi="Verdana"/>
          <w:sz w:val="16"/>
          <w:szCs w:val="16"/>
        </w:rPr>
        <w:t>psychiatric appraisal of July 23,</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143).</w:t>
      </w:r>
    </w:p>
  </w:footnote>
  <w:footnote w:id="161">
    <w:p w14:paraId="66C811F0" w14:textId="3F1116C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4E2A50"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Morazán. </w:t>
      </w:r>
      <w:r w:rsidR="00B8393C" w:rsidRPr="00954547">
        <w:rPr>
          <w:rFonts w:ascii="Verdana" w:hAnsi="Verdana"/>
          <w:sz w:val="16"/>
          <w:szCs w:val="16"/>
        </w:rPr>
        <w:t>Judgment of</w:t>
      </w:r>
      <w:r w:rsidRPr="00954547">
        <w:rPr>
          <w:rFonts w:ascii="Verdana" w:hAnsi="Verdana"/>
          <w:sz w:val="16"/>
          <w:szCs w:val="16"/>
        </w:rPr>
        <w:t xml:space="preserve"> </w:t>
      </w:r>
      <w:r w:rsidR="003212CD" w:rsidRPr="00954547">
        <w:rPr>
          <w:rFonts w:ascii="Verdana" w:hAnsi="Verdana"/>
          <w:sz w:val="16"/>
          <w:szCs w:val="16"/>
        </w:rPr>
        <w:t>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148).</w:t>
      </w:r>
    </w:p>
  </w:footnote>
  <w:footnote w:id="162">
    <w:p w14:paraId="24650B71" w14:textId="6B66AC5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4E2A50"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Morazán. </w:t>
      </w:r>
      <w:r w:rsidR="00B8393C" w:rsidRPr="00954547">
        <w:rPr>
          <w:rFonts w:ascii="Verdana" w:hAnsi="Verdana"/>
          <w:sz w:val="16"/>
          <w:szCs w:val="16"/>
        </w:rPr>
        <w:t>Judgment of</w:t>
      </w:r>
      <w:r w:rsidRPr="00954547">
        <w:rPr>
          <w:rFonts w:ascii="Verdana" w:hAnsi="Verdana"/>
          <w:sz w:val="16"/>
          <w:szCs w:val="16"/>
        </w:rPr>
        <w:t xml:space="preserve"> </w:t>
      </w:r>
      <w:r w:rsidR="003212CD" w:rsidRPr="00954547">
        <w:rPr>
          <w:rFonts w:ascii="Verdana" w:hAnsi="Verdana"/>
          <w:sz w:val="16"/>
          <w:szCs w:val="16"/>
        </w:rPr>
        <w:t>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150).</w:t>
      </w:r>
    </w:p>
  </w:footnote>
  <w:footnote w:id="163">
    <w:p w14:paraId="5374AD11" w14:textId="61186AD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4E2A50"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Morazán. </w:t>
      </w:r>
      <w:r w:rsidR="00B8393C" w:rsidRPr="00954547">
        <w:rPr>
          <w:rFonts w:ascii="Verdana" w:hAnsi="Verdana"/>
          <w:sz w:val="16"/>
          <w:szCs w:val="16"/>
        </w:rPr>
        <w:t>Judgment of</w:t>
      </w:r>
      <w:r w:rsidRPr="00954547">
        <w:rPr>
          <w:rFonts w:ascii="Verdana" w:hAnsi="Verdana"/>
          <w:sz w:val="16"/>
          <w:szCs w:val="16"/>
        </w:rPr>
        <w:t xml:space="preserve"> </w:t>
      </w:r>
      <w:r w:rsidR="003212CD" w:rsidRPr="00954547">
        <w:rPr>
          <w:rFonts w:ascii="Verdana" w:hAnsi="Verdana"/>
          <w:sz w:val="16"/>
          <w:szCs w:val="16"/>
        </w:rPr>
        <w:t>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150</w:t>
      </w:r>
      <w:r w:rsidR="0078694F" w:rsidRPr="00954547">
        <w:rPr>
          <w:rFonts w:ascii="Verdana" w:hAnsi="Verdana"/>
          <w:sz w:val="16"/>
          <w:szCs w:val="16"/>
        </w:rPr>
        <w:t xml:space="preserve"> and </w:t>
      </w:r>
      <w:r w:rsidRPr="00954547">
        <w:rPr>
          <w:rFonts w:ascii="Verdana" w:hAnsi="Verdana"/>
          <w:sz w:val="16"/>
          <w:szCs w:val="16"/>
        </w:rPr>
        <w:t>151).</w:t>
      </w:r>
    </w:p>
  </w:footnote>
  <w:footnote w:id="164">
    <w:p w14:paraId="3E2035CD" w14:textId="0C3D931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3212CD" w:rsidRPr="00954547">
        <w:rPr>
          <w:rFonts w:ascii="Verdana" w:hAnsi="Verdana"/>
          <w:sz w:val="16"/>
          <w:szCs w:val="16"/>
        </w:rPr>
        <w:t xml:space="preserve">Record of preliminary hearing </w:t>
      </w:r>
      <w:r w:rsidR="00053A7C" w:rsidRPr="00954547">
        <w:rPr>
          <w:rFonts w:ascii="Verdana" w:hAnsi="Verdana"/>
          <w:sz w:val="16"/>
          <w:szCs w:val="16"/>
        </w:rPr>
        <w:t xml:space="preserve">of the </w:t>
      </w:r>
      <w:r w:rsidR="006029D7" w:rsidRPr="00954547">
        <w:rPr>
          <w:rFonts w:ascii="Verdana" w:hAnsi="Verdana"/>
          <w:sz w:val="16"/>
          <w:szCs w:val="16"/>
        </w:rPr>
        <w:t>Second Trial Court of</w:t>
      </w:r>
      <w:r w:rsidRPr="00954547">
        <w:rPr>
          <w:rFonts w:ascii="Verdana" w:hAnsi="Verdana"/>
          <w:sz w:val="16"/>
          <w:szCs w:val="16"/>
        </w:rPr>
        <w:t xml:space="preserve"> San Francisco Gotera, </w:t>
      </w:r>
      <w:r w:rsidR="009C7854" w:rsidRPr="00954547">
        <w:rPr>
          <w:rFonts w:ascii="Verdana" w:hAnsi="Verdana"/>
          <w:sz w:val="16"/>
          <w:szCs w:val="16"/>
        </w:rPr>
        <w:t>Morazán, on</w:t>
      </w:r>
      <w:r w:rsidRPr="00954547">
        <w:rPr>
          <w:rFonts w:ascii="Verdana" w:hAnsi="Verdana"/>
          <w:sz w:val="16"/>
          <w:szCs w:val="16"/>
        </w:rPr>
        <w:t xml:space="preserve"> </w:t>
      </w:r>
      <w:r w:rsidR="00053A7C" w:rsidRPr="00954547">
        <w:rPr>
          <w:rFonts w:ascii="Verdana" w:hAnsi="Verdana"/>
          <w:sz w:val="16"/>
          <w:szCs w:val="16"/>
        </w:rPr>
        <w:t>July 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133); </w:t>
      </w:r>
      <w:r w:rsidR="003212CD" w:rsidRPr="00954547">
        <w:rPr>
          <w:rFonts w:ascii="Verdana" w:hAnsi="Verdana"/>
          <w:sz w:val="16"/>
          <w:szCs w:val="16"/>
        </w:rPr>
        <w:t xml:space="preserve">Record of the public hearing </w:t>
      </w:r>
      <w:r w:rsidR="00607E12" w:rsidRPr="00954547">
        <w:rPr>
          <w:rFonts w:ascii="Verdana" w:hAnsi="Verdana"/>
          <w:sz w:val="16"/>
          <w:szCs w:val="16"/>
        </w:rPr>
        <w:t xml:space="preserve">of 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Morazán</w:t>
      </w:r>
      <w:r w:rsidR="009C7854" w:rsidRPr="00954547">
        <w:rPr>
          <w:rFonts w:ascii="Verdana" w:hAnsi="Verdana"/>
          <w:sz w:val="16"/>
          <w:szCs w:val="16"/>
        </w:rPr>
        <w:t>,</w:t>
      </w:r>
      <w:r w:rsidRPr="00954547">
        <w:rPr>
          <w:rFonts w:ascii="Verdana" w:hAnsi="Verdana"/>
          <w:sz w:val="16"/>
          <w:szCs w:val="16"/>
        </w:rPr>
        <w:t xml:space="preserve"> </w:t>
      </w:r>
      <w:r w:rsidR="003212CD" w:rsidRPr="00954547">
        <w:rPr>
          <w:rFonts w:ascii="Verdana" w:hAnsi="Verdana"/>
          <w:sz w:val="16"/>
          <w:szCs w:val="16"/>
        </w:rPr>
        <w:t>on July 31,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5371); </w:t>
      </w:r>
      <w:r w:rsidR="003212CD" w:rsidRPr="00954547">
        <w:rPr>
          <w:rFonts w:ascii="Verdana" w:hAnsi="Verdana"/>
          <w:sz w:val="16"/>
          <w:szCs w:val="16"/>
        </w:rPr>
        <w:t>Judgment delivered by</w:t>
      </w:r>
      <w:r w:rsidRPr="00954547">
        <w:rPr>
          <w:rFonts w:ascii="Verdana" w:hAnsi="Verdana"/>
          <w:sz w:val="16"/>
          <w:szCs w:val="16"/>
        </w:rPr>
        <w:t xml:space="preserve"> </w:t>
      </w:r>
      <w:r w:rsidR="00E76B1A" w:rsidRPr="00954547">
        <w:rPr>
          <w:rFonts w:ascii="Verdana" w:hAnsi="Verdana"/>
          <w:sz w:val="16"/>
          <w:szCs w:val="16"/>
        </w:rPr>
        <w:t xml:space="preserve">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Morazán</w:t>
      </w:r>
      <w:r w:rsidR="009C7854" w:rsidRPr="00954547">
        <w:rPr>
          <w:rFonts w:ascii="Verdana" w:hAnsi="Verdana"/>
          <w:sz w:val="16"/>
          <w:szCs w:val="16"/>
        </w:rPr>
        <w:t>,</w:t>
      </w:r>
      <w:r w:rsidRPr="00954547">
        <w:rPr>
          <w:rFonts w:ascii="Verdana" w:hAnsi="Verdana"/>
          <w:sz w:val="16"/>
          <w:szCs w:val="16"/>
        </w:rPr>
        <w:t xml:space="preserve"> </w:t>
      </w:r>
      <w:r w:rsidR="007232D8" w:rsidRPr="00954547">
        <w:rPr>
          <w:rFonts w:ascii="Verdana" w:hAnsi="Verdana"/>
          <w:sz w:val="16"/>
          <w:szCs w:val="16"/>
        </w:rPr>
        <w:t>on 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folios 146 </w:t>
      </w:r>
      <w:r w:rsidR="003212CD" w:rsidRPr="00954547">
        <w:rPr>
          <w:rFonts w:ascii="Verdana" w:hAnsi="Verdana"/>
          <w:sz w:val="16"/>
          <w:szCs w:val="16"/>
        </w:rPr>
        <w:t>to</w:t>
      </w:r>
      <w:r w:rsidRPr="00954547">
        <w:rPr>
          <w:rFonts w:ascii="Verdana" w:hAnsi="Verdana"/>
          <w:sz w:val="16"/>
          <w:szCs w:val="16"/>
        </w:rPr>
        <w:t xml:space="preserve"> 168),</w:t>
      </w:r>
      <w:r w:rsidR="0078694F" w:rsidRPr="00954547">
        <w:rPr>
          <w:rFonts w:ascii="Verdana" w:hAnsi="Verdana"/>
          <w:sz w:val="16"/>
          <w:szCs w:val="16"/>
        </w:rPr>
        <w:t xml:space="preserve"> and </w:t>
      </w:r>
      <w:r w:rsidR="0032123B" w:rsidRPr="00954547">
        <w:rPr>
          <w:rFonts w:ascii="Verdana" w:hAnsi="Verdana"/>
          <w:sz w:val="16"/>
          <w:szCs w:val="16"/>
        </w:rPr>
        <w:t>Sworn statement of</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E60BF1" w:rsidRPr="00954547">
        <w:rPr>
          <w:rFonts w:ascii="Verdana" w:hAnsi="Verdana"/>
          <w:sz w:val="16"/>
          <w:szCs w:val="16"/>
        </w:rPr>
        <w:t>o</w:t>
      </w:r>
      <w:r w:rsidR="003212CD" w:rsidRPr="00954547">
        <w:rPr>
          <w:rFonts w:ascii="Verdana" w:hAnsi="Verdana"/>
          <w:sz w:val="16"/>
          <w:szCs w:val="16"/>
        </w:rPr>
        <w:t>f</w:t>
      </w:r>
      <w:r w:rsidR="00E60BF1" w:rsidRPr="00954547">
        <w:rPr>
          <w:rFonts w:ascii="Verdana" w:hAnsi="Verdana"/>
          <w:sz w:val="16"/>
          <w:szCs w:val="16"/>
        </w:rPr>
        <w:t xml:space="preserve">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2283).</w:t>
      </w:r>
    </w:p>
  </w:footnote>
  <w:footnote w:id="165">
    <w:p w14:paraId="74BCBE07" w14:textId="2C4B6945"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3212CD" w:rsidRPr="00954547">
        <w:rPr>
          <w:rFonts w:ascii="Verdana" w:hAnsi="Verdana"/>
          <w:sz w:val="16"/>
          <w:szCs w:val="16"/>
        </w:rPr>
        <w:t xml:space="preserve">Record of the public hearing </w:t>
      </w:r>
      <w:r w:rsidR="00607E12" w:rsidRPr="00954547">
        <w:rPr>
          <w:rFonts w:ascii="Verdana" w:hAnsi="Verdana"/>
          <w:sz w:val="16"/>
          <w:szCs w:val="16"/>
        </w:rPr>
        <w:t xml:space="preserve">of 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Morazán</w:t>
      </w:r>
      <w:r w:rsidR="009C7854" w:rsidRPr="00954547">
        <w:rPr>
          <w:rFonts w:ascii="Verdana" w:hAnsi="Verdana"/>
          <w:sz w:val="16"/>
          <w:szCs w:val="16"/>
        </w:rPr>
        <w:t>,</w:t>
      </w:r>
      <w:r w:rsidRPr="00954547">
        <w:rPr>
          <w:rFonts w:ascii="Verdana" w:hAnsi="Verdana"/>
          <w:sz w:val="16"/>
          <w:szCs w:val="16"/>
        </w:rPr>
        <w:t xml:space="preserve"> </w:t>
      </w:r>
      <w:r w:rsidR="003212CD" w:rsidRPr="00954547">
        <w:rPr>
          <w:rFonts w:ascii="Verdana" w:hAnsi="Verdana"/>
          <w:sz w:val="16"/>
          <w:szCs w:val="16"/>
        </w:rPr>
        <w:t>on July 31,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5371).</w:t>
      </w:r>
    </w:p>
  </w:footnote>
  <w:footnote w:id="166">
    <w:p w14:paraId="0E5E4199" w14:textId="5699C75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E3A8B" w:rsidRPr="00954547">
        <w:rPr>
          <w:rFonts w:ascii="Verdana" w:hAnsi="Verdana"/>
          <w:sz w:val="16"/>
          <w:szCs w:val="16"/>
        </w:rPr>
        <w:t>Judgment handed down by</w:t>
      </w:r>
      <w:r w:rsidRPr="00954547">
        <w:rPr>
          <w:rFonts w:ascii="Verdana" w:hAnsi="Verdana"/>
          <w:sz w:val="16"/>
          <w:szCs w:val="16"/>
        </w:rPr>
        <w:t xml:space="preserve"> </w:t>
      </w:r>
      <w:r w:rsidR="00E76B1A" w:rsidRPr="00954547">
        <w:rPr>
          <w:rFonts w:ascii="Verdana" w:hAnsi="Verdana"/>
          <w:sz w:val="16"/>
          <w:szCs w:val="16"/>
        </w:rPr>
        <w:t xml:space="preserve">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w:t>
      </w:r>
      <w:r w:rsidR="009C7854" w:rsidRPr="00954547">
        <w:rPr>
          <w:rFonts w:ascii="Verdana" w:hAnsi="Verdana"/>
          <w:sz w:val="16"/>
          <w:szCs w:val="16"/>
        </w:rPr>
        <w:t>Morazán, on</w:t>
      </w:r>
      <w:r w:rsidR="007232D8" w:rsidRPr="00954547">
        <w:rPr>
          <w:rFonts w:ascii="Verdana" w:hAnsi="Verdana"/>
          <w:sz w:val="16"/>
          <w:szCs w:val="16"/>
        </w:rPr>
        <w:t xml:space="preserve"> 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168).</w:t>
      </w:r>
    </w:p>
  </w:footnote>
  <w:footnote w:id="167">
    <w:p w14:paraId="645A54A3" w14:textId="6F1E7B9F" w:rsidR="005F001B" w:rsidRPr="00954547" w:rsidRDefault="005F001B" w:rsidP="007619E6">
      <w:pPr>
        <w:pStyle w:val="FootnoteText"/>
        <w:tabs>
          <w:tab w:val="left" w:pos="567"/>
        </w:tabs>
        <w:spacing w:after="120"/>
        <w:jc w:val="both"/>
        <w:rPr>
          <w:rFonts w:ascii="Verdana" w:hAnsi="Verdana"/>
          <w:b/>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E3A8B" w:rsidRPr="00954547">
        <w:rPr>
          <w:rFonts w:ascii="Verdana" w:hAnsi="Verdana"/>
          <w:sz w:val="16"/>
          <w:szCs w:val="16"/>
        </w:rPr>
        <w:t>Judgment handed down by</w:t>
      </w:r>
      <w:r w:rsidRPr="00954547">
        <w:rPr>
          <w:rFonts w:ascii="Verdana" w:hAnsi="Verdana"/>
          <w:sz w:val="16"/>
          <w:szCs w:val="16"/>
        </w:rPr>
        <w:t xml:space="preserve"> </w:t>
      </w:r>
      <w:r w:rsidR="00E76B1A" w:rsidRPr="00954547">
        <w:rPr>
          <w:rFonts w:ascii="Verdana" w:hAnsi="Verdana"/>
          <w:sz w:val="16"/>
          <w:szCs w:val="16"/>
        </w:rPr>
        <w:t xml:space="preserve">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w:t>
      </w:r>
      <w:r w:rsidR="009C7854" w:rsidRPr="00954547">
        <w:rPr>
          <w:rFonts w:ascii="Verdana" w:hAnsi="Verdana"/>
          <w:sz w:val="16"/>
          <w:szCs w:val="16"/>
        </w:rPr>
        <w:t>Morazán, on</w:t>
      </w:r>
      <w:r w:rsidR="007232D8" w:rsidRPr="00954547">
        <w:rPr>
          <w:rFonts w:ascii="Verdana" w:hAnsi="Verdana"/>
          <w:sz w:val="16"/>
          <w:szCs w:val="16"/>
        </w:rPr>
        <w:t xml:space="preserve"> 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160, 164</w:t>
      </w:r>
      <w:r w:rsidR="0078694F" w:rsidRPr="00954547">
        <w:rPr>
          <w:rFonts w:ascii="Verdana" w:hAnsi="Verdana"/>
          <w:sz w:val="16"/>
          <w:szCs w:val="16"/>
        </w:rPr>
        <w:t xml:space="preserve"> and </w:t>
      </w:r>
      <w:r w:rsidRPr="00954547">
        <w:rPr>
          <w:rFonts w:ascii="Verdana" w:hAnsi="Verdana"/>
          <w:sz w:val="16"/>
          <w:szCs w:val="16"/>
        </w:rPr>
        <w:t xml:space="preserve">165). </w:t>
      </w:r>
    </w:p>
  </w:footnote>
  <w:footnote w:id="168">
    <w:p w14:paraId="336BCB38" w14:textId="6F35826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E3A8B" w:rsidRPr="00954547">
        <w:rPr>
          <w:rFonts w:ascii="Verdana" w:hAnsi="Verdana"/>
          <w:sz w:val="16"/>
          <w:szCs w:val="16"/>
        </w:rPr>
        <w:t>Judgment handed down by</w:t>
      </w:r>
      <w:r w:rsidRPr="00954547">
        <w:rPr>
          <w:rFonts w:ascii="Verdana" w:hAnsi="Verdana"/>
          <w:sz w:val="16"/>
          <w:szCs w:val="16"/>
        </w:rPr>
        <w:t xml:space="preserve"> </w:t>
      </w:r>
      <w:r w:rsidR="00E76B1A" w:rsidRPr="00954547">
        <w:rPr>
          <w:rFonts w:ascii="Verdana" w:hAnsi="Verdana"/>
          <w:sz w:val="16"/>
          <w:szCs w:val="16"/>
        </w:rPr>
        <w:t xml:space="preserve">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w:t>
      </w:r>
      <w:r w:rsidR="009C7854" w:rsidRPr="00954547">
        <w:rPr>
          <w:rFonts w:ascii="Verdana" w:hAnsi="Verdana"/>
          <w:sz w:val="16"/>
          <w:szCs w:val="16"/>
        </w:rPr>
        <w:t>Morazán, on</w:t>
      </w:r>
      <w:r w:rsidR="007232D8" w:rsidRPr="00954547">
        <w:rPr>
          <w:rFonts w:ascii="Verdana" w:hAnsi="Verdana"/>
          <w:sz w:val="16"/>
          <w:szCs w:val="16"/>
        </w:rPr>
        <w:t xml:space="preserve"> 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166).</w:t>
      </w:r>
    </w:p>
  </w:footnote>
  <w:footnote w:id="169">
    <w:p w14:paraId="495FE31C" w14:textId="22489C5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E3A8B" w:rsidRPr="00954547">
        <w:rPr>
          <w:rFonts w:ascii="Verdana" w:hAnsi="Verdana"/>
          <w:sz w:val="16"/>
          <w:szCs w:val="16"/>
        </w:rPr>
        <w:t>Judgment handed down by</w:t>
      </w:r>
      <w:r w:rsidRPr="00954547">
        <w:rPr>
          <w:rFonts w:ascii="Verdana" w:hAnsi="Verdana"/>
          <w:sz w:val="16"/>
          <w:szCs w:val="16"/>
        </w:rPr>
        <w:t xml:space="preserve"> </w:t>
      </w:r>
      <w:r w:rsidR="00E76B1A" w:rsidRPr="00954547">
        <w:rPr>
          <w:rFonts w:ascii="Verdana" w:hAnsi="Verdana"/>
          <w:sz w:val="16"/>
          <w:szCs w:val="16"/>
        </w:rPr>
        <w:t xml:space="preserve">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w:t>
      </w:r>
      <w:r w:rsidR="009C7854" w:rsidRPr="00954547">
        <w:rPr>
          <w:rFonts w:ascii="Verdana" w:hAnsi="Verdana"/>
          <w:sz w:val="16"/>
          <w:szCs w:val="16"/>
        </w:rPr>
        <w:t>Morazán, on</w:t>
      </w:r>
      <w:r w:rsidR="007232D8" w:rsidRPr="00954547">
        <w:rPr>
          <w:rFonts w:ascii="Verdana" w:hAnsi="Verdana"/>
          <w:sz w:val="16"/>
          <w:szCs w:val="16"/>
        </w:rPr>
        <w:t xml:space="preserve"> 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167).</w:t>
      </w:r>
    </w:p>
  </w:footnote>
  <w:footnote w:id="170">
    <w:p w14:paraId="673F6D33" w14:textId="2CEFAC8C"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A94F95" w:rsidRPr="00954547">
        <w:rPr>
          <w:rFonts w:ascii="Verdana" w:hAnsi="Verdana"/>
          <w:sz w:val="16"/>
          <w:szCs w:val="16"/>
        </w:rPr>
        <w:t>Notification</w:t>
      </w:r>
      <w:r w:rsidRPr="00954547">
        <w:rPr>
          <w:rFonts w:ascii="Verdana" w:hAnsi="Verdana"/>
          <w:sz w:val="16"/>
          <w:szCs w:val="16"/>
        </w:rPr>
        <w:t xml:space="preserve"> </w:t>
      </w:r>
      <w:r w:rsidR="007E3A8B" w:rsidRPr="00954547">
        <w:rPr>
          <w:rFonts w:ascii="Verdana" w:hAnsi="Verdana"/>
          <w:sz w:val="16"/>
          <w:szCs w:val="16"/>
        </w:rPr>
        <w:t>of the final</w:t>
      </w:r>
      <w:r w:rsidRPr="00954547">
        <w:rPr>
          <w:rFonts w:ascii="Verdana" w:hAnsi="Verdana"/>
          <w:sz w:val="16"/>
          <w:szCs w:val="16"/>
        </w:rPr>
        <w:t xml:space="preserve"> </w:t>
      </w:r>
      <w:r w:rsidR="007E3A8B" w:rsidRPr="00954547">
        <w:rPr>
          <w:rFonts w:ascii="Verdana" w:hAnsi="Verdana"/>
          <w:sz w:val="16"/>
          <w:szCs w:val="16"/>
        </w:rPr>
        <w:t xml:space="preserve">judgment to </w:t>
      </w:r>
      <w:r w:rsidR="006D5A9B" w:rsidRPr="00954547">
        <w:rPr>
          <w:rFonts w:ascii="Verdana" w:hAnsi="Verdana"/>
          <w:sz w:val="16"/>
          <w:szCs w:val="16"/>
        </w:rPr>
        <w:t>the director of the</w:t>
      </w:r>
      <w:r w:rsidR="002A4EC5" w:rsidRPr="00954547">
        <w:rPr>
          <w:rFonts w:ascii="Verdana" w:hAnsi="Verdana"/>
          <w:sz w:val="16"/>
          <w:szCs w:val="16"/>
        </w:rPr>
        <w:t xml:space="preserve"> San Miguel</w:t>
      </w:r>
      <w:r w:rsidRPr="00954547">
        <w:rPr>
          <w:rFonts w:ascii="Verdana" w:hAnsi="Verdana"/>
          <w:sz w:val="16"/>
          <w:szCs w:val="16"/>
        </w:rPr>
        <w:t xml:space="preserve"> </w:t>
      </w:r>
      <w:r w:rsidR="002A4EC5" w:rsidRPr="00954547">
        <w:rPr>
          <w:rFonts w:ascii="Verdana" w:hAnsi="Verdana"/>
          <w:sz w:val="16"/>
          <w:szCs w:val="16"/>
        </w:rPr>
        <w:t>Prison for Serving Sentences</w:t>
      </w:r>
      <w:r w:rsidRPr="00954547">
        <w:rPr>
          <w:rFonts w:ascii="Verdana" w:hAnsi="Verdana"/>
          <w:sz w:val="16"/>
          <w:szCs w:val="16"/>
        </w:rPr>
        <w:t xml:space="preserve"> </w:t>
      </w:r>
      <w:r w:rsidR="007E3A8B" w:rsidRPr="00954547">
        <w:rPr>
          <w:rFonts w:ascii="Verdana" w:hAnsi="Verdana"/>
          <w:sz w:val="16"/>
          <w:szCs w:val="16"/>
        </w:rPr>
        <w:t>on</w:t>
      </w:r>
      <w:r w:rsidRPr="00954547">
        <w:rPr>
          <w:rFonts w:ascii="Verdana" w:hAnsi="Verdana"/>
          <w:sz w:val="16"/>
          <w:szCs w:val="16"/>
        </w:rPr>
        <w:t xml:space="preserve"> </w:t>
      </w:r>
      <w:r w:rsidR="003A0C7A" w:rsidRPr="00954547">
        <w:rPr>
          <w:rFonts w:ascii="Verdana" w:hAnsi="Verdana"/>
          <w:sz w:val="16"/>
          <w:szCs w:val="16"/>
        </w:rPr>
        <w:t>August 26,</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170).</w:t>
      </w:r>
    </w:p>
  </w:footnote>
  <w:footnote w:id="171">
    <w:p w14:paraId="6E44EAE4" w14:textId="5BC6201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E3A8B" w:rsidRPr="00954547">
        <w:rPr>
          <w:rFonts w:ascii="Verdana" w:hAnsi="Verdana"/>
          <w:sz w:val="16"/>
          <w:szCs w:val="16"/>
        </w:rPr>
        <w:t xml:space="preserve">According to the information in the case file, Manuela was in this prison from February 28, 2008, until her transfer, on </w:t>
      </w:r>
      <w:r w:rsidR="006771AD" w:rsidRPr="00954547">
        <w:rPr>
          <w:rFonts w:ascii="Verdana" w:hAnsi="Verdana"/>
          <w:sz w:val="16"/>
          <w:szCs w:val="16"/>
        </w:rPr>
        <w:t>September 10,</w:t>
      </w:r>
      <w:r w:rsidR="007E3A8B" w:rsidRPr="00954547">
        <w:rPr>
          <w:rFonts w:ascii="Verdana" w:hAnsi="Verdana"/>
          <w:sz w:val="16"/>
          <w:szCs w:val="16"/>
        </w:rPr>
        <w:t xml:space="preserve"> 2009</w:t>
      </w:r>
      <w:r w:rsidR="006771AD" w:rsidRPr="00954547">
        <w:rPr>
          <w:rFonts w:ascii="Verdana" w:hAnsi="Verdana"/>
          <w:sz w:val="16"/>
          <w:szCs w:val="16"/>
        </w:rPr>
        <w:t xml:space="preserve">, to the Women’s Rehabilitation Center of Ilopango. </w:t>
      </w:r>
      <w:r w:rsidR="00B8393C" w:rsidRPr="00954547">
        <w:rPr>
          <w:rFonts w:ascii="Verdana" w:hAnsi="Verdana"/>
          <w:i/>
          <w:sz w:val="16"/>
          <w:szCs w:val="16"/>
        </w:rPr>
        <w:t>Cf.</w:t>
      </w:r>
      <w:r w:rsidRPr="00954547">
        <w:rPr>
          <w:rFonts w:ascii="Verdana" w:hAnsi="Verdana"/>
          <w:sz w:val="16"/>
          <w:szCs w:val="16"/>
        </w:rPr>
        <w:t xml:space="preserve"> Compar</w:t>
      </w:r>
      <w:r w:rsidR="006771AD" w:rsidRPr="00954547">
        <w:rPr>
          <w:rFonts w:ascii="Verdana" w:hAnsi="Verdana"/>
          <w:sz w:val="16"/>
          <w:szCs w:val="16"/>
        </w:rPr>
        <w:t>ison of the dates of medical appointments between the logs and the m</w:t>
      </w:r>
      <w:r w:rsidR="00F500B0" w:rsidRPr="00954547">
        <w:rPr>
          <w:rFonts w:ascii="Verdana" w:hAnsi="Verdana"/>
          <w:sz w:val="16"/>
          <w:szCs w:val="16"/>
        </w:rPr>
        <w:t>edical record</w:t>
      </w:r>
      <w:r w:rsidRPr="00954547">
        <w:rPr>
          <w:rFonts w:ascii="Verdana" w:hAnsi="Verdana"/>
          <w:sz w:val="16"/>
          <w:szCs w:val="16"/>
        </w:rPr>
        <w:t xml:space="preserve"> </w:t>
      </w:r>
      <w:r w:rsidR="006771AD" w:rsidRPr="00954547">
        <w:rPr>
          <w:rFonts w:ascii="Verdana" w:hAnsi="Verdana"/>
          <w:sz w:val="16"/>
          <w:szCs w:val="16"/>
        </w:rPr>
        <w:t>of the</w:t>
      </w:r>
      <w:r w:rsidRPr="00954547">
        <w:rPr>
          <w:rFonts w:ascii="Verdana" w:hAnsi="Verdana"/>
          <w:sz w:val="16"/>
          <w:szCs w:val="16"/>
        </w:rPr>
        <w:t xml:space="preserve"> Rosales </w:t>
      </w:r>
      <w:r w:rsidR="006771AD" w:rsidRPr="00954547">
        <w:rPr>
          <w:rFonts w:ascii="Verdana" w:hAnsi="Verdana"/>
          <w:sz w:val="16"/>
          <w:szCs w:val="16"/>
        </w:rPr>
        <w:t xml:space="preserve">Hospital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xml:space="preserve">, folio 3786); </w:t>
      </w:r>
      <w:r w:rsidR="009B422D" w:rsidRPr="00954547">
        <w:rPr>
          <w:rFonts w:ascii="Verdana" w:hAnsi="Verdana"/>
          <w:color w:val="auto"/>
          <w:sz w:val="16"/>
          <w:szCs w:val="16"/>
        </w:rPr>
        <w:t>Magistrate’s Court</w:t>
      </w:r>
      <w:r w:rsidRPr="00954547">
        <w:rPr>
          <w:rFonts w:ascii="Verdana" w:hAnsi="Verdana"/>
          <w:color w:val="auto"/>
          <w:sz w:val="16"/>
          <w:szCs w:val="16"/>
        </w:rPr>
        <w:t xml:space="preserve"> </w:t>
      </w:r>
      <w:r w:rsidR="006029D7" w:rsidRPr="00954547">
        <w:rPr>
          <w:rFonts w:ascii="Verdana" w:hAnsi="Verdana"/>
          <w:color w:val="auto"/>
          <w:sz w:val="16"/>
          <w:szCs w:val="16"/>
        </w:rPr>
        <w:t>of Cacaopera, department</w:t>
      </w:r>
      <w:r w:rsidR="009B422D" w:rsidRPr="00954547">
        <w:rPr>
          <w:rFonts w:ascii="Verdana" w:hAnsi="Verdana"/>
          <w:color w:val="auto"/>
          <w:sz w:val="16"/>
          <w:szCs w:val="16"/>
        </w:rPr>
        <w:t xml:space="preserve"> of</w:t>
      </w:r>
      <w:r w:rsidRPr="00954547">
        <w:rPr>
          <w:rFonts w:ascii="Verdana" w:hAnsi="Verdana"/>
          <w:color w:val="auto"/>
          <w:sz w:val="16"/>
          <w:szCs w:val="16"/>
        </w:rPr>
        <w:t xml:space="preserve"> Morazán</w:t>
      </w:r>
      <w:r w:rsidR="002A4EC5" w:rsidRPr="00954547">
        <w:rPr>
          <w:rFonts w:ascii="Verdana" w:hAnsi="Verdana"/>
          <w:color w:val="auto"/>
          <w:sz w:val="16"/>
          <w:szCs w:val="16"/>
        </w:rPr>
        <w:t>, r</w:t>
      </w:r>
      <w:r w:rsidR="004E2A50" w:rsidRPr="00954547">
        <w:rPr>
          <w:rFonts w:ascii="Verdana" w:hAnsi="Verdana"/>
          <w:color w:val="auto"/>
          <w:sz w:val="16"/>
          <w:szCs w:val="16"/>
        </w:rPr>
        <w:t>uling of</w:t>
      </w:r>
      <w:r w:rsidRPr="00954547">
        <w:rPr>
          <w:rFonts w:ascii="Verdana" w:hAnsi="Verdana"/>
          <w:color w:val="auto"/>
          <w:sz w:val="16"/>
          <w:szCs w:val="16"/>
        </w:rPr>
        <w:t xml:space="preserve"> </w:t>
      </w:r>
      <w:r w:rsidR="006771AD" w:rsidRPr="00954547">
        <w:rPr>
          <w:rFonts w:ascii="Verdana" w:hAnsi="Verdana"/>
          <w:color w:val="auto"/>
          <w:sz w:val="16"/>
          <w:szCs w:val="16"/>
        </w:rPr>
        <w:t>March 2,</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xml:space="preserve">, folio 69); </w:t>
      </w:r>
      <w:r w:rsidR="006771AD" w:rsidRPr="00954547">
        <w:rPr>
          <w:rFonts w:ascii="Verdana" w:hAnsi="Verdana"/>
          <w:color w:val="auto"/>
          <w:sz w:val="16"/>
          <w:szCs w:val="16"/>
        </w:rPr>
        <w:t>communication of the Trial</w:t>
      </w:r>
      <w:r w:rsidRPr="00954547">
        <w:rPr>
          <w:rFonts w:ascii="Verdana" w:hAnsi="Verdana"/>
          <w:color w:val="auto"/>
          <w:sz w:val="16"/>
          <w:szCs w:val="16"/>
        </w:rPr>
        <w:t xml:space="preserve"> </w:t>
      </w:r>
      <w:r w:rsidR="00A42A4C" w:rsidRPr="00954547">
        <w:rPr>
          <w:rFonts w:ascii="Verdana" w:hAnsi="Verdana"/>
          <w:color w:val="auto"/>
          <w:sz w:val="16"/>
          <w:szCs w:val="16"/>
        </w:rPr>
        <w:t>Judge</w:t>
      </w:r>
      <w:r w:rsidRPr="00954547">
        <w:rPr>
          <w:rFonts w:ascii="Verdana" w:hAnsi="Verdana"/>
          <w:color w:val="auto"/>
          <w:sz w:val="16"/>
          <w:szCs w:val="16"/>
        </w:rPr>
        <w:t xml:space="preserve"> </w:t>
      </w:r>
      <w:r w:rsidR="00B8393C" w:rsidRPr="00954547">
        <w:rPr>
          <w:rFonts w:ascii="Verdana" w:hAnsi="Verdana"/>
          <w:color w:val="auto"/>
          <w:sz w:val="16"/>
          <w:szCs w:val="16"/>
        </w:rPr>
        <w:t>of</w:t>
      </w:r>
      <w:r w:rsidRPr="00954547">
        <w:rPr>
          <w:rFonts w:ascii="Verdana" w:hAnsi="Verdana"/>
          <w:color w:val="auto"/>
          <w:sz w:val="16"/>
          <w:szCs w:val="16"/>
        </w:rPr>
        <w:t xml:space="preserve"> San Francisco </w:t>
      </w:r>
      <w:r w:rsidR="009C7854" w:rsidRPr="00954547">
        <w:rPr>
          <w:rFonts w:ascii="Verdana" w:hAnsi="Verdana"/>
          <w:color w:val="auto"/>
          <w:sz w:val="16"/>
          <w:szCs w:val="16"/>
        </w:rPr>
        <w:t>Gotera, department of</w:t>
      </w:r>
      <w:r w:rsidRPr="00954547">
        <w:rPr>
          <w:rFonts w:ascii="Verdana" w:hAnsi="Verdana"/>
          <w:color w:val="auto"/>
          <w:sz w:val="16"/>
          <w:szCs w:val="16"/>
        </w:rPr>
        <w:t xml:space="preserve"> Morazán</w:t>
      </w:r>
      <w:r w:rsidR="009B0B9E" w:rsidRPr="00954547">
        <w:rPr>
          <w:rFonts w:ascii="Verdana" w:hAnsi="Verdana"/>
          <w:color w:val="auto"/>
          <w:sz w:val="16"/>
          <w:szCs w:val="16"/>
        </w:rPr>
        <w:t>,</w:t>
      </w:r>
      <w:r w:rsidRPr="00954547">
        <w:rPr>
          <w:rFonts w:ascii="Verdana" w:hAnsi="Verdana"/>
          <w:color w:val="auto"/>
          <w:sz w:val="16"/>
          <w:szCs w:val="16"/>
        </w:rPr>
        <w:t xml:space="preserve"> </w:t>
      </w:r>
      <w:r w:rsidR="006771AD" w:rsidRPr="00954547">
        <w:rPr>
          <w:rFonts w:ascii="Verdana" w:hAnsi="Verdana"/>
          <w:color w:val="auto"/>
          <w:sz w:val="16"/>
          <w:szCs w:val="16"/>
        </w:rPr>
        <w:t xml:space="preserve">addressed to </w:t>
      </w:r>
      <w:r w:rsidR="006D5A9B" w:rsidRPr="00954547">
        <w:rPr>
          <w:rFonts w:ascii="Verdana" w:hAnsi="Verdana"/>
          <w:color w:val="auto"/>
          <w:sz w:val="16"/>
          <w:szCs w:val="16"/>
        </w:rPr>
        <w:t>the director of the</w:t>
      </w:r>
      <w:r w:rsidR="006771AD" w:rsidRPr="00954547">
        <w:rPr>
          <w:rFonts w:ascii="Verdana" w:hAnsi="Verdana"/>
          <w:color w:val="auto"/>
          <w:sz w:val="16"/>
          <w:szCs w:val="16"/>
        </w:rPr>
        <w:t xml:space="preserve"> </w:t>
      </w:r>
      <w:r w:rsidRPr="00954547">
        <w:rPr>
          <w:rFonts w:ascii="Verdana" w:hAnsi="Verdana"/>
          <w:sz w:val="16"/>
          <w:szCs w:val="16"/>
        </w:rPr>
        <w:t xml:space="preserve">San Miguel </w:t>
      </w:r>
      <w:r w:rsidR="009B0B9E" w:rsidRPr="00954547">
        <w:rPr>
          <w:rFonts w:ascii="Verdana" w:hAnsi="Verdana"/>
          <w:sz w:val="16"/>
          <w:szCs w:val="16"/>
        </w:rPr>
        <w:t xml:space="preserve">Prison </w:t>
      </w:r>
      <w:r w:rsidR="009A60F6" w:rsidRPr="00954547">
        <w:rPr>
          <w:rFonts w:ascii="Verdana" w:hAnsi="Verdana"/>
          <w:sz w:val="16"/>
          <w:szCs w:val="16"/>
        </w:rPr>
        <w:t>of</w:t>
      </w:r>
      <w:r w:rsidRPr="00954547">
        <w:rPr>
          <w:rFonts w:ascii="Verdana" w:hAnsi="Verdana"/>
          <w:sz w:val="16"/>
          <w:szCs w:val="16"/>
        </w:rPr>
        <w:t xml:space="preserve"> </w:t>
      </w:r>
      <w:r w:rsidR="003A0C7A" w:rsidRPr="00954547">
        <w:rPr>
          <w:rFonts w:ascii="Verdana" w:hAnsi="Verdana"/>
          <w:sz w:val="16"/>
          <w:szCs w:val="16"/>
        </w:rPr>
        <w:t>August 26,</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170),</w:t>
      </w:r>
      <w:r w:rsidR="0078694F" w:rsidRPr="00954547">
        <w:rPr>
          <w:rFonts w:ascii="Verdana" w:hAnsi="Verdana"/>
          <w:sz w:val="16"/>
          <w:szCs w:val="16"/>
        </w:rPr>
        <w:t xml:space="preserve"> and </w:t>
      </w:r>
      <w:r w:rsidR="006771AD" w:rsidRPr="00954547">
        <w:rPr>
          <w:rFonts w:ascii="Verdana" w:hAnsi="Verdana"/>
          <w:sz w:val="16"/>
          <w:szCs w:val="16"/>
        </w:rPr>
        <w:t xml:space="preserve">communication of </w:t>
      </w:r>
      <w:r w:rsidR="006D5A9B" w:rsidRPr="00954547">
        <w:rPr>
          <w:rFonts w:ascii="Verdana" w:hAnsi="Verdana"/>
          <w:sz w:val="16"/>
          <w:szCs w:val="16"/>
        </w:rPr>
        <w:t>the director of the</w:t>
      </w:r>
      <w:r w:rsidRPr="00954547">
        <w:rPr>
          <w:rFonts w:ascii="Verdana" w:hAnsi="Verdana"/>
          <w:sz w:val="16"/>
          <w:szCs w:val="16"/>
        </w:rPr>
        <w:t xml:space="preserve"> San Miguel </w:t>
      </w:r>
      <w:r w:rsidR="006771AD" w:rsidRPr="00954547">
        <w:rPr>
          <w:rFonts w:ascii="Verdana" w:hAnsi="Verdana"/>
          <w:sz w:val="16"/>
          <w:szCs w:val="16"/>
        </w:rPr>
        <w:t>Prison of September 9,</w:t>
      </w:r>
      <w:r w:rsidRPr="00954547">
        <w:rPr>
          <w:rFonts w:ascii="Verdana" w:hAnsi="Verdana"/>
          <w:sz w:val="16"/>
          <w:szCs w:val="16"/>
        </w:rPr>
        <w:t xml:space="preserve"> 2009 (</w:t>
      </w:r>
      <w:r w:rsidR="001C328F" w:rsidRPr="00954547">
        <w:rPr>
          <w:rFonts w:ascii="Verdana" w:hAnsi="Verdana"/>
          <w:sz w:val="16"/>
          <w:szCs w:val="16"/>
        </w:rPr>
        <w:t>evidence file</w:t>
      </w:r>
      <w:r w:rsidRPr="00954547">
        <w:rPr>
          <w:rFonts w:ascii="Verdana" w:hAnsi="Verdana"/>
          <w:sz w:val="16"/>
          <w:szCs w:val="16"/>
        </w:rPr>
        <w:t>, folio 3313).</w:t>
      </w:r>
    </w:p>
  </w:footnote>
  <w:footnote w:id="172">
    <w:p w14:paraId="3E3DC635" w14:textId="12B2F9D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 190).</w:t>
      </w:r>
    </w:p>
  </w:footnote>
  <w:footnote w:id="173">
    <w:p w14:paraId="62E9A982" w14:textId="39B7481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 191).</w:t>
      </w:r>
    </w:p>
  </w:footnote>
  <w:footnote w:id="174">
    <w:p w14:paraId="3918BA4B" w14:textId="725A8C2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A4EC5" w:rsidRPr="00954547">
        <w:rPr>
          <w:rFonts w:ascii="Verdana" w:hAnsi="Verdana"/>
          <w:sz w:val="16"/>
          <w:szCs w:val="16"/>
        </w:rPr>
        <w:t>See, for example</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xml:space="preserve">, folio 191); </w:t>
      </w:r>
      <w:r w:rsidR="004361C8" w:rsidRPr="00954547">
        <w:rPr>
          <w:rFonts w:ascii="Verdana" w:hAnsi="Verdana"/>
          <w:sz w:val="16"/>
          <w:szCs w:val="16"/>
        </w:rPr>
        <w:t>Rosales National Hospital</w:t>
      </w:r>
      <w:r w:rsidRPr="00954547">
        <w:rPr>
          <w:rFonts w:ascii="Verdana" w:hAnsi="Verdana"/>
          <w:sz w:val="16"/>
          <w:szCs w:val="16"/>
        </w:rPr>
        <w:t xml:space="preserve">. </w:t>
      </w:r>
      <w:r w:rsidR="00574A7B" w:rsidRPr="00954547">
        <w:rPr>
          <w:rFonts w:ascii="Verdana" w:hAnsi="Verdana"/>
          <w:sz w:val="16"/>
          <w:szCs w:val="16"/>
        </w:rPr>
        <w:t>Chemotherapy protocol No.</w:t>
      </w:r>
      <w:r w:rsidRPr="00954547">
        <w:rPr>
          <w:rFonts w:ascii="Verdana" w:hAnsi="Verdana"/>
          <w:sz w:val="16"/>
          <w:szCs w:val="16"/>
        </w:rPr>
        <w:t xml:space="preserve"> 283009 (</w:t>
      </w:r>
      <w:r w:rsidR="001C328F" w:rsidRPr="00954547">
        <w:rPr>
          <w:rFonts w:ascii="Verdana" w:hAnsi="Verdana"/>
          <w:sz w:val="16"/>
          <w:szCs w:val="16"/>
        </w:rPr>
        <w:t>evidence file</w:t>
      </w:r>
      <w:r w:rsidRPr="00954547">
        <w:rPr>
          <w:rFonts w:ascii="Verdana" w:hAnsi="Verdana"/>
          <w:sz w:val="16"/>
          <w:szCs w:val="16"/>
        </w:rPr>
        <w:t>, folios 2553</w:t>
      </w:r>
      <w:r w:rsidR="0078694F" w:rsidRPr="00954547">
        <w:rPr>
          <w:rFonts w:ascii="Verdana" w:hAnsi="Verdana"/>
          <w:sz w:val="16"/>
          <w:szCs w:val="16"/>
        </w:rPr>
        <w:t xml:space="preserve"> and </w:t>
      </w:r>
      <w:r w:rsidRPr="00954547">
        <w:rPr>
          <w:rFonts w:ascii="Verdana" w:hAnsi="Verdana"/>
          <w:sz w:val="16"/>
          <w:szCs w:val="16"/>
        </w:rPr>
        <w:t>2554).</w:t>
      </w:r>
    </w:p>
  </w:footnote>
  <w:footnote w:id="175">
    <w:p w14:paraId="04AF8F77" w14:textId="774A1AA2"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574A7B" w:rsidRPr="00954547">
        <w:rPr>
          <w:rFonts w:ascii="Verdana" w:hAnsi="Verdana"/>
          <w:sz w:val="16"/>
          <w:szCs w:val="16"/>
        </w:rPr>
        <w:t xml:space="preserve">Communication of </w:t>
      </w:r>
      <w:r w:rsidR="006D5A9B" w:rsidRPr="00954547">
        <w:rPr>
          <w:rFonts w:ascii="Verdana" w:hAnsi="Verdana"/>
          <w:sz w:val="16"/>
          <w:szCs w:val="16"/>
        </w:rPr>
        <w:t>the director of the</w:t>
      </w:r>
      <w:r w:rsidRPr="00954547">
        <w:rPr>
          <w:rFonts w:ascii="Verdana" w:hAnsi="Verdana"/>
          <w:sz w:val="16"/>
          <w:szCs w:val="16"/>
        </w:rPr>
        <w:t xml:space="preserve"> San Miguel</w:t>
      </w:r>
      <w:r w:rsidR="00574A7B" w:rsidRPr="00954547">
        <w:rPr>
          <w:rFonts w:ascii="Verdana" w:hAnsi="Verdana"/>
          <w:sz w:val="16"/>
          <w:szCs w:val="16"/>
        </w:rPr>
        <w:t xml:space="preserve"> Prison</w:t>
      </w:r>
      <w:r w:rsidRPr="00954547">
        <w:rPr>
          <w:rFonts w:ascii="Verdana" w:hAnsi="Verdana"/>
          <w:sz w:val="16"/>
          <w:szCs w:val="16"/>
        </w:rPr>
        <w:t xml:space="preserve"> </w:t>
      </w:r>
      <w:r w:rsidR="006771AD" w:rsidRPr="00954547">
        <w:rPr>
          <w:rFonts w:ascii="Verdana" w:hAnsi="Verdana"/>
          <w:sz w:val="16"/>
          <w:szCs w:val="16"/>
        </w:rPr>
        <w:t>of September 9,</w:t>
      </w:r>
      <w:r w:rsidRPr="00954547">
        <w:rPr>
          <w:rFonts w:ascii="Verdana" w:hAnsi="Verdana"/>
          <w:sz w:val="16"/>
          <w:szCs w:val="16"/>
        </w:rPr>
        <w:t xml:space="preserve"> 2009 (</w:t>
      </w:r>
      <w:r w:rsidR="001C328F" w:rsidRPr="00954547">
        <w:rPr>
          <w:rFonts w:ascii="Verdana" w:hAnsi="Verdana"/>
          <w:sz w:val="16"/>
          <w:szCs w:val="16"/>
        </w:rPr>
        <w:t>evidence file</w:t>
      </w:r>
      <w:r w:rsidRPr="00954547">
        <w:rPr>
          <w:rFonts w:ascii="Verdana" w:hAnsi="Verdana"/>
          <w:sz w:val="16"/>
          <w:szCs w:val="16"/>
        </w:rPr>
        <w:t>, folio 3313),</w:t>
      </w:r>
      <w:r w:rsidR="0078694F" w:rsidRPr="00954547">
        <w:rPr>
          <w:rFonts w:ascii="Verdana" w:hAnsi="Verdana"/>
          <w:sz w:val="16"/>
          <w:szCs w:val="16"/>
        </w:rPr>
        <w:t xml:space="preserve"> and </w:t>
      </w:r>
      <w:r w:rsidR="0032123B" w:rsidRPr="00954547">
        <w:rPr>
          <w:rFonts w:ascii="Verdana" w:hAnsi="Verdana"/>
          <w:sz w:val="16"/>
          <w:szCs w:val="16"/>
        </w:rPr>
        <w:t>Sworn statement of</w:t>
      </w:r>
      <w:r w:rsidRPr="00954547">
        <w:rPr>
          <w:rFonts w:ascii="Verdana" w:hAnsi="Verdana"/>
          <w:sz w:val="16"/>
          <w:szCs w:val="16"/>
        </w:rPr>
        <w:t xml:space="preserve"> María Marina Pérez Martínez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2295).</w:t>
      </w:r>
    </w:p>
  </w:footnote>
  <w:footnote w:id="176">
    <w:p w14:paraId="5E1F6EE4" w14:textId="2374D8F2"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 191).</w:t>
      </w:r>
    </w:p>
  </w:footnote>
  <w:footnote w:id="177">
    <w:p w14:paraId="6D87C857" w14:textId="2296A841"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574A7B" w:rsidRPr="00954547">
        <w:rPr>
          <w:rFonts w:ascii="Verdana" w:hAnsi="Verdana"/>
          <w:sz w:val="16"/>
          <w:szCs w:val="16"/>
        </w:rPr>
        <w:t xml:space="preserve">Request for an investigation filed with the Prosecutor General on October 27, </w:t>
      </w:r>
      <w:r w:rsidRPr="00954547">
        <w:rPr>
          <w:rFonts w:ascii="Verdana" w:hAnsi="Verdana"/>
          <w:sz w:val="16"/>
          <w:szCs w:val="16"/>
        </w:rPr>
        <w:t>2011 (</w:t>
      </w:r>
      <w:r w:rsidR="001C328F" w:rsidRPr="00954547">
        <w:rPr>
          <w:rFonts w:ascii="Verdana" w:hAnsi="Verdana"/>
          <w:sz w:val="16"/>
          <w:szCs w:val="16"/>
        </w:rPr>
        <w:t>evidence file</w:t>
      </w:r>
      <w:r w:rsidRPr="00954547">
        <w:rPr>
          <w:rFonts w:ascii="Verdana" w:hAnsi="Verdana"/>
          <w:sz w:val="16"/>
          <w:szCs w:val="16"/>
        </w:rPr>
        <w:t>, folios 2143</w:t>
      </w:r>
      <w:r w:rsidR="0078694F" w:rsidRPr="00954547">
        <w:rPr>
          <w:rFonts w:ascii="Verdana" w:hAnsi="Verdana"/>
          <w:sz w:val="16"/>
          <w:szCs w:val="16"/>
        </w:rPr>
        <w:t xml:space="preserve"> and </w:t>
      </w:r>
      <w:r w:rsidRPr="00954547">
        <w:rPr>
          <w:rFonts w:ascii="Verdana" w:hAnsi="Verdana"/>
          <w:sz w:val="16"/>
          <w:szCs w:val="16"/>
        </w:rPr>
        <w:t xml:space="preserve">2144); </w:t>
      </w:r>
      <w:r w:rsidR="00574A7B" w:rsidRPr="00954547">
        <w:rPr>
          <w:rFonts w:ascii="Verdana" w:hAnsi="Verdana"/>
          <w:sz w:val="16"/>
          <w:szCs w:val="16"/>
        </w:rPr>
        <w:t>Request for an investigation filed with the Attorney General on October</w:t>
      </w:r>
      <w:r w:rsidRPr="00954547">
        <w:rPr>
          <w:rFonts w:ascii="Verdana" w:hAnsi="Verdana"/>
          <w:sz w:val="16"/>
          <w:szCs w:val="16"/>
        </w:rPr>
        <w:t xml:space="preserve"> 27</w:t>
      </w:r>
      <w:r w:rsidR="00574A7B" w:rsidRPr="00954547">
        <w:rPr>
          <w:rFonts w:ascii="Verdana" w:hAnsi="Verdana"/>
          <w:sz w:val="16"/>
          <w:szCs w:val="16"/>
        </w:rPr>
        <w:t xml:space="preserve">, </w:t>
      </w:r>
      <w:r w:rsidRPr="00954547">
        <w:rPr>
          <w:rFonts w:ascii="Verdana" w:hAnsi="Verdana"/>
          <w:sz w:val="16"/>
          <w:szCs w:val="16"/>
        </w:rPr>
        <w:t>2011 (</w:t>
      </w:r>
      <w:r w:rsidR="001C328F" w:rsidRPr="00954547">
        <w:rPr>
          <w:rFonts w:ascii="Verdana" w:hAnsi="Verdana"/>
          <w:sz w:val="16"/>
          <w:szCs w:val="16"/>
        </w:rPr>
        <w:t>evidence file</w:t>
      </w:r>
      <w:r w:rsidRPr="00954547">
        <w:rPr>
          <w:rFonts w:ascii="Verdana" w:hAnsi="Verdana"/>
          <w:sz w:val="16"/>
          <w:szCs w:val="16"/>
        </w:rPr>
        <w:t>, folios 2145</w:t>
      </w:r>
      <w:r w:rsidR="0078694F" w:rsidRPr="00954547">
        <w:rPr>
          <w:rFonts w:ascii="Verdana" w:hAnsi="Verdana"/>
          <w:sz w:val="16"/>
          <w:szCs w:val="16"/>
        </w:rPr>
        <w:t xml:space="preserve"> and </w:t>
      </w:r>
      <w:r w:rsidRPr="00954547">
        <w:rPr>
          <w:rFonts w:ascii="Verdana" w:hAnsi="Verdana"/>
          <w:sz w:val="16"/>
          <w:szCs w:val="16"/>
        </w:rPr>
        <w:t>2146).</w:t>
      </w:r>
    </w:p>
  </w:footnote>
  <w:footnote w:id="178">
    <w:p w14:paraId="0D1D9DA8" w14:textId="0D991BB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574A7B" w:rsidRPr="00954547">
        <w:rPr>
          <w:rFonts w:ascii="Verdana" w:hAnsi="Verdana"/>
          <w:sz w:val="16"/>
          <w:szCs w:val="16"/>
        </w:rPr>
        <w:t>Request presented to the</w:t>
      </w:r>
      <w:r w:rsidRPr="00954547">
        <w:rPr>
          <w:rFonts w:ascii="Verdana" w:hAnsi="Verdana"/>
          <w:sz w:val="16"/>
          <w:szCs w:val="16"/>
        </w:rPr>
        <w:t xml:space="preserve"> </w:t>
      </w:r>
      <w:r w:rsidR="00574A7B" w:rsidRPr="00954547">
        <w:rPr>
          <w:rFonts w:ascii="Verdana" w:hAnsi="Verdana"/>
          <w:sz w:val="16"/>
          <w:szCs w:val="16"/>
        </w:rPr>
        <w:t>Rosales National Hospital</w:t>
      </w:r>
      <w:r w:rsidRPr="00954547">
        <w:rPr>
          <w:rFonts w:ascii="Verdana" w:hAnsi="Verdana"/>
          <w:sz w:val="16"/>
          <w:szCs w:val="16"/>
        </w:rPr>
        <w:t xml:space="preserve"> </w:t>
      </w:r>
      <w:r w:rsidR="00574A7B" w:rsidRPr="00954547">
        <w:rPr>
          <w:rFonts w:ascii="Verdana" w:hAnsi="Verdana"/>
          <w:sz w:val="16"/>
          <w:szCs w:val="16"/>
        </w:rPr>
        <w:t>on</w:t>
      </w:r>
      <w:r w:rsidRPr="00954547">
        <w:rPr>
          <w:rFonts w:ascii="Verdana" w:hAnsi="Verdana"/>
          <w:sz w:val="16"/>
          <w:szCs w:val="16"/>
        </w:rPr>
        <w:t xml:space="preserve"> </w:t>
      </w:r>
      <w:r w:rsidR="00C409D9" w:rsidRPr="00954547">
        <w:rPr>
          <w:rFonts w:ascii="Verdana" w:hAnsi="Verdana"/>
          <w:sz w:val="16"/>
          <w:szCs w:val="16"/>
        </w:rPr>
        <w:t>November 17,</w:t>
      </w:r>
      <w:r w:rsidRPr="00954547">
        <w:rPr>
          <w:rFonts w:ascii="Verdana" w:hAnsi="Verdana"/>
          <w:sz w:val="16"/>
          <w:szCs w:val="16"/>
        </w:rPr>
        <w:t xml:space="preserve"> 2011 (</w:t>
      </w:r>
      <w:r w:rsidR="001C328F" w:rsidRPr="00954547">
        <w:rPr>
          <w:rFonts w:ascii="Verdana" w:hAnsi="Verdana"/>
          <w:sz w:val="16"/>
          <w:szCs w:val="16"/>
        </w:rPr>
        <w:t>evidence file</w:t>
      </w:r>
      <w:r w:rsidRPr="00954547">
        <w:rPr>
          <w:rFonts w:ascii="Verdana" w:hAnsi="Verdana"/>
          <w:sz w:val="16"/>
          <w:szCs w:val="16"/>
        </w:rPr>
        <w:t>, folio 2140),</w:t>
      </w:r>
      <w:r w:rsidR="0078694F" w:rsidRPr="00954547">
        <w:rPr>
          <w:rFonts w:ascii="Verdana" w:hAnsi="Verdana"/>
          <w:sz w:val="16"/>
          <w:szCs w:val="16"/>
        </w:rPr>
        <w:t xml:space="preserve"> and </w:t>
      </w:r>
      <w:r w:rsidR="00574A7B" w:rsidRPr="00954547">
        <w:rPr>
          <w:rFonts w:ascii="Verdana" w:hAnsi="Verdana"/>
          <w:sz w:val="16"/>
          <w:szCs w:val="16"/>
        </w:rPr>
        <w:t>Communication of the</w:t>
      </w:r>
      <w:r w:rsidRPr="00954547">
        <w:rPr>
          <w:rFonts w:ascii="Verdana" w:hAnsi="Verdana"/>
          <w:sz w:val="16"/>
          <w:szCs w:val="16"/>
        </w:rPr>
        <w:t xml:space="preserve"> </w:t>
      </w:r>
      <w:r w:rsidR="00574A7B" w:rsidRPr="00954547">
        <w:rPr>
          <w:rFonts w:ascii="Verdana" w:hAnsi="Verdana"/>
          <w:sz w:val="16"/>
          <w:szCs w:val="16"/>
        </w:rPr>
        <w:t>Rosales National Hospital</w:t>
      </w:r>
      <w:r w:rsidRPr="00954547">
        <w:rPr>
          <w:rFonts w:ascii="Verdana" w:hAnsi="Verdana"/>
          <w:sz w:val="16"/>
          <w:szCs w:val="16"/>
        </w:rPr>
        <w:t xml:space="preserve"> </w:t>
      </w:r>
      <w:r w:rsidR="00C409D9" w:rsidRPr="00954547">
        <w:rPr>
          <w:rFonts w:ascii="Verdana" w:hAnsi="Verdana"/>
          <w:sz w:val="16"/>
          <w:szCs w:val="16"/>
        </w:rPr>
        <w:t>of November 17,</w:t>
      </w:r>
      <w:r w:rsidRPr="00954547">
        <w:rPr>
          <w:rFonts w:ascii="Verdana" w:hAnsi="Verdana"/>
          <w:sz w:val="16"/>
          <w:szCs w:val="16"/>
        </w:rPr>
        <w:t xml:space="preserve"> 2011 (</w:t>
      </w:r>
      <w:r w:rsidR="001C328F" w:rsidRPr="00954547">
        <w:rPr>
          <w:rFonts w:ascii="Verdana" w:hAnsi="Verdana"/>
          <w:sz w:val="16"/>
          <w:szCs w:val="16"/>
        </w:rPr>
        <w:t>evidence file</w:t>
      </w:r>
      <w:r w:rsidRPr="00954547">
        <w:rPr>
          <w:rFonts w:ascii="Verdana" w:hAnsi="Verdana"/>
          <w:sz w:val="16"/>
          <w:szCs w:val="16"/>
        </w:rPr>
        <w:t>, folio 2141).</w:t>
      </w:r>
    </w:p>
  </w:footnote>
  <w:footnote w:id="179">
    <w:p w14:paraId="4435E6CF" w14:textId="64D75CE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B01CA8" w:rsidRPr="00954547">
        <w:rPr>
          <w:rFonts w:ascii="Verdana" w:hAnsi="Verdana"/>
          <w:sz w:val="16"/>
          <w:szCs w:val="16"/>
        </w:rPr>
        <w:t>Remedy of complaint against the</w:t>
      </w:r>
      <w:r w:rsidRPr="00954547">
        <w:rPr>
          <w:rFonts w:ascii="Verdana" w:hAnsi="Verdana"/>
          <w:sz w:val="16"/>
          <w:szCs w:val="16"/>
        </w:rPr>
        <w:t xml:space="preserve"> </w:t>
      </w:r>
      <w:r w:rsidR="00C94E39" w:rsidRPr="00954547">
        <w:rPr>
          <w:rFonts w:ascii="Verdana" w:hAnsi="Verdana"/>
          <w:sz w:val="16"/>
          <w:szCs w:val="16"/>
        </w:rPr>
        <w:t>Women’s Rehabilitation Center</w:t>
      </w:r>
      <w:r w:rsidRPr="00954547">
        <w:rPr>
          <w:rFonts w:ascii="Verdana" w:hAnsi="Verdana"/>
          <w:sz w:val="16"/>
          <w:szCs w:val="16"/>
        </w:rPr>
        <w:t xml:space="preserve"> </w:t>
      </w:r>
      <w:r w:rsidR="00B01CA8" w:rsidRPr="00954547">
        <w:rPr>
          <w:rFonts w:ascii="Verdana" w:hAnsi="Verdana"/>
          <w:sz w:val="16"/>
          <w:szCs w:val="16"/>
        </w:rPr>
        <w:t>of</w:t>
      </w:r>
      <w:r w:rsidRPr="00954547">
        <w:rPr>
          <w:rFonts w:ascii="Verdana" w:hAnsi="Verdana"/>
          <w:sz w:val="16"/>
          <w:szCs w:val="16"/>
        </w:rPr>
        <w:t xml:space="preserve"> Ilopango (</w:t>
      </w:r>
      <w:r w:rsidR="001C328F" w:rsidRPr="00954547">
        <w:rPr>
          <w:rFonts w:ascii="Verdana" w:hAnsi="Verdana"/>
          <w:sz w:val="16"/>
          <w:szCs w:val="16"/>
        </w:rPr>
        <w:t>evidence file</w:t>
      </w:r>
      <w:r w:rsidRPr="00954547">
        <w:rPr>
          <w:rFonts w:ascii="Verdana" w:hAnsi="Verdana"/>
          <w:sz w:val="16"/>
          <w:szCs w:val="16"/>
        </w:rPr>
        <w:t>, folio 196).</w:t>
      </w:r>
    </w:p>
  </w:footnote>
  <w:footnote w:id="180">
    <w:p w14:paraId="62E4768D" w14:textId="2EF72A49"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i/>
          <w:sz w:val="16"/>
          <w:szCs w:val="16"/>
        </w:rPr>
        <w:tab/>
      </w:r>
      <w:r w:rsidR="00B01CA8" w:rsidRPr="00954547">
        <w:rPr>
          <w:rFonts w:ascii="Verdana" w:hAnsi="Verdana"/>
          <w:sz w:val="16"/>
          <w:szCs w:val="16"/>
        </w:rPr>
        <w:t xml:space="preserve">The court indicated that the </w:t>
      </w:r>
      <w:r w:rsidR="009E3F9E" w:rsidRPr="00954547">
        <w:rPr>
          <w:rFonts w:ascii="Verdana" w:hAnsi="Verdana"/>
          <w:sz w:val="16"/>
          <w:szCs w:val="16"/>
        </w:rPr>
        <w:t>action to hear the judicial complaint had a statute of limitation of 15 working days from the date on which the fact had occurred</w:t>
      </w:r>
      <w:r w:rsidRPr="00954547">
        <w:rPr>
          <w:rFonts w:ascii="Verdana" w:hAnsi="Verdana"/>
          <w:sz w:val="16"/>
          <w:szCs w:val="16"/>
        </w:rPr>
        <w:t xml:space="preserve">. </w:t>
      </w:r>
      <w:r w:rsidR="00B8393C" w:rsidRPr="00954547">
        <w:rPr>
          <w:rFonts w:ascii="Verdana" w:hAnsi="Verdana"/>
          <w:i/>
          <w:sz w:val="16"/>
          <w:szCs w:val="16"/>
        </w:rPr>
        <w:t>Cf.</w:t>
      </w:r>
      <w:r w:rsidRPr="00954547">
        <w:rPr>
          <w:rFonts w:ascii="Verdana" w:hAnsi="Verdana"/>
          <w:i/>
          <w:sz w:val="16"/>
          <w:szCs w:val="16"/>
        </w:rPr>
        <w:t xml:space="preserve"> </w:t>
      </w:r>
      <w:r w:rsidR="004E2A50" w:rsidRPr="00954547">
        <w:rPr>
          <w:rFonts w:ascii="Verdana" w:hAnsi="Verdana"/>
          <w:sz w:val="16"/>
          <w:szCs w:val="16"/>
        </w:rPr>
        <w:t>Ruling of</w:t>
      </w:r>
      <w:r w:rsidRPr="00954547">
        <w:rPr>
          <w:rFonts w:ascii="Verdana" w:hAnsi="Verdana"/>
          <w:sz w:val="16"/>
          <w:szCs w:val="16"/>
        </w:rPr>
        <w:t xml:space="preserve"> </w:t>
      </w:r>
      <w:r w:rsidR="009E3F9E" w:rsidRPr="00954547">
        <w:rPr>
          <w:rFonts w:ascii="Verdana" w:hAnsi="Verdana"/>
          <w:sz w:val="16"/>
          <w:szCs w:val="16"/>
        </w:rPr>
        <w:t>November 11,</w:t>
      </w:r>
      <w:r w:rsidRPr="00954547">
        <w:rPr>
          <w:rFonts w:ascii="Verdana" w:hAnsi="Verdana"/>
          <w:sz w:val="16"/>
          <w:szCs w:val="16"/>
        </w:rPr>
        <w:t xml:space="preserve"> 2011 (</w:t>
      </w:r>
      <w:r w:rsidR="001C328F" w:rsidRPr="00954547">
        <w:rPr>
          <w:rFonts w:ascii="Verdana" w:hAnsi="Verdana"/>
          <w:sz w:val="16"/>
          <w:szCs w:val="16"/>
        </w:rPr>
        <w:t>evidence file</w:t>
      </w:r>
      <w:r w:rsidRPr="00954547">
        <w:rPr>
          <w:rFonts w:ascii="Verdana" w:hAnsi="Verdana"/>
          <w:sz w:val="16"/>
          <w:szCs w:val="16"/>
        </w:rPr>
        <w:t>, folio 200).</w:t>
      </w:r>
    </w:p>
  </w:footnote>
  <w:footnote w:id="181">
    <w:p w14:paraId="71A4F9E1" w14:textId="19F33FF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E3F9E" w:rsidRPr="00954547">
        <w:rPr>
          <w:rFonts w:ascii="Verdana" w:hAnsi="Verdana"/>
          <w:sz w:val="16"/>
          <w:szCs w:val="16"/>
        </w:rPr>
        <w:t>Appeal for review filed on December</w:t>
      </w:r>
      <w:r w:rsidRPr="00954547">
        <w:rPr>
          <w:rFonts w:ascii="Verdana" w:hAnsi="Verdana"/>
          <w:sz w:val="16"/>
          <w:szCs w:val="16"/>
        </w:rPr>
        <w:t xml:space="preserve"> 20</w:t>
      </w:r>
      <w:r w:rsidR="009E3F9E" w:rsidRPr="00954547">
        <w:rPr>
          <w:rFonts w:ascii="Verdana" w:hAnsi="Verdana"/>
          <w:sz w:val="16"/>
          <w:szCs w:val="16"/>
        </w:rPr>
        <w:t xml:space="preserve">, </w:t>
      </w:r>
      <w:r w:rsidRPr="00954547">
        <w:rPr>
          <w:rFonts w:ascii="Verdana" w:hAnsi="Verdana"/>
          <w:sz w:val="16"/>
          <w:szCs w:val="16"/>
        </w:rPr>
        <w:t>2011 (</w:t>
      </w:r>
      <w:r w:rsidR="001C328F" w:rsidRPr="00954547">
        <w:rPr>
          <w:rFonts w:ascii="Verdana" w:hAnsi="Verdana"/>
          <w:sz w:val="16"/>
          <w:szCs w:val="16"/>
        </w:rPr>
        <w:t>evidence file</w:t>
      </w:r>
      <w:r w:rsidRPr="00954547">
        <w:rPr>
          <w:rFonts w:ascii="Verdana" w:hAnsi="Verdana"/>
          <w:sz w:val="16"/>
          <w:szCs w:val="16"/>
        </w:rPr>
        <w:t>, folio 2148).</w:t>
      </w:r>
    </w:p>
  </w:footnote>
  <w:footnote w:id="182">
    <w:p w14:paraId="611313D7" w14:textId="3BD4C19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4E2A50" w:rsidRPr="00954547">
        <w:rPr>
          <w:rFonts w:ascii="Verdana" w:eastAsiaTheme="minorHAnsi" w:hAnsi="Verdana" w:cs="Arial"/>
          <w:sz w:val="16"/>
          <w:szCs w:val="16"/>
          <w:bdr w:val="none" w:sz="0" w:space="0" w:color="auto"/>
        </w:rPr>
        <w:t>Trial Court</w:t>
      </w:r>
      <w:r w:rsidR="00B8393C" w:rsidRPr="00954547">
        <w:rPr>
          <w:rFonts w:ascii="Verdana" w:eastAsiaTheme="minorHAnsi" w:hAnsi="Verdana" w:cs="Arial"/>
          <w:sz w:val="16"/>
          <w:szCs w:val="16"/>
          <w:bdr w:val="none" w:sz="0" w:space="0" w:color="auto"/>
        </w:rPr>
        <w:t xml:space="preserve"> of</w:t>
      </w:r>
      <w:r w:rsidRPr="00954547">
        <w:rPr>
          <w:rFonts w:ascii="Verdana" w:eastAsiaTheme="minorHAnsi" w:hAnsi="Verdana" w:cs="Arial"/>
          <w:sz w:val="16"/>
          <w:szCs w:val="16"/>
          <w:bdr w:val="none" w:sz="0" w:space="0" w:color="auto"/>
        </w:rPr>
        <w:t xml:space="preserve"> San Francisco Gotera. </w:t>
      </w:r>
      <w:r w:rsidR="00B8393C" w:rsidRPr="00954547">
        <w:rPr>
          <w:rFonts w:ascii="Verdana" w:hAnsi="Verdana"/>
          <w:sz w:val="16"/>
          <w:szCs w:val="16"/>
        </w:rPr>
        <w:t>Judgment of</w:t>
      </w:r>
      <w:r w:rsidRPr="00954547">
        <w:rPr>
          <w:rFonts w:ascii="Verdana" w:hAnsi="Verdana"/>
          <w:sz w:val="16"/>
          <w:szCs w:val="16"/>
        </w:rPr>
        <w:t xml:space="preserve"> </w:t>
      </w:r>
      <w:r w:rsidR="009E3F9E" w:rsidRPr="00954547">
        <w:rPr>
          <w:rFonts w:ascii="Verdana" w:eastAsiaTheme="minorHAnsi" w:hAnsi="Verdana" w:cs="Arial"/>
          <w:sz w:val="16"/>
          <w:szCs w:val="16"/>
          <w:bdr w:val="none" w:sz="0" w:space="0" w:color="auto"/>
        </w:rPr>
        <w:t>January 22,</w:t>
      </w:r>
      <w:r w:rsidRPr="00954547">
        <w:rPr>
          <w:rFonts w:ascii="Verdana" w:eastAsiaTheme="minorHAnsi" w:hAnsi="Verdana" w:cs="Arial"/>
          <w:sz w:val="16"/>
          <w:szCs w:val="16"/>
          <w:bdr w:val="none" w:sz="0" w:space="0" w:color="auto"/>
        </w:rPr>
        <w:t xml:space="preserve"> 2012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folios 2154</w:t>
      </w:r>
      <w:r w:rsidR="009E3F9E" w:rsidRPr="00954547">
        <w:rPr>
          <w:rFonts w:ascii="Verdana" w:hAnsi="Verdana"/>
          <w:sz w:val="16"/>
          <w:szCs w:val="16"/>
        </w:rPr>
        <w:t xml:space="preserve"> to</w:t>
      </w:r>
      <w:r w:rsidRPr="00954547">
        <w:rPr>
          <w:rFonts w:ascii="Verdana" w:hAnsi="Verdana"/>
          <w:sz w:val="16"/>
          <w:szCs w:val="16"/>
        </w:rPr>
        <w:t xml:space="preserve"> 2156).</w:t>
      </w:r>
    </w:p>
  </w:footnote>
  <w:footnote w:id="183">
    <w:p w14:paraId="4B49FE46" w14:textId="762D121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7 </w:t>
      </w:r>
      <w:r w:rsidR="005E0FD1" w:rsidRPr="00954547">
        <w:rPr>
          <w:rFonts w:ascii="Verdana" w:hAnsi="Verdana"/>
          <w:sz w:val="16"/>
          <w:szCs w:val="16"/>
        </w:rPr>
        <w:t>of the Convention</w:t>
      </w:r>
      <w:r w:rsidRPr="00954547">
        <w:rPr>
          <w:rFonts w:ascii="Verdana" w:hAnsi="Verdana"/>
          <w:sz w:val="16"/>
          <w:szCs w:val="16"/>
        </w:rPr>
        <w:t>.</w:t>
      </w:r>
    </w:p>
  </w:footnote>
  <w:footnote w:id="184">
    <w:p w14:paraId="52B76A5C" w14:textId="35DB622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w:t>
      </w:r>
      <w:r w:rsidR="005E0FD1" w:rsidRPr="00954547">
        <w:rPr>
          <w:rFonts w:ascii="Verdana" w:hAnsi="Verdana"/>
          <w:sz w:val="16"/>
          <w:szCs w:val="16"/>
        </w:rPr>
        <w:t>8(2)</w:t>
      </w:r>
      <w:r w:rsidRPr="00954547">
        <w:rPr>
          <w:rFonts w:ascii="Verdana" w:hAnsi="Verdana"/>
          <w:sz w:val="16"/>
          <w:szCs w:val="16"/>
        </w:rPr>
        <w:t xml:space="preserve"> </w:t>
      </w:r>
      <w:r w:rsidR="005E0FD1" w:rsidRPr="00954547">
        <w:rPr>
          <w:rFonts w:ascii="Verdana" w:hAnsi="Verdana"/>
          <w:sz w:val="16"/>
          <w:szCs w:val="16"/>
        </w:rPr>
        <w:t>of the Convention</w:t>
      </w:r>
      <w:r w:rsidRPr="00954547">
        <w:rPr>
          <w:rFonts w:ascii="Verdana" w:hAnsi="Verdana"/>
          <w:sz w:val="16"/>
          <w:szCs w:val="16"/>
        </w:rPr>
        <w:t>.</w:t>
      </w:r>
    </w:p>
  </w:footnote>
  <w:footnote w:id="185">
    <w:p w14:paraId="33F50306" w14:textId="43B08A9F" w:rsidR="005F001B" w:rsidRPr="00954547" w:rsidRDefault="005F001B" w:rsidP="007619E6">
      <w:pPr>
        <w:pStyle w:val="FootnoteText"/>
        <w:tabs>
          <w:tab w:val="left" w:pos="567"/>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 xml:space="preserve">Article 1(1) </w:t>
      </w:r>
      <w:r w:rsidR="005E0FD1" w:rsidRPr="00954547">
        <w:rPr>
          <w:rFonts w:ascii="Verdana" w:hAnsi="Verdana"/>
          <w:sz w:val="16"/>
          <w:szCs w:val="16"/>
        </w:rPr>
        <w:t>of the Convention</w:t>
      </w:r>
      <w:r w:rsidRPr="00954547">
        <w:rPr>
          <w:rFonts w:ascii="Verdana" w:hAnsi="Verdana"/>
          <w:sz w:val="16"/>
          <w:szCs w:val="16"/>
        </w:rPr>
        <w:t>.</w:t>
      </w:r>
    </w:p>
  </w:footnote>
  <w:footnote w:id="186">
    <w:p w14:paraId="60D363AE" w14:textId="5855D321" w:rsidR="005F001B" w:rsidRPr="00954547" w:rsidRDefault="005F001B" w:rsidP="007619E6">
      <w:pPr>
        <w:pStyle w:val="FootnoteText"/>
        <w:tabs>
          <w:tab w:val="left" w:pos="567"/>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2 </w:t>
      </w:r>
      <w:r w:rsidR="005E0FD1" w:rsidRPr="00954547">
        <w:rPr>
          <w:rFonts w:ascii="Verdana" w:hAnsi="Verdana"/>
          <w:sz w:val="16"/>
          <w:szCs w:val="16"/>
        </w:rPr>
        <w:t>of the Convention</w:t>
      </w:r>
      <w:r w:rsidRPr="00954547">
        <w:rPr>
          <w:rFonts w:ascii="Verdana" w:hAnsi="Verdana"/>
          <w:sz w:val="16"/>
          <w:szCs w:val="16"/>
        </w:rPr>
        <w:t>.</w:t>
      </w:r>
    </w:p>
  </w:footnote>
  <w:footnote w:id="187">
    <w:p w14:paraId="2A61E2FF" w14:textId="15EE4688" w:rsidR="005F001B" w:rsidRPr="00954547" w:rsidRDefault="005F001B" w:rsidP="007619E6">
      <w:pPr>
        <w:pStyle w:val="FootnoteText"/>
        <w:tabs>
          <w:tab w:val="left" w:pos="567"/>
          <w:tab w:val="left" w:pos="709"/>
        </w:tabs>
        <w:spacing w:after="120"/>
        <w:jc w:val="both"/>
        <w:rPr>
          <w:rFonts w:ascii="Verdana" w:eastAsia="MS Mincho"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Juan Humberto Sánchez </w:t>
      </w:r>
      <w:r w:rsidR="009C16A1" w:rsidRPr="00954547">
        <w:rPr>
          <w:rFonts w:ascii="Verdana" w:hAnsi="Verdana"/>
          <w:i/>
          <w:iCs/>
          <w:sz w:val="16"/>
          <w:szCs w:val="16"/>
        </w:rPr>
        <w:t>v.</w:t>
      </w:r>
      <w:r w:rsidRPr="00954547">
        <w:rPr>
          <w:rFonts w:ascii="Verdana" w:hAnsi="Verdana"/>
          <w:i/>
          <w:iCs/>
          <w:sz w:val="16"/>
          <w:szCs w:val="16"/>
        </w:rPr>
        <w:t xml:space="preserve"> Honduras. </w:t>
      </w:r>
      <w:r w:rsidR="005315AC" w:rsidRPr="00954547">
        <w:rPr>
          <w:rFonts w:ascii="Verdana" w:hAnsi="Verdana"/>
          <w:i/>
          <w:iCs/>
          <w:sz w:val="16"/>
          <w:szCs w:val="16"/>
        </w:rPr>
        <w:t>Preliminary objection, merits,</w:t>
      </w:r>
      <w:r w:rsidR="00A70DC4" w:rsidRPr="00954547">
        <w:rPr>
          <w:rFonts w:ascii="Verdana" w:hAnsi="Verdana"/>
          <w:i/>
          <w:iCs/>
          <w:sz w:val="16"/>
          <w:szCs w:val="16"/>
        </w:rPr>
        <w:t xml:space="preserve">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063CF0" w:rsidRPr="00954547">
        <w:rPr>
          <w:rFonts w:ascii="Verdana" w:hAnsi="Verdana"/>
          <w:sz w:val="16"/>
          <w:szCs w:val="16"/>
        </w:rPr>
        <w:t>June 7,</w:t>
      </w:r>
      <w:r w:rsidRPr="00954547">
        <w:rPr>
          <w:rFonts w:ascii="Verdana" w:hAnsi="Verdana"/>
          <w:sz w:val="16"/>
          <w:szCs w:val="16"/>
        </w:rPr>
        <w:t xml:space="preserve"> 2003. </w:t>
      </w:r>
      <w:r w:rsidR="00B8393C" w:rsidRPr="00954547">
        <w:rPr>
          <w:rFonts w:ascii="Verdana" w:hAnsi="Verdana"/>
          <w:sz w:val="16"/>
          <w:szCs w:val="16"/>
        </w:rPr>
        <w:t xml:space="preserve">Series </w:t>
      </w:r>
      <w:r w:rsidRPr="00954547">
        <w:rPr>
          <w:rFonts w:ascii="Verdana" w:hAnsi="Verdana"/>
          <w:sz w:val="16"/>
          <w:szCs w:val="16"/>
        </w:rPr>
        <w:t xml:space="preserve">C No. 99, </w:t>
      </w:r>
      <w:r w:rsidR="00B10E5A" w:rsidRPr="00954547">
        <w:rPr>
          <w:rFonts w:ascii="Verdana" w:hAnsi="Verdana"/>
          <w:sz w:val="16"/>
          <w:szCs w:val="16"/>
        </w:rPr>
        <w:t>para.</w:t>
      </w:r>
      <w:r w:rsidRPr="00954547">
        <w:rPr>
          <w:rFonts w:ascii="Verdana" w:hAnsi="Verdana"/>
          <w:sz w:val="16"/>
          <w:szCs w:val="16"/>
        </w:rPr>
        <w:t xml:space="preserve"> 84,</w:t>
      </w:r>
      <w:r w:rsidR="0078694F" w:rsidRPr="00954547">
        <w:rPr>
          <w:rFonts w:ascii="Verdana" w:hAnsi="Verdana"/>
          <w:sz w:val="16"/>
          <w:szCs w:val="16"/>
        </w:rPr>
        <w:t xml:space="preserve"> and </w:t>
      </w:r>
      <w:r w:rsidR="002F4617" w:rsidRPr="00954547">
        <w:rPr>
          <w:rFonts w:ascii="Verdana" w:hAnsi="Verdana"/>
          <w:i/>
          <w:iCs/>
          <w:sz w:val="16"/>
          <w:szCs w:val="16"/>
        </w:rPr>
        <w:t>Case of</w:t>
      </w:r>
      <w:r w:rsidRPr="00954547">
        <w:rPr>
          <w:rFonts w:ascii="Verdana" w:hAnsi="Verdana"/>
          <w:i/>
          <w:iCs/>
          <w:sz w:val="16"/>
          <w:szCs w:val="16"/>
        </w:rPr>
        <w:t xml:space="preserve"> Acosta Martínez </w:t>
      </w:r>
      <w:r w:rsidR="00B8393C" w:rsidRPr="00954547">
        <w:rPr>
          <w:rFonts w:ascii="Verdana" w:hAnsi="Verdana"/>
          <w:i/>
          <w:iCs/>
          <w:sz w:val="16"/>
          <w:szCs w:val="16"/>
        </w:rPr>
        <w:t>et al. v.</w:t>
      </w:r>
      <w:r w:rsidRPr="00954547">
        <w:rPr>
          <w:rFonts w:ascii="Verdana" w:hAnsi="Verdana"/>
          <w:i/>
          <w:iCs/>
          <w:sz w:val="16"/>
          <w:szCs w:val="16"/>
        </w:rPr>
        <w:t xml:space="preserve"> Argentina. </w:t>
      </w:r>
      <w:r w:rsidR="00A70DC4" w:rsidRPr="00954547">
        <w:rPr>
          <w:rFonts w:ascii="Verdana" w:hAnsi="Verdana"/>
          <w:i/>
          <w:iCs/>
          <w:sz w:val="16"/>
          <w:szCs w:val="16"/>
        </w:rPr>
        <w:t>Merits, reparations and costs</w:t>
      </w:r>
      <w:r w:rsidRPr="00954547">
        <w:rPr>
          <w:rFonts w:ascii="Verdana" w:hAnsi="Verdana"/>
          <w:i/>
          <w:iCs/>
          <w:sz w:val="16"/>
          <w:szCs w:val="16"/>
        </w:rPr>
        <w:t xml:space="preserve">. </w:t>
      </w:r>
      <w:r w:rsidR="00B8393C" w:rsidRPr="00954547">
        <w:rPr>
          <w:rFonts w:ascii="Verdana" w:hAnsi="Verdana"/>
          <w:iCs/>
          <w:sz w:val="16"/>
          <w:szCs w:val="16"/>
        </w:rPr>
        <w:t>Judgment of</w:t>
      </w:r>
      <w:r w:rsidRPr="00954547">
        <w:rPr>
          <w:rFonts w:ascii="Verdana" w:hAnsi="Verdana"/>
          <w:iCs/>
          <w:sz w:val="16"/>
          <w:szCs w:val="16"/>
        </w:rPr>
        <w:t xml:space="preserve"> </w:t>
      </w:r>
      <w:r w:rsidR="00063CF0" w:rsidRPr="00954547">
        <w:rPr>
          <w:rFonts w:ascii="Verdana" w:hAnsi="Verdana"/>
          <w:iCs/>
          <w:sz w:val="16"/>
          <w:szCs w:val="16"/>
        </w:rPr>
        <w:t>August 31,</w:t>
      </w:r>
      <w:r w:rsidRPr="00954547">
        <w:rPr>
          <w:rFonts w:ascii="Verdana" w:hAnsi="Verdana"/>
          <w:iCs/>
          <w:sz w:val="16"/>
          <w:szCs w:val="16"/>
        </w:rPr>
        <w:t xml:space="preserve"> 2020. </w:t>
      </w:r>
      <w:r w:rsidR="00B8393C" w:rsidRPr="00954547">
        <w:rPr>
          <w:rFonts w:ascii="Verdana" w:hAnsi="Verdana"/>
          <w:iCs/>
          <w:sz w:val="16"/>
          <w:szCs w:val="16"/>
        </w:rPr>
        <w:t xml:space="preserve">Series </w:t>
      </w:r>
      <w:r w:rsidRPr="00954547">
        <w:rPr>
          <w:rFonts w:ascii="Verdana" w:hAnsi="Verdana"/>
          <w:iCs/>
          <w:sz w:val="16"/>
          <w:szCs w:val="16"/>
        </w:rPr>
        <w:t xml:space="preserve">C No. 410, </w:t>
      </w:r>
      <w:r w:rsidR="00B10E5A" w:rsidRPr="00954547">
        <w:rPr>
          <w:rFonts w:ascii="Verdana" w:hAnsi="Verdana"/>
          <w:iCs/>
          <w:sz w:val="16"/>
          <w:szCs w:val="16"/>
        </w:rPr>
        <w:t>para.</w:t>
      </w:r>
      <w:r w:rsidRPr="00954547">
        <w:rPr>
          <w:rFonts w:ascii="Verdana" w:hAnsi="Verdana"/>
          <w:iCs/>
          <w:sz w:val="16"/>
          <w:szCs w:val="16"/>
        </w:rPr>
        <w:t xml:space="preserve"> 76.</w:t>
      </w:r>
    </w:p>
  </w:footnote>
  <w:footnote w:id="188">
    <w:p w14:paraId="00C428D0" w14:textId="20790481" w:rsidR="00F35A6E" w:rsidRPr="00954547" w:rsidRDefault="00F35A6E" w:rsidP="007619E6">
      <w:pPr>
        <w:pStyle w:val="FootnoteText"/>
        <w:tabs>
          <w:tab w:val="left" w:pos="567"/>
        </w:tabs>
        <w:spacing w:after="60"/>
        <w:jc w:val="both"/>
        <w:rPr>
          <w:rFonts w:ascii="Verdana" w:hAnsi="Verdana"/>
          <w:iCs/>
          <w:sz w:val="16"/>
          <w:szCs w:val="16"/>
        </w:rPr>
      </w:pPr>
      <w:r w:rsidRPr="00954547">
        <w:rPr>
          <w:rFonts w:ascii="Verdana" w:hAnsi="Verdana"/>
          <w:iCs/>
          <w:sz w:val="16"/>
          <w:szCs w:val="16"/>
          <w:vertAlign w:val="superscript"/>
        </w:rPr>
        <w:footnoteRef/>
      </w:r>
      <w:r w:rsidRPr="00954547">
        <w:rPr>
          <w:rFonts w:ascii="Verdana" w:hAnsi="Verdana"/>
          <w:i/>
          <w:iCs/>
          <w:sz w:val="16"/>
          <w:szCs w:val="16"/>
        </w:rPr>
        <w:t xml:space="preserve"> </w:t>
      </w:r>
      <w:r w:rsidRPr="00954547">
        <w:rPr>
          <w:rFonts w:ascii="Verdana" w:hAnsi="Verdana"/>
          <w:i/>
          <w:iCs/>
          <w:sz w:val="16"/>
          <w:szCs w:val="16"/>
        </w:rPr>
        <w:tab/>
        <w:t xml:space="preserve">Cf. Case of Chaparro Álvarez and Lapo Íñiguez v. Ecuador, </w:t>
      </w:r>
      <w:r w:rsidR="00063CF0" w:rsidRPr="00954547">
        <w:rPr>
          <w:rFonts w:ascii="Verdana" w:hAnsi="Verdana"/>
          <w:i/>
          <w:iCs/>
          <w:sz w:val="16"/>
          <w:szCs w:val="16"/>
        </w:rPr>
        <w:t>Preliminary objection, merits, reparations and costs.</w:t>
      </w:r>
      <w:r w:rsidR="004C640C" w:rsidRPr="00954547">
        <w:rPr>
          <w:rFonts w:ascii="Verdana" w:hAnsi="Verdana"/>
          <w:i/>
          <w:iCs/>
          <w:sz w:val="16"/>
          <w:szCs w:val="16"/>
        </w:rPr>
        <w:t xml:space="preserve"> </w:t>
      </w:r>
      <w:r w:rsidR="004C640C" w:rsidRPr="00954547">
        <w:rPr>
          <w:rFonts w:ascii="Verdana" w:hAnsi="Verdana"/>
          <w:iCs/>
          <w:sz w:val="16"/>
          <w:szCs w:val="16"/>
        </w:rPr>
        <w:t>Judgment of November 21, 2007. Series C No. 170,</w:t>
      </w:r>
      <w:r w:rsidRPr="00954547">
        <w:rPr>
          <w:rFonts w:ascii="Verdana" w:hAnsi="Verdana"/>
          <w:iCs/>
          <w:sz w:val="16"/>
          <w:szCs w:val="16"/>
        </w:rPr>
        <w:t xml:space="preserve"> para. 54, and </w:t>
      </w:r>
      <w:r w:rsidR="004C640C" w:rsidRPr="00954547">
        <w:rPr>
          <w:rFonts w:ascii="Verdana" w:hAnsi="Verdana"/>
          <w:i/>
          <w:iCs/>
          <w:sz w:val="16"/>
          <w:szCs w:val="16"/>
        </w:rPr>
        <w:t xml:space="preserve">Case of Acosta Martínez et al. v. Argentina, supra, </w:t>
      </w:r>
      <w:r w:rsidRPr="00954547">
        <w:rPr>
          <w:rFonts w:ascii="Verdana" w:hAnsi="Verdana"/>
          <w:iCs/>
          <w:sz w:val="16"/>
          <w:szCs w:val="16"/>
        </w:rPr>
        <w:t xml:space="preserve">para. </w:t>
      </w:r>
      <w:r w:rsidR="004C640C" w:rsidRPr="00954547">
        <w:rPr>
          <w:rFonts w:ascii="Verdana" w:hAnsi="Verdana"/>
          <w:iCs/>
          <w:sz w:val="16"/>
          <w:szCs w:val="16"/>
        </w:rPr>
        <w:t>76</w:t>
      </w:r>
      <w:r w:rsidRPr="00954547">
        <w:rPr>
          <w:rFonts w:ascii="Verdana" w:hAnsi="Verdana"/>
          <w:iCs/>
          <w:sz w:val="16"/>
          <w:szCs w:val="16"/>
        </w:rPr>
        <w:t>.</w:t>
      </w:r>
    </w:p>
  </w:footnote>
  <w:footnote w:id="189">
    <w:p w14:paraId="729CD75E" w14:textId="5D9BB39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eastAsia="Times New Roman" w:hAnsi="Verdana"/>
          <w:i/>
          <w:sz w:val="16"/>
          <w:szCs w:val="16"/>
        </w:rPr>
        <w:t>Cf.</w:t>
      </w:r>
      <w:r w:rsidRPr="00954547">
        <w:rPr>
          <w:rFonts w:ascii="Verdana" w:eastAsia="Times New Roman" w:hAnsi="Verdana"/>
          <w:i/>
          <w:sz w:val="16"/>
          <w:szCs w:val="16"/>
        </w:rPr>
        <w:t xml:space="preserve"> </w:t>
      </w:r>
      <w:r w:rsidR="002F4617" w:rsidRPr="00954547">
        <w:rPr>
          <w:rFonts w:ascii="Verdana" w:eastAsia="Times New Roman" w:hAnsi="Verdana"/>
          <w:i/>
          <w:sz w:val="16"/>
          <w:szCs w:val="16"/>
        </w:rPr>
        <w:t>Case of</w:t>
      </w:r>
      <w:r w:rsidR="004C640C" w:rsidRPr="00954547">
        <w:rPr>
          <w:rFonts w:ascii="Verdana" w:eastAsia="Times New Roman" w:hAnsi="Verdana"/>
          <w:i/>
          <w:sz w:val="16"/>
          <w:szCs w:val="16"/>
        </w:rPr>
        <w:t xml:space="preserve"> the</w:t>
      </w:r>
      <w:r w:rsidRPr="00954547">
        <w:rPr>
          <w:rFonts w:ascii="Verdana" w:eastAsia="Times New Roman" w:hAnsi="Verdana"/>
          <w:i/>
          <w:sz w:val="16"/>
          <w:szCs w:val="16"/>
        </w:rPr>
        <w:t xml:space="preserve"> “</w:t>
      </w:r>
      <w:r w:rsidR="004C640C" w:rsidRPr="00954547">
        <w:rPr>
          <w:rFonts w:ascii="Verdana" w:eastAsia="Times New Roman" w:hAnsi="Verdana"/>
          <w:i/>
          <w:sz w:val="16"/>
          <w:szCs w:val="16"/>
        </w:rPr>
        <w:t>Juvenile Re-education Institute</w:t>
      </w:r>
      <w:r w:rsidRPr="00954547">
        <w:rPr>
          <w:rFonts w:ascii="Verdana" w:eastAsia="Times New Roman" w:hAnsi="Verdana"/>
          <w:i/>
          <w:sz w:val="16"/>
          <w:szCs w:val="16"/>
        </w:rPr>
        <w:t xml:space="preserve"> </w:t>
      </w:r>
      <w:r w:rsidR="009C16A1" w:rsidRPr="00954547">
        <w:rPr>
          <w:rFonts w:ascii="Verdana" w:eastAsia="Times New Roman" w:hAnsi="Verdana"/>
          <w:i/>
          <w:sz w:val="16"/>
          <w:szCs w:val="16"/>
        </w:rPr>
        <w:t>v.</w:t>
      </w:r>
      <w:r w:rsidRPr="00954547">
        <w:rPr>
          <w:rFonts w:ascii="Verdana" w:eastAsia="Times New Roman" w:hAnsi="Verdana"/>
          <w:i/>
          <w:sz w:val="16"/>
          <w:szCs w:val="16"/>
        </w:rPr>
        <w:t xml:space="preserve"> Paraguay. </w:t>
      </w:r>
      <w:r w:rsidR="00A70DC4" w:rsidRPr="00954547">
        <w:rPr>
          <w:rFonts w:ascii="Verdana" w:eastAsia="Times New Roman" w:hAnsi="Verdana"/>
          <w:i/>
          <w:sz w:val="16"/>
          <w:szCs w:val="16"/>
        </w:rPr>
        <w:t>Preliminary objections</w:t>
      </w:r>
      <w:r w:rsidRPr="00954547">
        <w:rPr>
          <w:rFonts w:ascii="Verdana" w:eastAsia="Times New Roman" w:hAnsi="Verdana"/>
          <w:i/>
          <w:sz w:val="16"/>
          <w:szCs w:val="16"/>
        </w:rPr>
        <w:t xml:space="preserve">, </w:t>
      </w:r>
      <w:r w:rsidR="004C640C" w:rsidRPr="00954547">
        <w:rPr>
          <w:rFonts w:ascii="Verdana" w:eastAsia="Times New Roman" w:hAnsi="Verdana"/>
          <w:i/>
          <w:sz w:val="16"/>
          <w:szCs w:val="16"/>
        </w:rPr>
        <w:t>m</w:t>
      </w:r>
      <w:r w:rsidR="00A70DC4" w:rsidRPr="00954547">
        <w:rPr>
          <w:rFonts w:ascii="Verdana" w:eastAsia="Times New Roman" w:hAnsi="Verdana"/>
          <w:i/>
          <w:sz w:val="16"/>
          <w:szCs w:val="16"/>
        </w:rPr>
        <w:t>erits, reparations and costs</w:t>
      </w:r>
      <w:r w:rsidRPr="00954547">
        <w:rPr>
          <w:rFonts w:ascii="Verdana" w:eastAsia="Times New Roman" w:hAnsi="Verdana"/>
          <w:sz w:val="16"/>
          <w:szCs w:val="16"/>
        </w:rPr>
        <w:t xml:space="preserve">. </w:t>
      </w:r>
      <w:r w:rsidR="00B8393C" w:rsidRPr="00954547">
        <w:rPr>
          <w:rFonts w:ascii="Verdana" w:eastAsia="Times New Roman" w:hAnsi="Verdana"/>
          <w:sz w:val="16"/>
          <w:szCs w:val="16"/>
        </w:rPr>
        <w:t>Judgment of</w:t>
      </w:r>
      <w:r w:rsidRPr="00954547">
        <w:rPr>
          <w:rFonts w:ascii="Verdana" w:eastAsia="Times New Roman" w:hAnsi="Verdana"/>
          <w:sz w:val="16"/>
          <w:szCs w:val="16"/>
        </w:rPr>
        <w:t xml:space="preserve"> </w:t>
      </w:r>
      <w:r w:rsidR="004C640C" w:rsidRPr="00954547">
        <w:rPr>
          <w:rFonts w:ascii="Verdana" w:eastAsia="Times New Roman" w:hAnsi="Verdana"/>
          <w:sz w:val="16"/>
          <w:szCs w:val="16"/>
        </w:rPr>
        <w:t>September 2,</w:t>
      </w:r>
      <w:r w:rsidRPr="00954547">
        <w:rPr>
          <w:rFonts w:ascii="Verdana" w:eastAsia="Times New Roman" w:hAnsi="Verdana"/>
          <w:sz w:val="16"/>
          <w:szCs w:val="16"/>
        </w:rPr>
        <w:t xml:space="preserve"> 2004. </w:t>
      </w:r>
      <w:r w:rsidR="00B8393C" w:rsidRPr="00954547">
        <w:rPr>
          <w:rFonts w:ascii="Verdana" w:eastAsia="Times New Roman" w:hAnsi="Verdana"/>
          <w:sz w:val="16"/>
          <w:szCs w:val="16"/>
        </w:rPr>
        <w:t xml:space="preserve">Series </w:t>
      </w:r>
      <w:r w:rsidRPr="00954547">
        <w:rPr>
          <w:rFonts w:ascii="Verdana" w:eastAsia="Times New Roman" w:hAnsi="Verdana"/>
          <w:sz w:val="16"/>
          <w:szCs w:val="16"/>
        </w:rPr>
        <w:t xml:space="preserve">C No. 112, </w:t>
      </w:r>
      <w:r w:rsidR="00B10E5A" w:rsidRPr="00954547">
        <w:rPr>
          <w:rFonts w:ascii="Verdana" w:eastAsia="Times New Roman" w:hAnsi="Verdana"/>
          <w:sz w:val="16"/>
          <w:szCs w:val="16"/>
        </w:rPr>
        <w:t>para.</w:t>
      </w:r>
      <w:r w:rsidRPr="00954547">
        <w:rPr>
          <w:rFonts w:ascii="Verdana" w:eastAsia="Times New Roman" w:hAnsi="Verdana" w:cs="Times New Roman"/>
          <w:sz w:val="16"/>
          <w:szCs w:val="16"/>
          <w:lang w:eastAsia="en-GB"/>
        </w:rPr>
        <w:t xml:space="preserve"> 228,</w:t>
      </w:r>
      <w:r w:rsidR="0078694F" w:rsidRPr="00954547">
        <w:rPr>
          <w:rFonts w:ascii="Verdana" w:eastAsia="Times New Roman" w:hAnsi="Verdana" w:cs="Times New Roman"/>
          <w:sz w:val="16"/>
          <w:szCs w:val="16"/>
          <w:lang w:eastAsia="en-GB"/>
        </w:rPr>
        <w:t xml:space="preserve"> and </w:t>
      </w:r>
      <w:r w:rsidR="002F4617" w:rsidRPr="00954547">
        <w:rPr>
          <w:rFonts w:ascii="Verdana" w:hAnsi="Verdana"/>
          <w:i/>
          <w:sz w:val="16"/>
          <w:szCs w:val="16"/>
        </w:rPr>
        <w:t>Case of</w:t>
      </w:r>
      <w:r w:rsidRPr="00954547">
        <w:rPr>
          <w:rFonts w:ascii="Verdana" w:hAnsi="Verdana"/>
          <w:i/>
          <w:sz w:val="16"/>
          <w:szCs w:val="16"/>
        </w:rPr>
        <w:t xml:space="preserve"> Villarroel Merino </w:t>
      </w:r>
      <w:r w:rsidR="00B8393C" w:rsidRPr="00954547">
        <w:rPr>
          <w:rFonts w:ascii="Verdana" w:hAnsi="Verdana"/>
          <w:i/>
          <w:sz w:val="16"/>
          <w:szCs w:val="16"/>
        </w:rPr>
        <w:t>et al. v.</w:t>
      </w:r>
      <w:r w:rsidRPr="00954547">
        <w:rPr>
          <w:rFonts w:ascii="Verdana" w:hAnsi="Verdana"/>
          <w:i/>
          <w:sz w:val="16"/>
          <w:szCs w:val="16"/>
        </w:rPr>
        <w:t xml:space="preserve"> Ecuador. </w:t>
      </w:r>
      <w:r w:rsidR="004C640C" w:rsidRPr="00954547">
        <w:rPr>
          <w:rFonts w:ascii="Verdana" w:eastAsia="Times New Roman" w:hAnsi="Verdana"/>
          <w:i/>
          <w:sz w:val="16"/>
          <w:szCs w:val="16"/>
        </w:rPr>
        <w:t>Preliminary objections, merits</w:t>
      </w:r>
      <w:r w:rsidR="00A70DC4" w:rsidRPr="00954547">
        <w:rPr>
          <w:rFonts w:ascii="Verdana" w:eastAsia="Times New Roman" w:hAnsi="Verdana"/>
          <w:i/>
          <w:sz w:val="16"/>
          <w:szCs w:val="16"/>
        </w:rPr>
        <w:t>, reparations and costs</w:t>
      </w:r>
      <w:r w:rsidRPr="00954547">
        <w:rPr>
          <w:rFonts w:ascii="Verdana" w:eastAsia="Times New Roman"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C640C" w:rsidRPr="00954547">
        <w:rPr>
          <w:rFonts w:ascii="Verdana" w:hAnsi="Verdana"/>
          <w:sz w:val="16"/>
          <w:szCs w:val="16"/>
        </w:rPr>
        <w:t>August 24,</w:t>
      </w:r>
      <w:r w:rsidRPr="00954547">
        <w:rPr>
          <w:rFonts w:ascii="Verdana" w:hAnsi="Verdana"/>
          <w:sz w:val="16"/>
          <w:szCs w:val="16"/>
        </w:rPr>
        <w:t xml:space="preserve"> 2021</w:t>
      </w:r>
      <w:r w:rsidRPr="00954547">
        <w:rPr>
          <w:rFonts w:ascii="Verdana" w:eastAsia="Times New Roman" w:hAnsi="Verdana"/>
          <w:sz w:val="16"/>
          <w:szCs w:val="16"/>
        </w:rPr>
        <w:t xml:space="preserve">. </w:t>
      </w:r>
      <w:r w:rsidR="00B8393C" w:rsidRPr="00954547">
        <w:rPr>
          <w:rFonts w:ascii="Verdana" w:eastAsia="Times New Roman" w:hAnsi="Verdana"/>
          <w:sz w:val="16"/>
          <w:szCs w:val="16"/>
        </w:rPr>
        <w:t xml:space="preserve">Series </w:t>
      </w:r>
      <w:r w:rsidRPr="00954547">
        <w:rPr>
          <w:rFonts w:ascii="Verdana" w:eastAsia="Times New Roman" w:hAnsi="Verdana"/>
          <w:sz w:val="16"/>
          <w:szCs w:val="16"/>
        </w:rPr>
        <w:t xml:space="preserve">C No. 430, </w:t>
      </w:r>
      <w:r w:rsidR="00B10E5A" w:rsidRPr="00954547">
        <w:rPr>
          <w:rFonts w:ascii="Verdana" w:eastAsia="Times New Roman" w:hAnsi="Verdana"/>
          <w:sz w:val="16"/>
          <w:szCs w:val="16"/>
        </w:rPr>
        <w:t>para.</w:t>
      </w:r>
      <w:r w:rsidRPr="00954547">
        <w:rPr>
          <w:rFonts w:ascii="Verdana" w:eastAsia="Times New Roman" w:hAnsi="Verdana" w:cs="Times New Roman"/>
          <w:sz w:val="16"/>
          <w:szCs w:val="16"/>
          <w:lang w:eastAsia="en-GB"/>
        </w:rPr>
        <w:t xml:space="preserve"> 83.</w:t>
      </w:r>
    </w:p>
  </w:footnote>
  <w:footnote w:id="190">
    <w:p w14:paraId="1A075A86" w14:textId="2A5F4231" w:rsidR="00C47C33" w:rsidRPr="00954547" w:rsidRDefault="00C47C33"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Pr="00954547">
        <w:rPr>
          <w:rFonts w:ascii="Verdana" w:hAnsi="Verdana"/>
          <w:i/>
          <w:sz w:val="16"/>
          <w:szCs w:val="16"/>
        </w:rPr>
        <w:t>Cf. Case of Servellón García et al. v. Honduras. Preliminary objection, merits, reparations and costs.</w:t>
      </w:r>
      <w:r w:rsidRPr="00954547">
        <w:rPr>
          <w:rFonts w:ascii="Verdana" w:hAnsi="Verdana"/>
          <w:sz w:val="16"/>
          <w:szCs w:val="16"/>
        </w:rPr>
        <w:t xml:space="preserve"> Judgment of </w:t>
      </w:r>
      <w:r w:rsidR="004C640C" w:rsidRPr="00954547">
        <w:rPr>
          <w:rFonts w:ascii="Verdana" w:hAnsi="Verdana"/>
          <w:sz w:val="16"/>
          <w:szCs w:val="16"/>
        </w:rPr>
        <w:t>September 21,</w:t>
      </w:r>
      <w:r w:rsidRPr="00954547">
        <w:rPr>
          <w:rFonts w:ascii="Verdana" w:hAnsi="Verdana"/>
          <w:sz w:val="16"/>
          <w:szCs w:val="16"/>
        </w:rPr>
        <w:t xml:space="preserve"> 2006. Series C No. 152, para. 89</w:t>
      </w:r>
      <w:r w:rsidRPr="00954547">
        <w:rPr>
          <w:rFonts w:ascii="Verdana" w:eastAsia="Times New Roman" w:hAnsi="Verdana" w:cs="Times New Roman"/>
          <w:sz w:val="16"/>
          <w:szCs w:val="16"/>
          <w:lang w:eastAsia="en-GB"/>
        </w:rPr>
        <w:t xml:space="preserve">, and </w:t>
      </w:r>
      <w:r w:rsidRPr="00954547">
        <w:rPr>
          <w:rFonts w:ascii="Verdana" w:hAnsi="Verdana"/>
          <w:i/>
          <w:sz w:val="16"/>
          <w:szCs w:val="16"/>
        </w:rPr>
        <w:t>Case of Villarroel Merino et al. v. Ecuador, supra</w:t>
      </w:r>
      <w:r w:rsidRPr="00954547">
        <w:rPr>
          <w:rFonts w:ascii="Verdana" w:eastAsia="Times New Roman" w:hAnsi="Verdana"/>
          <w:sz w:val="16"/>
          <w:szCs w:val="16"/>
        </w:rPr>
        <w:t>, para.</w:t>
      </w:r>
      <w:r w:rsidRPr="00954547">
        <w:rPr>
          <w:rFonts w:ascii="Verdana" w:eastAsia="Times New Roman" w:hAnsi="Verdana" w:cs="Times New Roman"/>
          <w:sz w:val="16"/>
          <w:szCs w:val="16"/>
          <w:lang w:eastAsia="en-GB"/>
        </w:rPr>
        <w:t xml:space="preserve"> 87.</w:t>
      </w:r>
    </w:p>
  </w:footnote>
  <w:footnote w:id="191">
    <w:p w14:paraId="3089F2F3" w14:textId="0B37EC5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Palamara Iribarne </w:t>
      </w:r>
      <w:r w:rsidR="009C16A1" w:rsidRPr="00954547">
        <w:rPr>
          <w:rFonts w:ascii="Verdana" w:hAnsi="Verdana"/>
          <w:i/>
          <w:sz w:val="16"/>
          <w:szCs w:val="16"/>
        </w:rPr>
        <w:t>v.</w:t>
      </w:r>
      <w:r w:rsidRPr="00954547">
        <w:rPr>
          <w:rFonts w:ascii="Verdana" w:hAnsi="Verdana"/>
          <w:i/>
          <w:sz w:val="16"/>
          <w:szCs w:val="16"/>
        </w:rPr>
        <w:t xml:space="preserve"> Chile. </w:t>
      </w:r>
      <w:r w:rsidR="00A70DC4" w:rsidRPr="00954547">
        <w:rPr>
          <w:rFonts w:ascii="Verdana" w:hAnsi="Verdana"/>
          <w:i/>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C640C" w:rsidRPr="00954547">
        <w:rPr>
          <w:rFonts w:ascii="Verdana" w:hAnsi="Verdana"/>
          <w:sz w:val="16"/>
          <w:szCs w:val="16"/>
        </w:rPr>
        <w:t>November 22,</w:t>
      </w:r>
      <w:r w:rsidRPr="00954547">
        <w:rPr>
          <w:rFonts w:ascii="Verdana" w:hAnsi="Verdana"/>
          <w:sz w:val="16"/>
          <w:szCs w:val="16"/>
        </w:rPr>
        <w:t xml:space="preserve"> 2005. </w:t>
      </w:r>
      <w:r w:rsidR="00B8393C" w:rsidRPr="00954547">
        <w:rPr>
          <w:rFonts w:ascii="Verdana" w:hAnsi="Verdana"/>
          <w:sz w:val="16"/>
          <w:szCs w:val="16"/>
          <w:lang w:val="es-CR"/>
        </w:rPr>
        <w:t xml:space="preserve">Series </w:t>
      </w:r>
      <w:r w:rsidRPr="00954547">
        <w:rPr>
          <w:rFonts w:ascii="Verdana" w:hAnsi="Verdana"/>
          <w:sz w:val="16"/>
          <w:szCs w:val="16"/>
          <w:lang w:val="es-CR"/>
        </w:rPr>
        <w:t xml:space="preserve">C No. 135, </w:t>
      </w:r>
      <w:r w:rsidR="00B10E5A" w:rsidRPr="00954547">
        <w:rPr>
          <w:rFonts w:ascii="Verdana" w:hAnsi="Verdana"/>
          <w:sz w:val="16"/>
          <w:szCs w:val="16"/>
          <w:lang w:val="es-CR"/>
        </w:rPr>
        <w:t>para.</w:t>
      </w:r>
      <w:r w:rsidRPr="00954547">
        <w:rPr>
          <w:rFonts w:ascii="Verdana" w:hAnsi="Verdana"/>
          <w:sz w:val="16"/>
          <w:szCs w:val="16"/>
          <w:lang w:val="es-CR"/>
        </w:rPr>
        <w:t xml:space="preserve"> 197,</w:t>
      </w:r>
      <w:r w:rsidR="0078694F" w:rsidRPr="00954547">
        <w:rPr>
          <w:rFonts w:ascii="Verdana" w:hAnsi="Verdana"/>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Villarroel Merino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supra</w:t>
      </w:r>
      <w:r w:rsidRPr="00954547">
        <w:rPr>
          <w:rFonts w:ascii="Verdana" w:eastAsia="Times New Roman" w:hAnsi="Verdana"/>
          <w:sz w:val="16"/>
          <w:szCs w:val="16"/>
          <w:lang w:val="es-CR"/>
        </w:rPr>
        <w:t xml:space="preserve">, </w:t>
      </w:r>
      <w:r w:rsidR="00B10E5A" w:rsidRPr="00954547">
        <w:rPr>
          <w:rFonts w:ascii="Verdana" w:eastAsia="Times New Roman" w:hAnsi="Verdana"/>
          <w:sz w:val="16"/>
          <w:szCs w:val="16"/>
          <w:lang w:val="es-CR"/>
        </w:rPr>
        <w:t>para.</w:t>
      </w:r>
      <w:r w:rsidRPr="00954547">
        <w:rPr>
          <w:rFonts w:ascii="Verdana" w:eastAsia="Times New Roman" w:hAnsi="Verdana" w:cs="Times New Roman"/>
          <w:sz w:val="16"/>
          <w:szCs w:val="16"/>
          <w:lang w:val="es-CR" w:eastAsia="en-GB"/>
        </w:rPr>
        <w:t xml:space="preserve"> </w:t>
      </w:r>
      <w:r w:rsidRPr="00954547">
        <w:rPr>
          <w:rFonts w:ascii="Verdana" w:eastAsia="Times New Roman" w:hAnsi="Verdana" w:cs="Times New Roman"/>
          <w:sz w:val="16"/>
          <w:szCs w:val="16"/>
          <w:lang w:eastAsia="en-GB"/>
        </w:rPr>
        <w:t>87.</w:t>
      </w:r>
    </w:p>
  </w:footnote>
  <w:footnote w:id="192">
    <w:p w14:paraId="373A1C5C" w14:textId="67C91E5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García Asto</w:t>
      </w:r>
      <w:r w:rsidR="0078694F" w:rsidRPr="00954547">
        <w:rPr>
          <w:rFonts w:ascii="Verdana" w:hAnsi="Verdana"/>
          <w:i/>
          <w:sz w:val="16"/>
          <w:szCs w:val="16"/>
        </w:rPr>
        <w:t xml:space="preserve"> and </w:t>
      </w:r>
      <w:r w:rsidRPr="00954547">
        <w:rPr>
          <w:rFonts w:ascii="Verdana" w:hAnsi="Verdana"/>
          <w:i/>
          <w:sz w:val="16"/>
          <w:szCs w:val="16"/>
        </w:rPr>
        <w:t xml:space="preserve">Ramírez Rojas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E1658" w:rsidRPr="00954547">
        <w:rPr>
          <w:rFonts w:ascii="Verdana" w:hAnsi="Verdana"/>
          <w:sz w:val="16"/>
          <w:szCs w:val="16"/>
        </w:rPr>
        <w:t>November 25,</w:t>
      </w:r>
      <w:r w:rsidRPr="00954547">
        <w:rPr>
          <w:rFonts w:ascii="Verdana" w:hAnsi="Verdana"/>
          <w:sz w:val="16"/>
          <w:szCs w:val="16"/>
        </w:rPr>
        <w:t xml:space="preserve"> 2005. </w:t>
      </w:r>
      <w:r w:rsidR="00B8393C" w:rsidRPr="00954547">
        <w:rPr>
          <w:rFonts w:ascii="Verdana" w:hAnsi="Verdana"/>
          <w:sz w:val="16"/>
          <w:szCs w:val="16"/>
        </w:rPr>
        <w:t xml:space="preserve">Series </w:t>
      </w:r>
      <w:r w:rsidRPr="00954547">
        <w:rPr>
          <w:rFonts w:ascii="Verdana" w:hAnsi="Verdana"/>
          <w:sz w:val="16"/>
          <w:szCs w:val="16"/>
        </w:rPr>
        <w:t xml:space="preserve">C No. 137, </w:t>
      </w:r>
      <w:r w:rsidR="00B10E5A" w:rsidRPr="00954547">
        <w:rPr>
          <w:rFonts w:ascii="Verdana" w:hAnsi="Verdana"/>
          <w:sz w:val="16"/>
          <w:szCs w:val="16"/>
        </w:rPr>
        <w:t>para.</w:t>
      </w:r>
      <w:r w:rsidRPr="00954547">
        <w:rPr>
          <w:rFonts w:ascii="Verdana" w:hAnsi="Verdana"/>
          <w:sz w:val="16"/>
          <w:szCs w:val="16"/>
        </w:rPr>
        <w:t xml:space="preserve"> 128,</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Villarroel Merino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eastAsia="Times New Roman" w:hAnsi="Verdana"/>
          <w:sz w:val="16"/>
          <w:szCs w:val="16"/>
        </w:rPr>
        <w:t xml:space="preserve">, </w:t>
      </w:r>
      <w:r w:rsidR="00B10E5A" w:rsidRPr="00954547">
        <w:rPr>
          <w:rFonts w:ascii="Verdana" w:eastAsia="Times New Roman" w:hAnsi="Verdana"/>
          <w:sz w:val="16"/>
          <w:szCs w:val="16"/>
        </w:rPr>
        <w:t>para.</w:t>
      </w:r>
      <w:r w:rsidRPr="00954547">
        <w:rPr>
          <w:rFonts w:ascii="Verdana" w:eastAsia="Times New Roman" w:hAnsi="Verdana" w:cs="Times New Roman"/>
          <w:sz w:val="16"/>
          <w:szCs w:val="16"/>
          <w:lang w:eastAsia="en-GB"/>
        </w:rPr>
        <w:t xml:space="preserve"> 87. </w:t>
      </w:r>
    </w:p>
  </w:footnote>
  <w:footnote w:id="193">
    <w:p w14:paraId="4B4B0A95" w14:textId="27DA7B7E" w:rsidR="005F001B" w:rsidRPr="00954547" w:rsidRDefault="005F001B" w:rsidP="007619E6">
      <w:pPr>
        <w:pStyle w:val="FootnoteText"/>
        <w:tabs>
          <w:tab w:val="left" w:pos="567"/>
        </w:tabs>
        <w:spacing w:after="120"/>
        <w:jc w:val="both"/>
        <w:rPr>
          <w:rFonts w:ascii="Verdana" w:hAnsi="Verdana"/>
          <w:sz w:val="16"/>
          <w:szCs w:val="16"/>
          <w:lang w:val="es-CR"/>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Suárez Rosero </w:t>
      </w:r>
      <w:r w:rsidR="009C16A1" w:rsidRPr="00954547">
        <w:rPr>
          <w:rFonts w:ascii="Verdana" w:hAnsi="Verdana"/>
          <w:i/>
          <w:sz w:val="16"/>
          <w:szCs w:val="16"/>
        </w:rPr>
        <w:t>v.</w:t>
      </w:r>
      <w:r w:rsidRPr="00954547">
        <w:rPr>
          <w:rFonts w:ascii="Verdana" w:hAnsi="Verdana"/>
          <w:i/>
          <w:sz w:val="16"/>
          <w:szCs w:val="16"/>
        </w:rPr>
        <w:t xml:space="preserve"> Ecuador. </w:t>
      </w:r>
      <w:r w:rsidR="00BE1658" w:rsidRPr="00954547">
        <w:rPr>
          <w:rFonts w:ascii="Verdana" w:hAnsi="Verdana"/>
          <w:i/>
          <w:sz w:val="16"/>
          <w:szCs w:val="16"/>
        </w:rPr>
        <w:t>Merits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E1658" w:rsidRPr="00954547">
        <w:rPr>
          <w:rFonts w:ascii="Verdana" w:hAnsi="Verdana"/>
          <w:sz w:val="16"/>
          <w:szCs w:val="16"/>
        </w:rPr>
        <w:t>November 12,</w:t>
      </w:r>
      <w:r w:rsidRPr="00954547">
        <w:rPr>
          <w:rFonts w:ascii="Verdana" w:hAnsi="Verdana"/>
          <w:sz w:val="16"/>
          <w:szCs w:val="16"/>
        </w:rPr>
        <w:t xml:space="preserve"> 1997. </w:t>
      </w:r>
      <w:r w:rsidR="00B8393C" w:rsidRPr="00954547">
        <w:rPr>
          <w:rFonts w:ascii="Verdana" w:hAnsi="Verdana"/>
          <w:sz w:val="16"/>
          <w:szCs w:val="16"/>
        </w:rPr>
        <w:t xml:space="preserve">Series </w:t>
      </w:r>
      <w:r w:rsidRPr="00954547">
        <w:rPr>
          <w:rFonts w:ascii="Verdana" w:hAnsi="Verdana"/>
          <w:sz w:val="16"/>
          <w:szCs w:val="16"/>
        </w:rPr>
        <w:t xml:space="preserve">C No. 35, </w:t>
      </w:r>
      <w:r w:rsidR="00B10E5A" w:rsidRPr="00954547">
        <w:rPr>
          <w:rFonts w:ascii="Verdana" w:hAnsi="Verdana"/>
          <w:sz w:val="16"/>
          <w:szCs w:val="16"/>
        </w:rPr>
        <w:t>para.</w:t>
      </w:r>
      <w:r w:rsidRPr="00954547">
        <w:rPr>
          <w:rFonts w:ascii="Verdana" w:hAnsi="Verdana"/>
          <w:sz w:val="16"/>
          <w:szCs w:val="16"/>
        </w:rPr>
        <w:t xml:space="preserve"> </w:t>
      </w:r>
      <w:r w:rsidRPr="00954547">
        <w:rPr>
          <w:rFonts w:ascii="Verdana" w:hAnsi="Verdana"/>
          <w:sz w:val="16"/>
          <w:szCs w:val="16"/>
          <w:lang w:val="es-CR"/>
        </w:rPr>
        <w:t>77,</w:t>
      </w:r>
      <w:r w:rsidR="0078694F" w:rsidRPr="00954547">
        <w:rPr>
          <w:rFonts w:ascii="Verdana" w:hAnsi="Verdana"/>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Villarroel Merino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supra</w:t>
      </w:r>
      <w:r w:rsidRPr="00954547">
        <w:rPr>
          <w:rFonts w:ascii="Verdana" w:eastAsia="Times New Roman" w:hAnsi="Verdana"/>
          <w:sz w:val="16"/>
          <w:szCs w:val="16"/>
          <w:lang w:val="es-CR"/>
        </w:rPr>
        <w:t xml:space="preserve">, </w:t>
      </w:r>
      <w:r w:rsidR="00B10E5A" w:rsidRPr="00954547">
        <w:rPr>
          <w:rFonts w:ascii="Verdana" w:eastAsia="Times New Roman" w:hAnsi="Verdana"/>
          <w:sz w:val="16"/>
          <w:szCs w:val="16"/>
          <w:lang w:val="es-CR"/>
        </w:rPr>
        <w:t>para.</w:t>
      </w:r>
      <w:r w:rsidRPr="00954547">
        <w:rPr>
          <w:rFonts w:ascii="Verdana" w:eastAsia="Times New Roman" w:hAnsi="Verdana" w:cs="Times New Roman"/>
          <w:sz w:val="16"/>
          <w:szCs w:val="16"/>
          <w:lang w:val="es-CR" w:eastAsia="en-GB"/>
        </w:rPr>
        <w:t xml:space="preserve"> 88.</w:t>
      </w:r>
    </w:p>
  </w:footnote>
  <w:footnote w:id="194">
    <w:p w14:paraId="18E1DFC8" w14:textId="07BD9BC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Amrhein </w:t>
      </w:r>
      <w:r w:rsidR="00B8393C" w:rsidRPr="00954547">
        <w:rPr>
          <w:rFonts w:ascii="Verdana" w:hAnsi="Verdana"/>
          <w:i/>
          <w:sz w:val="16"/>
          <w:szCs w:val="16"/>
          <w:lang w:val="es-CR"/>
        </w:rPr>
        <w:t>et al. v.</w:t>
      </w:r>
      <w:r w:rsidRPr="00954547">
        <w:rPr>
          <w:rFonts w:ascii="Verdana" w:hAnsi="Verdana"/>
          <w:i/>
          <w:sz w:val="16"/>
          <w:szCs w:val="16"/>
          <w:lang w:val="es-CR"/>
        </w:rPr>
        <w:t xml:space="preserve"> Costa Rica,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357,</w:t>
      </w:r>
      <w:r w:rsidR="0078694F" w:rsidRPr="00954547">
        <w:rPr>
          <w:rFonts w:ascii="Verdana" w:hAnsi="Verdana"/>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Villarroel Merino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supra</w:t>
      </w:r>
      <w:r w:rsidRPr="00954547">
        <w:rPr>
          <w:rFonts w:ascii="Verdana" w:eastAsia="Times New Roman" w:hAnsi="Verdana"/>
          <w:sz w:val="16"/>
          <w:szCs w:val="16"/>
          <w:lang w:val="es-CR"/>
        </w:rPr>
        <w:t xml:space="preserve">, </w:t>
      </w:r>
      <w:r w:rsidR="00B10E5A" w:rsidRPr="00954547">
        <w:rPr>
          <w:rFonts w:ascii="Verdana" w:eastAsia="Times New Roman" w:hAnsi="Verdana"/>
          <w:sz w:val="16"/>
          <w:szCs w:val="16"/>
          <w:lang w:val="es-CR"/>
        </w:rPr>
        <w:t>para.</w:t>
      </w:r>
      <w:r w:rsidRPr="00954547">
        <w:rPr>
          <w:rFonts w:ascii="Verdana" w:eastAsia="Times New Roman" w:hAnsi="Verdana" w:cs="Times New Roman"/>
          <w:sz w:val="16"/>
          <w:szCs w:val="16"/>
          <w:lang w:val="es-CR" w:eastAsia="en-GB"/>
        </w:rPr>
        <w:t xml:space="preserve"> </w:t>
      </w:r>
      <w:r w:rsidRPr="00954547">
        <w:rPr>
          <w:rFonts w:ascii="Verdana" w:eastAsia="Times New Roman" w:hAnsi="Verdana" w:cs="Times New Roman"/>
          <w:sz w:val="16"/>
          <w:szCs w:val="16"/>
          <w:lang w:eastAsia="en-GB"/>
        </w:rPr>
        <w:t>88.</w:t>
      </w:r>
    </w:p>
  </w:footnote>
  <w:footnote w:id="195">
    <w:p w14:paraId="5F52CAFF" w14:textId="41F2C423" w:rsidR="005F001B" w:rsidRPr="00954547" w:rsidRDefault="005F001B" w:rsidP="007619E6">
      <w:pPr>
        <w:tabs>
          <w:tab w:val="left" w:pos="567"/>
        </w:tabs>
        <w:spacing w:after="120"/>
        <w:jc w:val="both"/>
        <w:rPr>
          <w:rFonts w:ascii="Verdana" w:eastAsia="Times New Roman" w:hAnsi="Verdana"/>
          <w:sz w:val="16"/>
          <w:szCs w:val="16"/>
          <w:lang w:eastAsia="en-GB"/>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eastAsia="Times New Roman" w:hAnsi="Verdana"/>
          <w:i/>
          <w:sz w:val="16"/>
          <w:szCs w:val="16"/>
          <w:lang w:eastAsia="en-GB"/>
        </w:rPr>
        <w:t>Case of</w:t>
      </w:r>
      <w:r w:rsidRPr="00954547">
        <w:rPr>
          <w:rFonts w:ascii="Verdana" w:eastAsia="Times New Roman" w:hAnsi="Verdana"/>
          <w:i/>
          <w:sz w:val="16"/>
          <w:szCs w:val="16"/>
          <w:lang w:eastAsia="en-GB"/>
        </w:rPr>
        <w:t xml:space="preserve"> Herrera Espinoza </w:t>
      </w:r>
      <w:r w:rsidR="00B8393C" w:rsidRPr="00954547">
        <w:rPr>
          <w:rFonts w:ascii="Verdana" w:eastAsia="Times New Roman" w:hAnsi="Verdana"/>
          <w:i/>
          <w:sz w:val="16"/>
          <w:szCs w:val="16"/>
          <w:lang w:eastAsia="en-GB"/>
        </w:rPr>
        <w:t>et al. v.</w:t>
      </w:r>
      <w:r w:rsidRPr="00954547">
        <w:rPr>
          <w:rFonts w:ascii="Verdana" w:eastAsia="Times New Roman" w:hAnsi="Verdana"/>
          <w:i/>
          <w:sz w:val="16"/>
          <w:szCs w:val="16"/>
          <w:lang w:eastAsia="en-GB"/>
        </w:rPr>
        <w:t xml:space="preserve"> Ecuador. </w:t>
      </w:r>
      <w:r w:rsidR="004C640C" w:rsidRPr="00954547">
        <w:rPr>
          <w:rFonts w:ascii="Verdana" w:eastAsia="Times New Roman" w:hAnsi="Verdana"/>
          <w:i/>
          <w:sz w:val="16"/>
          <w:szCs w:val="16"/>
          <w:lang w:eastAsia="en-GB"/>
        </w:rPr>
        <w:t>Preliminary objections, merits</w:t>
      </w:r>
      <w:r w:rsidR="00A70DC4" w:rsidRPr="00954547">
        <w:rPr>
          <w:rFonts w:ascii="Verdana" w:eastAsia="Times New Roman" w:hAnsi="Verdana"/>
          <w:i/>
          <w:sz w:val="16"/>
          <w:szCs w:val="16"/>
          <w:lang w:eastAsia="en-GB"/>
        </w:rPr>
        <w:t>, reparations and costs</w:t>
      </w:r>
      <w:r w:rsidRPr="00954547">
        <w:rPr>
          <w:rFonts w:ascii="Verdana" w:eastAsia="Times New Roman" w:hAnsi="Verdana"/>
          <w:sz w:val="16"/>
          <w:szCs w:val="16"/>
          <w:lang w:eastAsia="en-GB"/>
        </w:rPr>
        <w:t xml:space="preserve">. </w:t>
      </w:r>
      <w:r w:rsidR="00B8393C" w:rsidRPr="00954547">
        <w:rPr>
          <w:rFonts w:ascii="Verdana" w:eastAsia="Times New Roman" w:hAnsi="Verdana"/>
          <w:sz w:val="16"/>
          <w:szCs w:val="16"/>
          <w:lang w:eastAsia="en-GB"/>
        </w:rPr>
        <w:t>Judgment of</w:t>
      </w:r>
      <w:r w:rsidRPr="00954547">
        <w:rPr>
          <w:rFonts w:ascii="Verdana" w:eastAsia="Times New Roman" w:hAnsi="Verdana"/>
          <w:sz w:val="16"/>
          <w:szCs w:val="16"/>
          <w:lang w:eastAsia="en-GB"/>
        </w:rPr>
        <w:t xml:space="preserve"> </w:t>
      </w:r>
      <w:r w:rsidR="00BE1658" w:rsidRPr="00954547">
        <w:rPr>
          <w:rFonts w:ascii="Verdana" w:eastAsia="Times New Roman" w:hAnsi="Verdana"/>
          <w:sz w:val="16"/>
          <w:szCs w:val="16"/>
          <w:lang w:eastAsia="en-GB"/>
        </w:rPr>
        <w:t>September 1,</w:t>
      </w:r>
      <w:r w:rsidRPr="00954547">
        <w:rPr>
          <w:rFonts w:ascii="Verdana" w:eastAsia="Times New Roman" w:hAnsi="Verdana"/>
          <w:sz w:val="16"/>
          <w:szCs w:val="16"/>
          <w:lang w:eastAsia="en-GB"/>
        </w:rPr>
        <w:t xml:space="preserve"> 2016. </w:t>
      </w:r>
      <w:r w:rsidR="00B8393C" w:rsidRPr="00954547">
        <w:rPr>
          <w:rFonts w:ascii="Verdana" w:eastAsia="Times New Roman" w:hAnsi="Verdana"/>
          <w:sz w:val="16"/>
          <w:szCs w:val="16"/>
          <w:lang w:eastAsia="en-GB"/>
        </w:rPr>
        <w:t xml:space="preserve">Series </w:t>
      </w:r>
      <w:r w:rsidRPr="00954547">
        <w:rPr>
          <w:rFonts w:ascii="Verdana" w:eastAsia="Times New Roman" w:hAnsi="Verdana"/>
          <w:sz w:val="16"/>
          <w:szCs w:val="16"/>
          <w:lang w:eastAsia="en-GB"/>
        </w:rPr>
        <w:t xml:space="preserve">C No. 316, </w:t>
      </w:r>
      <w:r w:rsidR="00B10E5A" w:rsidRPr="00954547">
        <w:rPr>
          <w:rFonts w:ascii="Verdana" w:eastAsia="Times New Roman" w:hAnsi="Verdana"/>
          <w:sz w:val="16"/>
          <w:szCs w:val="16"/>
          <w:lang w:eastAsia="en-GB"/>
        </w:rPr>
        <w:t>para.</w:t>
      </w:r>
      <w:r w:rsidRPr="00954547">
        <w:rPr>
          <w:rFonts w:ascii="Verdana" w:eastAsia="Times New Roman" w:hAnsi="Verdana"/>
          <w:sz w:val="16"/>
          <w:szCs w:val="16"/>
          <w:lang w:eastAsia="en-GB"/>
        </w:rPr>
        <w:t xml:space="preserve"> 143,</w:t>
      </w:r>
      <w:r w:rsidR="0078694F" w:rsidRPr="00954547">
        <w:rPr>
          <w:rFonts w:ascii="Verdana" w:eastAsia="Times New Roman" w:hAnsi="Verdana"/>
          <w:sz w:val="16"/>
          <w:szCs w:val="16"/>
          <w:lang w:eastAsia="en-GB"/>
        </w:rPr>
        <w:t xml:space="preserve"> and </w:t>
      </w:r>
      <w:r w:rsidR="002F4617" w:rsidRPr="00954547">
        <w:rPr>
          <w:rFonts w:ascii="Verdana" w:hAnsi="Verdana"/>
          <w:i/>
          <w:sz w:val="16"/>
          <w:szCs w:val="16"/>
        </w:rPr>
        <w:t>Case of</w:t>
      </w:r>
      <w:r w:rsidRPr="00954547">
        <w:rPr>
          <w:rFonts w:ascii="Verdana" w:hAnsi="Verdana"/>
          <w:i/>
          <w:sz w:val="16"/>
          <w:szCs w:val="16"/>
        </w:rPr>
        <w:t xml:space="preserve"> Villarroel Merino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eastAsia="Times New Roman" w:hAnsi="Verdana"/>
          <w:sz w:val="16"/>
          <w:szCs w:val="16"/>
        </w:rPr>
        <w:t xml:space="preserve">, </w:t>
      </w:r>
      <w:r w:rsidR="00B10E5A" w:rsidRPr="00954547">
        <w:rPr>
          <w:rFonts w:ascii="Verdana" w:eastAsia="Times New Roman" w:hAnsi="Verdana"/>
          <w:sz w:val="16"/>
          <w:szCs w:val="16"/>
        </w:rPr>
        <w:t>para.</w:t>
      </w:r>
      <w:r w:rsidRPr="00954547">
        <w:rPr>
          <w:rFonts w:ascii="Verdana" w:eastAsia="Times New Roman" w:hAnsi="Verdana"/>
          <w:sz w:val="16"/>
          <w:szCs w:val="16"/>
          <w:lang w:eastAsia="en-GB"/>
        </w:rPr>
        <w:t xml:space="preserve"> 91.</w:t>
      </w:r>
    </w:p>
  </w:footnote>
  <w:footnote w:id="196">
    <w:p w14:paraId="06426F2F" w14:textId="4B78A55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eastAsia="Times New Roman" w:hAnsi="Verdana" w:cs="Times New Roman"/>
          <w:i/>
          <w:sz w:val="16"/>
          <w:szCs w:val="16"/>
          <w:lang w:eastAsia="en-GB"/>
        </w:rPr>
        <w:t>Case of</w:t>
      </w:r>
      <w:r w:rsidRPr="00954547">
        <w:rPr>
          <w:rFonts w:ascii="Verdana" w:eastAsia="Times New Roman" w:hAnsi="Verdana" w:cs="Times New Roman"/>
          <w:i/>
          <w:sz w:val="16"/>
          <w:szCs w:val="16"/>
          <w:lang w:eastAsia="en-GB"/>
        </w:rPr>
        <w:t xml:space="preserve"> Usón Ramírez </w:t>
      </w:r>
      <w:r w:rsidR="009C16A1" w:rsidRPr="00954547">
        <w:rPr>
          <w:rFonts w:ascii="Verdana" w:eastAsia="Times New Roman" w:hAnsi="Verdana" w:cs="Times New Roman"/>
          <w:i/>
          <w:sz w:val="16"/>
          <w:szCs w:val="16"/>
          <w:lang w:eastAsia="en-GB"/>
        </w:rPr>
        <w:t>v.</w:t>
      </w:r>
      <w:r w:rsidRPr="00954547">
        <w:rPr>
          <w:rFonts w:ascii="Verdana" w:eastAsia="Times New Roman" w:hAnsi="Verdana" w:cs="Times New Roman"/>
          <w:i/>
          <w:sz w:val="16"/>
          <w:szCs w:val="16"/>
          <w:lang w:eastAsia="en-GB"/>
        </w:rPr>
        <w:t xml:space="preserve"> Venezuela. </w:t>
      </w:r>
      <w:r w:rsidR="005315AC" w:rsidRPr="00954547">
        <w:rPr>
          <w:rFonts w:ascii="Verdana" w:eastAsia="Times New Roman" w:hAnsi="Verdana" w:cs="Times New Roman"/>
          <w:i/>
          <w:sz w:val="16"/>
          <w:szCs w:val="16"/>
          <w:lang w:eastAsia="en-GB"/>
        </w:rPr>
        <w:t>Preliminary objection, merits,</w:t>
      </w:r>
      <w:r w:rsidR="00A70DC4" w:rsidRPr="00954547">
        <w:rPr>
          <w:rFonts w:ascii="Verdana" w:eastAsia="Times New Roman" w:hAnsi="Verdana" w:cs="Times New Roman"/>
          <w:i/>
          <w:sz w:val="16"/>
          <w:szCs w:val="16"/>
          <w:lang w:eastAsia="en-GB"/>
        </w:rPr>
        <w:t xml:space="preserve"> reparations and costs</w:t>
      </w:r>
      <w:r w:rsidRPr="00954547">
        <w:rPr>
          <w:rFonts w:ascii="Verdana" w:eastAsia="Times New Roman" w:hAnsi="Verdana" w:cs="Times New Roman"/>
          <w:sz w:val="16"/>
          <w:szCs w:val="16"/>
          <w:lang w:eastAsia="en-GB"/>
        </w:rPr>
        <w:t xml:space="preserve">. </w:t>
      </w:r>
      <w:r w:rsidR="00B8393C" w:rsidRPr="00954547">
        <w:rPr>
          <w:rFonts w:ascii="Verdana" w:eastAsia="Times New Roman" w:hAnsi="Verdana" w:cs="Times New Roman"/>
          <w:sz w:val="16"/>
          <w:szCs w:val="16"/>
          <w:lang w:eastAsia="en-GB"/>
        </w:rPr>
        <w:t>Judgment of</w:t>
      </w:r>
      <w:r w:rsidRPr="00954547">
        <w:rPr>
          <w:rFonts w:ascii="Verdana" w:eastAsia="Times New Roman" w:hAnsi="Verdana" w:cs="Times New Roman"/>
          <w:sz w:val="16"/>
          <w:szCs w:val="16"/>
          <w:lang w:eastAsia="en-GB"/>
        </w:rPr>
        <w:t xml:space="preserve"> </w:t>
      </w:r>
      <w:r w:rsidR="00BE1658" w:rsidRPr="00954547">
        <w:rPr>
          <w:rFonts w:ascii="Verdana" w:eastAsia="Times New Roman" w:hAnsi="Verdana" w:cs="Times New Roman"/>
          <w:sz w:val="16"/>
          <w:szCs w:val="16"/>
          <w:lang w:eastAsia="en-GB"/>
        </w:rPr>
        <w:t xml:space="preserve">November </w:t>
      </w:r>
      <w:r w:rsidRPr="00954547">
        <w:rPr>
          <w:rFonts w:ascii="Verdana" w:eastAsia="Times New Roman" w:hAnsi="Verdana" w:cs="Times New Roman"/>
          <w:sz w:val="16"/>
          <w:szCs w:val="16"/>
          <w:lang w:eastAsia="en-GB"/>
        </w:rPr>
        <w:t>20</w:t>
      </w:r>
      <w:r w:rsidR="00BE1658" w:rsidRPr="00954547">
        <w:rPr>
          <w:rFonts w:ascii="Verdana" w:eastAsia="Times New Roman" w:hAnsi="Verdana" w:cs="Times New Roman"/>
          <w:sz w:val="16"/>
          <w:szCs w:val="16"/>
          <w:lang w:eastAsia="en-GB"/>
        </w:rPr>
        <w:t xml:space="preserve">, </w:t>
      </w:r>
      <w:r w:rsidRPr="00954547">
        <w:rPr>
          <w:rFonts w:ascii="Verdana" w:eastAsia="Times New Roman" w:hAnsi="Verdana" w:cs="Times New Roman"/>
          <w:sz w:val="16"/>
          <w:szCs w:val="16"/>
          <w:lang w:eastAsia="en-GB"/>
        </w:rPr>
        <w:t>2009.</w:t>
      </w:r>
      <w:r w:rsidRPr="00954547">
        <w:rPr>
          <w:rFonts w:ascii="Verdana" w:hAnsi="Verdana" w:cs="AppleSystemUIFont"/>
          <w:sz w:val="16"/>
          <w:szCs w:val="16"/>
        </w:rPr>
        <w:t xml:space="preserve"> </w:t>
      </w:r>
      <w:r w:rsidR="00B8393C" w:rsidRPr="00954547">
        <w:rPr>
          <w:rFonts w:ascii="Verdana" w:hAnsi="Verdana" w:cs="AppleSystemUIFont"/>
          <w:sz w:val="16"/>
          <w:szCs w:val="16"/>
        </w:rPr>
        <w:t xml:space="preserve">Series </w:t>
      </w:r>
      <w:r w:rsidRPr="00954547">
        <w:rPr>
          <w:rFonts w:ascii="Verdana" w:hAnsi="Verdana" w:cs="AppleSystemUIFont"/>
          <w:sz w:val="16"/>
          <w:szCs w:val="16"/>
        </w:rPr>
        <w:t>C No. 207,</w:t>
      </w:r>
      <w:r w:rsidRPr="00954547">
        <w:rPr>
          <w:rFonts w:ascii="Verdana" w:eastAsia="Times New Roman" w:hAnsi="Verdana" w:cs="Times New Roman"/>
          <w:sz w:val="16"/>
          <w:szCs w:val="16"/>
          <w:lang w:eastAsia="en-GB"/>
        </w:rPr>
        <w:t xml:space="preserve"> </w:t>
      </w:r>
      <w:r w:rsidR="00B10E5A" w:rsidRPr="00954547">
        <w:rPr>
          <w:rFonts w:ascii="Verdana" w:eastAsia="Times New Roman" w:hAnsi="Verdana" w:cs="Times New Roman"/>
          <w:sz w:val="16"/>
          <w:szCs w:val="16"/>
          <w:lang w:eastAsia="en-GB"/>
        </w:rPr>
        <w:t>para.</w:t>
      </w:r>
      <w:r w:rsidRPr="00954547">
        <w:rPr>
          <w:rFonts w:ascii="Verdana" w:eastAsia="Times New Roman" w:hAnsi="Verdana" w:cs="Times New Roman"/>
          <w:sz w:val="16"/>
          <w:szCs w:val="16"/>
          <w:lang w:eastAsia="en-GB"/>
        </w:rPr>
        <w:t xml:space="preserve"> 144</w:t>
      </w:r>
      <w:r w:rsidRPr="00954547">
        <w:rPr>
          <w:rFonts w:ascii="Verdana" w:eastAsia="Times New Roman" w:hAnsi="Verdana"/>
          <w:sz w:val="16"/>
          <w:szCs w:val="16"/>
          <w:lang w:eastAsia="en-GB"/>
        </w:rPr>
        <w:t>,</w:t>
      </w:r>
      <w:r w:rsidR="0078694F" w:rsidRPr="00954547">
        <w:rPr>
          <w:rFonts w:ascii="Verdana" w:eastAsia="Times New Roman" w:hAnsi="Verdana"/>
          <w:sz w:val="16"/>
          <w:szCs w:val="16"/>
          <w:lang w:eastAsia="en-GB"/>
        </w:rPr>
        <w:t xml:space="preserve"> and </w:t>
      </w:r>
      <w:r w:rsidR="002F4617" w:rsidRPr="00954547">
        <w:rPr>
          <w:rFonts w:ascii="Verdana" w:hAnsi="Verdana"/>
          <w:i/>
          <w:sz w:val="16"/>
          <w:szCs w:val="16"/>
        </w:rPr>
        <w:t>Case of</w:t>
      </w:r>
      <w:r w:rsidRPr="00954547">
        <w:rPr>
          <w:rFonts w:ascii="Verdana" w:hAnsi="Verdana"/>
          <w:i/>
          <w:sz w:val="16"/>
          <w:szCs w:val="16"/>
        </w:rPr>
        <w:t xml:space="preserve"> Villarroel Merino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eastAsia="Times New Roman" w:hAnsi="Verdana"/>
          <w:sz w:val="16"/>
          <w:szCs w:val="16"/>
        </w:rPr>
        <w:t xml:space="preserve">, </w:t>
      </w:r>
      <w:r w:rsidR="00B10E5A" w:rsidRPr="00954547">
        <w:rPr>
          <w:rFonts w:ascii="Verdana" w:eastAsia="Times New Roman" w:hAnsi="Verdana"/>
          <w:sz w:val="16"/>
          <w:szCs w:val="16"/>
        </w:rPr>
        <w:t>para.</w:t>
      </w:r>
      <w:r w:rsidRPr="00954547">
        <w:rPr>
          <w:rFonts w:ascii="Verdana" w:eastAsia="Times New Roman" w:hAnsi="Verdana" w:cs="Times New Roman"/>
          <w:sz w:val="16"/>
          <w:szCs w:val="16"/>
          <w:lang w:eastAsia="en-GB"/>
        </w:rPr>
        <w:t xml:space="preserve"> </w:t>
      </w:r>
      <w:r w:rsidRPr="00954547">
        <w:rPr>
          <w:rFonts w:ascii="Verdana" w:eastAsia="Times New Roman" w:hAnsi="Verdana"/>
          <w:sz w:val="16"/>
          <w:szCs w:val="16"/>
          <w:lang w:eastAsia="en-GB"/>
        </w:rPr>
        <w:t>91</w:t>
      </w:r>
      <w:r w:rsidRPr="00954547">
        <w:rPr>
          <w:rFonts w:ascii="Verdana" w:eastAsia="Times New Roman" w:hAnsi="Verdana" w:cs="Times New Roman"/>
          <w:sz w:val="16"/>
          <w:szCs w:val="16"/>
          <w:lang w:eastAsia="en-GB"/>
        </w:rPr>
        <w:t>.</w:t>
      </w:r>
    </w:p>
  </w:footnote>
  <w:footnote w:id="197">
    <w:p w14:paraId="3DB009AF" w14:textId="7A41D846" w:rsidR="005F001B" w:rsidRPr="00954547" w:rsidRDefault="005F001B" w:rsidP="007619E6">
      <w:pPr>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Bayarri </w:t>
      </w:r>
      <w:r w:rsidR="009C16A1" w:rsidRPr="00954547">
        <w:rPr>
          <w:rFonts w:ascii="Verdana" w:hAnsi="Verdana"/>
          <w:i/>
          <w:sz w:val="16"/>
          <w:szCs w:val="16"/>
        </w:rPr>
        <w:t>v.</w:t>
      </w:r>
      <w:r w:rsidRPr="00954547">
        <w:rPr>
          <w:rFonts w:ascii="Verdana" w:hAnsi="Verdana"/>
          <w:i/>
          <w:sz w:val="16"/>
          <w:szCs w:val="16"/>
        </w:rPr>
        <w:t xml:space="preserve"> Argentina.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E1658" w:rsidRPr="00954547">
        <w:rPr>
          <w:rFonts w:ascii="Verdana" w:hAnsi="Verdana"/>
          <w:sz w:val="16"/>
          <w:szCs w:val="16"/>
        </w:rPr>
        <w:t xml:space="preserve">October </w:t>
      </w:r>
      <w:r w:rsidRPr="00954547">
        <w:rPr>
          <w:rFonts w:ascii="Verdana" w:hAnsi="Verdana"/>
          <w:sz w:val="16"/>
          <w:szCs w:val="16"/>
        </w:rPr>
        <w:t>30</w:t>
      </w:r>
      <w:r w:rsidR="00BE1658" w:rsidRPr="00954547">
        <w:rPr>
          <w:rFonts w:ascii="Verdana" w:hAnsi="Verdana"/>
          <w:sz w:val="16"/>
          <w:szCs w:val="16"/>
        </w:rPr>
        <w:t xml:space="preserve">, </w:t>
      </w:r>
      <w:r w:rsidRPr="00954547">
        <w:rPr>
          <w:rFonts w:ascii="Verdana" w:hAnsi="Verdana"/>
          <w:sz w:val="16"/>
          <w:szCs w:val="16"/>
        </w:rPr>
        <w:t xml:space="preserve">2008. </w:t>
      </w:r>
      <w:r w:rsidR="00B8393C" w:rsidRPr="00954547">
        <w:rPr>
          <w:rFonts w:ascii="Verdana" w:hAnsi="Verdana"/>
          <w:sz w:val="16"/>
          <w:szCs w:val="16"/>
        </w:rPr>
        <w:t xml:space="preserve">Series </w:t>
      </w:r>
      <w:r w:rsidRPr="00954547">
        <w:rPr>
          <w:rFonts w:ascii="Verdana" w:hAnsi="Verdana"/>
          <w:sz w:val="16"/>
          <w:szCs w:val="16"/>
        </w:rPr>
        <w:t xml:space="preserve">C No. 187, </w:t>
      </w:r>
      <w:r w:rsidR="00B10E5A" w:rsidRPr="00954547">
        <w:rPr>
          <w:rFonts w:ascii="Verdana" w:hAnsi="Verdana"/>
          <w:sz w:val="16"/>
          <w:szCs w:val="16"/>
        </w:rPr>
        <w:t>para.</w:t>
      </w:r>
      <w:r w:rsidRPr="00954547">
        <w:rPr>
          <w:rFonts w:ascii="Verdana" w:hAnsi="Verdana"/>
          <w:sz w:val="16"/>
          <w:szCs w:val="16"/>
        </w:rPr>
        <w:t xml:space="preserve"> 74,</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Villarroel Merino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eastAsia="Times New Roman" w:hAnsi="Verdana"/>
          <w:sz w:val="16"/>
          <w:szCs w:val="16"/>
        </w:rPr>
        <w:t xml:space="preserve">, </w:t>
      </w:r>
      <w:r w:rsidR="00B10E5A" w:rsidRPr="00954547">
        <w:rPr>
          <w:rFonts w:ascii="Verdana" w:eastAsia="Times New Roman" w:hAnsi="Verdana"/>
          <w:sz w:val="16"/>
          <w:szCs w:val="16"/>
        </w:rPr>
        <w:t>para.</w:t>
      </w:r>
      <w:r w:rsidRPr="00954547">
        <w:rPr>
          <w:rFonts w:ascii="Verdana" w:eastAsia="Times New Roman" w:hAnsi="Verdana"/>
          <w:sz w:val="16"/>
          <w:szCs w:val="16"/>
          <w:lang w:eastAsia="en-GB"/>
        </w:rPr>
        <w:t xml:space="preserve"> 91.</w:t>
      </w:r>
    </w:p>
  </w:footnote>
  <w:footnote w:id="198">
    <w:p w14:paraId="14E6D27C" w14:textId="636CC2A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BA4784" w:rsidRPr="00954547">
        <w:rPr>
          <w:rFonts w:ascii="Verdana" w:hAnsi="Verdana"/>
          <w:sz w:val="16"/>
          <w:szCs w:val="16"/>
        </w:rPr>
        <w:t>Code of Criminal Procedure</w:t>
      </w:r>
      <w:r w:rsidR="009E6B43" w:rsidRPr="00954547">
        <w:rPr>
          <w:rFonts w:ascii="Verdana" w:hAnsi="Verdana"/>
          <w:sz w:val="16"/>
          <w:szCs w:val="16"/>
        </w:rPr>
        <w:t xml:space="preserve"> of El </w:t>
      </w:r>
      <w:r w:rsidRPr="00954547">
        <w:rPr>
          <w:rFonts w:ascii="Verdana" w:hAnsi="Verdana"/>
          <w:sz w:val="16"/>
          <w:szCs w:val="16"/>
        </w:rPr>
        <w:t xml:space="preserve">Salvador, </w:t>
      </w:r>
      <w:r w:rsidR="00C86FE5" w:rsidRPr="00954547">
        <w:rPr>
          <w:rFonts w:ascii="Verdana" w:hAnsi="Verdana"/>
          <w:sz w:val="16"/>
          <w:szCs w:val="16"/>
        </w:rPr>
        <w:t>Legislative Decree</w:t>
      </w:r>
      <w:r w:rsidRPr="00954547">
        <w:rPr>
          <w:rFonts w:ascii="Verdana" w:hAnsi="Verdana"/>
          <w:sz w:val="16"/>
          <w:szCs w:val="16"/>
        </w:rPr>
        <w:t xml:space="preserve"> No. 776 </w:t>
      </w:r>
      <w:r w:rsidR="001567A7" w:rsidRPr="00954547">
        <w:rPr>
          <w:rFonts w:ascii="Verdana" w:hAnsi="Verdana"/>
          <w:sz w:val="16"/>
          <w:szCs w:val="16"/>
        </w:rPr>
        <w:t>of</w:t>
      </w:r>
      <w:r w:rsidRPr="00954547">
        <w:rPr>
          <w:rFonts w:ascii="Verdana" w:hAnsi="Verdana"/>
          <w:sz w:val="16"/>
          <w:szCs w:val="16"/>
        </w:rPr>
        <w:t xml:space="preserve"> 1996, </w:t>
      </w:r>
      <w:r w:rsidR="001567A7" w:rsidRPr="00954547">
        <w:rPr>
          <w:rFonts w:ascii="Verdana" w:hAnsi="Verdana"/>
          <w:sz w:val="16"/>
          <w:szCs w:val="16"/>
        </w:rPr>
        <w:t>a</w:t>
      </w:r>
      <w:r w:rsidR="00A17F8C" w:rsidRPr="00954547">
        <w:rPr>
          <w:rFonts w:ascii="Verdana" w:hAnsi="Verdana"/>
          <w:sz w:val="16"/>
          <w:szCs w:val="16"/>
        </w:rPr>
        <w:t>rticle</w:t>
      </w:r>
      <w:r w:rsidRPr="00954547">
        <w:rPr>
          <w:rFonts w:ascii="Verdana" w:hAnsi="Verdana"/>
          <w:sz w:val="16"/>
          <w:szCs w:val="16"/>
        </w:rPr>
        <w:t>s 292</w:t>
      </w:r>
      <w:r w:rsidR="0078694F" w:rsidRPr="00954547">
        <w:rPr>
          <w:rFonts w:ascii="Verdana" w:hAnsi="Verdana"/>
          <w:sz w:val="16"/>
          <w:szCs w:val="16"/>
        </w:rPr>
        <w:t xml:space="preserve"> and </w:t>
      </w:r>
      <w:r w:rsidRPr="00954547">
        <w:rPr>
          <w:rFonts w:ascii="Verdana" w:hAnsi="Verdana"/>
          <w:sz w:val="16"/>
          <w:szCs w:val="16"/>
        </w:rPr>
        <w:t xml:space="preserve">294. </w:t>
      </w:r>
      <w:r w:rsidR="002F4617" w:rsidRPr="00954547">
        <w:rPr>
          <w:rFonts w:ascii="Verdana" w:hAnsi="Verdana"/>
          <w:sz w:val="16"/>
          <w:szCs w:val="16"/>
        </w:rPr>
        <w:t>Available at</w:t>
      </w:r>
      <w:r w:rsidRPr="00954547">
        <w:rPr>
          <w:rFonts w:ascii="Verdana" w:hAnsi="Verdana"/>
          <w:sz w:val="16"/>
          <w:szCs w:val="16"/>
        </w:rPr>
        <w:t xml:space="preserve">: </w:t>
      </w:r>
      <w:hyperlink r:id="rId14" w:history="1">
        <w:r w:rsidRPr="00954547">
          <w:rPr>
            <w:rStyle w:val="Hyperlink"/>
            <w:rFonts w:ascii="Verdana" w:hAnsi="Verdana"/>
            <w:sz w:val="16"/>
            <w:szCs w:val="16"/>
          </w:rPr>
          <w:t>http://www.oas.org/juridico/spanish/mesicic3_slv_procesal.pdf</w:t>
        </w:r>
      </w:hyperlink>
      <w:r w:rsidRPr="00954547">
        <w:rPr>
          <w:rFonts w:ascii="Verdana" w:hAnsi="Verdana"/>
          <w:sz w:val="16"/>
          <w:szCs w:val="16"/>
        </w:rPr>
        <w:t xml:space="preserve"> </w:t>
      </w:r>
      <w:r w:rsidR="00E76B1A" w:rsidRPr="00954547">
        <w:rPr>
          <w:rFonts w:ascii="Verdana" w:hAnsi="Verdana"/>
          <w:color w:val="auto"/>
          <w:sz w:val="16"/>
          <w:szCs w:val="16"/>
        </w:rPr>
        <w:t>The Court</w:t>
      </w:r>
      <w:r w:rsidRPr="00954547">
        <w:rPr>
          <w:rFonts w:ascii="Verdana" w:hAnsi="Verdana"/>
          <w:color w:val="auto"/>
          <w:sz w:val="16"/>
          <w:szCs w:val="16"/>
        </w:rPr>
        <w:t xml:space="preserve"> </w:t>
      </w:r>
      <w:r w:rsidR="001567A7" w:rsidRPr="00954547">
        <w:rPr>
          <w:rFonts w:ascii="Verdana" w:hAnsi="Verdana"/>
          <w:color w:val="auto"/>
          <w:sz w:val="16"/>
          <w:szCs w:val="16"/>
        </w:rPr>
        <w:t>notes that</w:t>
      </w:r>
      <w:r w:rsidRPr="00954547">
        <w:rPr>
          <w:rFonts w:ascii="Verdana" w:hAnsi="Verdana"/>
          <w:color w:val="auto"/>
          <w:sz w:val="16"/>
          <w:szCs w:val="16"/>
        </w:rPr>
        <w:t xml:space="preserve"> </w:t>
      </w:r>
      <w:r w:rsidR="00BA4784" w:rsidRPr="00954547">
        <w:rPr>
          <w:rFonts w:ascii="Verdana" w:hAnsi="Verdana"/>
          <w:color w:val="auto"/>
          <w:sz w:val="16"/>
          <w:szCs w:val="16"/>
        </w:rPr>
        <w:t>the Code of Criminal Procedure</w:t>
      </w:r>
      <w:r w:rsidRPr="00954547">
        <w:rPr>
          <w:rFonts w:ascii="Verdana" w:hAnsi="Verdana"/>
          <w:color w:val="auto"/>
          <w:sz w:val="16"/>
          <w:szCs w:val="16"/>
        </w:rPr>
        <w:t xml:space="preserve"> </w:t>
      </w:r>
      <w:r w:rsidR="001567A7" w:rsidRPr="00954547">
        <w:rPr>
          <w:rFonts w:ascii="Verdana" w:hAnsi="Verdana"/>
          <w:color w:val="auto"/>
          <w:sz w:val="16"/>
          <w:szCs w:val="16"/>
        </w:rPr>
        <w:t>was amended in</w:t>
      </w:r>
      <w:r w:rsidRPr="00954547">
        <w:rPr>
          <w:rFonts w:ascii="Verdana" w:hAnsi="Verdana"/>
          <w:color w:val="auto"/>
          <w:sz w:val="16"/>
          <w:szCs w:val="16"/>
        </w:rPr>
        <w:t xml:space="preserve"> 2009. </w:t>
      </w:r>
      <w:r w:rsidR="00CD2912" w:rsidRPr="00954547">
        <w:rPr>
          <w:rFonts w:ascii="Verdana" w:hAnsi="Verdana"/>
          <w:color w:val="auto"/>
          <w:sz w:val="16"/>
          <w:szCs w:val="16"/>
        </w:rPr>
        <w:t>However</w:t>
      </w:r>
      <w:r w:rsidR="001567A7" w:rsidRPr="00954547">
        <w:rPr>
          <w:rFonts w:ascii="Verdana" w:hAnsi="Verdana"/>
          <w:color w:val="auto"/>
          <w:sz w:val="16"/>
          <w:szCs w:val="16"/>
        </w:rPr>
        <w:t xml:space="preserve">, the text of these articles remained the same, except as regards the reference to </w:t>
      </w:r>
      <w:r w:rsidR="00390F96" w:rsidRPr="00954547">
        <w:rPr>
          <w:rFonts w:ascii="Verdana" w:hAnsi="Verdana"/>
          <w:color w:val="auto"/>
          <w:sz w:val="16"/>
          <w:szCs w:val="16"/>
        </w:rPr>
        <w:t>public alarm</w:t>
      </w:r>
      <w:r w:rsidR="001567A7" w:rsidRPr="00954547">
        <w:rPr>
          <w:rFonts w:ascii="Verdana" w:hAnsi="Verdana"/>
          <w:color w:val="auto"/>
          <w:sz w:val="16"/>
          <w:szCs w:val="16"/>
        </w:rPr>
        <w:t xml:space="preserve"> in the previous article 292. Currently, article 329 of the Code establishes that: “</w:t>
      </w:r>
      <w:r w:rsidR="001567A7" w:rsidRPr="00954547">
        <w:rPr>
          <w:rFonts w:ascii="Verdana" w:hAnsi="Verdana"/>
          <w:sz w:val="16"/>
          <w:szCs w:val="16"/>
        </w:rPr>
        <w:t>To order the pretrial detention of the accused, the following requirements must be met: (1)</w:t>
      </w:r>
      <w:r w:rsidR="002D0FB7" w:rsidRPr="00954547">
        <w:rPr>
          <w:rFonts w:ascii="Verdana" w:hAnsi="Verdana"/>
          <w:sz w:val="16"/>
          <w:szCs w:val="16"/>
        </w:rPr>
        <w:t xml:space="preserve"> That there is sufficient evidence to maintain, reasonably, the existence of </w:t>
      </w:r>
      <w:r w:rsidR="00A87424" w:rsidRPr="00954547">
        <w:rPr>
          <w:rFonts w:ascii="Verdana" w:hAnsi="Verdana"/>
          <w:sz w:val="16"/>
          <w:szCs w:val="16"/>
        </w:rPr>
        <w:t>a offense</w:t>
      </w:r>
      <w:r w:rsidR="002D0FB7" w:rsidRPr="00954547">
        <w:rPr>
          <w:rFonts w:ascii="Verdana" w:hAnsi="Verdana"/>
          <w:sz w:val="16"/>
          <w:szCs w:val="16"/>
        </w:rPr>
        <w:t xml:space="preserve"> and the probable participation of the accused; (2) that the punishment for the offense is more than three years’ imprisonment, or that, even if the punishment is less than this, the judge considers that pretrial detention is necessary, based on the circumstances of the act, or if the accused is subject to another precautionary measure.” </w:t>
      </w:r>
      <w:r w:rsidR="00A17F8C" w:rsidRPr="00954547">
        <w:rPr>
          <w:rFonts w:ascii="Verdana" w:hAnsi="Verdana"/>
          <w:sz w:val="16"/>
          <w:szCs w:val="16"/>
        </w:rPr>
        <w:t>Article</w:t>
      </w:r>
      <w:r w:rsidRPr="00954547">
        <w:rPr>
          <w:rFonts w:ascii="Verdana" w:hAnsi="Verdana"/>
          <w:sz w:val="16"/>
          <w:szCs w:val="16"/>
        </w:rPr>
        <w:t xml:space="preserve"> 331 </w:t>
      </w:r>
      <w:r w:rsidR="002D0FB7" w:rsidRPr="00954547">
        <w:rPr>
          <w:rFonts w:ascii="Verdana" w:hAnsi="Verdana"/>
          <w:sz w:val="16"/>
          <w:szCs w:val="16"/>
        </w:rPr>
        <w:t xml:space="preserve">establishes that: </w:t>
      </w:r>
      <w:r w:rsidRPr="00954547">
        <w:rPr>
          <w:rFonts w:ascii="Verdana" w:hAnsi="Verdana"/>
          <w:sz w:val="16"/>
          <w:szCs w:val="16"/>
        </w:rPr>
        <w:t>“</w:t>
      </w:r>
      <w:r w:rsidR="002D0FB7" w:rsidRPr="00954547">
        <w:rPr>
          <w:rFonts w:ascii="Verdana" w:hAnsi="Verdana"/>
          <w:sz w:val="16"/>
          <w:szCs w:val="16"/>
        </w:rPr>
        <w:t xml:space="preserve">Notwithstanding the provisions of the two preceding articles, and even if the offense warranted a greater punishment than three years, when the accused is not subject to other precautionary measures and it is reasonable to believe that </w:t>
      </w:r>
      <w:r w:rsidR="00A87424" w:rsidRPr="00954547">
        <w:rPr>
          <w:rFonts w:ascii="Verdana" w:hAnsi="Verdana"/>
          <w:sz w:val="16"/>
          <w:szCs w:val="16"/>
        </w:rPr>
        <w:t>he</w:t>
      </w:r>
      <w:r w:rsidR="002D0FB7" w:rsidRPr="00954547">
        <w:rPr>
          <w:rFonts w:ascii="Verdana" w:hAnsi="Verdana"/>
          <w:sz w:val="16"/>
          <w:szCs w:val="16"/>
        </w:rPr>
        <w:t xml:space="preserve"> will not try to evade the action of justice, another precautionary measure</w:t>
      </w:r>
      <w:r w:rsidR="00C25A5C" w:rsidRPr="00954547">
        <w:rPr>
          <w:rFonts w:ascii="Verdana" w:hAnsi="Verdana"/>
          <w:sz w:val="16"/>
          <w:szCs w:val="16"/>
        </w:rPr>
        <w:t xml:space="preserve"> may be ordered. Pretrial detention cannot be replaced with any other measure in the following crimes: homicide, aggravated homicide, kidnapping, offenses against sexual liberty, aggravated theft, extorsion, fraud against the public purse, the sale of persons, people smuggling, people trafficking, civil disorders, offenses established in the Law regulating Drug-related Activities and the offenses established in the Law against Asset</w:t>
      </w:r>
      <w:r w:rsidR="00A87424" w:rsidRPr="00954547">
        <w:rPr>
          <w:rFonts w:ascii="Verdana" w:hAnsi="Verdana"/>
          <w:sz w:val="16"/>
          <w:szCs w:val="16"/>
        </w:rPr>
        <w:t>-</w:t>
      </w:r>
      <w:r w:rsidR="00C25A5C" w:rsidRPr="00954547">
        <w:rPr>
          <w:rFonts w:ascii="Verdana" w:hAnsi="Verdana"/>
          <w:sz w:val="16"/>
          <w:szCs w:val="16"/>
        </w:rPr>
        <w:t xml:space="preserve"> and Money-Laundering. </w:t>
      </w:r>
      <w:r w:rsidR="00BA4784" w:rsidRPr="00954547">
        <w:rPr>
          <w:rFonts w:ascii="Verdana" w:hAnsi="Verdana"/>
          <w:sz w:val="16"/>
          <w:szCs w:val="16"/>
        </w:rPr>
        <w:t>Code of Criminal Procedure</w:t>
      </w:r>
      <w:r w:rsidR="009E6B43" w:rsidRPr="00954547">
        <w:rPr>
          <w:rFonts w:ascii="Verdana" w:hAnsi="Verdana"/>
          <w:sz w:val="16"/>
          <w:szCs w:val="16"/>
        </w:rPr>
        <w:t xml:space="preserve"> of El </w:t>
      </w:r>
      <w:r w:rsidRPr="00954547">
        <w:rPr>
          <w:rFonts w:ascii="Verdana" w:hAnsi="Verdana"/>
          <w:sz w:val="16"/>
          <w:szCs w:val="16"/>
        </w:rPr>
        <w:t xml:space="preserve">Salvador, </w:t>
      </w:r>
      <w:r w:rsidR="00C86FE5" w:rsidRPr="00954547">
        <w:rPr>
          <w:rFonts w:ascii="Verdana" w:hAnsi="Verdana"/>
          <w:sz w:val="16"/>
          <w:szCs w:val="16"/>
        </w:rPr>
        <w:t>Legislative Decree</w:t>
      </w:r>
      <w:r w:rsidRPr="00954547">
        <w:rPr>
          <w:rFonts w:ascii="Verdana" w:hAnsi="Verdana"/>
          <w:sz w:val="16"/>
          <w:szCs w:val="16"/>
        </w:rPr>
        <w:t xml:space="preserve"> No. 733 </w:t>
      </w:r>
      <w:r w:rsidR="00C25A5C" w:rsidRPr="00954547">
        <w:rPr>
          <w:rFonts w:ascii="Verdana" w:hAnsi="Verdana"/>
          <w:sz w:val="16"/>
          <w:szCs w:val="16"/>
        </w:rPr>
        <w:t>of</w:t>
      </w:r>
      <w:r w:rsidRPr="00954547">
        <w:rPr>
          <w:rFonts w:ascii="Verdana" w:hAnsi="Verdana"/>
          <w:sz w:val="16"/>
          <w:szCs w:val="16"/>
        </w:rPr>
        <w:t xml:space="preserve"> 2009, </w:t>
      </w:r>
      <w:r w:rsidR="00C25A5C" w:rsidRPr="00954547">
        <w:rPr>
          <w:rFonts w:ascii="Verdana" w:hAnsi="Verdana"/>
          <w:sz w:val="16"/>
          <w:szCs w:val="16"/>
        </w:rPr>
        <w:t>a</w:t>
      </w:r>
      <w:r w:rsidR="00A17F8C" w:rsidRPr="00954547">
        <w:rPr>
          <w:rFonts w:ascii="Verdana" w:hAnsi="Verdana"/>
          <w:sz w:val="16"/>
          <w:szCs w:val="16"/>
        </w:rPr>
        <w:t>rticle</w:t>
      </w:r>
      <w:r w:rsidRPr="00954547">
        <w:rPr>
          <w:rFonts w:ascii="Verdana" w:hAnsi="Verdana"/>
          <w:sz w:val="16"/>
          <w:szCs w:val="16"/>
        </w:rPr>
        <w:t>s 329</w:t>
      </w:r>
      <w:r w:rsidR="0078694F" w:rsidRPr="00954547">
        <w:rPr>
          <w:rFonts w:ascii="Verdana" w:hAnsi="Verdana"/>
          <w:sz w:val="16"/>
          <w:szCs w:val="16"/>
        </w:rPr>
        <w:t xml:space="preserve"> and </w:t>
      </w:r>
      <w:r w:rsidRPr="00954547">
        <w:rPr>
          <w:rFonts w:ascii="Verdana" w:hAnsi="Verdana"/>
          <w:sz w:val="16"/>
          <w:szCs w:val="16"/>
        </w:rPr>
        <w:t>331.</w:t>
      </w:r>
      <w:r w:rsidRPr="00954547">
        <w:rPr>
          <w:rFonts w:ascii="Verdana" w:hAnsi="Verdana"/>
          <w:color w:val="auto"/>
          <w:sz w:val="16"/>
          <w:szCs w:val="16"/>
        </w:rPr>
        <w:t xml:space="preserve"> </w:t>
      </w:r>
      <w:r w:rsidR="002F4617" w:rsidRPr="00954547">
        <w:rPr>
          <w:rFonts w:ascii="Verdana" w:hAnsi="Verdana"/>
          <w:color w:val="auto"/>
          <w:sz w:val="16"/>
          <w:szCs w:val="16"/>
        </w:rPr>
        <w:t>Available at</w:t>
      </w:r>
      <w:r w:rsidRPr="00954547">
        <w:rPr>
          <w:rFonts w:ascii="Verdana" w:hAnsi="Verdana"/>
          <w:color w:val="auto"/>
          <w:sz w:val="16"/>
          <w:szCs w:val="16"/>
        </w:rPr>
        <w:t xml:space="preserve"> </w:t>
      </w:r>
      <w:hyperlink r:id="rId15" w:history="1">
        <w:r w:rsidR="00A87424" w:rsidRPr="00954547">
          <w:rPr>
            <w:rStyle w:val="Hyperlink"/>
            <w:rFonts w:ascii="Verdana" w:hAnsi="Verdana"/>
            <w:sz w:val="16"/>
            <w:szCs w:val="16"/>
          </w:rPr>
          <w:t>https://www.asamblea.gob.sv/sites/default/files/documents/decretos/ 171117_072931433_archivo_documento_legislativo.pdf</w:t>
        </w:r>
      </w:hyperlink>
      <w:r w:rsidRPr="00954547">
        <w:rPr>
          <w:rFonts w:ascii="Verdana" w:hAnsi="Verdana"/>
          <w:sz w:val="16"/>
          <w:szCs w:val="16"/>
        </w:rPr>
        <w:t xml:space="preserve"> </w:t>
      </w:r>
    </w:p>
  </w:footnote>
  <w:footnote w:id="199">
    <w:p w14:paraId="42B8B117" w14:textId="0E29B6C7"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lang w:val="es-CR"/>
        </w:rPr>
        <w:t xml:space="preserve"> </w:t>
      </w:r>
      <w:r w:rsidRPr="00954547">
        <w:rPr>
          <w:rFonts w:ascii="Verdana" w:hAnsi="Verdana"/>
          <w:color w:val="auto"/>
          <w:sz w:val="16"/>
          <w:szCs w:val="16"/>
          <w:lang w:val="es-CR"/>
        </w:rPr>
        <w:tab/>
      </w:r>
      <w:r w:rsidR="00B8393C" w:rsidRPr="00954547">
        <w:rPr>
          <w:rFonts w:ascii="Verdana" w:hAnsi="Verdana"/>
          <w:i/>
          <w:color w:val="auto"/>
          <w:sz w:val="16"/>
          <w:szCs w:val="16"/>
          <w:lang w:val="es-CR"/>
        </w:rPr>
        <w:t>Cf.</w:t>
      </w:r>
      <w:r w:rsidRPr="00954547">
        <w:rPr>
          <w:rFonts w:ascii="Verdana" w:hAnsi="Verdana"/>
          <w:i/>
          <w:color w:val="auto"/>
          <w:sz w:val="16"/>
          <w:szCs w:val="16"/>
          <w:lang w:val="es-CR"/>
        </w:rPr>
        <w:t xml:space="preserve"> </w:t>
      </w:r>
      <w:r w:rsidR="002F4617" w:rsidRPr="00954547">
        <w:rPr>
          <w:rFonts w:ascii="Verdana" w:hAnsi="Verdana"/>
          <w:i/>
          <w:color w:val="auto"/>
          <w:sz w:val="16"/>
          <w:szCs w:val="16"/>
          <w:lang w:val="es-CR"/>
        </w:rPr>
        <w:t>Case of</w:t>
      </w:r>
      <w:r w:rsidRPr="00954547">
        <w:rPr>
          <w:rFonts w:ascii="Verdana" w:hAnsi="Verdana"/>
          <w:i/>
          <w:color w:val="auto"/>
          <w:sz w:val="16"/>
          <w:szCs w:val="16"/>
          <w:lang w:val="es-CR"/>
        </w:rPr>
        <w:t xml:space="preserve"> Herrera Espinoza </w:t>
      </w:r>
      <w:r w:rsidR="00B8393C" w:rsidRPr="00954547">
        <w:rPr>
          <w:rFonts w:ascii="Verdana" w:hAnsi="Verdana"/>
          <w:i/>
          <w:color w:val="auto"/>
          <w:sz w:val="16"/>
          <w:szCs w:val="16"/>
          <w:lang w:val="es-CR"/>
        </w:rPr>
        <w:t>et al. v.</w:t>
      </w:r>
      <w:r w:rsidRPr="00954547">
        <w:rPr>
          <w:rFonts w:ascii="Verdana" w:hAnsi="Verdana"/>
          <w:i/>
          <w:color w:val="auto"/>
          <w:sz w:val="16"/>
          <w:szCs w:val="16"/>
          <w:lang w:val="es-CR"/>
        </w:rPr>
        <w:t xml:space="preserve"> Ecuador, supra</w:t>
      </w:r>
      <w:r w:rsidRPr="00954547">
        <w:rPr>
          <w:rFonts w:ascii="Verdana" w:hAnsi="Verdana"/>
          <w:color w:val="auto"/>
          <w:sz w:val="16"/>
          <w:szCs w:val="16"/>
          <w:lang w:val="es-CR"/>
        </w:rPr>
        <w:t xml:space="preserve">, </w:t>
      </w:r>
      <w:r w:rsidR="00B10E5A" w:rsidRPr="00954547">
        <w:rPr>
          <w:rFonts w:ascii="Verdana" w:hAnsi="Verdana"/>
          <w:color w:val="auto"/>
          <w:sz w:val="16"/>
          <w:szCs w:val="16"/>
          <w:lang w:val="es-CR"/>
        </w:rPr>
        <w:t>para.</w:t>
      </w:r>
      <w:r w:rsidRPr="00954547">
        <w:rPr>
          <w:rFonts w:ascii="Verdana" w:hAnsi="Verdana"/>
          <w:color w:val="auto"/>
          <w:sz w:val="16"/>
          <w:szCs w:val="16"/>
          <w:lang w:val="es-CR"/>
        </w:rPr>
        <w:t xml:space="preserve"> </w:t>
      </w:r>
      <w:r w:rsidRPr="00954547">
        <w:rPr>
          <w:rFonts w:ascii="Verdana" w:hAnsi="Verdana"/>
          <w:color w:val="auto"/>
          <w:sz w:val="16"/>
          <w:szCs w:val="16"/>
        </w:rPr>
        <w:t>149,</w:t>
      </w:r>
      <w:r w:rsidR="0078694F" w:rsidRPr="00954547">
        <w:rPr>
          <w:rFonts w:ascii="Verdana" w:hAnsi="Verdana"/>
          <w:color w:val="auto"/>
          <w:sz w:val="16"/>
          <w:szCs w:val="16"/>
        </w:rPr>
        <w:t xml:space="preserve"> and </w:t>
      </w:r>
      <w:r w:rsidR="002F4617" w:rsidRPr="00954547">
        <w:rPr>
          <w:rFonts w:ascii="Verdana" w:hAnsi="Verdana"/>
          <w:i/>
          <w:color w:val="auto"/>
          <w:sz w:val="16"/>
          <w:szCs w:val="16"/>
        </w:rPr>
        <w:t>Case of</w:t>
      </w:r>
      <w:r w:rsidRPr="00954547">
        <w:rPr>
          <w:rFonts w:ascii="Verdana" w:hAnsi="Verdana"/>
          <w:i/>
          <w:color w:val="auto"/>
          <w:sz w:val="16"/>
          <w:szCs w:val="16"/>
        </w:rPr>
        <w:t xml:space="preserve"> Carranza Alarcón </w:t>
      </w:r>
      <w:r w:rsidR="009C16A1" w:rsidRPr="00954547">
        <w:rPr>
          <w:rFonts w:ascii="Verdana" w:hAnsi="Verdana"/>
          <w:i/>
          <w:color w:val="auto"/>
          <w:sz w:val="16"/>
          <w:szCs w:val="16"/>
        </w:rPr>
        <w:t>v.</w:t>
      </w:r>
      <w:r w:rsidRPr="00954547">
        <w:rPr>
          <w:rFonts w:ascii="Verdana" w:hAnsi="Verdana"/>
          <w:i/>
          <w:color w:val="auto"/>
          <w:sz w:val="16"/>
          <w:szCs w:val="16"/>
        </w:rPr>
        <w:t xml:space="preserve"> Ecuador. </w:t>
      </w:r>
      <w:r w:rsidR="004C640C" w:rsidRPr="00954547">
        <w:rPr>
          <w:rFonts w:ascii="Verdana" w:hAnsi="Verdana"/>
          <w:i/>
          <w:color w:val="auto"/>
          <w:sz w:val="16"/>
          <w:szCs w:val="16"/>
        </w:rPr>
        <w:t>Preliminary objections, merits</w:t>
      </w:r>
      <w:r w:rsidR="00A70DC4" w:rsidRPr="00954547">
        <w:rPr>
          <w:rFonts w:ascii="Verdana" w:hAnsi="Verdana"/>
          <w:i/>
          <w:color w:val="auto"/>
          <w:sz w:val="16"/>
          <w:szCs w:val="16"/>
        </w:rPr>
        <w:t>, reparations and costs</w:t>
      </w:r>
      <w:r w:rsidRPr="00954547">
        <w:rPr>
          <w:rFonts w:ascii="Verdana" w:hAnsi="Verdana"/>
          <w:i/>
          <w:color w:val="auto"/>
          <w:sz w:val="16"/>
          <w:szCs w:val="16"/>
        </w:rPr>
        <w:t xml:space="preserve">. </w:t>
      </w:r>
      <w:r w:rsidR="00B8393C" w:rsidRPr="00954547">
        <w:rPr>
          <w:rFonts w:ascii="Verdana" w:hAnsi="Verdana"/>
          <w:color w:val="auto"/>
          <w:sz w:val="16"/>
          <w:szCs w:val="16"/>
        </w:rPr>
        <w:t>Judgment of</w:t>
      </w:r>
      <w:r w:rsidRPr="00954547">
        <w:rPr>
          <w:rFonts w:ascii="Verdana" w:hAnsi="Verdana"/>
          <w:color w:val="auto"/>
          <w:sz w:val="16"/>
          <w:szCs w:val="16"/>
        </w:rPr>
        <w:t xml:space="preserve"> </w:t>
      </w:r>
      <w:r w:rsidR="00C25A5C" w:rsidRPr="00954547">
        <w:rPr>
          <w:rFonts w:ascii="Verdana" w:hAnsi="Verdana"/>
          <w:color w:val="auto"/>
          <w:sz w:val="16"/>
          <w:szCs w:val="16"/>
        </w:rPr>
        <w:t>February 3,</w:t>
      </w:r>
      <w:r w:rsidRPr="00954547">
        <w:rPr>
          <w:rFonts w:ascii="Verdana" w:hAnsi="Verdana"/>
          <w:color w:val="auto"/>
          <w:sz w:val="16"/>
          <w:szCs w:val="16"/>
        </w:rPr>
        <w:t xml:space="preserve"> 2020. </w:t>
      </w:r>
      <w:r w:rsidR="00B8393C" w:rsidRPr="00954547">
        <w:rPr>
          <w:rFonts w:ascii="Verdana" w:hAnsi="Verdana"/>
          <w:color w:val="auto"/>
          <w:sz w:val="16"/>
          <w:szCs w:val="16"/>
        </w:rPr>
        <w:t xml:space="preserve">Series </w:t>
      </w:r>
      <w:r w:rsidRPr="00954547">
        <w:rPr>
          <w:rFonts w:ascii="Verdana" w:hAnsi="Verdana"/>
          <w:color w:val="auto"/>
          <w:sz w:val="16"/>
          <w:szCs w:val="16"/>
        </w:rPr>
        <w:t xml:space="preserve">C No. 399, </w:t>
      </w:r>
      <w:r w:rsidR="00B10E5A" w:rsidRPr="00954547">
        <w:rPr>
          <w:rFonts w:ascii="Verdana" w:hAnsi="Verdana"/>
          <w:color w:val="auto"/>
          <w:sz w:val="16"/>
          <w:szCs w:val="16"/>
        </w:rPr>
        <w:t>para.</w:t>
      </w:r>
      <w:r w:rsidRPr="00954547">
        <w:rPr>
          <w:rFonts w:ascii="Verdana" w:hAnsi="Verdana"/>
          <w:color w:val="auto"/>
          <w:sz w:val="16"/>
          <w:szCs w:val="16"/>
        </w:rPr>
        <w:t xml:space="preserve"> 78.</w:t>
      </w:r>
    </w:p>
  </w:footnote>
  <w:footnote w:id="200">
    <w:p w14:paraId="1D402EAC" w14:textId="1228C29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BA1D0E" w:rsidRPr="00954547">
        <w:rPr>
          <w:rFonts w:ascii="Verdana" w:hAnsi="Verdana"/>
          <w:sz w:val="16"/>
          <w:szCs w:val="16"/>
        </w:rPr>
        <w:t xml:space="preserve">Record of the first hearing of the criminal trial against </w:t>
      </w:r>
      <w:r w:rsidRPr="00954547">
        <w:rPr>
          <w:rFonts w:ascii="Verdana" w:hAnsi="Verdana"/>
          <w:sz w:val="16"/>
          <w:szCs w:val="16"/>
        </w:rPr>
        <w:t xml:space="preserve">Manuela </w:t>
      </w:r>
      <w:r w:rsidR="0060432C" w:rsidRPr="00954547">
        <w:rPr>
          <w:rFonts w:ascii="Verdana" w:hAnsi="Verdana"/>
          <w:sz w:val="16"/>
          <w:szCs w:val="16"/>
        </w:rPr>
        <w:t>on March 3,</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75</w:t>
      </w:r>
      <w:r w:rsidR="0078694F" w:rsidRPr="00954547">
        <w:rPr>
          <w:rFonts w:ascii="Verdana" w:hAnsi="Verdana"/>
          <w:sz w:val="16"/>
          <w:szCs w:val="16"/>
        </w:rPr>
        <w:t xml:space="preserve"> and </w:t>
      </w:r>
      <w:r w:rsidRPr="00954547">
        <w:rPr>
          <w:rFonts w:ascii="Verdana" w:hAnsi="Verdana"/>
          <w:sz w:val="16"/>
          <w:szCs w:val="16"/>
        </w:rPr>
        <w:t>81).</w:t>
      </w:r>
    </w:p>
  </w:footnote>
  <w:footnote w:id="201">
    <w:p w14:paraId="11CA26BD" w14:textId="7A44F64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Amrhein </w:t>
      </w:r>
      <w:r w:rsidR="00B8393C" w:rsidRPr="00954547">
        <w:rPr>
          <w:rFonts w:ascii="Verdana" w:hAnsi="Verdana"/>
          <w:i/>
          <w:sz w:val="16"/>
          <w:szCs w:val="16"/>
          <w:lang w:val="es-CR"/>
        </w:rPr>
        <w:t>et al. v.</w:t>
      </w:r>
      <w:r w:rsidRPr="00954547">
        <w:rPr>
          <w:rFonts w:ascii="Verdana" w:hAnsi="Verdana"/>
          <w:i/>
          <w:sz w:val="16"/>
          <w:szCs w:val="16"/>
          <w:lang w:val="es-CR"/>
        </w:rPr>
        <w:t xml:space="preserve"> Costa Rica,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357,</w:t>
      </w:r>
      <w:r w:rsidR="0078694F" w:rsidRPr="00954547">
        <w:rPr>
          <w:rFonts w:ascii="Verdana" w:hAnsi="Verdana"/>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Villarroel Merino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supra</w:t>
      </w:r>
      <w:r w:rsidRPr="00954547">
        <w:rPr>
          <w:rFonts w:ascii="Verdana" w:eastAsia="Times New Roman" w:hAnsi="Verdana"/>
          <w:sz w:val="16"/>
          <w:szCs w:val="16"/>
          <w:lang w:val="es-CR"/>
        </w:rPr>
        <w:t xml:space="preserve">, </w:t>
      </w:r>
      <w:r w:rsidR="00B10E5A" w:rsidRPr="00954547">
        <w:rPr>
          <w:rFonts w:ascii="Verdana" w:eastAsia="Times New Roman" w:hAnsi="Verdana"/>
          <w:sz w:val="16"/>
          <w:szCs w:val="16"/>
          <w:lang w:val="es-CR"/>
        </w:rPr>
        <w:t>para.</w:t>
      </w:r>
      <w:r w:rsidRPr="00954547">
        <w:rPr>
          <w:rFonts w:ascii="Verdana" w:eastAsia="Times New Roman" w:hAnsi="Verdana" w:cs="Times New Roman"/>
          <w:sz w:val="16"/>
          <w:szCs w:val="16"/>
          <w:lang w:val="es-CR" w:eastAsia="en-GB"/>
        </w:rPr>
        <w:t xml:space="preserve"> </w:t>
      </w:r>
      <w:r w:rsidRPr="00954547">
        <w:rPr>
          <w:rFonts w:ascii="Verdana" w:eastAsia="Times New Roman" w:hAnsi="Verdana"/>
          <w:sz w:val="16"/>
          <w:szCs w:val="16"/>
          <w:lang w:eastAsia="en-GB"/>
        </w:rPr>
        <w:t>88</w:t>
      </w:r>
      <w:r w:rsidRPr="00954547">
        <w:rPr>
          <w:rFonts w:ascii="Verdana" w:eastAsia="Times New Roman" w:hAnsi="Verdana" w:cs="Times New Roman"/>
          <w:sz w:val="16"/>
          <w:szCs w:val="16"/>
          <w:lang w:eastAsia="en-GB"/>
        </w:rPr>
        <w:t>.</w:t>
      </w:r>
    </w:p>
  </w:footnote>
  <w:footnote w:id="202">
    <w:p w14:paraId="133CD8EF" w14:textId="279BD130" w:rsidR="005F001B" w:rsidRPr="00954547" w:rsidRDefault="005F001B" w:rsidP="007619E6">
      <w:pPr>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cs="Verdana"/>
          <w:i/>
          <w:iCs/>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Palamara Iribarne </w:t>
      </w:r>
      <w:r w:rsidR="009C16A1" w:rsidRPr="00954547">
        <w:rPr>
          <w:rFonts w:ascii="Verdana" w:hAnsi="Verdana"/>
          <w:i/>
          <w:sz w:val="16"/>
          <w:szCs w:val="16"/>
        </w:rPr>
        <w:t>v.</w:t>
      </w:r>
      <w:r w:rsidRPr="00954547">
        <w:rPr>
          <w:rFonts w:ascii="Verdana" w:hAnsi="Verdana"/>
          <w:i/>
          <w:sz w:val="16"/>
          <w:szCs w:val="16"/>
        </w:rPr>
        <w:t xml:space="preserve"> Chile,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w:t>
      </w:r>
      <w:r w:rsidRPr="00954547">
        <w:rPr>
          <w:rFonts w:ascii="Verdana" w:hAnsi="Verdana" w:cs="Verdana"/>
          <w:sz w:val="16"/>
          <w:szCs w:val="16"/>
        </w:rPr>
        <w:t>198,</w:t>
      </w:r>
      <w:r w:rsidR="0078694F" w:rsidRPr="00954547">
        <w:rPr>
          <w:rFonts w:ascii="Verdana" w:hAnsi="Verdana" w:cs="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J.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1D1EE8" w:rsidRPr="00954547">
        <w:rPr>
          <w:rFonts w:ascii="Verdana" w:hAnsi="Verdana"/>
          <w:sz w:val="16"/>
          <w:szCs w:val="16"/>
        </w:rPr>
        <w:t>November 27,</w:t>
      </w:r>
      <w:r w:rsidRPr="00954547">
        <w:rPr>
          <w:rFonts w:ascii="Verdana" w:hAnsi="Verdana"/>
          <w:sz w:val="16"/>
          <w:szCs w:val="16"/>
        </w:rPr>
        <w:t xml:space="preserve"> 2013. </w:t>
      </w:r>
      <w:r w:rsidR="00B8393C" w:rsidRPr="00954547">
        <w:rPr>
          <w:rFonts w:ascii="Verdana" w:hAnsi="Verdana"/>
          <w:sz w:val="16"/>
          <w:szCs w:val="16"/>
        </w:rPr>
        <w:t xml:space="preserve">Series </w:t>
      </w:r>
      <w:r w:rsidRPr="00954547">
        <w:rPr>
          <w:rFonts w:ascii="Verdana" w:hAnsi="Verdana"/>
          <w:sz w:val="16"/>
          <w:szCs w:val="16"/>
        </w:rPr>
        <w:t xml:space="preserve">C No. 275, </w:t>
      </w:r>
      <w:r w:rsidR="00B10E5A" w:rsidRPr="00954547">
        <w:rPr>
          <w:rFonts w:ascii="Verdana" w:hAnsi="Verdana"/>
          <w:sz w:val="16"/>
          <w:szCs w:val="16"/>
        </w:rPr>
        <w:t>para.</w:t>
      </w:r>
      <w:r w:rsidRPr="00954547">
        <w:rPr>
          <w:rFonts w:ascii="Verdana" w:hAnsi="Verdana"/>
          <w:sz w:val="16"/>
          <w:szCs w:val="16"/>
        </w:rPr>
        <w:t xml:space="preserve"> 159.</w:t>
      </w:r>
    </w:p>
  </w:footnote>
  <w:footnote w:id="203">
    <w:p w14:paraId="36BDBC29" w14:textId="2AB4BF57"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053A7C" w:rsidRPr="00954547">
        <w:rPr>
          <w:rFonts w:ascii="Verdana" w:hAnsi="Verdana"/>
          <w:sz w:val="16"/>
          <w:szCs w:val="16"/>
        </w:rPr>
        <w:t>Record of hearing to review a precautionary measure of June 5,</w:t>
      </w:r>
      <w:r w:rsidRPr="00954547">
        <w:rPr>
          <w:rFonts w:ascii="Verdana" w:hAnsi="Verdana"/>
          <w:sz w:val="16"/>
          <w:szCs w:val="16"/>
        </w:rPr>
        <w:t xml:space="preserve"> 2008 </w:t>
      </w:r>
      <w:r w:rsidRPr="00954547">
        <w:rPr>
          <w:rFonts w:ascii="Verdana" w:hAnsi="Verdana"/>
          <w:color w:val="auto"/>
          <w:sz w:val="16"/>
          <w:szCs w:val="16"/>
        </w:rPr>
        <w:t>(</w:t>
      </w:r>
      <w:r w:rsidR="001C328F" w:rsidRPr="00954547">
        <w:rPr>
          <w:rFonts w:ascii="Verdana" w:hAnsi="Verdana"/>
          <w:color w:val="auto"/>
          <w:sz w:val="16"/>
          <w:szCs w:val="16"/>
        </w:rPr>
        <w:t>evidence file</w:t>
      </w:r>
      <w:r w:rsidRPr="00954547">
        <w:rPr>
          <w:rFonts w:ascii="Verdana" w:hAnsi="Verdana"/>
          <w:color w:val="auto"/>
          <w:sz w:val="16"/>
          <w:szCs w:val="16"/>
        </w:rPr>
        <w:t>, folio 110).</w:t>
      </w:r>
    </w:p>
  </w:footnote>
  <w:footnote w:id="204">
    <w:p w14:paraId="205B0C1D" w14:textId="42B49126"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053A7C" w:rsidRPr="00954547">
        <w:rPr>
          <w:rFonts w:ascii="Verdana" w:hAnsi="Verdana"/>
          <w:sz w:val="16"/>
          <w:szCs w:val="16"/>
        </w:rPr>
        <w:t>Record of hearing to review a precautionary measure of June 5,</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110).</w:t>
      </w:r>
    </w:p>
  </w:footnote>
  <w:footnote w:id="205">
    <w:p w14:paraId="5FEC6C5B" w14:textId="7A9A650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Chaparro Álvarez</w:t>
      </w:r>
      <w:r w:rsidR="0078694F" w:rsidRPr="00954547">
        <w:rPr>
          <w:rFonts w:ascii="Verdana" w:hAnsi="Verdana"/>
          <w:i/>
          <w:iCs/>
          <w:sz w:val="16"/>
          <w:szCs w:val="16"/>
        </w:rPr>
        <w:t xml:space="preserve"> and </w:t>
      </w:r>
      <w:r w:rsidRPr="00954547">
        <w:rPr>
          <w:rFonts w:ascii="Verdana" w:hAnsi="Verdana"/>
          <w:i/>
          <w:iCs/>
          <w:sz w:val="16"/>
          <w:szCs w:val="16"/>
        </w:rPr>
        <w:t xml:space="preserve">Lapo Íñiguez </w:t>
      </w:r>
      <w:r w:rsidR="009C16A1" w:rsidRPr="00954547">
        <w:rPr>
          <w:rFonts w:ascii="Verdana" w:hAnsi="Verdana"/>
          <w:i/>
          <w:iCs/>
          <w:sz w:val="16"/>
          <w:szCs w:val="16"/>
        </w:rPr>
        <w:t>v.</w:t>
      </w:r>
      <w:r w:rsidRPr="00954547">
        <w:rPr>
          <w:rFonts w:ascii="Verdana" w:hAnsi="Verdana"/>
          <w:i/>
          <w:iCs/>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107,</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J.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163. </w:t>
      </w:r>
    </w:p>
  </w:footnote>
  <w:footnote w:id="206">
    <w:p w14:paraId="0C05C544" w14:textId="74F1882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Bayarri </w:t>
      </w:r>
      <w:r w:rsidR="009C16A1" w:rsidRPr="00954547">
        <w:rPr>
          <w:rFonts w:ascii="Verdana" w:hAnsi="Verdana"/>
          <w:i/>
          <w:sz w:val="16"/>
          <w:szCs w:val="16"/>
        </w:rPr>
        <w:t>v.</w:t>
      </w:r>
      <w:r w:rsidRPr="00954547">
        <w:rPr>
          <w:rFonts w:ascii="Verdana" w:hAnsi="Verdana"/>
          <w:i/>
          <w:sz w:val="16"/>
          <w:szCs w:val="16"/>
        </w:rPr>
        <w:t xml:space="preserve"> Argentina,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74,</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J.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163.</w:t>
      </w:r>
    </w:p>
  </w:footnote>
  <w:footnote w:id="207">
    <w:p w14:paraId="0909E471" w14:textId="779936B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Hilaire, Constantine</w:t>
      </w:r>
      <w:r w:rsidR="0078694F" w:rsidRPr="00954547">
        <w:rPr>
          <w:rFonts w:ascii="Verdana" w:hAnsi="Verdana"/>
          <w:i/>
          <w:sz w:val="16"/>
          <w:szCs w:val="16"/>
        </w:rPr>
        <w:t xml:space="preserve"> and </w:t>
      </w:r>
      <w:r w:rsidRPr="00954547">
        <w:rPr>
          <w:rFonts w:ascii="Verdana" w:hAnsi="Verdana"/>
          <w:i/>
          <w:sz w:val="16"/>
          <w:szCs w:val="16"/>
        </w:rPr>
        <w:t xml:space="preserve">Benjamin </w:t>
      </w:r>
      <w:r w:rsidR="00B8393C" w:rsidRPr="00954547">
        <w:rPr>
          <w:rFonts w:ascii="Verdana" w:hAnsi="Verdana"/>
          <w:i/>
          <w:sz w:val="16"/>
          <w:szCs w:val="16"/>
        </w:rPr>
        <w:t>et al. v.</w:t>
      </w:r>
      <w:r w:rsidRPr="00954547">
        <w:rPr>
          <w:rFonts w:ascii="Verdana" w:hAnsi="Verdana"/>
          <w:i/>
          <w:sz w:val="16"/>
          <w:szCs w:val="16"/>
        </w:rPr>
        <w:t xml:space="preserve"> Trinidad</w:t>
      </w:r>
      <w:r w:rsidR="0078694F" w:rsidRPr="00954547">
        <w:rPr>
          <w:rFonts w:ascii="Verdana" w:hAnsi="Verdana"/>
          <w:i/>
          <w:sz w:val="16"/>
          <w:szCs w:val="16"/>
        </w:rPr>
        <w:t xml:space="preserve"> and </w:t>
      </w:r>
      <w:r w:rsidRPr="00954547">
        <w:rPr>
          <w:rFonts w:ascii="Verdana" w:hAnsi="Verdana"/>
          <w:i/>
          <w:sz w:val="16"/>
          <w:szCs w:val="16"/>
        </w:rPr>
        <w:t xml:space="preserve">Tobago.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876BC4" w:rsidRPr="00954547">
        <w:rPr>
          <w:rFonts w:ascii="Verdana" w:hAnsi="Verdana"/>
          <w:sz w:val="16"/>
          <w:szCs w:val="16"/>
        </w:rPr>
        <w:t>June 21,</w:t>
      </w:r>
      <w:r w:rsidRPr="00954547">
        <w:rPr>
          <w:rFonts w:ascii="Verdana" w:hAnsi="Verdana"/>
          <w:sz w:val="16"/>
          <w:szCs w:val="16"/>
        </w:rPr>
        <w:t xml:space="preserve"> 2002. </w:t>
      </w:r>
      <w:r w:rsidR="00B8393C" w:rsidRPr="00954547">
        <w:rPr>
          <w:rFonts w:ascii="Verdana" w:hAnsi="Verdana"/>
          <w:sz w:val="16"/>
          <w:szCs w:val="16"/>
        </w:rPr>
        <w:t xml:space="preserve">Series </w:t>
      </w:r>
      <w:r w:rsidRPr="00954547">
        <w:rPr>
          <w:rFonts w:ascii="Verdana" w:hAnsi="Verdana"/>
          <w:sz w:val="16"/>
          <w:szCs w:val="16"/>
        </w:rPr>
        <w:t xml:space="preserve">C No. 94, </w:t>
      </w:r>
      <w:r w:rsidR="00B10E5A" w:rsidRPr="00954547">
        <w:rPr>
          <w:rFonts w:ascii="Verdana" w:hAnsi="Verdana"/>
          <w:sz w:val="16"/>
          <w:szCs w:val="16"/>
        </w:rPr>
        <w:t>para.</w:t>
      </w:r>
      <w:r w:rsidRPr="00954547">
        <w:rPr>
          <w:rFonts w:ascii="Verdana" w:hAnsi="Verdana"/>
          <w:sz w:val="16"/>
          <w:szCs w:val="16"/>
        </w:rPr>
        <w:t xml:space="preserve"> 113,</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Rodríguez Revolorio </w:t>
      </w:r>
      <w:r w:rsidR="00B8393C" w:rsidRPr="00954547">
        <w:rPr>
          <w:rFonts w:ascii="Verdana" w:hAnsi="Verdana"/>
          <w:i/>
          <w:sz w:val="16"/>
          <w:szCs w:val="16"/>
        </w:rPr>
        <w:t>et al. v.</w:t>
      </w:r>
      <w:r w:rsidRPr="00954547">
        <w:rPr>
          <w:rFonts w:ascii="Verdana" w:hAnsi="Verdana"/>
          <w:i/>
          <w:sz w:val="16"/>
          <w:szCs w:val="16"/>
        </w:rPr>
        <w:t xml:space="preserve"> Guatemala.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CC1C9C" w:rsidRPr="00954547">
        <w:rPr>
          <w:rFonts w:ascii="Verdana" w:hAnsi="Verdana"/>
          <w:sz w:val="16"/>
          <w:szCs w:val="16"/>
        </w:rPr>
        <w:t>October 14,</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387, </w:t>
      </w:r>
      <w:r w:rsidR="00B10E5A" w:rsidRPr="00954547">
        <w:rPr>
          <w:rFonts w:ascii="Verdana" w:hAnsi="Verdana"/>
          <w:sz w:val="16"/>
          <w:szCs w:val="16"/>
        </w:rPr>
        <w:t>para.</w:t>
      </w:r>
      <w:r w:rsidRPr="00954547">
        <w:rPr>
          <w:rFonts w:ascii="Verdana" w:hAnsi="Verdana"/>
          <w:sz w:val="16"/>
          <w:szCs w:val="16"/>
        </w:rPr>
        <w:t xml:space="preserve"> 63.</w:t>
      </w:r>
    </w:p>
  </w:footnote>
  <w:footnote w:id="208">
    <w:p w14:paraId="4A5AEC86" w14:textId="3312F46B" w:rsidR="005F001B" w:rsidRPr="00954547" w:rsidRDefault="005F001B" w:rsidP="007619E6">
      <w:pPr>
        <w:pStyle w:val="FootnoteText"/>
        <w:tabs>
          <w:tab w:val="left" w:pos="567"/>
        </w:tabs>
        <w:spacing w:after="120"/>
        <w:jc w:val="both"/>
        <w:rPr>
          <w:rFonts w:ascii="Verdana" w:eastAsia="Times New Roman"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eastAsia="Times New Roman" w:hAnsi="Verdana"/>
          <w:i/>
          <w:sz w:val="16"/>
          <w:szCs w:val="16"/>
        </w:rPr>
        <w:t>Cf.</w:t>
      </w:r>
      <w:r w:rsidRPr="00954547">
        <w:rPr>
          <w:rFonts w:ascii="Verdana" w:eastAsia="Times New Roman" w:hAnsi="Verdana"/>
          <w:i/>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Chaparro Álvarez</w:t>
      </w:r>
      <w:r w:rsidR="0078694F" w:rsidRPr="00954547">
        <w:rPr>
          <w:rFonts w:ascii="Verdana" w:hAnsi="Verdana"/>
          <w:i/>
          <w:iCs/>
          <w:sz w:val="16"/>
          <w:szCs w:val="16"/>
        </w:rPr>
        <w:t xml:space="preserve"> and </w:t>
      </w:r>
      <w:r w:rsidRPr="00954547">
        <w:rPr>
          <w:rFonts w:ascii="Verdana" w:hAnsi="Verdana"/>
          <w:i/>
          <w:iCs/>
          <w:sz w:val="16"/>
          <w:szCs w:val="16"/>
        </w:rPr>
        <w:t xml:space="preserve">Lapo Íñiguez </w:t>
      </w:r>
      <w:r w:rsidR="009C16A1" w:rsidRPr="00954547">
        <w:rPr>
          <w:rFonts w:ascii="Verdana" w:hAnsi="Verdana"/>
          <w:i/>
          <w:iCs/>
          <w:sz w:val="16"/>
          <w:szCs w:val="16"/>
        </w:rPr>
        <w:t>v.</w:t>
      </w:r>
      <w:r w:rsidRPr="00954547">
        <w:rPr>
          <w:rFonts w:ascii="Verdana" w:hAnsi="Verdana"/>
          <w:i/>
          <w:iCs/>
          <w:sz w:val="16"/>
          <w:szCs w:val="16"/>
        </w:rPr>
        <w:t xml:space="preserve"> Ecuador, supra</w:t>
      </w:r>
      <w:r w:rsidRPr="00954547">
        <w:rPr>
          <w:rFonts w:ascii="Verdana" w:hAnsi="Verdana"/>
          <w:sz w:val="16"/>
          <w:szCs w:val="16"/>
        </w:rPr>
        <w:t xml:space="preserve">, </w:t>
      </w:r>
      <w:r w:rsidR="00B10E5A" w:rsidRPr="00954547">
        <w:rPr>
          <w:rFonts w:ascii="Verdana" w:eastAsia="Times New Roman" w:hAnsi="Verdana"/>
          <w:sz w:val="16"/>
          <w:szCs w:val="16"/>
        </w:rPr>
        <w:t>para.</w:t>
      </w:r>
      <w:r w:rsidRPr="00954547">
        <w:rPr>
          <w:rFonts w:ascii="Verdana" w:eastAsia="Times New Roman" w:hAnsi="Verdana"/>
          <w:sz w:val="16"/>
          <w:szCs w:val="16"/>
        </w:rPr>
        <w:t xml:space="preserve"> 103,</w:t>
      </w:r>
      <w:r w:rsidR="0078694F" w:rsidRPr="00954547">
        <w:rPr>
          <w:rFonts w:ascii="Verdana" w:eastAsia="Times New Roman"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Villarroel Merino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eastAsia="Times New Roman" w:hAnsi="Verdana"/>
          <w:sz w:val="16"/>
          <w:szCs w:val="16"/>
        </w:rPr>
        <w:t xml:space="preserve">, </w:t>
      </w:r>
      <w:r w:rsidR="00B10E5A" w:rsidRPr="00954547">
        <w:rPr>
          <w:rFonts w:ascii="Verdana" w:eastAsia="Times New Roman" w:hAnsi="Verdana"/>
          <w:sz w:val="16"/>
          <w:szCs w:val="16"/>
        </w:rPr>
        <w:t>para.</w:t>
      </w:r>
      <w:r w:rsidRPr="00954547">
        <w:rPr>
          <w:rFonts w:ascii="Verdana" w:eastAsia="Times New Roman" w:hAnsi="Verdana" w:cs="Times New Roman"/>
          <w:sz w:val="16"/>
          <w:szCs w:val="16"/>
          <w:lang w:eastAsia="en-GB"/>
        </w:rPr>
        <w:t xml:space="preserve"> </w:t>
      </w:r>
      <w:r w:rsidRPr="00954547">
        <w:rPr>
          <w:rFonts w:ascii="Verdana" w:eastAsia="Times New Roman" w:hAnsi="Verdana"/>
          <w:sz w:val="16"/>
          <w:szCs w:val="16"/>
          <w:lang w:eastAsia="en-GB"/>
        </w:rPr>
        <w:t>83</w:t>
      </w:r>
      <w:r w:rsidRPr="00954547">
        <w:rPr>
          <w:rFonts w:ascii="Verdana" w:eastAsia="Times New Roman" w:hAnsi="Verdana" w:cs="Times New Roman"/>
          <w:sz w:val="16"/>
          <w:szCs w:val="16"/>
          <w:lang w:eastAsia="en-GB"/>
        </w:rPr>
        <w:t>.</w:t>
      </w:r>
    </w:p>
  </w:footnote>
  <w:footnote w:id="209">
    <w:p w14:paraId="1D8FD57D" w14:textId="39FD600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8 </w:t>
      </w:r>
      <w:r w:rsidR="005E0FD1" w:rsidRPr="00954547">
        <w:rPr>
          <w:rFonts w:ascii="Verdana" w:hAnsi="Verdana"/>
          <w:sz w:val="16"/>
          <w:szCs w:val="16"/>
        </w:rPr>
        <w:t>of the Convention</w:t>
      </w:r>
      <w:r w:rsidRPr="00954547">
        <w:rPr>
          <w:rFonts w:ascii="Verdana" w:hAnsi="Verdana"/>
          <w:sz w:val="16"/>
          <w:szCs w:val="16"/>
        </w:rPr>
        <w:t>.</w:t>
      </w:r>
    </w:p>
  </w:footnote>
  <w:footnote w:id="210">
    <w:p w14:paraId="4CFF0E28" w14:textId="4AF68AA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5 </w:t>
      </w:r>
      <w:r w:rsidR="005E0FD1" w:rsidRPr="00954547">
        <w:rPr>
          <w:rFonts w:ascii="Verdana" w:hAnsi="Verdana"/>
          <w:sz w:val="16"/>
          <w:szCs w:val="16"/>
        </w:rPr>
        <w:t>of the Convention</w:t>
      </w:r>
      <w:r w:rsidRPr="00954547">
        <w:rPr>
          <w:rFonts w:ascii="Verdana" w:hAnsi="Verdana"/>
          <w:sz w:val="16"/>
          <w:szCs w:val="16"/>
        </w:rPr>
        <w:t>.</w:t>
      </w:r>
    </w:p>
  </w:footnote>
  <w:footnote w:id="211">
    <w:p w14:paraId="711DABA7" w14:textId="44BA9201" w:rsidR="005F001B" w:rsidRPr="00954547" w:rsidRDefault="005F001B" w:rsidP="007619E6">
      <w:pPr>
        <w:pStyle w:val="FootnoteText"/>
        <w:tabs>
          <w:tab w:val="left" w:pos="567"/>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24 </w:t>
      </w:r>
      <w:r w:rsidR="005E0FD1" w:rsidRPr="00954547">
        <w:rPr>
          <w:rFonts w:ascii="Verdana" w:hAnsi="Verdana"/>
          <w:sz w:val="16"/>
          <w:szCs w:val="16"/>
        </w:rPr>
        <w:t>of the Convention</w:t>
      </w:r>
      <w:r w:rsidRPr="00954547">
        <w:rPr>
          <w:rFonts w:ascii="Verdana" w:hAnsi="Verdana"/>
          <w:sz w:val="16"/>
          <w:szCs w:val="16"/>
        </w:rPr>
        <w:t>.</w:t>
      </w:r>
    </w:p>
  </w:footnote>
  <w:footnote w:id="212">
    <w:p w14:paraId="294AB45C" w14:textId="0102A853" w:rsidR="005F001B" w:rsidRPr="00954547" w:rsidRDefault="005F001B" w:rsidP="007619E6">
      <w:pPr>
        <w:pStyle w:val="FootnoteText"/>
        <w:tabs>
          <w:tab w:val="left" w:pos="567"/>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 xml:space="preserve">Article 1(1) </w:t>
      </w:r>
      <w:r w:rsidR="005E0FD1" w:rsidRPr="00954547">
        <w:rPr>
          <w:rFonts w:ascii="Verdana" w:hAnsi="Verdana"/>
          <w:sz w:val="16"/>
          <w:szCs w:val="16"/>
        </w:rPr>
        <w:t>of the Convention</w:t>
      </w:r>
      <w:r w:rsidRPr="00954547">
        <w:rPr>
          <w:rFonts w:ascii="Verdana" w:hAnsi="Verdana"/>
          <w:sz w:val="16"/>
          <w:szCs w:val="16"/>
        </w:rPr>
        <w:t>.</w:t>
      </w:r>
    </w:p>
  </w:footnote>
  <w:footnote w:id="213">
    <w:p w14:paraId="66ECA77F" w14:textId="44C7F17E" w:rsidR="005F001B" w:rsidRPr="00954547" w:rsidRDefault="005F001B" w:rsidP="007619E6">
      <w:pPr>
        <w:pStyle w:val="FootnoteText"/>
        <w:tabs>
          <w:tab w:val="left" w:pos="567"/>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2 </w:t>
      </w:r>
      <w:r w:rsidR="005E0FD1" w:rsidRPr="00954547">
        <w:rPr>
          <w:rFonts w:ascii="Verdana" w:hAnsi="Verdana"/>
          <w:sz w:val="16"/>
          <w:szCs w:val="16"/>
        </w:rPr>
        <w:t>of the Convention</w:t>
      </w:r>
      <w:r w:rsidRPr="00954547">
        <w:rPr>
          <w:rFonts w:ascii="Verdana" w:hAnsi="Verdana"/>
          <w:sz w:val="16"/>
          <w:szCs w:val="16"/>
        </w:rPr>
        <w:t>.</w:t>
      </w:r>
    </w:p>
  </w:footnote>
  <w:footnote w:id="214">
    <w:p w14:paraId="51D93F1E" w14:textId="0B522F25" w:rsidR="005F001B" w:rsidRPr="00954547" w:rsidRDefault="005F001B" w:rsidP="007619E6">
      <w:pPr>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Style w:val="FootnoteReference"/>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00607E12" w:rsidRPr="00954547">
        <w:rPr>
          <w:rFonts w:ascii="Verdana" w:hAnsi="Verdana"/>
          <w:i/>
          <w:sz w:val="16"/>
          <w:szCs w:val="16"/>
        </w:rPr>
        <w:t xml:space="preserve"> the</w:t>
      </w:r>
      <w:r w:rsidRPr="00954547">
        <w:rPr>
          <w:rFonts w:ascii="Verdana" w:hAnsi="Verdana"/>
          <w:i/>
          <w:sz w:val="16"/>
          <w:szCs w:val="16"/>
        </w:rPr>
        <w:t xml:space="preserve"> Constitu</w:t>
      </w:r>
      <w:r w:rsidR="00C26F0B" w:rsidRPr="00954547">
        <w:rPr>
          <w:rFonts w:ascii="Verdana" w:hAnsi="Verdana"/>
          <w:i/>
          <w:sz w:val="16"/>
          <w:szCs w:val="16"/>
        </w:rPr>
        <w:t>t</w:t>
      </w:r>
      <w:r w:rsidRPr="00954547">
        <w:rPr>
          <w:rFonts w:ascii="Verdana" w:hAnsi="Verdana"/>
          <w:i/>
          <w:sz w:val="16"/>
          <w:szCs w:val="16"/>
        </w:rPr>
        <w:t xml:space="preserve">ional </w:t>
      </w:r>
      <w:r w:rsidR="00C26F0B" w:rsidRPr="00954547">
        <w:rPr>
          <w:rFonts w:ascii="Verdana" w:hAnsi="Verdana"/>
          <w:i/>
          <w:sz w:val="16"/>
          <w:szCs w:val="16"/>
        </w:rPr>
        <w:t xml:space="preserve">Court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A70DC4" w:rsidRPr="00954547">
        <w:rPr>
          <w:rFonts w:ascii="Verdana" w:hAnsi="Verdana"/>
          <w:i/>
          <w:sz w:val="16"/>
          <w:szCs w:val="16"/>
        </w:rPr>
        <w:t>Merits,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C26F0B" w:rsidRPr="00954547">
        <w:rPr>
          <w:rFonts w:ascii="Verdana" w:hAnsi="Verdana"/>
          <w:sz w:val="16"/>
          <w:szCs w:val="16"/>
        </w:rPr>
        <w:t>January 31,</w:t>
      </w:r>
      <w:r w:rsidRPr="00954547">
        <w:rPr>
          <w:rFonts w:ascii="Verdana" w:hAnsi="Verdana"/>
          <w:sz w:val="16"/>
          <w:szCs w:val="16"/>
        </w:rPr>
        <w:t xml:space="preserve"> 2001. </w:t>
      </w:r>
      <w:r w:rsidR="00B8393C" w:rsidRPr="00954547">
        <w:rPr>
          <w:rFonts w:ascii="Verdana" w:hAnsi="Verdana"/>
          <w:sz w:val="16"/>
          <w:szCs w:val="16"/>
        </w:rPr>
        <w:t xml:space="preserve">Series </w:t>
      </w:r>
      <w:r w:rsidRPr="00954547">
        <w:rPr>
          <w:rFonts w:ascii="Verdana" w:hAnsi="Verdana"/>
          <w:sz w:val="16"/>
          <w:szCs w:val="16"/>
        </w:rPr>
        <w:t xml:space="preserve">C No. 71, </w:t>
      </w:r>
      <w:r w:rsidR="00B10E5A" w:rsidRPr="00954547">
        <w:rPr>
          <w:rFonts w:ascii="Verdana" w:hAnsi="Verdana"/>
          <w:sz w:val="16"/>
          <w:szCs w:val="16"/>
        </w:rPr>
        <w:t>para.</w:t>
      </w:r>
      <w:r w:rsidRPr="00954547">
        <w:rPr>
          <w:rFonts w:ascii="Verdana" w:hAnsi="Verdana"/>
          <w:sz w:val="16"/>
          <w:szCs w:val="16"/>
        </w:rPr>
        <w:t xml:space="preserve"> 71,</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Casa Nina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C26F0B" w:rsidRPr="00954547">
        <w:rPr>
          <w:rFonts w:ascii="Verdana" w:hAnsi="Verdana"/>
          <w:sz w:val="16"/>
          <w:szCs w:val="16"/>
        </w:rPr>
        <w:t>November 24,</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 xml:space="preserve">C No. 419, </w:t>
      </w:r>
      <w:r w:rsidR="00B10E5A" w:rsidRPr="00954547">
        <w:rPr>
          <w:rFonts w:ascii="Verdana" w:hAnsi="Verdana"/>
          <w:sz w:val="16"/>
          <w:szCs w:val="16"/>
        </w:rPr>
        <w:t>para.</w:t>
      </w:r>
      <w:r w:rsidRPr="00954547">
        <w:rPr>
          <w:rFonts w:ascii="Verdana" w:hAnsi="Verdana"/>
          <w:sz w:val="16"/>
          <w:szCs w:val="16"/>
        </w:rPr>
        <w:t xml:space="preserve"> 88.</w:t>
      </w:r>
    </w:p>
  </w:footnote>
  <w:footnote w:id="215">
    <w:p w14:paraId="16573B24" w14:textId="540FD09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Barreto Leiva </w:t>
      </w:r>
      <w:r w:rsidR="009C16A1" w:rsidRPr="00954547">
        <w:rPr>
          <w:rFonts w:ascii="Verdana" w:hAnsi="Verdana"/>
          <w:i/>
          <w:sz w:val="16"/>
          <w:szCs w:val="16"/>
        </w:rPr>
        <w:t>v.</w:t>
      </w:r>
      <w:r w:rsidRPr="00954547">
        <w:rPr>
          <w:rFonts w:ascii="Verdana" w:hAnsi="Verdana"/>
          <w:i/>
          <w:sz w:val="16"/>
          <w:szCs w:val="16"/>
        </w:rPr>
        <w:t xml:space="preserve"> Venezuela. </w:t>
      </w:r>
      <w:r w:rsidR="00A70DC4" w:rsidRPr="00954547">
        <w:rPr>
          <w:rFonts w:ascii="Verdana" w:hAnsi="Verdana"/>
          <w:i/>
          <w:sz w:val="16"/>
          <w:szCs w:val="16"/>
        </w:rPr>
        <w:t>Merits,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C409D9" w:rsidRPr="00954547">
        <w:rPr>
          <w:rFonts w:ascii="Verdana" w:hAnsi="Verdana"/>
          <w:sz w:val="16"/>
          <w:szCs w:val="16"/>
        </w:rPr>
        <w:t>November 17,</w:t>
      </w:r>
      <w:r w:rsidRPr="00954547">
        <w:rPr>
          <w:rFonts w:ascii="Verdana" w:hAnsi="Verdana"/>
          <w:sz w:val="16"/>
          <w:szCs w:val="16"/>
        </w:rPr>
        <w:t xml:space="preserve"> 2009. </w:t>
      </w:r>
      <w:r w:rsidR="00B8393C" w:rsidRPr="00954547">
        <w:rPr>
          <w:rFonts w:ascii="Verdana" w:hAnsi="Verdana"/>
          <w:sz w:val="16"/>
          <w:szCs w:val="16"/>
          <w:lang w:val="es-CR"/>
        </w:rPr>
        <w:t xml:space="preserve">Series </w:t>
      </w:r>
      <w:r w:rsidRPr="00954547">
        <w:rPr>
          <w:rFonts w:ascii="Verdana" w:hAnsi="Verdana"/>
          <w:sz w:val="16"/>
          <w:szCs w:val="16"/>
          <w:lang w:val="es-CR"/>
        </w:rPr>
        <w:t xml:space="preserve">C No. 206, </w:t>
      </w:r>
      <w:r w:rsidR="00B10E5A" w:rsidRPr="00954547">
        <w:rPr>
          <w:rFonts w:ascii="Verdana" w:hAnsi="Verdana"/>
          <w:sz w:val="16"/>
          <w:szCs w:val="16"/>
          <w:lang w:val="es-CR"/>
        </w:rPr>
        <w:t>para.</w:t>
      </w:r>
      <w:r w:rsidRPr="00954547">
        <w:rPr>
          <w:rFonts w:ascii="Verdana" w:hAnsi="Verdana"/>
          <w:sz w:val="16"/>
          <w:szCs w:val="16"/>
          <w:lang w:val="es-CR"/>
        </w:rPr>
        <w:t xml:space="preserve"> 29,</w:t>
      </w:r>
      <w:r w:rsidR="0078694F" w:rsidRPr="00954547">
        <w:rPr>
          <w:rFonts w:ascii="Verdana" w:hAnsi="Verdana"/>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Grijalva Bueno </w:t>
      </w:r>
      <w:r w:rsidR="009C16A1" w:rsidRPr="00954547">
        <w:rPr>
          <w:rFonts w:ascii="Verdana" w:hAnsi="Verdana"/>
          <w:i/>
          <w:sz w:val="16"/>
          <w:szCs w:val="16"/>
          <w:lang w:val="es-CR"/>
        </w:rPr>
        <w:t>v.</w:t>
      </w:r>
      <w:r w:rsidRPr="00954547">
        <w:rPr>
          <w:rFonts w:ascii="Verdana" w:hAnsi="Verdana"/>
          <w:i/>
          <w:sz w:val="16"/>
          <w:szCs w:val="16"/>
          <w:lang w:val="es-CR"/>
        </w:rPr>
        <w:t xml:space="preserve"> Ecuador.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070516" w:rsidRPr="00954547">
        <w:rPr>
          <w:rFonts w:ascii="Verdana" w:hAnsi="Verdana"/>
          <w:sz w:val="16"/>
          <w:szCs w:val="16"/>
        </w:rPr>
        <w:t>June 3,</w:t>
      </w:r>
      <w:r w:rsidRPr="00954547">
        <w:rPr>
          <w:rFonts w:ascii="Verdana" w:hAnsi="Verdana"/>
          <w:sz w:val="16"/>
          <w:szCs w:val="16"/>
        </w:rPr>
        <w:t xml:space="preserve"> 2021. </w:t>
      </w:r>
      <w:r w:rsidR="00B8393C" w:rsidRPr="00954547">
        <w:rPr>
          <w:rFonts w:ascii="Verdana" w:hAnsi="Verdana"/>
          <w:sz w:val="16"/>
          <w:szCs w:val="16"/>
        </w:rPr>
        <w:t xml:space="preserve">Series </w:t>
      </w:r>
      <w:r w:rsidRPr="00954547">
        <w:rPr>
          <w:rFonts w:ascii="Verdana" w:hAnsi="Verdana"/>
          <w:sz w:val="16"/>
          <w:szCs w:val="16"/>
        </w:rPr>
        <w:t xml:space="preserve">C No. 426, </w:t>
      </w:r>
      <w:r w:rsidR="00B10E5A" w:rsidRPr="00954547">
        <w:rPr>
          <w:rFonts w:ascii="Verdana" w:hAnsi="Verdana"/>
          <w:sz w:val="16"/>
          <w:szCs w:val="16"/>
        </w:rPr>
        <w:t>para.</w:t>
      </w:r>
      <w:r w:rsidRPr="00954547">
        <w:rPr>
          <w:rFonts w:ascii="Verdana" w:hAnsi="Verdana"/>
          <w:sz w:val="16"/>
          <w:szCs w:val="16"/>
        </w:rPr>
        <w:t xml:space="preserve"> 100.</w:t>
      </w:r>
    </w:p>
  </w:footnote>
  <w:footnote w:id="216">
    <w:p w14:paraId="65B4B688" w14:textId="33D501B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Barreto Leiva </w:t>
      </w:r>
      <w:r w:rsidR="009C16A1" w:rsidRPr="00954547">
        <w:rPr>
          <w:rFonts w:ascii="Verdana" w:hAnsi="Verdana"/>
          <w:i/>
          <w:sz w:val="16"/>
          <w:szCs w:val="16"/>
        </w:rPr>
        <w:t>v.</w:t>
      </w:r>
      <w:r w:rsidRPr="00954547">
        <w:rPr>
          <w:rFonts w:ascii="Verdana" w:hAnsi="Verdana"/>
          <w:i/>
          <w:sz w:val="16"/>
          <w:szCs w:val="16"/>
        </w:rPr>
        <w:t xml:space="preserve"> Venezuela,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29,</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Ruiz Fuentes</w:t>
      </w:r>
      <w:r w:rsidR="0078694F" w:rsidRPr="00954547">
        <w:rPr>
          <w:rFonts w:ascii="Verdana" w:hAnsi="Verdana"/>
          <w:i/>
          <w:sz w:val="16"/>
          <w:szCs w:val="16"/>
        </w:rPr>
        <w:t xml:space="preserve"> </w:t>
      </w:r>
      <w:r w:rsidR="00070516"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Guatemala.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070516" w:rsidRPr="00954547">
        <w:rPr>
          <w:rFonts w:ascii="Verdana" w:hAnsi="Verdana"/>
          <w:sz w:val="16"/>
          <w:szCs w:val="16"/>
        </w:rPr>
        <w:t>October 10,</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385, </w:t>
      </w:r>
      <w:r w:rsidR="00B10E5A" w:rsidRPr="00954547">
        <w:rPr>
          <w:rFonts w:ascii="Verdana" w:hAnsi="Verdana"/>
          <w:sz w:val="16"/>
          <w:szCs w:val="16"/>
        </w:rPr>
        <w:t>para.</w:t>
      </w:r>
      <w:r w:rsidRPr="00954547">
        <w:rPr>
          <w:rFonts w:ascii="Verdana" w:hAnsi="Verdana"/>
          <w:sz w:val="16"/>
          <w:szCs w:val="16"/>
        </w:rPr>
        <w:t xml:space="preserve"> 151.</w:t>
      </w:r>
    </w:p>
  </w:footnote>
  <w:footnote w:id="217">
    <w:p w14:paraId="4CD28F37" w14:textId="610B0C8A" w:rsidR="005F001B" w:rsidRPr="00954547" w:rsidRDefault="005F001B" w:rsidP="007619E6">
      <w:pPr>
        <w:pStyle w:val="FootnoteText"/>
        <w:tabs>
          <w:tab w:val="left" w:pos="567"/>
        </w:tabs>
        <w:spacing w:after="120"/>
        <w:jc w:val="both"/>
        <w:rPr>
          <w:rFonts w:ascii="Verdana" w:hAnsi="Verdana"/>
          <w:b/>
          <w:color w:val="auto"/>
          <w:sz w:val="16"/>
          <w:szCs w:val="16"/>
          <w:lang w:val="es-CR"/>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8393C" w:rsidRPr="00954547">
        <w:rPr>
          <w:rFonts w:ascii="Verdana" w:hAnsi="Verdana"/>
          <w:i/>
          <w:color w:val="auto"/>
          <w:sz w:val="16"/>
          <w:szCs w:val="16"/>
        </w:rPr>
        <w:t>Cf.</w:t>
      </w:r>
      <w:r w:rsidRPr="00954547">
        <w:rPr>
          <w:rFonts w:ascii="Verdana" w:hAnsi="Verdana"/>
          <w:i/>
          <w:color w:val="auto"/>
          <w:sz w:val="16"/>
          <w:szCs w:val="16"/>
        </w:rPr>
        <w:t xml:space="preserve"> </w:t>
      </w:r>
      <w:r w:rsidR="002F4617" w:rsidRPr="00954547">
        <w:rPr>
          <w:rFonts w:ascii="Verdana" w:hAnsi="Verdana"/>
          <w:i/>
          <w:color w:val="auto"/>
          <w:sz w:val="16"/>
          <w:szCs w:val="16"/>
        </w:rPr>
        <w:t>Case of</w:t>
      </w:r>
      <w:r w:rsidRPr="00954547">
        <w:rPr>
          <w:rFonts w:ascii="Verdana" w:hAnsi="Verdana"/>
          <w:i/>
          <w:color w:val="auto"/>
          <w:sz w:val="16"/>
          <w:szCs w:val="16"/>
        </w:rPr>
        <w:t xml:space="preserve"> Barreto Leiva </w:t>
      </w:r>
      <w:r w:rsidR="009C16A1" w:rsidRPr="00954547">
        <w:rPr>
          <w:rFonts w:ascii="Verdana" w:hAnsi="Verdana"/>
          <w:i/>
          <w:color w:val="auto"/>
          <w:sz w:val="16"/>
          <w:szCs w:val="16"/>
        </w:rPr>
        <w:t>v.</w:t>
      </w:r>
      <w:r w:rsidRPr="00954547">
        <w:rPr>
          <w:rFonts w:ascii="Verdana" w:hAnsi="Verdana"/>
          <w:i/>
          <w:color w:val="auto"/>
          <w:sz w:val="16"/>
          <w:szCs w:val="16"/>
        </w:rPr>
        <w:t xml:space="preserve"> Venezuela</w:t>
      </w:r>
      <w:r w:rsidRPr="00954547">
        <w:rPr>
          <w:rFonts w:ascii="Verdana" w:hAnsi="Verdana"/>
          <w:i/>
          <w:sz w:val="16"/>
          <w:szCs w:val="16"/>
        </w:rPr>
        <w:t>, supra</w:t>
      </w:r>
      <w:r w:rsidRPr="00954547">
        <w:rPr>
          <w:rFonts w:ascii="Verdana" w:hAnsi="Verdana"/>
          <w:i/>
          <w:color w:val="auto"/>
          <w:sz w:val="16"/>
          <w:szCs w:val="16"/>
        </w:rPr>
        <w:t xml:space="preserve">, </w:t>
      </w:r>
      <w:r w:rsidR="00B10E5A" w:rsidRPr="00954547">
        <w:rPr>
          <w:rFonts w:ascii="Verdana" w:hAnsi="Verdana"/>
          <w:color w:val="auto"/>
          <w:sz w:val="16"/>
          <w:szCs w:val="16"/>
        </w:rPr>
        <w:t>para.</w:t>
      </w:r>
      <w:r w:rsidRPr="00954547">
        <w:rPr>
          <w:rFonts w:ascii="Verdana" w:hAnsi="Verdana"/>
          <w:color w:val="auto"/>
          <w:sz w:val="16"/>
          <w:szCs w:val="16"/>
        </w:rPr>
        <w:t xml:space="preserve"> 61,</w:t>
      </w:r>
      <w:r w:rsidR="0078694F" w:rsidRPr="00954547">
        <w:rPr>
          <w:rFonts w:ascii="Verdana" w:hAnsi="Verdana"/>
          <w:color w:val="auto"/>
          <w:sz w:val="16"/>
          <w:szCs w:val="16"/>
        </w:rPr>
        <w:t xml:space="preserve"> and </w:t>
      </w:r>
      <w:r w:rsidR="002F4617" w:rsidRPr="00954547">
        <w:rPr>
          <w:rFonts w:ascii="Verdana" w:hAnsi="Verdana"/>
          <w:i/>
          <w:color w:val="auto"/>
          <w:sz w:val="16"/>
          <w:szCs w:val="16"/>
        </w:rPr>
        <w:t>Case of</w:t>
      </w:r>
      <w:r w:rsidRPr="00954547">
        <w:rPr>
          <w:rFonts w:ascii="Verdana" w:hAnsi="Verdana"/>
          <w:i/>
          <w:color w:val="auto"/>
          <w:sz w:val="16"/>
          <w:szCs w:val="16"/>
        </w:rPr>
        <w:t xml:space="preserve"> Grijalva Bueno </w:t>
      </w:r>
      <w:r w:rsidR="009C16A1" w:rsidRPr="00954547">
        <w:rPr>
          <w:rFonts w:ascii="Verdana" w:hAnsi="Verdana"/>
          <w:i/>
          <w:color w:val="auto"/>
          <w:sz w:val="16"/>
          <w:szCs w:val="16"/>
        </w:rPr>
        <w:t>v.</w:t>
      </w:r>
      <w:r w:rsidRPr="00954547">
        <w:rPr>
          <w:rFonts w:ascii="Verdana" w:hAnsi="Verdana"/>
          <w:i/>
          <w:color w:val="auto"/>
          <w:sz w:val="16"/>
          <w:szCs w:val="16"/>
        </w:rPr>
        <w:t xml:space="preserve"> Ecuador, supra</w:t>
      </w:r>
      <w:r w:rsidRPr="00954547">
        <w:rPr>
          <w:rFonts w:ascii="Verdana" w:hAnsi="Verdana"/>
          <w:color w:val="auto"/>
          <w:sz w:val="16"/>
          <w:szCs w:val="16"/>
        </w:rPr>
        <w:t xml:space="preserve">, </w:t>
      </w:r>
      <w:r w:rsidR="00B10E5A" w:rsidRPr="00954547">
        <w:rPr>
          <w:rFonts w:ascii="Verdana" w:hAnsi="Verdana"/>
          <w:color w:val="auto"/>
          <w:sz w:val="16"/>
          <w:szCs w:val="16"/>
        </w:rPr>
        <w:t>para.</w:t>
      </w:r>
      <w:r w:rsidRPr="00954547">
        <w:rPr>
          <w:rFonts w:ascii="Verdana" w:hAnsi="Verdana"/>
          <w:color w:val="auto"/>
          <w:sz w:val="16"/>
          <w:szCs w:val="16"/>
        </w:rPr>
        <w:t xml:space="preserve"> </w:t>
      </w:r>
      <w:r w:rsidRPr="00954547">
        <w:rPr>
          <w:rFonts w:ascii="Verdana" w:hAnsi="Verdana"/>
          <w:color w:val="auto"/>
          <w:sz w:val="16"/>
          <w:szCs w:val="16"/>
          <w:lang w:val="es-CR"/>
        </w:rPr>
        <w:t>100.</w:t>
      </w:r>
    </w:p>
  </w:footnote>
  <w:footnote w:id="218">
    <w:p w14:paraId="165C44AB" w14:textId="72909B8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lang w:val="es-CR"/>
        </w:rPr>
        <w:t xml:space="preserve"> </w:t>
      </w:r>
      <w:r w:rsidRPr="00954547">
        <w:rPr>
          <w:rFonts w:ascii="Verdana" w:hAnsi="Verdana"/>
          <w:color w:val="auto"/>
          <w:sz w:val="16"/>
          <w:szCs w:val="16"/>
          <w:lang w:val="es-CR"/>
        </w:rPr>
        <w:tab/>
      </w:r>
      <w:r w:rsidR="00B8393C" w:rsidRPr="00954547">
        <w:rPr>
          <w:rFonts w:ascii="Verdana" w:hAnsi="Verdana"/>
          <w:i/>
          <w:color w:val="auto"/>
          <w:sz w:val="16"/>
          <w:szCs w:val="16"/>
          <w:lang w:val="es-CR"/>
        </w:rPr>
        <w:t>Cf.</w:t>
      </w:r>
      <w:r w:rsidRPr="00954547">
        <w:rPr>
          <w:rFonts w:ascii="Verdana" w:hAnsi="Verdana"/>
          <w:i/>
          <w:color w:val="auto"/>
          <w:sz w:val="16"/>
          <w:szCs w:val="16"/>
          <w:lang w:val="es-CR"/>
        </w:rPr>
        <w:t xml:space="preserve"> </w:t>
      </w:r>
      <w:r w:rsidR="002F4617" w:rsidRPr="00954547">
        <w:rPr>
          <w:rFonts w:ascii="Verdana" w:hAnsi="Verdana" w:cs="Arial"/>
          <w:i/>
          <w:color w:val="auto"/>
          <w:sz w:val="16"/>
          <w:szCs w:val="16"/>
          <w:shd w:val="clear" w:color="auto" w:fill="FFFFFF"/>
          <w:lang w:val="es-CR"/>
        </w:rPr>
        <w:t>Case of</w:t>
      </w:r>
      <w:r w:rsidRPr="00954547">
        <w:rPr>
          <w:rFonts w:ascii="Verdana" w:hAnsi="Verdana" w:cs="Arial"/>
          <w:i/>
          <w:color w:val="auto"/>
          <w:sz w:val="16"/>
          <w:szCs w:val="16"/>
          <w:shd w:val="clear" w:color="auto" w:fill="FFFFFF"/>
          <w:lang w:val="es-CR"/>
        </w:rPr>
        <w:t xml:space="preserve"> Ruano Torres </w:t>
      </w:r>
      <w:r w:rsidR="00B8393C" w:rsidRPr="00954547">
        <w:rPr>
          <w:rFonts w:ascii="Verdana" w:hAnsi="Verdana" w:cs="Arial"/>
          <w:i/>
          <w:color w:val="auto"/>
          <w:sz w:val="16"/>
          <w:szCs w:val="16"/>
          <w:shd w:val="clear" w:color="auto" w:fill="FFFFFF"/>
          <w:lang w:val="es-CR"/>
        </w:rPr>
        <w:t>et al. v.</w:t>
      </w:r>
      <w:r w:rsidRPr="00954547">
        <w:rPr>
          <w:rFonts w:ascii="Verdana" w:hAnsi="Verdana" w:cs="Arial"/>
          <w:i/>
          <w:color w:val="auto"/>
          <w:sz w:val="16"/>
          <w:szCs w:val="16"/>
          <w:shd w:val="clear" w:color="auto" w:fill="FFFFFF"/>
          <w:lang w:val="es-CR"/>
        </w:rPr>
        <w:t xml:space="preserve"> El Salvador. </w:t>
      </w:r>
      <w:r w:rsidR="00A70DC4" w:rsidRPr="00954547">
        <w:rPr>
          <w:rFonts w:ascii="Verdana" w:hAnsi="Verdana" w:cs="Arial"/>
          <w:i/>
          <w:color w:val="auto"/>
          <w:sz w:val="16"/>
          <w:szCs w:val="16"/>
          <w:shd w:val="clear" w:color="auto" w:fill="FFFFFF"/>
        </w:rPr>
        <w:t>Merits, reparations and costs</w:t>
      </w:r>
      <w:r w:rsidRPr="00954547">
        <w:rPr>
          <w:rFonts w:ascii="Verdana" w:hAnsi="Verdana" w:cs="Arial"/>
          <w:i/>
          <w:color w:val="auto"/>
          <w:sz w:val="16"/>
          <w:szCs w:val="16"/>
          <w:shd w:val="clear" w:color="auto" w:fill="FFFFFF"/>
        </w:rPr>
        <w:t>.</w:t>
      </w:r>
      <w:r w:rsidRPr="00954547">
        <w:rPr>
          <w:rFonts w:ascii="Verdana" w:hAnsi="Verdana" w:cs="Arial"/>
          <w:color w:val="auto"/>
          <w:sz w:val="16"/>
          <w:szCs w:val="16"/>
          <w:shd w:val="clear" w:color="auto" w:fill="FFFFFF"/>
        </w:rPr>
        <w:t xml:space="preserve"> </w:t>
      </w:r>
      <w:r w:rsidR="00B8393C" w:rsidRPr="00954547">
        <w:rPr>
          <w:rFonts w:ascii="Verdana" w:hAnsi="Verdana" w:cs="Arial"/>
          <w:color w:val="auto"/>
          <w:sz w:val="16"/>
          <w:szCs w:val="16"/>
          <w:shd w:val="clear" w:color="auto" w:fill="FFFFFF"/>
        </w:rPr>
        <w:t>Judgment of</w:t>
      </w:r>
      <w:r w:rsidRPr="00954547">
        <w:rPr>
          <w:rFonts w:ascii="Verdana" w:hAnsi="Verdana" w:cs="Arial"/>
          <w:color w:val="auto"/>
          <w:sz w:val="16"/>
          <w:szCs w:val="16"/>
          <w:shd w:val="clear" w:color="auto" w:fill="FFFFFF"/>
        </w:rPr>
        <w:t xml:space="preserve"> </w:t>
      </w:r>
      <w:r w:rsidR="005D1BEE" w:rsidRPr="00954547">
        <w:rPr>
          <w:rFonts w:ascii="Verdana" w:hAnsi="Verdana" w:cs="Arial"/>
          <w:color w:val="auto"/>
          <w:sz w:val="16"/>
          <w:szCs w:val="16"/>
          <w:shd w:val="clear" w:color="auto" w:fill="FFFFFF"/>
        </w:rPr>
        <w:t xml:space="preserve">October 5, </w:t>
      </w:r>
      <w:r w:rsidRPr="00954547">
        <w:rPr>
          <w:rFonts w:ascii="Verdana" w:hAnsi="Verdana" w:cs="Arial"/>
          <w:color w:val="auto"/>
          <w:sz w:val="16"/>
          <w:szCs w:val="16"/>
          <w:shd w:val="clear" w:color="auto" w:fill="FFFFFF"/>
        </w:rPr>
        <w:t xml:space="preserve">2015. </w:t>
      </w:r>
      <w:r w:rsidR="00B8393C" w:rsidRPr="00954547">
        <w:rPr>
          <w:rFonts w:ascii="Verdana" w:hAnsi="Verdana" w:cs="Arial"/>
          <w:color w:val="auto"/>
          <w:sz w:val="16"/>
          <w:szCs w:val="16"/>
          <w:shd w:val="clear" w:color="auto" w:fill="FFFFFF"/>
        </w:rPr>
        <w:t xml:space="preserve">Series </w:t>
      </w:r>
      <w:r w:rsidRPr="00954547">
        <w:rPr>
          <w:rFonts w:ascii="Verdana" w:hAnsi="Verdana" w:cs="Arial"/>
          <w:color w:val="auto"/>
          <w:sz w:val="16"/>
          <w:szCs w:val="16"/>
          <w:shd w:val="clear" w:color="auto" w:fill="FFFFFF"/>
        </w:rPr>
        <w:t xml:space="preserve">C No. 303, </w:t>
      </w:r>
      <w:r w:rsidR="00B10E5A" w:rsidRPr="00954547">
        <w:rPr>
          <w:rFonts w:ascii="Verdana" w:hAnsi="Verdana" w:cs="Arial"/>
          <w:color w:val="auto"/>
          <w:sz w:val="16"/>
          <w:szCs w:val="16"/>
          <w:shd w:val="clear" w:color="auto" w:fill="FFFFFF"/>
        </w:rPr>
        <w:t>para.</w:t>
      </w:r>
      <w:r w:rsidRPr="00954547">
        <w:rPr>
          <w:rFonts w:ascii="Verdana" w:hAnsi="Verdana" w:cs="Arial"/>
          <w:color w:val="auto"/>
          <w:sz w:val="16"/>
          <w:szCs w:val="16"/>
          <w:shd w:val="clear" w:color="auto" w:fill="FFFFFF"/>
        </w:rPr>
        <w:t xml:space="preserve"> 153.</w:t>
      </w:r>
    </w:p>
  </w:footnote>
  <w:footnote w:id="219">
    <w:p w14:paraId="1A5CFF50" w14:textId="5FC00EF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Tibi </w:t>
      </w:r>
      <w:r w:rsidR="009C16A1" w:rsidRPr="00954547">
        <w:rPr>
          <w:rFonts w:ascii="Verdana" w:hAnsi="Verdana"/>
          <w:i/>
          <w:sz w:val="16"/>
          <w:szCs w:val="16"/>
        </w:rPr>
        <w:t>v.</w:t>
      </w:r>
      <w:r w:rsidRPr="00954547">
        <w:rPr>
          <w:rFonts w:ascii="Verdana" w:hAnsi="Verdana"/>
          <w:i/>
          <w:sz w:val="16"/>
          <w:szCs w:val="16"/>
        </w:rPr>
        <w:t xml:space="preserve"> Ecuador.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5D1BEE" w:rsidRPr="00954547">
        <w:rPr>
          <w:rFonts w:ascii="Verdana" w:hAnsi="Verdana"/>
          <w:sz w:val="16"/>
          <w:szCs w:val="16"/>
        </w:rPr>
        <w:t>September 7,</w:t>
      </w:r>
      <w:r w:rsidRPr="00954547">
        <w:rPr>
          <w:rFonts w:ascii="Verdana" w:hAnsi="Verdana"/>
          <w:sz w:val="16"/>
          <w:szCs w:val="16"/>
        </w:rPr>
        <w:t xml:space="preserve"> 2004. </w:t>
      </w:r>
      <w:r w:rsidR="00B8393C" w:rsidRPr="00954547">
        <w:rPr>
          <w:rFonts w:ascii="Verdana" w:hAnsi="Verdana"/>
          <w:sz w:val="16"/>
          <w:szCs w:val="16"/>
        </w:rPr>
        <w:t xml:space="preserve">Series </w:t>
      </w:r>
      <w:r w:rsidRPr="00954547">
        <w:rPr>
          <w:rFonts w:ascii="Verdana" w:hAnsi="Verdana"/>
          <w:sz w:val="16"/>
          <w:szCs w:val="16"/>
        </w:rPr>
        <w:t xml:space="preserve">C No. 114, </w:t>
      </w:r>
      <w:r w:rsidR="0052231D" w:rsidRPr="00954547">
        <w:rPr>
          <w:rFonts w:ascii="Verdana" w:hAnsi="Verdana"/>
          <w:sz w:val="16"/>
          <w:szCs w:val="16"/>
        </w:rPr>
        <w:t>paras.</w:t>
      </w:r>
      <w:r w:rsidRPr="00954547">
        <w:rPr>
          <w:rFonts w:ascii="Verdana" w:hAnsi="Verdana"/>
          <w:i/>
          <w:sz w:val="16"/>
          <w:szCs w:val="16"/>
        </w:rPr>
        <w:t xml:space="preserve"> </w:t>
      </w:r>
      <w:r w:rsidRPr="00954547">
        <w:rPr>
          <w:rFonts w:ascii="Verdana" w:hAnsi="Verdana"/>
          <w:sz w:val="16"/>
          <w:szCs w:val="16"/>
        </w:rPr>
        <w:t>193, 194</w:t>
      </w:r>
      <w:r w:rsidR="0078694F" w:rsidRPr="00954547">
        <w:rPr>
          <w:rFonts w:ascii="Verdana" w:hAnsi="Verdana"/>
          <w:sz w:val="16"/>
          <w:szCs w:val="16"/>
        </w:rPr>
        <w:t xml:space="preserve"> and </w:t>
      </w:r>
      <w:r w:rsidRPr="00954547">
        <w:rPr>
          <w:rFonts w:ascii="Verdana" w:hAnsi="Verdana"/>
          <w:sz w:val="16"/>
          <w:szCs w:val="16"/>
        </w:rPr>
        <w:t>196,</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Montesinos Mejía </w:t>
      </w:r>
      <w:r w:rsidR="009C16A1" w:rsidRPr="00954547">
        <w:rPr>
          <w:rFonts w:ascii="Verdana" w:hAnsi="Verdana"/>
          <w:i/>
          <w:sz w:val="16"/>
          <w:szCs w:val="16"/>
        </w:rPr>
        <w:t>v.</w:t>
      </w:r>
      <w:r w:rsidRPr="00954547">
        <w:rPr>
          <w:rFonts w:ascii="Verdana" w:hAnsi="Verdana"/>
          <w:i/>
          <w:sz w:val="16"/>
          <w:szCs w:val="16"/>
        </w:rPr>
        <w:t xml:space="preserve"> Ecuador.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5D1BEE" w:rsidRPr="00954547">
        <w:rPr>
          <w:rFonts w:ascii="Verdana" w:hAnsi="Verdana"/>
          <w:sz w:val="16"/>
          <w:szCs w:val="16"/>
        </w:rPr>
        <w:t>January 27,</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 xml:space="preserve">C No. 398, </w:t>
      </w:r>
      <w:r w:rsidR="00B10E5A" w:rsidRPr="00954547">
        <w:rPr>
          <w:rFonts w:ascii="Verdana" w:hAnsi="Verdana"/>
          <w:sz w:val="16"/>
          <w:szCs w:val="16"/>
        </w:rPr>
        <w:t>para.</w:t>
      </w:r>
      <w:r w:rsidRPr="00954547">
        <w:rPr>
          <w:rFonts w:ascii="Verdana" w:hAnsi="Verdana"/>
          <w:sz w:val="16"/>
          <w:szCs w:val="16"/>
        </w:rPr>
        <w:t xml:space="preserve"> 191.</w:t>
      </w:r>
    </w:p>
  </w:footnote>
  <w:footnote w:id="220">
    <w:p w14:paraId="7CBB4DB1" w14:textId="7BCC8089" w:rsidR="005F001B" w:rsidRPr="00954547" w:rsidRDefault="005F001B" w:rsidP="00015FB0">
      <w:pPr>
        <w:tabs>
          <w:tab w:val="left" w:pos="567"/>
        </w:tabs>
        <w:spacing w:after="120"/>
        <w:jc w:val="both"/>
        <w:rPr>
          <w:rFonts w:ascii="Verdana" w:eastAsia="Times New Roman" w:hAnsi="Verdana"/>
          <w:sz w:val="16"/>
          <w:szCs w:val="16"/>
          <w:lang w:val="es-CR"/>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hyperlink r:id="rId16" w:history="1">
        <w:r w:rsidR="005D1BEE" w:rsidRPr="00954547">
          <w:rPr>
            <w:rFonts w:ascii="Verdana" w:eastAsia="Times New Roman" w:hAnsi="Verdana"/>
            <w:i/>
            <w:sz w:val="16"/>
            <w:szCs w:val="16"/>
          </w:rPr>
          <w:t>Exceptions to the Exhaustion of Domestic Remedies (Arts. 46.1, 46.2.a and 46.2.b, American Convention on Human Rights</w:t>
        </w:r>
      </w:hyperlink>
      <w:r w:rsidR="005D1BEE" w:rsidRPr="00954547">
        <w:rPr>
          <w:rFonts w:ascii="Verdana" w:eastAsia="Times New Roman" w:hAnsi="Verdana"/>
          <w:i/>
          <w:sz w:val="16"/>
          <w:szCs w:val="16"/>
        </w:rPr>
        <w:t xml:space="preserve">, </w:t>
      </w:r>
      <w:r w:rsidR="005D1BEE" w:rsidRPr="00954547">
        <w:rPr>
          <w:rFonts w:ascii="Verdana" w:eastAsia="Times New Roman" w:hAnsi="Verdana"/>
          <w:sz w:val="16"/>
          <w:szCs w:val="16"/>
        </w:rPr>
        <w:t xml:space="preserve">Advisory Opinion OC-11/90, August 10, 1990. </w:t>
      </w:r>
      <w:r w:rsidR="005D1BEE" w:rsidRPr="00954547">
        <w:rPr>
          <w:rFonts w:ascii="Verdana" w:eastAsia="Times New Roman" w:hAnsi="Verdana"/>
          <w:sz w:val="16"/>
          <w:szCs w:val="16"/>
          <w:lang w:val="es-CR"/>
        </w:rPr>
        <w:t>Series A No. 11</w:t>
      </w:r>
      <w:r w:rsidRPr="00954547">
        <w:rPr>
          <w:rFonts w:ascii="Verdana" w:hAnsi="Verdana"/>
          <w:sz w:val="16"/>
          <w:szCs w:val="16"/>
          <w:lang w:val="es-CR"/>
        </w:rPr>
        <w:t>,</w:t>
      </w:r>
      <w:r w:rsidRPr="00954547">
        <w:rPr>
          <w:rFonts w:ascii="Verdana" w:hAnsi="Verdana"/>
          <w:i/>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25,</w:t>
      </w:r>
      <w:r w:rsidR="0078694F" w:rsidRPr="00954547">
        <w:rPr>
          <w:rFonts w:ascii="Verdana" w:hAnsi="Verdana"/>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Ruano Torres </w:t>
      </w:r>
      <w:r w:rsidR="00B8393C" w:rsidRPr="00954547">
        <w:rPr>
          <w:rFonts w:ascii="Verdana" w:hAnsi="Verdana"/>
          <w:i/>
          <w:sz w:val="16"/>
          <w:szCs w:val="16"/>
          <w:lang w:val="es-CR"/>
        </w:rPr>
        <w:t>et al. v.</w:t>
      </w:r>
      <w:r w:rsidRPr="00954547">
        <w:rPr>
          <w:rFonts w:ascii="Verdana" w:hAnsi="Verdana"/>
          <w:i/>
          <w:sz w:val="16"/>
          <w:szCs w:val="16"/>
          <w:lang w:val="es-CR"/>
        </w:rPr>
        <w:t xml:space="preserve"> El Salvador,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155.</w:t>
      </w:r>
    </w:p>
  </w:footnote>
  <w:footnote w:id="221">
    <w:p w14:paraId="38A070E5" w14:textId="57E0D18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Cabrera García</w:t>
      </w:r>
      <w:r w:rsidR="0078694F" w:rsidRPr="00954547">
        <w:rPr>
          <w:rFonts w:ascii="Verdana" w:hAnsi="Verdana"/>
          <w:i/>
          <w:sz w:val="16"/>
          <w:szCs w:val="16"/>
          <w:lang w:val="es-CR"/>
        </w:rPr>
        <w:t xml:space="preserve"> and </w:t>
      </w:r>
      <w:r w:rsidRPr="00954547">
        <w:rPr>
          <w:rFonts w:ascii="Verdana" w:hAnsi="Verdana"/>
          <w:i/>
          <w:sz w:val="16"/>
          <w:szCs w:val="16"/>
          <w:lang w:val="es-CR"/>
        </w:rPr>
        <w:t xml:space="preserve">Montiel Flores </w:t>
      </w:r>
      <w:r w:rsidR="009C16A1" w:rsidRPr="00954547">
        <w:rPr>
          <w:rFonts w:ascii="Verdana" w:hAnsi="Verdana"/>
          <w:i/>
          <w:sz w:val="16"/>
          <w:szCs w:val="16"/>
          <w:lang w:val="es-CR"/>
        </w:rPr>
        <w:t>v.</w:t>
      </w:r>
      <w:r w:rsidRPr="00954547">
        <w:rPr>
          <w:rFonts w:ascii="Verdana" w:hAnsi="Verdana"/>
          <w:i/>
          <w:sz w:val="16"/>
          <w:szCs w:val="16"/>
          <w:lang w:val="es-CR"/>
        </w:rPr>
        <w:t xml:space="preserve"> </w:t>
      </w:r>
      <w:r w:rsidR="000A2350" w:rsidRPr="00954547">
        <w:rPr>
          <w:rFonts w:ascii="Verdana" w:hAnsi="Verdana"/>
          <w:i/>
          <w:sz w:val="16"/>
          <w:szCs w:val="16"/>
          <w:lang w:val="es-CR"/>
        </w:rPr>
        <w:t>Mexico</w:t>
      </w:r>
      <w:r w:rsidRPr="00954547">
        <w:rPr>
          <w:rFonts w:ascii="Verdana" w:hAnsi="Verdana"/>
          <w:i/>
          <w:sz w:val="16"/>
          <w:szCs w:val="16"/>
          <w:lang w:val="es-CR"/>
        </w:rPr>
        <w:t xml:space="preserve">.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C222A4" w:rsidRPr="00954547">
        <w:rPr>
          <w:rFonts w:ascii="Verdana" w:hAnsi="Verdana"/>
          <w:sz w:val="16"/>
          <w:szCs w:val="16"/>
        </w:rPr>
        <w:t>November 26,</w:t>
      </w:r>
      <w:r w:rsidRPr="00954547">
        <w:rPr>
          <w:rFonts w:ascii="Verdana" w:hAnsi="Verdana"/>
          <w:sz w:val="16"/>
          <w:szCs w:val="16"/>
        </w:rPr>
        <w:t xml:space="preserve"> 2010. </w:t>
      </w:r>
      <w:r w:rsidR="00B8393C" w:rsidRPr="00954547">
        <w:rPr>
          <w:rFonts w:ascii="Verdana" w:hAnsi="Verdana"/>
          <w:sz w:val="16"/>
          <w:szCs w:val="16"/>
        </w:rPr>
        <w:t xml:space="preserve">Series </w:t>
      </w:r>
      <w:r w:rsidRPr="00954547">
        <w:rPr>
          <w:rFonts w:ascii="Verdana" w:hAnsi="Verdana"/>
          <w:sz w:val="16"/>
          <w:szCs w:val="16"/>
        </w:rPr>
        <w:t>C No. 220,</w:t>
      </w:r>
      <w:r w:rsidRPr="00954547">
        <w:rPr>
          <w:rFonts w:ascii="Verdana" w:hAnsi="Verdana"/>
          <w:i/>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155,</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Girón</w:t>
      </w:r>
      <w:r w:rsidR="0078694F" w:rsidRPr="00954547">
        <w:rPr>
          <w:rFonts w:ascii="Verdana" w:hAnsi="Verdana"/>
          <w:i/>
          <w:sz w:val="16"/>
          <w:szCs w:val="16"/>
        </w:rPr>
        <w:t xml:space="preserve"> </w:t>
      </w:r>
      <w:r w:rsidR="00C222A4"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Guatemala.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C222A4" w:rsidRPr="00954547">
        <w:rPr>
          <w:rFonts w:ascii="Verdana" w:hAnsi="Verdana"/>
          <w:sz w:val="16"/>
          <w:szCs w:val="16"/>
        </w:rPr>
        <w:t>October 15,</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390, </w:t>
      </w:r>
      <w:r w:rsidR="00B10E5A" w:rsidRPr="00954547">
        <w:rPr>
          <w:rFonts w:ascii="Verdana" w:hAnsi="Verdana"/>
          <w:sz w:val="16"/>
          <w:szCs w:val="16"/>
        </w:rPr>
        <w:t>para.</w:t>
      </w:r>
      <w:r w:rsidRPr="00954547">
        <w:rPr>
          <w:rFonts w:ascii="Verdana" w:hAnsi="Verdana"/>
          <w:sz w:val="16"/>
          <w:szCs w:val="16"/>
        </w:rPr>
        <w:t xml:space="preserve"> 101.</w:t>
      </w:r>
    </w:p>
  </w:footnote>
  <w:footnote w:id="222">
    <w:p w14:paraId="7E17C2C0" w14:textId="1F97FB98"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Chaparro Álvarez</w:t>
      </w:r>
      <w:r w:rsidR="0078694F" w:rsidRPr="00954547">
        <w:rPr>
          <w:rFonts w:ascii="Verdana" w:hAnsi="Verdana"/>
          <w:i/>
          <w:iCs/>
          <w:sz w:val="16"/>
          <w:szCs w:val="16"/>
        </w:rPr>
        <w:t xml:space="preserve"> and </w:t>
      </w:r>
      <w:r w:rsidRPr="00954547">
        <w:rPr>
          <w:rFonts w:ascii="Verdana" w:hAnsi="Verdana"/>
          <w:i/>
          <w:iCs/>
          <w:sz w:val="16"/>
          <w:szCs w:val="16"/>
        </w:rPr>
        <w:t xml:space="preserve">Lapo Íñiguez </w:t>
      </w:r>
      <w:r w:rsidR="009C16A1" w:rsidRPr="00954547">
        <w:rPr>
          <w:rFonts w:ascii="Verdana" w:hAnsi="Verdana"/>
          <w:i/>
          <w:iCs/>
          <w:sz w:val="16"/>
          <w:szCs w:val="16"/>
        </w:rPr>
        <w:t>v.</w:t>
      </w:r>
      <w:r w:rsidRPr="00954547">
        <w:rPr>
          <w:rFonts w:ascii="Verdana" w:hAnsi="Verdana"/>
          <w:i/>
          <w:iCs/>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159,</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Girón</w:t>
      </w:r>
      <w:r w:rsidR="0078694F" w:rsidRPr="00954547">
        <w:rPr>
          <w:rFonts w:ascii="Verdana" w:hAnsi="Verdana"/>
          <w:i/>
          <w:sz w:val="16"/>
          <w:szCs w:val="16"/>
        </w:rPr>
        <w:t xml:space="preserve"> </w:t>
      </w:r>
      <w:r w:rsidR="00C222A4"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Guatemala,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101.</w:t>
      </w:r>
    </w:p>
  </w:footnote>
  <w:footnote w:id="223">
    <w:p w14:paraId="70973D7A" w14:textId="1D94712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12 </w:t>
      </w:r>
      <w:r w:rsidR="00C222A4" w:rsidRPr="00954547">
        <w:rPr>
          <w:rFonts w:ascii="Verdana" w:hAnsi="Verdana"/>
          <w:sz w:val="16"/>
          <w:szCs w:val="16"/>
        </w:rPr>
        <w:t>of the Constitution</w:t>
      </w:r>
      <w:r w:rsidR="00607E12" w:rsidRPr="00954547">
        <w:rPr>
          <w:rFonts w:ascii="Verdana" w:hAnsi="Verdana"/>
          <w:sz w:val="16"/>
          <w:szCs w:val="16"/>
        </w:rPr>
        <w:t xml:space="preserve"> of the </w:t>
      </w:r>
      <w:r w:rsidR="00B8393C" w:rsidRPr="00954547">
        <w:rPr>
          <w:rFonts w:ascii="Verdana" w:hAnsi="Verdana"/>
          <w:sz w:val="16"/>
          <w:szCs w:val="16"/>
        </w:rPr>
        <w:t>Republic of</w:t>
      </w:r>
      <w:r w:rsidRPr="00954547">
        <w:rPr>
          <w:rFonts w:ascii="Verdana" w:hAnsi="Verdana"/>
          <w:sz w:val="16"/>
          <w:szCs w:val="16"/>
        </w:rPr>
        <w:t xml:space="preserve"> El Salvador.</w:t>
      </w:r>
    </w:p>
  </w:footnote>
  <w:footnote w:id="224">
    <w:p w14:paraId="751E69BA" w14:textId="6A11308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2F4617" w:rsidRPr="00954547">
        <w:rPr>
          <w:rFonts w:ascii="Verdana" w:hAnsi="Verdana"/>
          <w:i/>
          <w:sz w:val="16"/>
          <w:szCs w:val="16"/>
          <w:lang w:val="es-CR"/>
        </w:rPr>
        <w:t>Case of</w:t>
      </w:r>
      <w:r w:rsidRPr="00954547">
        <w:rPr>
          <w:rFonts w:ascii="Verdana" w:hAnsi="Verdana"/>
          <w:i/>
          <w:sz w:val="16"/>
          <w:szCs w:val="16"/>
          <w:lang w:val="es-CR"/>
        </w:rPr>
        <w:t xml:space="preserve"> Ruano Torres </w:t>
      </w:r>
      <w:r w:rsidR="00B8393C" w:rsidRPr="00954547">
        <w:rPr>
          <w:rFonts w:ascii="Verdana" w:hAnsi="Verdana"/>
          <w:i/>
          <w:sz w:val="16"/>
          <w:szCs w:val="16"/>
          <w:lang w:val="es-CR"/>
        </w:rPr>
        <w:t>et al. v.</w:t>
      </w:r>
      <w:r w:rsidRPr="00954547">
        <w:rPr>
          <w:rFonts w:ascii="Verdana" w:hAnsi="Verdana"/>
          <w:i/>
          <w:sz w:val="16"/>
          <w:szCs w:val="16"/>
          <w:lang w:val="es-CR"/>
        </w:rPr>
        <w:t xml:space="preserve"> El Salvador,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Fonts w:ascii="Verdana" w:hAnsi="Verdana"/>
          <w:sz w:val="16"/>
          <w:szCs w:val="16"/>
        </w:rPr>
        <w:t xml:space="preserve">160. </w:t>
      </w:r>
      <w:r w:rsidR="00A17F8C" w:rsidRPr="00954547">
        <w:rPr>
          <w:rFonts w:ascii="Verdana" w:hAnsi="Verdana"/>
          <w:sz w:val="16"/>
          <w:szCs w:val="16"/>
        </w:rPr>
        <w:t>Article</w:t>
      </w:r>
      <w:r w:rsidRPr="00954547">
        <w:rPr>
          <w:rFonts w:ascii="Verdana" w:hAnsi="Verdana"/>
          <w:sz w:val="16"/>
          <w:szCs w:val="16"/>
        </w:rPr>
        <w:t xml:space="preserve"> 33 </w:t>
      </w:r>
      <w:r w:rsidR="00C222A4" w:rsidRPr="00954547">
        <w:rPr>
          <w:rFonts w:ascii="Verdana" w:hAnsi="Verdana"/>
          <w:sz w:val="16"/>
          <w:szCs w:val="16"/>
        </w:rPr>
        <w:t xml:space="preserve">of the Organic Law of the Office of the Attorney General </w:t>
      </w:r>
      <w:r w:rsidR="00607E12" w:rsidRPr="00954547">
        <w:rPr>
          <w:rFonts w:ascii="Verdana" w:hAnsi="Verdana"/>
          <w:sz w:val="16"/>
          <w:szCs w:val="16"/>
        </w:rPr>
        <w:t xml:space="preserve">of the </w:t>
      </w:r>
      <w:r w:rsidR="00B8393C" w:rsidRPr="00954547">
        <w:rPr>
          <w:rFonts w:ascii="Verdana" w:hAnsi="Verdana"/>
          <w:sz w:val="16"/>
          <w:szCs w:val="16"/>
        </w:rPr>
        <w:t>Republic of</w:t>
      </w:r>
      <w:r w:rsidRPr="00954547">
        <w:rPr>
          <w:rFonts w:ascii="Verdana" w:hAnsi="Verdana"/>
          <w:sz w:val="16"/>
          <w:szCs w:val="16"/>
        </w:rPr>
        <w:t xml:space="preserve"> El Salvador </w:t>
      </w:r>
      <w:r w:rsidR="00C222A4" w:rsidRPr="00954547">
        <w:rPr>
          <w:rFonts w:ascii="Verdana" w:hAnsi="Verdana"/>
          <w:sz w:val="16"/>
          <w:szCs w:val="16"/>
        </w:rPr>
        <w:t>stipulates that</w:t>
      </w:r>
      <w:r w:rsidRPr="00954547">
        <w:rPr>
          <w:rFonts w:ascii="Verdana" w:hAnsi="Verdana"/>
          <w:sz w:val="16"/>
          <w:szCs w:val="16"/>
        </w:rPr>
        <w:t>: “[</w:t>
      </w:r>
      <w:r w:rsidR="00C222A4" w:rsidRPr="00954547">
        <w:rPr>
          <w:rFonts w:ascii="Verdana" w:hAnsi="Verdana"/>
          <w:sz w:val="16"/>
          <w:szCs w:val="16"/>
        </w:rPr>
        <w:t>t</w:t>
      </w:r>
      <w:r w:rsidRPr="00954547">
        <w:rPr>
          <w:rFonts w:ascii="Verdana" w:hAnsi="Verdana"/>
          <w:sz w:val="16"/>
          <w:szCs w:val="16"/>
        </w:rPr>
        <w:t>]</w:t>
      </w:r>
      <w:r w:rsidR="00C222A4" w:rsidRPr="00954547">
        <w:rPr>
          <w:rFonts w:ascii="Verdana" w:hAnsi="Verdana"/>
          <w:sz w:val="16"/>
          <w:szCs w:val="16"/>
        </w:rPr>
        <w:t>he function of the</w:t>
      </w:r>
      <w:r w:rsidRPr="00954547">
        <w:rPr>
          <w:rFonts w:ascii="Verdana" w:hAnsi="Verdana"/>
          <w:sz w:val="16"/>
          <w:szCs w:val="16"/>
        </w:rPr>
        <w:t xml:space="preserve"> </w:t>
      </w:r>
      <w:r w:rsidR="00AC6D29" w:rsidRPr="00954547">
        <w:rPr>
          <w:rFonts w:ascii="Verdana" w:hAnsi="Verdana"/>
          <w:sz w:val="16"/>
          <w:szCs w:val="16"/>
        </w:rPr>
        <w:t>Public Defenders’ Unit</w:t>
      </w:r>
      <w:r w:rsidR="00C222A4" w:rsidRPr="00954547">
        <w:rPr>
          <w:rFonts w:ascii="Verdana" w:hAnsi="Verdana"/>
          <w:sz w:val="16"/>
          <w:szCs w:val="16"/>
        </w:rPr>
        <w:t xml:space="preserve"> is to exercise the professional defense of the individual liberty of adults and children who are accused of committing a criminal offense.</w:t>
      </w:r>
      <w:r w:rsidRPr="00954547">
        <w:rPr>
          <w:rFonts w:ascii="Verdana" w:hAnsi="Verdana"/>
          <w:sz w:val="16"/>
          <w:szCs w:val="16"/>
        </w:rPr>
        <w:t xml:space="preserve">” </w:t>
      </w:r>
      <w:r w:rsidR="00C222A4" w:rsidRPr="00954547">
        <w:rPr>
          <w:rFonts w:ascii="Verdana" w:hAnsi="Verdana"/>
          <w:sz w:val="16"/>
          <w:szCs w:val="16"/>
        </w:rPr>
        <w:t xml:space="preserve">Organic Law of the Office of the Attorney General </w:t>
      </w:r>
      <w:r w:rsidR="00607E12" w:rsidRPr="00954547">
        <w:rPr>
          <w:rFonts w:ascii="Verdana" w:hAnsi="Verdana"/>
          <w:sz w:val="16"/>
          <w:szCs w:val="16"/>
        </w:rPr>
        <w:t xml:space="preserve">of the </w:t>
      </w:r>
      <w:r w:rsidR="00B8393C" w:rsidRPr="00954547">
        <w:rPr>
          <w:rFonts w:ascii="Verdana" w:hAnsi="Verdana"/>
          <w:sz w:val="16"/>
          <w:szCs w:val="16"/>
        </w:rPr>
        <w:t>Republic of</w:t>
      </w:r>
      <w:r w:rsidRPr="00954547">
        <w:rPr>
          <w:rFonts w:ascii="Verdana" w:hAnsi="Verdana"/>
          <w:sz w:val="16"/>
          <w:szCs w:val="16"/>
        </w:rPr>
        <w:t xml:space="preserve"> El Salvador, </w:t>
      </w:r>
      <w:r w:rsidR="00C86FE5" w:rsidRPr="00954547">
        <w:rPr>
          <w:rFonts w:ascii="Verdana" w:hAnsi="Verdana"/>
          <w:sz w:val="16"/>
          <w:szCs w:val="16"/>
        </w:rPr>
        <w:t>Legislative Decree</w:t>
      </w:r>
      <w:r w:rsidRPr="00954547">
        <w:rPr>
          <w:rFonts w:ascii="Verdana" w:hAnsi="Verdana"/>
          <w:sz w:val="16"/>
          <w:szCs w:val="16"/>
        </w:rPr>
        <w:t xml:space="preserve"> No. 775 </w:t>
      </w:r>
      <w:r w:rsidR="00C222A4" w:rsidRPr="00954547">
        <w:rPr>
          <w:rFonts w:ascii="Verdana" w:hAnsi="Verdana"/>
          <w:sz w:val="16"/>
          <w:szCs w:val="16"/>
        </w:rPr>
        <w:t>of December 3,</w:t>
      </w:r>
      <w:r w:rsidRPr="00954547">
        <w:rPr>
          <w:rFonts w:ascii="Verdana" w:hAnsi="Verdana"/>
          <w:sz w:val="16"/>
          <w:szCs w:val="16"/>
        </w:rPr>
        <w:t xml:space="preserve"> 2008, </w:t>
      </w:r>
      <w:r w:rsidR="00C222A4" w:rsidRPr="00954547">
        <w:rPr>
          <w:rFonts w:ascii="Verdana" w:hAnsi="Verdana"/>
          <w:sz w:val="16"/>
          <w:szCs w:val="16"/>
        </w:rPr>
        <w:t>a</w:t>
      </w:r>
      <w:r w:rsidR="00A17F8C" w:rsidRPr="00954547">
        <w:rPr>
          <w:rFonts w:ascii="Verdana" w:hAnsi="Verdana"/>
          <w:sz w:val="16"/>
          <w:szCs w:val="16"/>
        </w:rPr>
        <w:t>rticle</w:t>
      </w:r>
      <w:r w:rsidRPr="00954547">
        <w:rPr>
          <w:rFonts w:ascii="Verdana" w:hAnsi="Verdana"/>
          <w:sz w:val="16"/>
          <w:szCs w:val="16"/>
        </w:rPr>
        <w:t xml:space="preserve"> 33.</w:t>
      </w:r>
    </w:p>
  </w:footnote>
  <w:footnote w:id="225">
    <w:p w14:paraId="2ACB00E1" w14:textId="1B203A7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2F4617" w:rsidRPr="00954547">
        <w:rPr>
          <w:rFonts w:ascii="Verdana" w:hAnsi="Verdana"/>
          <w:i/>
          <w:sz w:val="16"/>
          <w:szCs w:val="16"/>
          <w:lang w:val="es-CR"/>
        </w:rPr>
        <w:t>Case of</w:t>
      </w:r>
      <w:r w:rsidRPr="00954547">
        <w:rPr>
          <w:rFonts w:ascii="Verdana" w:hAnsi="Verdana"/>
          <w:i/>
          <w:sz w:val="16"/>
          <w:szCs w:val="16"/>
          <w:lang w:val="es-CR"/>
        </w:rPr>
        <w:t xml:space="preserve"> Ruano Torres </w:t>
      </w:r>
      <w:r w:rsidR="00B8393C" w:rsidRPr="00954547">
        <w:rPr>
          <w:rFonts w:ascii="Verdana" w:hAnsi="Verdana"/>
          <w:i/>
          <w:sz w:val="16"/>
          <w:szCs w:val="16"/>
          <w:lang w:val="es-CR"/>
        </w:rPr>
        <w:t>et al. v.</w:t>
      </w:r>
      <w:r w:rsidRPr="00954547">
        <w:rPr>
          <w:rFonts w:ascii="Verdana" w:hAnsi="Verdana"/>
          <w:i/>
          <w:sz w:val="16"/>
          <w:szCs w:val="16"/>
          <w:lang w:val="es-CR"/>
        </w:rPr>
        <w:t xml:space="preserve"> El Salvador,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Fonts w:ascii="Verdana" w:hAnsi="Verdana"/>
          <w:sz w:val="16"/>
          <w:szCs w:val="16"/>
        </w:rPr>
        <w:t xml:space="preserve">160. </w:t>
      </w:r>
      <w:r w:rsidR="002A45FD" w:rsidRPr="00954547">
        <w:rPr>
          <w:rFonts w:ascii="Verdana" w:hAnsi="Verdana"/>
          <w:i/>
          <w:sz w:val="16"/>
          <w:szCs w:val="16"/>
        </w:rPr>
        <w:t>See also,</w:t>
      </w:r>
      <w:r w:rsidRPr="00954547">
        <w:rPr>
          <w:rFonts w:ascii="Verdana" w:hAnsi="Verdana"/>
          <w:i/>
          <w:sz w:val="16"/>
          <w:szCs w:val="16"/>
        </w:rPr>
        <w:t xml:space="preserve"> </w:t>
      </w:r>
      <w:r w:rsidR="00C80980" w:rsidRPr="00954547">
        <w:rPr>
          <w:rFonts w:ascii="Verdana" w:hAnsi="Verdana"/>
          <w:sz w:val="16"/>
          <w:szCs w:val="16"/>
        </w:rPr>
        <w:t>Uni</w:t>
      </w:r>
      <w:r w:rsidR="00C222A4" w:rsidRPr="00954547">
        <w:rPr>
          <w:rFonts w:ascii="Verdana" w:hAnsi="Verdana"/>
          <w:sz w:val="16"/>
          <w:szCs w:val="16"/>
        </w:rPr>
        <w:t>te</w:t>
      </w:r>
      <w:r w:rsidR="00C80980" w:rsidRPr="00954547">
        <w:rPr>
          <w:rFonts w:ascii="Verdana" w:hAnsi="Verdana"/>
          <w:sz w:val="16"/>
          <w:szCs w:val="16"/>
        </w:rPr>
        <w:t xml:space="preserve">d Nations General Assembly, </w:t>
      </w:r>
      <w:r w:rsidR="00C80980" w:rsidRPr="00954547">
        <w:rPr>
          <w:rFonts w:ascii="Verdana" w:hAnsi="Verdana"/>
          <w:i/>
          <w:iCs/>
          <w:sz w:val="16"/>
          <w:szCs w:val="16"/>
        </w:rPr>
        <w:t>Responsibility of States for Internationally Wrongful Acts</w:t>
      </w:r>
      <w:r w:rsidR="00C80980" w:rsidRPr="00954547">
        <w:rPr>
          <w:rFonts w:ascii="Verdana" w:hAnsi="Verdana"/>
          <w:sz w:val="16"/>
          <w:szCs w:val="16"/>
        </w:rPr>
        <w:t xml:space="preserve">, </w:t>
      </w:r>
      <w:r w:rsidRPr="00954547">
        <w:rPr>
          <w:rFonts w:ascii="Verdana" w:hAnsi="Verdana"/>
          <w:sz w:val="16"/>
          <w:szCs w:val="16"/>
        </w:rPr>
        <w:t xml:space="preserve">A/RES/56/83, </w:t>
      </w:r>
      <w:r w:rsidR="00C80980" w:rsidRPr="00954547">
        <w:rPr>
          <w:rFonts w:ascii="Verdana" w:hAnsi="Verdana"/>
          <w:sz w:val="16"/>
          <w:szCs w:val="16"/>
        </w:rPr>
        <w:t>January 28,</w:t>
      </w:r>
      <w:r w:rsidRPr="00954547">
        <w:rPr>
          <w:rFonts w:ascii="Verdana" w:hAnsi="Verdana"/>
          <w:sz w:val="16"/>
          <w:szCs w:val="16"/>
        </w:rPr>
        <w:t xml:space="preserve"> 2002.</w:t>
      </w:r>
    </w:p>
  </w:footnote>
  <w:footnote w:id="226">
    <w:p w14:paraId="3CA6FE24" w14:textId="76C12E2E" w:rsidR="005F001B" w:rsidRPr="00954547" w:rsidRDefault="005F001B" w:rsidP="007619E6">
      <w:pPr>
        <w:pStyle w:val="FootnoteText"/>
        <w:tabs>
          <w:tab w:val="left" w:pos="567"/>
        </w:tabs>
        <w:spacing w:after="120"/>
        <w:jc w:val="both"/>
        <w:rPr>
          <w:rFonts w:ascii="Verdana" w:hAnsi="Verdana"/>
          <w:sz w:val="16"/>
          <w:szCs w:val="16"/>
          <w:lang w:val="es-CR"/>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2F4617" w:rsidRPr="00954547">
        <w:rPr>
          <w:rFonts w:ascii="Verdana" w:hAnsi="Verdana"/>
          <w:i/>
          <w:sz w:val="16"/>
          <w:szCs w:val="16"/>
          <w:lang w:val="es-CR"/>
        </w:rPr>
        <w:t>Case of</w:t>
      </w:r>
      <w:r w:rsidRPr="00954547">
        <w:rPr>
          <w:rFonts w:ascii="Verdana" w:hAnsi="Verdana"/>
          <w:i/>
          <w:sz w:val="16"/>
          <w:szCs w:val="16"/>
          <w:lang w:val="es-CR"/>
        </w:rPr>
        <w:t xml:space="preserve"> Ruano Torres </w:t>
      </w:r>
      <w:r w:rsidR="00B8393C" w:rsidRPr="00954547">
        <w:rPr>
          <w:rFonts w:ascii="Verdana" w:hAnsi="Verdana"/>
          <w:i/>
          <w:sz w:val="16"/>
          <w:szCs w:val="16"/>
          <w:lang w:val="es-CR"/>
        </w:rPr>
        <w:t>et al. v.</w:t>
      </w:r>
      <w:r w:rsidRPr="00954547">
        <w:rPr>
          <w:rFonts w:ascii="Verdana" w:hAnsi="Verdana"/>
          <w:i/>
          <w:sz w:val="16"/>
          <w:szCs w:val="16"/>
          <w:lang w:val="es-CR"/>
        </w:rPr>
        <w:t xml:space="preserve"> El Salvador,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Fonts w:ascii="Verdana" w:hAnsi="Verdana"/>
          <w:sz w:val="16"/>
          <w:szCs w:val="16"/>
        </w:rPr>
        <w:t>164,</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Girón</w:t>
      </w:r>
      <w:r w:rsidR="0078694F" w:rsidRPr="00954547">
        <w:rPr>
          <w:rFonts w:ascii="Verdana" w:hAnsi="Verdana"/>
          <w:i/>
          <w:sz w:val="16"/>
          <w:szCs w:val="16"/>
        </w:rPr>
        <w:t xml:space="preserve"> </w:t>
      </w:r>
      <w:r w:rsidR="00C222A4"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Guatemala,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w:t>
      </w:r>
      <w:r w:rsidRPr="00954547">
        <w:rPr>
          <w:rFonts w:ascii="Verdana" w:hAnsi="Verdana"/>
          <w:sz w:val="16"/>
          <w:szCs w:val="16"/>
          <w:lang w:val="es-CR"/>
        </w:rPr>
        <w:t>100.</w:t>
      </w:r>
    </w:p>
  </w:footnote>
  <w:footnote w:id="227">
    <w:p w14:paraId="583B1B80" w14:textId="79FD2CA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2F4617" w:rsidRPr="00954547">
        <w:rPr>
          <w:rFonts w:ascii="Verdana" w:hAnsi="Verdana"/>
          <w:i/>
          <w:sz w:val="16"/>
          <w:szCs w:val="16"/>
          <w:lang w:val="es-CR"/>
        </w:rPr>
        <w:t>Case of</w:t>
      </w:r>
      <w:r w:rsidRPr="00954547">
        <w:rPr>
          <w:rFonts w:ascii="Verdana" w:hAnsi="Verdana"/>
          <w:i/>
          <w:sz w:val="16"/>
          <w:szCs w:val="16"/>
          <w:lang w:val="es-CR"/>
        </w:rPr>
        <w:t xml:space="preserve"> Ruano Torres </w:t>
      </w:r>
      <w:r w:rsidR="00B8393C" w:rsidRPr="00954547">
        <w:rPr>
          <w:rFonts w:ascii="Verdana" w:hAnsi="Verdana"/>
          <w:i/>
          <w:sz w:val="16"/>
          <w:szCs w:val="16"/>
          <w:lang w:val="es-CR"/>
        </w:rPr>
        <w:t>et al. v.</w:t>
      </w:r>
      <w:r w:rsidRPr="00954547">
        <w:rPr>
          <w:rFonts w:ascii="Verdana" w:hAnsi="Verdana"/>
          <w:i/>
          <w:sz w:val="16"/>
          <w:szCs w:val="16"/>
          <w:lang w:val="es-CR"/>
        </w:rPr>
        <w:t xml:space="preserve"> El Salvador, supra</w:t>
      </w:r>
      <w:r w:rsidRPr="00954547">
        <w:rPr>
          <w:rFonts w:ascii="Verdana" w:hAnsi="Verdana"/>
          <w:sz w:val="16"/>
          <w:szCs w:val="16"/>
          <w:lang w:val="es-CR"/>
        </w:rPr>
        <w:t xml:space="preserve">, </w:t>
      </w:r>
      <w:r w:rsidR="0052231D" w:rsidRPr="00954547">
        <w:rPr>
          <w:rFonts w:ascii="Verdana" w:hAnsi="Verdana"/>
          <w:sz w:val="16"/>
          <w:szCs w:val="16"/>
          <w:lang w:val="es-CR"/>
        </w:rPr>
        <w:t>paras.</w:t>
      </w:r>
      <w:r w:rsidRPr="00954547">
        <w:rPr>
          <w:rFonts w:ascii="Verdana" w:hAnsi="Verdana"/>
          <w:sz w:val="16"/>
          <w:szCs w:val="16"/>
          <w:lang w:val="es-CR"/>
        </w:rPr>
        <w:t xml:space="preserve"> </w:t>
      </w:r>
      <w:r w:rsidRPr="00954547">
        <w:rPr>
          <w:rFonts w:ascii="Verdana" w:hAnsi="Verdana"/>
          <w:sz w:val="16"/>
          <w:szCs w:val="16"/>
        </w:rPr>
        <w:t>163, 164</w:t>
      </w:r>
      <w:r w:rsidR="0078694F" w:rsidRPr="00954547">
        <w:rPr>
          <w:rFonts w:ascii="Verdana" w:hAnsi="Verdana"/>
          <w:sz w:val="16"/>
          <w:szCs w:val="16"/>
        </w:rPr>
        <w:t xml:space="preserve"> and </w:t>
      </w:r>
      <w:r w:rsidRPr="00954547">
        <w:rPr>
          <w:rFonts w:ascii="Verdana" w:hAnsi="Verdana"/>
          <w:sz w:val="16"/>
          <w:szCs w:val="16"/>
        </w:rPr>
        <w:t>166.</w:t>
      </w:r>
    </w:p>
  </w:footnote>
  <w:footnote w:id="228">
    <w:p w14:paraId="22A44E46" w14:textId="27BE8243"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eastAsiaTheme="minorHAnsi" w:hAnsi="Verdana" w:cs="Arial"/>
          <w:i/>
          <w:sz w:val="16"/>
          <w:szCs w:val="16"/>
          <w:bdr w:val="none" w:sz="0" w:space="0" w:color="auto"/>
        </w:rPr>
        <w:t>Cf.</w:t>
      </w:r>
      <w:r w:rsidRPr="00954547">
        <w:rPr>
          <w:rFonts w:ascii="Verdana" w:eastAsiaTheme="minorHAnsi" w:hAnsi="Verdana" w:cs="Arial"/>
          <w:sz w:val="16"/>
          <w:szCs w:val="16"/>
          <w:bdr w:val="none" w:sz="0" w:space="0" w:color="auto"/>
        </w:rPr>
        <w:t xml:space="preserve"> </w:t>
      </w:r>
      <w:r w:rsidR="00C222A4" w:rsidRPr="00954547">
        <w:rPr>
          <w:rFonts w:ascii="Verdana" w:eastAsiaTheme="minorHAnsi" w:hAnsi="Verdana" w:cs="Arial"/>
          <w:sz w:val="16"/>
          <w:szCs w:val="16"/>
          <w:bdr w:val="none" w:sz="0" w:space="0" w:color="auto"/>
        </w:rPr>
        <w:t>Request submitted by</w:t>
      </w:r>
      <w:r w:rsidRPr="00954547">
        <w:rPr>
          <w:rFonts w:ascii="Verdana" w:eastAsiaTheme="minorHAnsi" w:hAnsi="Verdana" w:cs="Arial"/>
          <w:sz w:val="16"/>
          <w:szCs w:val="16"/>
          <w:bdr w:val="none" w:sz="0" w:space="0" w:color="auto"/>
        </w:rPr>
        <w:t xml:space="preserve"> Mario Sergio Crespín Cartagena </w:t>
      </w:r>
      <w:r w:rsidR="00C222A4" w:rsidRPr="00954547">
        <w:rPr>
          <w:rFonts w:ascii="Verdana" w:eastAsiaTheme="minorHAnsi" w:hAnsi="Verdana" w:cs="Arial"/>
          <w:sz w:val="16"/>
          <w:szCs w:val="16"/>
          <w:bdr w:val="none" w:sz="0" w:space="0" w:color="auto"/>
        </w:rPr>
        <w:t xml:space="preserve">to the </w:t>
      </w:r>
      <w:r w:rsidR="006029D7" w:rsidRPr="00954547">
        <w:rPr>
          <w:rFonts w:ascii="Verdana" w:eastAsiaTheme="minorHAnsi" w:hAnsi="Verdana" w:cs="Arial"/>
          <w:sz w:val="16"/>
          <w:szCs w:val="16"/>
          <w:bdr w:val="none" w:sz="0" w:space="0" w:color="auto"/>
        </w:rPr>
        <w:t>Second Trial Court of</w:t>
      </w:r>
      <w:r w:rsidRPr="00954547">
        <w:rPr>
          <w:rFonts w:ascii="Verdana" w:eastAsiaTheme="minorHAnsi" w:hAnsi="Verdana" w:cs="Arial"/>
          <w:sz w:val="16"/>
          <w:szCs w:val="16"/>
          <w:bdr w:val="none" w:sz="0" w:space="0" w:color="auto"/>
        </w:rPr>
        <w:t xml:space="preserve"> San Francisco de Gotera </w:t>
      </w:r>
      <w:r w:rsidR="00C222A4" w:rsidRPr="00954547">
        <w:rPr>
          <w:rFonts w:ascii="Verdana" w:eastAsiaTheme="minorHAnsi" w:hAnsi="Verdana" w:cs="Arial"/>
          <w:sz w:val="16"/>
          <w:szCs w:val="16"/>
          <w:bdr w:val="none" w:sz="0" w:space="0" w:color="auto"/>
        </w:rPr>
        <w:t>on</w:t>
      </w:r>
      <w:r w:rsidRPr="00954547">
        <w:rPr>
          <w:rFonts w:ascii="Verdana" w:eastAsiaTheme="minorHAnsi" w:hAnsi="Verdana" w:cs="Arial"/>
          <w:sz w:val="16"/>
          <w:szCs w:val="16"/>
          <w:bdr w:val="none" w:sz="0" w:space="0" w:color="auto"/>
        </w:rPr>
        <w:t xml:space="preserve"> </w:t>
      </w:r>
      <w:r w:rsidR="00053A7C" w:rsidRPr="00954547">
        <w:rPr>
          <w:rFonts w:ascii="Verdana" w:eastAsiaTheme="minorHAnsi" w:hAnsi="Verdana" w:cs="Arial"/>
          <w:sz w:val="16"/>
          <w:szCs w:val="16"/>
          <w:bdr w:val="none" w:sz="0" w:space="0" w:color="auto"/>
        </w:rPr>
        <w:t>July 7,</w:t>
      </w:r>
      <w:r w:rsidRPr="00954547">
        <w:rPr>
          <w:rFonts w:ascii="Verdana" w:eastAsiaTheme="minorHAnsi" w:hAnsi="Verdana" w:cs="Arial"/>
          <w:sz w:val="16"/>
          <w:szCs w:val="16"/>
          <w:bdr w:val="none" w:sz="0" w:space="0" w:color="auto"/>
        </w:rPr>
        <w:t xml:space="preserve"> 2008</w:t>
      </w:r>
      <w:r w:rsidR="00C222A4" w:rsidRPr="00954547">
        <w:rPr>
          <w:rFonts w:ascii="Verdana" w:eastAsiaTheme="minorHAnsi" w:hAnsi="Verdana" w:cs="Arial"/>
          <w:sz w:val="16"/>
          <w:szCs w:val="16"/>
          <w:bdr w:val="none" w:sz="0" w:space="0" w:color="auto"/>
        </w:rPr>
        <w:t>, asking for the substitution of Manuela’s public defender</w:t>
      </w:r>
      <w:r w:rsidRPr="00954547">
        <w:rPr>
          <w:rFonts w:ascii="Verdana" w:eastAsiaTheme="minorHAnsi" w:hAnsi="Verdana" w:cs="Arial"/>
          <w:sz w:val="16"/>
          <w:szCs w:val="16"/>
          <w:bdr w:val="none" w:sz="0" w:space="0" w:color="auto"/>
        </w:rPr>
        <w:t xml:space="preserve"> (</w:t>
      </w:r>
      <w:r w:rsidR="001C328F" w:rsidRPr="00954547">
        <w:rPr>
          <w:rFonts w:ascii="Verdana" w:eastAsiaTheme="minorHAnsi" w:hAnsi="Verdana" w:cs="Arial"/>
          <w:sz w:val="16"/>
          <w:szCs w:val="16"/>
          <w:bdr w:val="none" w:sz="0" w:space="0" w:color="auto"/>
        </w:rPr>
        <w:t>evidence file</w:t>
      </w:r>
      <w:r w:rsidRPr="00954547">
        <w:rPr>
          <w:rFonts w:ascii="Verdana" w:eastAsiaTheme="minorHAnsi" w:hAnsi="Verdana" w:cs="Arial"/>
          <w:sz w:val="16"/>
          <w:szCs w:val="16"/>
          <w:bdr w:val="none" w:sz="0" w:space="0" w:color="auto"/>
        </w:rPr>
        <w:t xml:space="preserve">, folio 1939); </w:t>
      </w:r>
      <w:r w:rsidR="00807D09" w:rsidRPr="00954547">
        <w:rPr>
          <w:rFonts w:ascii="Verdana" w:eastAsiaTheme="minorHAnsi" w:hAnsi="Verdana" w:cs="Arial"/>
          <w:sz w:val="16"/>
          <w:szCs w:val="16"/>
          <w:bdr w:val="none" w:sz="0" w:space="0" w:color="auto"/>
        </w:rPr>
        <w:t>Communication issued by the</w:t>
      </w:r>
      <w:r w:rsidRPr="00954547">
        <w:rPr>
          <w:rFonts w:ascii="Verdana" w:eastAsiaTheme="minorHAnsi" w:hAnsi="Verdana" w:cs="Arial"/>
          <w:sz w:val="16"/>
          <w:szCs w:val="16"/>
          <w:bdr w:val="none" w:sz="0" w:space="0" w:color="auto"/>
        </w:rPr>
        <w:t xml:space="preserve"> </w:t>
      </w:r>
      <w:r w:rsidR="006029D7" w:rsidRPr="00954547">
        <w:rPr>
          <w:rFonts w:ascii="Verdana" w:eastAsiaTheme="minorHAnsi" w:hAnsi="Verdana" w:cs="Arial"/>
          <w:sz w:val="16"/>
          <w:szCs w:val="16"/>
          <w:bdr w:val="none" w:sz="0" w:space="0" w:color="auto"/>
        </w:rPr>
        <w:t>Second Trial Court of</w:t>
      </w:r>
      <w:r w:rsidRPr="00954547">
        <w:rPr>
          <w:rFonts w:ascii="Verdana" w:eastAsiaTheme="minorHAnsi" w:hAnsi="Verdana" w:cs="Arial"/>
          <w:sz w:val="16"/>
          <w:szCs w:val="16"/>
          <w:bdr w:val="none" w:sz="0" w:space="0" w:color="auto"/>
        </w:rPr>
        <w:t xml:space="preserve"> San Francisco de Gotera </w:t>
      </w:r>
      <w:r w:rsidR="00CD2912" w:rsidRPr="00954547">
        <w:rPr>
          <w:rFonts w:ascii="Verdana" w:eastAsiaTheme="minorHAnsi" w:hAnsi="Verdana" w:cs="Arial"/>
          <w:sz w:val="16"/>
          <w:szCs w:val="16"/>
          <w:bdr w:val="none" w:sz="0" w:space="0" w:color="auto"/>
        </w:rPr>
        <w:t>accepting the substitution, of</w:t>
      </w:r>
      <w:r w:rsidRPr="00954547">
        <w:rPr>
          <w:rFonts w:ascii="Verdana" w:eastAsiaTheme="minorHAnsi" w:hAnsi="Verdana" w:cs="Arial"/>
          <w:sz w:val="16"/>
          <w:szCs w:val="16"/>
          <w:bdr w:val="none" w:sz="0" w:space="0" w:color="auto"/>
        </w:rPr>
        <w:t xml:space="preserve"> </w:t>
      </w:r>
      <w:r w:rsidR="00053A7C" w:rsidRPr="00954547">
        <w:rPr>
          <w:rFonts w:ascii="Verdana" w:eastAsiaTheme="minorHAnsi" w:hAnsi="Verdana" w:cs="Arial"/>
          <w:sz w:val="16"/>
          <w:szCs w:val="16"/>
          <w:bdr w:val="none" w:sz="0" w:space="0" w:color="auto"/>
        </w:rPr>
        <w:t>July 7,</w:t>
      </w:r>
      <w:r w:rsidRPr="00954547">
        <w:rPr>
          <w:rFonts w:ascii="Verdana" w:eastAsiaTheme="minorHAnsi" w:hAnsi="Verdana" w:cs="Arial"/>
          <w:sz w:val="16"/>
          <w:szCs w:val="16"/>
          <w:bdr w:val="none" w:sz="0" w:space="0" w:color="auto"/>
        </w:rPr>
        <w:t xml:space="preserve"> 2008 (</w:t>
      </w:r>
      <w:r w:rsidR="001C328F" w:rsidRPr="00954547">
        <w:rPr>
          <w:rFonts w:ascii="Verdana" w:eastAsiaTheme="minorHAnsi" w:hAnsi="Verdana" w:cs="Arial"/>
          <w:sz w:val="16"/>
          <w:szCs w:val="16"/>
          <w:bdr w:val="none" w:sz="0" w:space="0" w:color="auto"/>
        </w:rPr>
        <w:t>evidence file</w:t>
      </w:r>
      <w:r w:rsidRPr="00954547">
        <w:rPr>
          <w:rFonts w:ascii="Verdana" w:eastAsiaTheme="minorHAnsi" w:hAnsi="Verdana" w:cs="Arial"/>
          <w:sz w:val="16"/>
          <w:szCs w:val="16"/>
          <w:bdr w:val="none" w:sz="0" w:space="0" w:color="auto"/>
        </w:rPr>
        <w:t>, folio 1940),</w:t>
      </w:r>
      <w:r w:rsidR="0078694F" w:rsidRPr="00954547">
        <w:rPr>
          <w:rFonts w:ascii="Verdana" w:eastAsiaTheme="minorHAnsi" w:hAnsi="Verdana" w:cs="Arial"/>
          <w:sz w:val="16"/>
          <w:szCs w:val="16"/>
          <w:bdr w:val="none" w:sz="0" w:space="0" w:color="auto"/>
        </w:rPr>
        <w:t xml:space="preserve"> and </w:t>
      </w:r>
      <w:r w:rsidR="009A60F6" w:rsidRPr="00954547">
        <w:rPr>
          <w:rFonts w:ascii="Verdana" w:hAnsi="Verdana"/>
          <w:sz w:val="16"/>
          <w:szCs w:val="16"/>
        </w:rPr>
        <w:t>Record of the hearing</w:t>
      </w:r>
      <w:r w:rsidR="00053A7C" w:rsidRPr="00954547">
        <w:rPr>
          <w:rFonts w:ascii="Verdana" w:hAnsi="Verdana"/>
          <w:sz w:val="16"/>
          <w:szCs w:val="16"/>
        </w:rPr>
        <w:t xml:space="preserve"> </w:t>
      </w:r>
      <w:r w:rsidR="009A60F6" w:rsidRPr="00954547">
        <w:rPr>
          <w:rFonts w:ascii="Verdana" w:hAnsi="Verdana"/>
          <w:sz w:val="16"/>
          <w:szCs w:val="16"/>
        </w:rPr>
        <w:t>by</w:t>
      </w:r>
      <w:r w:rsidR="00053A7C" w:rsidRPr="00954547">
        <w:rPr>
          <w:rFonts w:ascii="Verdana" w:hAnsi="Verdana"/>
          <w:sz w:val="16"/>
          <w:szCs w:val="16"/>
        </w:rPr>
        <w:t xml:space="preserve"> the </w:t>
      </w:r>
      <w:r w:rsidR="006029D7" w:rsidRPr="00954547">
        <w:rPr>
          <w:rFonts w:ascii="Verdana" w:hAnsi="Verdana"/>
          <w:sz w:val="16"/>
          <w:szCs w:val="16"/>
        </w:rPr>
        <w:t>Second Trial Court of</w:t>
      </w:r>
      <w:r w:rsidRPr="00954547">
        <w:rPr>
          <w:rFonts w:ascii="Verdana" w:hAnsi="Verdana"/>
          <w:sz w:val="16"/>
          <w:szCs w:val="16"/>
        </w:rPr>
        <w:t xml:space="preserve"> San Francisco Gotera, Morazán </w:t>
      </w:r>
      <w:r w:rsidR="009A60F6" w:rsidRPr="00954547">
        <w:rPr>
          <w:rFonts w:ascii="Verdana" w:hAnsi="Verdana"/>
          <w:sz w:val="16"/>
          <w:szCs w:val="16"/>
        </w:rPr>
        <w:t>of</w:t>
      </w:r>
      <w:r w:rsidRPr="00954547">
        <w:rPr>
          <w:rFonts w:ascii="Verdana" w:hAnsi="Verdana"/>
          <w:sz w:val="16"/>
          <w:szCs w:val="16"/>
        </w:rPr>
        <w:t xml:space="preserve"> </w:t>
      </w:r>
      <w:r w:rsidR="00053A7C" w:rsidRPr="00954547">
        <w:rPr>
          <w:rFonts w:ascii="Verdana" w:hAnsi="Verdana"/>
          <w:sz w:val="16"/>
          <w:szCs w:val="16"/>
        </w:rPr>
        <w:t>July 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132).</w:t>
      </w:r>
    </w:p>
  </w:footnote>
  <w:footnote w:id="229">
    <w:p w14:paraId="079D816A" w14:textId="2C82F07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BA4784" w:rsidRPr="00954547">
        <w:rPr>
          <w:rFonts w:ascii="Verdana" w:hAnsi="Verdana"/>
          <w:sz w:val="16"/>
          <w:szCs w:val="16"/>
        </w:rPr>
        <w:t>Code of Criminal Procedure</w:t>
      </w:r>
      <w:r w:rsidR="009E6B43" w:rsidRPr="00954547">
        <w:rPr>
          <w:rFonts w:ascii="Verdana" w:hAnsi="Verdana"/>
          <w:sz w:val="16"/>
          <w:szCs w:val="16"/>
        </w:rPr>
        <w:t xml:space="preserve"> of El </w:t>
      </w:r>
      <w:r w:rsidRPr="00954547">
        <w:rPr>
          <w:rFonts w:ascii="Verdana" w:hAnsi="Verdana"/>
          <w:sz w:val="16"/>
          <w:szCs w:val="16"/>
        </w:rPr>
        <w:t xml:space="preserve">Salvador, </w:t>
      </w:r>
      <w:r w:rsidR="00C86FE5" w:rsidRPr="00954547">
        <w:rPr>
          <w:rFonts w:ascii="Verdana" w:hAnsi="Verdana"/>
          <w:sz w:val="16"/>
          <w:szCs w:val="16"/>
        </w:rPr>
        <w:t>Legislative Decree</w:t>
      </w:r>
      <w:r w:rsidRPr="00954547">
        <w:rPr>
          <w:rFonts w:ascii="Verdana" w:hAnsi="Verdana"/>
          <w:sz w:val="16"/>
          <w:szCs w:val="16"/>
        </w:rPr>
        <w:t xml:space="preserve"> No. 776 </w:t>
      </w:r>
      <w:r w:rsidR="00A32D5A" w:rsidRPr="00954547">
        <w:rPr>
          <w:rFonts w:ascii="Verdana" w:hAnsi="Verdana"/>
          <w:sz w:val="16"/>
          <w:szCs w:val="16"/>
        </w:rPr>
        <w:t>of</w:t>
      </w:r>
      <w:r w:rsidRPr="00954547">
        <w:rPr>
          <w:rFonts w:ascii="Verdana" w:hAnsi="Verdana"/>
          <w:sz w:val="16"/>
          <w:szCs w:val="16"/>
        </w:rPr>
        <w:t xml:space="preserve"> 1996, </w:t>
      </w:r>
      <w:r w:rsidR="00A32D5A" w:rsidRPr="00954547">
        <w:rPr>
          <w:rFonts w:ascii="Verdana" w:hAnsi="Verdana"/>
          <w:sz w:val="16"/>
          <w:szCs w:val="16"/>
        </w:rPr>
        <w:t>a</w:t>
      </w:r>
      <w:r w:rsidR="00A17F8C" w:rsidRPr="00954547">
        <w:rPr>
          <w:rFonts w:ascii="Verdana" w:hAnsi="Verdana"/>
          <w:sz w:val="16"/>
          <w:szCs w:val="16"/>
        </w:rPr>
        <w:t>rticle</w:t>
      </w:r>
      <w:r w:rsidRPr="00954547">
        <w:rPr>
          <w:rFonts w:ascii="Verdana" w:hAnsi="Verdana"/>
          <w:sz w:val="16"/>
          <w:szCs w:val="16"/>
        </w:rPr>
        <w:t xml:space="preserve"> 319. </w:t>
      </w:r>
      <w:r w:rsidR="002F4617" w:rsidRPr="00954547">
        <w:rPr>
          <w:rFonts w:ascii="Verdana" w:hAnsi="Verdana"/>
          <w:sz w:val="16"/>
          <w:szCs w:val="16"/>
        </w:rPr>
        <w:t>Available at</w:t>
      </w:r>
      <w:r w:rsidRPr="00954547">
        <w:rPr>
          <w:rFonts w:ascii="Verdana" w:hAnsi="Verdana"/>
          <w:sz w:val="16"/>
          <w:szCs w:val="16"/>
        </w:rPr>
        <w:t xml:space="preserve">: </w:t>
      </w:r>
      <w:hyperlink r:id="rId17" w:history="1">
        <w:r w:rsidRPr="00954547">
          <w:rPr>
            <w:rStyle w:val="Hyperlink"/>
            <w:rFonts w:ascii="Verdana" w:hAnsi="Verdana"/>
            <w:sz w:val="16"/>
            <w:szCs w:val="16"/>
          </w:rPr>
          <w:t>http://www.oas.org/juridico/spanish/mesicic3_slv_procesal.pdf</w:t>
        </w:r>
      </w:hyperlink>
    </w:p>
  </w:footnote>
  <w:footnote w:id="230">
    <w:p w14:paraId="407A6473" w14:textId="4D34446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BA4784" w:rsidRPr="00954547">
        <w:rPr>
          <w:rFonts w:ascii="Verdana" w:hAnsi="Verdana"/>
          <w:sz w:val="16"/>
          <w:szCs w:val="16"/>
        </w:rPr>
        <w:t>Code of Criminal Procedure</w:t>
      </w:r>
      <w:r w:rsidR="009E6B43" w:rsidRPr="00954547">
        <w:rPr>
          <w:rFonts w:ascii="Verdana" w:hAnsi="Verdana"/>
          <w:sz w:val="16"/>
          <w:szCs w:val="16"/>
        </w:rPr>
        <w:t xml:space="preserve"> of El </w:t>
      </w:r>
      <w:r w:rsidRPr="00954547">
        <w:rPr>
          <w:rFonts w:ascii="Verdana" w:hAnsi="Verdana"/>
          <w:sz w:val="16"/>
          <w:szCs w:val="16"/>
        </w:rPr>
        <w:t xml:space="preserve">Salvador, </w:t>
      </w:r>
      <w:r w:rsidR="00C86FE5" w:rsidRPr="00954547">
        <w:rPr>
          <w:rFonts w:ascii="Verdana" w:hAnsi="Verdana"/>
          <w:sz w:val="16"/>
          <w:szCs w:val="16"/>
        </w:rPr>
        <w:t>Legislative Decree</w:t>
      </w:r>
      <w:r w:rsidRPr="00954547">
        <w:rPr>
          <w:rFonts w:ascii="Verdana" w:hAnsi="Verdana"/>
          <w:sz w:val="16"/>
          <w:szCs w:val="16"/>
        </w:rPr>
        <w:t xml:space="preserve"> No. 776 </w:t>
      </w:r>
      <w:r w:rsidR="00A32D5A" w:rsidRPr="00954547">
        <w:rPr>
          <w:rFonts w:ascii="Verdana" w:hAnsi="Verdana"/>
          <w:sz w:val="16"/>
          <w:szCs w:val="16"/>
        </w:rPr>
        <w:t>of</w:t>
      </w:r>
      <w:r w:rsidRPr="00954547">
        <w:rPr>
          <w:rFonts w:ascii="Verdana" w:hAnsi="Verdana"/>
          <w:sz w:val="16"/>
          <w:szCs w:val="16"/>
        </w:rPr>
        <w:t xml:space="preserve"> 1996, </w:t>
      </w:r>
      <w:r w:rsidR="00A32D5A" w:rsidRPr="00954547">
        <w:rPr>
          <w:rFonts w:ascii="Verdana" w:hAnsi="Verdana"/>
          <w:sz w:val="16"/>
          <w:szCs w:val="16"/>
        </w:rPr>
        <w:t>a</w:t>
      </w:r>
      <w:r w:rsidR="00A17F8C" w:rsidRPr="00954547">
        <w:rPr>
          <w:rFonts w:ascii="Verdana" w:hAnsi="Verdana"/>
          <w:sz w:val="16"/>
          <w:szCs w:val="16"/>
        </w:rPr>
        <w:t>rticle</w:t>
      </w:r>
      <w:r w:rsidRPr="00954547">
        <w:rPr>
          <w:rFonts w:ascii="Verdana" w:hAnsi="Verdana"/>
          <w:sz w:val="16"/>
          <w:szCs w:val="16"/>
        </w:rPr>
        <w:t xml:space="preserve"> 320. </w:t>
      </w:r>
      <w:r w:rsidR="002F4617" w:rsidRPr="00954547">
        <w:rPr>
          <w:rFonts w:ascii="Verdana" w:hAnsi="Verdana"/>
          <w:sz w:val="16"/>
          <w:szCs w:val="16"/>
        </w:rPr>
        <w:t>Available at</w:t>
      </w:r>
      <w:r w:rsidRPr="00954547">
        <w:rPr>
          <w:rFonts w:ascii="Verdana" w:hAnsi="Verdana"/>
          <w:sz w:val="16"/>
          <w:szCs w:val="16"/>
        </w:rPr>
        <w:t xml:space="preserve">: </w:t>
      </w:r>
      <w:hyperlink r:id="rId18" w:history="1">
        <w:r w:rsidRPr="00954547">
          <w:rPr>
            <w:rStyle w:val="Hyperlink"/>
            <w:rFonts w:ascii="Verdana" w:hAnsi="Verdana"/>
            <w:sz w:val="16"/>
            <w:szCs w:val="16"/>
          </w:rPr>
          <w:t>http://www.oas.org/juridico/spanish/mesicic3_slv_procesal.pdf</w:t>
        </w:r>
      </w:hyperlink>
    </w:p>
  </w:footnote>
  <w:footnote w:id="231">
    <w:p w14:paraId="0CD34DCC" w14:textId="6412439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32D5A" w:rsidRPr="00954547">
        <w:rPr>
          <w:rFonts w:ascii="Verdana" w:hAnsi="Verdana"/>
          <w:sz w:val="16"/>
          <w:szCs w:val="16"/>
        </w:rPr>
        <w:t>Record of the preliminary hearing</w:t>
      </w:r>
      <w:r w:rsidR="00053A7C" w:rsidRPr="00954547">
        <w:rPr>
          <w:rFonts w:ascii="Verdana" w:hAnsi="Verdana"/>
          <w:sz w:val="16"/>
          <w:szCs w:val="16"/>
        </w:rPr>
        <w:t xml:space="preserve"> of the </w:t>
      </w:r>
      <w:r w:rsidR="006029D7" w:rsidRPr="00954547">
        <w:rPr>
          <w:rFonts w:ascii="Verdana" w:hAnsi="Verdana"/>
          <w:sz w:val="16"/>
          <w:szCs w:val="16"/>
        </w:rPr>
        <w:t>Second Trial Court of</w:t>
      </w:r>
      <w:r w:rsidRPr="00954547">
        <w:rPr>
          <w:rFonts w:ascii="Verdana" w:hAnsi="Verdana"/>
          <w:sz w:val="16"/>
          <w:szCs w:val="16"/>
        </w:rPr>
        <w:t xml:space="preserve"> San Francisco Gotera, Morazán</w:t>
      </w:r>
      <w:r w:rsidR="009C7854" w:rsidRPr="00954547">
        <w:rPr>
          <w:rFonts w:ascii="Verdana" w:hAnsi="Verdana"/>
          <w:sz w:val="16"/>
          <w:szCs w:val="16"/>
        </w:rPr>
        <w:t>,</w:t>
      </w:r>
      <w:r w:rsidRPr="00954547">
        <w:rPr>
          <w:rFonts w:ascii="Verdana" w:hAnsi="Verdana"/>
          <w:sz w:val="16"/>
          <w:szCs w:val="16"/>
        </w:rPr>
        <w:t xml:space="preserve"> </w:t>
      </w:r>
      <w:r w:rsidR="00A32D5A" w:rsidRPr="00954547">
        <w:rPr>
          <w:rFonts w:ascii="Verdana" w:hAnsi="Verdana"/>
          <w:sz w:val="16"/>
          <w:szCs w:val="16"/>
        </w:rPr>
        <w:t>of</w:t>
      </w:r>
      <w:r w:rsidRPr="00954547">
        <w:rPr>
          <w:rFonts w:ascii="Verdana" w:hAnsi="Verdana"/>
          <w:sz w:val="16"/>
          <w:szCs w:val="16"/>
        </w:rPr>
        <w:t xml:space="preserve"> </w:t>
      </w:r>
      <w:r w:rsidR="00053A7C" w:rsidRPr="00954547">
        <w:rPr>
          <w:rFonts w:ascii="Verdana" w:hAnsi="Verdana"/>
          <w:sz w:val="16"/>
          <w:szCs w:val="16"/>
        </w:rPr>
        <w:t>July 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133</w:t>
      </w:r>
      <w:r w:rsidR="0078694F" w:rsidRPr="00954547">
        <w:rPr>
          <w:rFonts w:ascii="Verdana" w:hAnsi="Verdana"/>
          <w:sz w:val="16"/>
          <w:szCs w:val="16"/>
        </w:rPr>
        <w:t xml:space="preserve"> and </w:t>
      </w:r>
      <w:r w:rsidRPr="00954547">
        <w:rPr>
          <w:rFonts w:ascii="Verdana" w:hAnsi="Verdana"/>
          <w:sz w:val="16"/>
          <w:szCs w:val="16"/>
        </w:rPr>
        <w:t>134).</w:t>
      </w:r>
    </w:p>
  </w:footnote>
  <w:footnote w:id="232">
    <w:p w14:paraId="2FC11E25" w14:textId="2721B7A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32D5A" w:rsidRPr="00954547">
        <w:rPr>
          <w:rFonts w:ascii="Verdana" w:hAnsi="Verdana"/>
          <w:sz w:val="16"/>
          <w:szCs w:val="16"/>
        </w:rPr>
        <w:t>Record of the preliminary hearing</w:t>
      </w:r>
      <w:r w:rsidR="00053A7C" w:rsidRPr="00954547">
        <w:rPr>
          <w:rFonts w:ascii="Verdana" w:hAnsi="Verdana"/>
          <w:sz w:val="16"/>
          <w:szCs w:val="16"/>
        </w:rPr>
        <w:t xml:space="preserve"> of the </w:t>
      </w:r>
      <w:r w:rsidR="006029D7" w:rsidRPr="00954547">
        <w:rPr>
          <w:rFonts w:ascii="Verdana" w:hAnsi="Verdana"/>
          <w:sz w:val="16"/>
          <w:szCs w:val="16"/>
        </w:rPr>
        <w:t>Second Trial Court of</w:t>
      </w:r>
      <w:r w:rsidRPr="00954547">
        <w:rPr>
          <w:rFonts w:ascii="Verdana" w:hAnsi="Verdana"/>
          <w:sz w:val="16"/>
          <w:szCs w:val="16"/>
        </w:rPr>
        <w:t xml:space="preserve"> San Francisco Gotera, Morazán</w:t>
      </w:r>
      <w:r w:rsidR="009C7854" w:rsidRPr="00954547">
        <w:rPr>
          <w:rFonts w:ascii="Verdana" w:hAnsi="Verdana"/>
          <w:sz w:val="16"/>
          <w:szCs w:val="16"/>
        </w:rPr>
        <w:t xml:space="preserve">, </w:t>
      </w:r>
      <w:r w:rsidR="00A32D5A" w:rsidRPr="00954547">
        <w:rPr>
          <w:rFonts w:ascii="Verdana" w:hAnsi="Verdana"/>
          <w:sz w:val="16"/>
          <w:szCs w:val="16"/>
        </w:rPr>
        <w:t>of</w:t>
      </w:r>
      <w:r w:rsidRPr="00954547">
        <w:rPr>
          <w:rFonts w:ascii="Verdana" w:hAnsi="Verdana"/>
          <w:sz w:val="16"/>
          <w:szCs w:val="16"/>
        </w:rPr>
        <w:t xml:space="preserve"> </w:t>
      </w:r>
      <w:r w:rsidR="00053A7C" w:rsidRPr="00954547">
        <w:rPr>
          <w:rFonts w:ascii="Verdana" w:hAnsi="Verdana"/>
          <w:sz w:val="16"/>
          <w:szCs w:val="16"/>
        </w:rPr>
        <w:t>July 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133).</w:t>
      </w:r>
    </w:p>
  </w:footnote>
  <w:footnote w:id="233">
    <w:p w14:paraId="3B0F2406" w14:textId="2B76105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color w:val="auto"/>
          <w:sz w:val="16"/>
          <w:szCs w:val="16"/>
        </w:rPr>
        <w:t xml:space="preserve"> </w:t>
      </w:r>
      <w:r w:rsidR="0060432C" w:rsidRPr="00954547">
        <w:rPr>
          <w:rFonts w:ascii="Verdana" w:hAnsi="Verdana"/>
          <w:sz w:val="16"/>
          <w:szCs w:val="16"/>
        </w:rPr>
        <w:t>Expert opinion provided by affidavit by</w:t>
      </w:r>
      <w:r w:rsidRPr="00954547">
        <w:rPr>
          <w:rFonts w:ascii="Verdana" w:hAnsi="Verdana"/>
          <w:sz w:val="16"/>
          <w:szCs w:val="16"/>
        </w:rPr>
        <w:t xml:space="preserve"> José Mario Nájera Ochoa </w:t>
      </w:r>
      <w:r w:rsidR="00FF2DDD" w:rsidRPr="00954547">
        <w:rPr>
          <w:rFonts w:ascii="Verdana" w:hAnsi="Verdana"/>
          <w:sz w:val="16"/>
          <w:szCs w:val="16"/>
        </w:rPr>
        <w:t>on March 5,</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3850).</w:t>
      </w:r>
    </w:p>
  </w:footnote>
  <w:footnote w:id="234">
    <w:p w14:paraId="10264D73" w14:textId="1209104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color w:val="auto"/>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Ruano Torres </w:t>
      </w:r>
      <w:r w:rsidR="00B8393C" w:rsidRPr="00954547">
        <w:rPr>
          <w:rFonts w:ascii="Verdana" w:hAnsi="Verdana"/>
          <w:i/>
          <w:sz w:val="16"/>
          <w:szCs w:val="16"/>
          <w:lang w:val="es-CR"/>
        </w:rPr>
        <w:t>et al. v.</w:t>
      </w:r>
      <w:r w:rsidRPr="00954547">
        <w:rPr>
          <w:rFonts w:ascii="Verdana" w:hAnsi="Verdana"/>
          <w:i/>
          <w:sz w:val="16"/>
          <w:szCs w:val="16"/>
          <w:lang w:val="es-CR"/>
        </w:rPr>
        <w:t xml:space="preserve"> El Salvador, supra</w:t>
      </w:r>
      <w:r w:rsidRPr="00954547">
        <w:rPr>
          <w:rFonts w:ascii="Verdana" w:hAnsi="Verdana"/>
          <w:sz w:val="16"/>
          <w:szCs w:val="16"/>
          <w:lang w:val="es-CR"/>
        </w:rPr>
        <w:t xml:space="preserve">, </w:t>
      </w:r>
      <w:r w:rsidR="0052231D" w:rsidRPr="00954547">
        <w:rPr>
          <w:rFonts w:ascii="Verdana" w:hAnsi="Verdana"/>
          <w:sz w:val="16"/>
          <w:szCs w:val="16"/>
          <w:lang w:val="es-CR"/>
        </w:rPr>
        <w:t>paras.</w:t>
      </w:r>
      <w:r w:rsidRPr="00954547">
        <w:rPr>
          <w:rFonts w:ascii="Verdana" w:hAnsi="Verdana"/>
          <w:sz w:val="16"/>
          <w:szCs w:val="16"/>
          <w:lang w:val="es-CR"/>
        </w:rPr>
        <w:t xml:space="preserve"> </w:t>
      </w:r>
      <w:r w:rsidRPr="00954547">
        <w:rPr>
          <w:rFonts w:ascii="Verdana" w:hAnsi="Verdana"/>
          <w:sz w:val="16"/>
          <w:szCs w:val="16"/>
        </w:rPr>
        <w:t>157, 166, 168</w:t>
      </w:r>
      <w:r w:rsidR="0078694F" w:rsidRPr="00954547">
        <w:rPr>
          <w:rFonts w:ascii="Verdana" w:hAnsi="Verdana"/>
          <w:sz w:val="16"/>
          <w:szCs w:val="16"/>
        </w:rPr>
        <w:t xml:space="preserve"> and </w:t>
      </w:r>
      <w:r w:rsidRPr="00954547">
        <w:rPr>
          <w:rFonts w:ascii="Verdana" w:hAnsi="Verdana"/>
          <w:sz w:val="16"/>
          <w:szCs w:val="16"/>
        </w:rPr>
        <w:t>169.</w:t>
      </w:r>
    </w:p>
  </w:footnote>
  <w:footnote w:id="235">
    <w:p w14:paraId="31EB7B4E" w14:textId="386339E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Apitz </w:t>
      </w:r>
      <w:r w:rsidR="0039456F" w:rsidRPr="00954547">
        <w:rPr>
          <w:rFonts w:ascii="Verdana" w:hAnsi="Verdana"/>
          <w:i/>
          <w:sz w:val="16"/>
          <w:szCs w:val="16"/>
        </w:rPr>
        <w:t>Barbera et al. (“First Court of Administrative Disputes”)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Venezuela.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39456F" w:rsidRPr="00954547">
        <w:rPr>
          <w:rFonts w:ascii="Verdana" w:hAnsi="Verdana"/>
          <w:sz w:val="16"/>
          <w:szCs w:val="16"/>
        </w:rPr>
        <w:t>August 5,</w:t>
      </w:r>
      <w:r w:rsidRPr="00954547">
        <w:rPr>
          <w:rFonts w:ascii="Verdana" w:hAnsi="Verdana"/>
          <w:sz w:val="16"/>
          <w:szCs w:val="16"/>
        </w:rPr>
        <w:t xml:space="preserve"> 2008. </w:t>
      </w:r>
      <w:r w:rsidR="00B8393C" w:rsidRPr="00954547">
        <w:rPr>
          <w:rFonts w:ascii="Verdana" w:hAnsi="Verdana"/>
          <w:sz w:val="16"/>
          <w:szCs w:val="16"/>
        </w:rPr>
        <w:t xml:space="preserve">Series </w:t>
      </w:r>
      <w:r w:rsidRPr="00954547">
        <w:rPr>
          <w:rFonts w:ascii="Verdana" w:hAnsi="Verdana"/>
          <w:sz w:val="16"/>
          <w:szCs w:val="16"/>
        </w:rPr>
        <w:t>C No. 182,</w:t>
      </w:r>
      <w:r w:rsidRPr="00954547">
        <w:rPr>
          <w:rFonts w:ascii="Verdana" w:hAnsi="Verdana"/>
          <w:i/>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56,</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Ríos Avalos</w:t>
      </w:r>
      <w:r w:rsidR="0078694F" w:rsidRPr="00954547">
        <w:rPr>
          <w:rFonts w:ascii="Verdana" w:hAnsi="Verdana"/>
          <w:i/>
          <w:sz w:val="16"/>
          <w:szCs w:val="16"/>
        </w:rPr>
        <w:t xml:space="preserve"> </w:t>
      </w:r>
      <w:r w:rsidR="0039456F" w:rsidRPr="00954547">
        <w:rPr>
          <w:rFonts w:ascii="Verdana" w:hAnsi="Verdana"/>
          <w:i/>
          <w:sz w:val="16"/>
          <w:szCs w:val="16"/>
        </w:rPr>
        <w:t xml:space="preserve">et al. </w:t>
      </w:r>
      <w:r w:rsidR="009C16A1" w:rsidRPr="00954547">
        <w:rPr>
          <w:rFonts w:ascii="Verdana" w:hAnsi="Verdana"/>
          <w:i/>
          <w:sz w:val="16"/>
          <w:szCs w:val="16"/>
        </w:rPr>
        <w:t>v.</w:t>
      </w:r>
      <w:r w:rsidRPr="00954547">
        <w:rPr>
          <w:rFonts w:ascii="Verdana" w:hAnsi="Verdana"/>
          <w:i/>
          <w:sz w:val="16"/>
          <w:szCs w:val="16"/>
        </w:rPr>
        <w:t xml:space="preserve"> Paraguay.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39456F" w:rsidRPr="00954547">
        <w:rPr>
          <w:rFonts w:ascii="Verdana" w:hAnsi="Verdana"/>
          <w:sz w:val="16"/>
          <w:szCs w:val="16"/>
        </w:rPr>
        <w:t>August 19,</w:t>
      </w:r>
      <w:r w:rsidRPr="00954547">
        <w:rPr>
          <w:rFonts w:ascii="Verdana" w:hAnsi="Verdana"/>
          <w:sz w:val="16"/>
          <w:szCs w:val="16"/>
        </w:rPr>
        <w:t xml:space="preserve"> 2021. </w:t>
      </w:r>
      <w:r w:rsidR="00B8393C" w:rsidRPr="00954547">
        <w:rPr>
          <w:rFonts w:ascii="Verdana" w:hAnsi="Verdana"/>
          <w:sz w:val="16"/>
          <w:szCs w:val="16"/>
        </w:rPr>
        <w:t xml:space="preserve">Series </w:t>
      </w:r>
      <w:r w:rsidRPr="00954547">
        <w:rPr>
          <w:rFonts w:ascii="Verdana" w:hAnsi="Verdana"/>
          <w:sz w:val="16"/>
          <w:szCs w:val="16"/>
        </w:rPr>
        <w:t xml:space="preserve">C No. 429, </w:t>
      </w:r>
      <w:r w:rsidR="00B10E5A" w:rsidRPr="00954547">
        <w:rPr>
          <w:rFonts w:ascii="Verdana" w:hAnsi="Verdana"/>
          <w:sz w:val="16"/>
          <w:szCs w:val="16"/>
        </w:rPr>
        <w:t>para.</w:t>
      </w:r>
      <w:r w:rsidRPr="00954547">
        <w:rPr>
          <w:rFonts w:ascii="Verdana" w:hAnsi="Verdana"/>
          <w:sz w:val="16"/>
          <w:szCs w:val="16"/>
        </w:rPr>
        <w:t xml:space="preserve"> 118.</w:t>
      </w:r>
    </w:p>
  </w:footnote>
  <w:footnote w:id="236">
    <w:p w14:paraId="31E620F9" w14:textId="1E89E1E1" w:rsidR="005F001B" w:rsidRPr="00954547" w:rsidRDefault="005F001B" w:rsidP="007619E6">
      <w:pPr>
        <w:pStyle w:val="FootnoteText"/>
        <w:tabs>
          <w:tab w:val="left" w:pos="567"/>
          <w:tab w:val="left" w:pos="3402"/>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Apitz </w:t>
      </w:r>
      <w:r w:rsidR="0039456F" w:rsidRPr="00954547">
        <w:rPr>
          <w:rFonts w:ascii="Verdana" w:hAnsi="Verdana"/>
          <w:i/>
          <w:sz w:val="16"/>
          <w:szCs w:val="16"/>
        </w:rPr>
        <w:t>Barbera et al. (“First Court of Administrative Disputes”)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Venezuela, supra</w:t>
      </w:r>
      <w:r w:rsidRPr="00954547">
        <w:rPr>
          <w:rFonts w:ascii="Verdana" w:hAnsi="Verdana"/>
          <w:sz w:val="16"/>
          <w:szCs w:val="16"/>
        </w:rPr>
        <w:t>,</w:t>
      </w:r>
      <w:r w:rsidRPr="00954547">
        <w:rPr>
          <w:rFonts w:ascii="Verdana" w:hAnsi="Verdana"/>
          <w:i/>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56,</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Ríos Avalos</w:t>
      </w:r>
      <w:r w:rsidR="0078694F" w:rsidRPr="00954547">
        <w:rPr>
          <w:rFonts w:ascii="Verdana" w:hAnsi="Verdana"/>
          <w:i/>
          <w:sz w:val="16"/>
          <w:szCs w:val="16"/>
        </w:rPr>
        <w:t xml:space="preserve"> </w:t>
      </w:r>
      <w:r w:rsidR="00CD2912"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Paraguay,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119.</w:t>
      </w:r>
    </w:p>
  </w:footnote>
  <w:footnote w:id="237">
    <w:p w14:paraId="78B85BB9" w14:textId="4C21EB52" w:rsidR="005F001B" w:rsidRPr="00954547" w:rsidRDefault="005F001B" w:rsidP="007619E6">
      <w:pPr>
        <w:pStyle w:val="FootnoteText"/>
        <w:tabs>
          <w:tab w:val="left" w:pos="567"/>
          <w:tab w:val="left" w:pos="3402"/>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Suárez Rosero </w:t>
      </w:r>
      <w:r w:rsidR="009C16A1" w:rsidRPr="00954547">
        <w:rPr>
          <w:rFonts w:ascii="Verdana" w:hAnsi="Verdana"/>
          <w:i/>
          <w:sz w:val="16"/>
          <w:szCs w:val="16"/>
        </w:rPr>
        <w:t>v.</w:t>
      </w:r>
      <w:r w:rsidRPr="00954547">
        <w:rPr>
          <w:rFonts w:ascii="Verdana" w:hAnsi="Verdana"/>
          <w:i/>
          <w:sz w:val="16"/>
          <w:szCs w:val="16"/>
        </w:rPr>
        <w:t xml:space="preserve"> Ecuador. </w:t>
      </w:r>
      <w:r w:rsidR="00B74C4E" w:rsidRPr="00954547">
        <w:rPr>
          <w:rFonts w:ascii="Verdana" w:hAnsi="Verdana"/>
          <w:i/>
          <w:sz w:val="16"/>
          <w:szCs w:val="16"/>
        </w:rPr>
        <w:t>Merits</w:t>
      </w:r>
      <w:r w:rsidRPr="00954547">
        <w:rPr>
          <w:rFonts w:ascii="Verdana" w:hAnsi="Verdana"/>
          <w:i/>
          <w:sz w:val="16"/>
          <w:szCs w:val="16"/>
        </w:rPr>
        <w:t>, supra</w:t>
      </w:r>
      <w:r w:rsidRPr="00954547">
        <w:rPr>
          <w:rFonts w:ascii="Verdana" w:hAnsi="Verdana"/>
          <w:sz w:val="16"/>
          <w:szCs w:val="16"/>
        </w:rPr>
        <w:t>,</w:t>
      </w:r>
      <w:r w:rsidRPr="00954547">
        <w:rPr>
          <w:rFonts w:ascii="Verdana" w:hAnsi="Verdana"/>
          <w:i/>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77,</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Amrhein </w:t>
      </w:r>
      <w:r w:rsidR="00B8393C" w:rsidRPr="00954547">
        <w:rPr>
          <w:rFonts w:ascii="Verdana" w:hAnsi="Verdana"/>
          <w:i/>
          <w:sz w:val="16"/>
          <w:szCs w:val="16"/>
        </w:rPr>
        <w:t>et al. v.</w:t>
      </w:r>
      <w:r w:rsidRPr="00954547">
        <w:rPr>
          <w:rFonts w:ascii="Verdana" w:hAnsi="Verdana"/>
          <w:i/>
          <w:sz w:val="16"/>
          <w:szCs w:val="16"/>
        </w:rPr>
        <w:t xml:space="preserve"> Costa Rica,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387.</w:t>
      </w:r>
    </w:p>
  </w:footnote>
  <w:footnote w:id="238">
    <w:p w14:paraId="53A3BA8C" w14:textId="08D2A142" w:rsidR="005F001B" w:rsidRPr="00954547" w:rsidRDefault="005F001B" w:rsidP="007619E6">
      <w:pPr>
        <w:pStyle w:val="FootnoteText"/>
        <w:tabs>
          <w:tab w:val="left" w:pos="567"/>
          <w:tab w:val="left" w:pos="3402"/>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i/>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Ricardo Canese </w:t>
      </w:r>
      <w:r w:rsidR="009C16A1" w:rsidRPr="00954547">
        <w:rPr>
          <w:rFonts w:ascii="Verdana" w:hAnsi="Verdana"/>
          <w:i/>
          <w:sz w:val="16"/>
          <w:szCs w:val="16"/>
        </w:rPr>
        <w:t>v.</w:t>
      </w:r>
      <w:r w:rsidRPr="00954547">
        <w:rPr>
          <w:rFonts w:ascii="Verdana" w:hAnsi="Verdana"/>
          <w:i/>
          <w:sz w:val="16"/>
          <w:szCs w:val="16"/>
        </w:rPr>
        <w:t xml:space="preserve"> Paraguay. </w:t>
      </w:r>
      <w:r w:rsidR="00A70DC4" w:rsidRPr="00954547">
        <w:rPr>
          <w:rFonts w:ascii="Verdana" w:hAnsi="Verdana"/>
          <w:i/>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August 31,</w:t>
      </w:r>
      <w:r w:rsidRPr="00954547">
        <w:rPr>
          <w:rFonts w:ascii="Verdana" w:hAnsi="Verdana"/>
          <w:sz w:val="16"/>
          <w:szCs w:val="16"/>
        </w:rPr>
        <w:t xml:space="preserve"> 2004. </w:t>
      </w:r>
      <w:r w:rsidR="00B8393C" w:rsidRPr="00954547">
        <w:rPr>
          <w:rFonts w:ascii="Verdana" w:hAnsi="Verdana"/>
          <w:sz w:val="16"/>
          <w:szCs w:val="16"/>
        </w:rPr>
        <w:t xml:space="preserve">Series </w:t>
      </w:r>
      <w:r w:rsidRPr="00954547">
        <w:rPr>
          <w:rFonts w:ascii="Verdana" w:hAnsi="Verdana"/>
          <w:sz w:val="16"/>
          <w:szCs w:val="16"/>
        </w:rPr>
        <w:t xml:space="preserve">C No. 111, </w:t>
      </w:r>
      <w:r w:rsidR="00B10E5A" w:rsidRPr="00954547">
        <w:rPr>
          <w:rFonts w:ascii="Verdana" w:hAnsi="Verdana"/>
          <w:sz w:val="16"/>
          <w:szCs w:val="16"/>
        </w:rPr>
        <w:t>para.</w:t>
      </w:r>
      <w:r w:rsidRPr="00954547">
        <w:rPr>
          <w:rFonts w:ascii="Verdana" w:hAnsi="Verdana"/>
          <w:sz w:val="16"/>
          <w:szCs w:val="16"/>
        </w:rPr>
        <w:t xml:space="preserve"> 154,</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Herrera Espinoza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192.</w:t>
      </w:r>
    </w:p>
  </w:footnote>
  <w:footnote w:id="239">
    <w:p w14:paraId="4B386DE4" w14:textId="3FF46350" w:rsidR="005F001B" w:rsidRPr="005C1103" w:rsidRDefault="005F001B" w:rsidP="007619E6">
      <w:pPr>
        <w:tabs>
          <w:tab w:val="left" w:pos="567"/>
          <w:tab w:val="left" w:pos="720"/>
          <w:tab w:val="left" w:pos="3402"/>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Zegarra Marín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74C4E" w:rsidRPr="00954547">
        <w:rPr>
          <w:rFonts w:ascii="Verdana" w:hAnsi="Verdana"/>
          <w:sz w:val="16"/>
          <w:szCs w:val="16"/>
        </w:rPr>
        <w:t>February 15,</w:t>
      </w:r>
      <w:r w:rsidRPr="00954547">
        <w:rPr>
          <w:rFonts w:ascii="Verdana" w:hAnsi="Verdana"/>
          <w:sz w:val="16"/>
          <w:szCs w:val="16"/>
        </w:rPr>
        <w:t xml:space="preserve"> 2017. </w:t>
      </w:r>
      <w:r w:rsidR="00B8393C" w:rsidRPr="00954547">
        <w:rPr>
          <w:rFonts w:ascii="Verdana" w:hAnsi="Verdana"/>
          <w:sz w:val="16"/>
          <w:szCs w:val="16"/>
        </w:rPr>
        <w:t xml:space="preserve">Series </w:t>
      </w:r>
      <w:r w:rsidRPr="00954547">
        <w:rPr>
          <w:rFonts w:ascii="Verdana" w:hAnsi="Verdana"/>
          <w:sz w:val="16"/>
          <w:szCs w:val="16"/>
        </w:rPr>
        <w:t xml:space="preserve">C No. 331, </w:t>
      </w:r>
      <w:r w:rsidR="00B10E5A" w:rsidRPr="00954547">
        <w:rPr>
          <w:rFonts w:ascii="Verdana" w:hAnsi="Verdana"/>
          <w:sz w:val="16"/>
          <w:szCs w:val="16"/>
        </w:rPr>
        <w:t>para.</w:t>
      </w:r>
      <w:r w:rsidRPr="00954547">
        <w:rPr>
          <w:rFonts w:ascii="Verdana" w:hAnsi="Verdana"/>
          <w:sz w:val="16"/>
          <w:szCs w:val="16"/>
        </w:rPr>
        <w:t xml:space="preserve"> 123. </w:t>
      </w:r>
      <w:r w:rsidR="00B74C4E" w:rsidRPr="00954547">
        <w:rPr>
          <w:rFonts w:ascii="Verdana" w:hAnsi="Verdana"/>
          <w:sz w:val="16"/>
          <w:szCs w:val="16"/>
        </w:rPr>
        <w:t>The</w:t>
      </w:r>
      <w:r w:rsidRPr="00954547">
        <w:rPr>
          <w:rFonts w:ascii="Verdana" w:hAnsi="Verdana"/>
          <w:sz w:val="16"/>
          <w:szCs w:val="16"/>
        </w:rPr>
        <w:t xml:space="preserve"> </w:t>
      </w:r>
      <w:r w:rsidR="008C4B22" w:rsidRPr="00954547">
        <w:rPr>
          <w:rFonts w:ascii="Verdana" w:hAnsi="Verdana"/>
          <w:sz w:val="16"/>
          <w:szCs w:val="16"/>
        </w:rPr>
        <w:t>Human Rights Committee</w:t>
      </w:r>
      <w:r w:rsidRPr="00954547">
        <w:rPr>
          <w:rFonts w:ascii="Verdana" w:hAnsi="Verdana"/>
          <w:sz w:val="16"/>
          <w:szCs w:val="16"/>
        </w:rPr>
        <w:t xml:space="preserve"> </w:t>
      </w:r>
      <w:r w:rsidR="00B74C4E" w:rsidRPr="00954547">
        <w:rPr>
          <w:rFonts w:ascii="Verdana" w:hAnsi="Verdana"/>
          <w:sz w:val="16"/>
          <w:szCs w:val="16"/>
        </w:rPr>
        <w:t xml:space="preserve">of the Covenant on Civil and Political Rights has ruled similarly. </w:t>
      </w:r>
      <w:r w:rsidR="008C4B22" w:rsidRPr="00954547">
        <w:rPr>
          <w:rFonts w:ascii="Verdana" w:hAnsi="Verdana"/>
          <w:sz w:val="16"/>
          <w:szCs w:val="16"/>
        </w:rPr>
        <w:t>Human Rights Committee</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w:t>
      </w:r>
      <w:r w:rsidR="00B74C4E" w:rsidRPr="00954547">
        <w:rPr>
          <w:rFonts w:ascii="Verdana" w:hAnsi="Verdana"/>
          <w:sz w:val="16"/>
          <w:szCs w:val="16"/>
        </w:rPr>
        <w:t>No.</w:t>
      </w:r>
      <w:r w:rsidRPr="00954547">
        <w:rPr>
          <w:rFonts w:ascii="Verdana" w:hAnsi="Verdana"/>
          <w:sz w:val="16"/>
          <w:szCs w:val="16"/>
        </w:rPr>
        <w:t xml:space="preserve"> 32, </w:t>
      </w:r>
      <w:r w:rsidR="004167D8" w:rsidRPr="00954547">
        <w:rPr>
          <w:rFonts w:ascii="Verdana" w:hAnsi="Verdana"/>
          <w:sz w:val="16"/>
          <w:szCs w:val="16"/>
        </w:rPr>
        <w:t xml:space="preserve">The right to equality before courts and tribunals and to a fair trial </w:t>
      </w:r>
      <w:r w:rsidRPr="00954547">
        <w:rPr>
          <w:rFonts w:ascii="Verdana" w:hAnsi="Verdana"/>
          <w:sz w:val="16"/>
          <w:szCs w:val="16"/>
        </w:rPr>
        <w:t xml:space="preserve">(HRI/GEN/1/Rev.9 (vol. </w:t>
      </w:r>
      <w:r w:rsidRPr="005C1103">
        <w:rPr>
          <w:rFonts w:ascii="Verdana" w:hAnsi="Verdana"/>
          <w:sz w:val="16"/>
          <w:szCs w:val="16"/>
        </w:rPr>
        <w:t xml:space="preserve">I)), </w:t>
      </w:r>
      <w:r w:rsidR="00B10E5A" w:rsidRPr="005C1103">
        <w:rPr>
          <w:rFonts w:ascii="Verdana" w:hAnsi="Verdana"/>
          <w:sz w:val="16"/>
          <w:szCs w:val="16"/>
        </w:rPr>
        <w:t>para.</w:t>
      </w:r>
      <w:r w:rsidRPr="005C1103">
        <w:rPr>
          <w:rFonts w:ascii="Verdana" w:hAnsi="Verdana"/>
          <w:sz w:val="16"/>
          <w:szCs w:val="16"/>
        </w:rPr>
        <w:t xml:space="preserve"> 30.</w:t>
      </w:r>
    </w:p>
  </w:footnote>
  <w:footnote w:id="240">
    <w:p w14:paraId="4EDCA649" w14:textId="3469CE30" w:rsidR="005F001B" w:rsidRPr="00954547" w:rsidRDefault="005F001B" w:rsidP="007619E6">
      <w:pPr>
        <w:tabs>
          <w:tab w:val="left" w:pos="567"/>
          <w:tab w:val="left" w:pos="720"/>
        </w:tabs>
        <w:spacing w:after="120"/>
        <w:jc w:val="both"/>
        <w:rPr>
          <w:rFonts w:ascii="Verdana" w:hAnsi="Verdana"/>
          <w:sz w:val="16"/>
          <w:szCs w:val="16"/>
        </w:rPr>
      </w:pPr>
      <w:r w:rsidRPr="00954547">
        <w:rPr>
          <w:rStyle w:val="FootnoteReference"/>
          <w:rFonts w:ascii="Verdana" w:hAnsi="Verdana"/>
          <w:sz w:val="16"/>
          <w:szCs w:val="16"/>
        </w:rPr>
        <w:footnoteRef/>
      </w:r>
      <w:r w:rsidRPr="005C1103">
        <w:rPr>
          <w:rFonts w:ascii="Verdana" w:hAnsi="Verdana"/>
          <w:sz w:val="16"/>
          <w:szCs w:val="16"/>
        </w:rPr>
        <w:t xml:space="preserve"> </w:t>
      </w:r>
      <w:r w:rsidRPr="005C1103">
        <w:rPr>
          <w:rFonts w:ascii="Verdana" w:hAnsi="Verdana"/>
          <w:sz w:val="16"/>
          <w:szCs w:val="16"/>
        </w:rPr>
        <w:tab/>
      </w:r>
      <w:r w:rsidR="00B8393C" w:rsidRPr="005C1103">
        <w:rPr>
          <w:rFonts w:ascii="Verdana" w:hAnsi="Verdana"/>
          <w:i/>
          <w:sz w:val="16"/>
          <w:szCs w:val="16"/>
        </w:rPr>
        <w:t>Cf.</w:t>
      </w:r>
      <w:r w:rsidRPr="005C1103">
        <w:rPr>
          <w:rFonts w:ascii="Verdana" w:hAnsi="Verdana"/>
          <w:sz w:val="16"/>
          <w:szCs w:val="16"/>
        </w:rPr>
        <w:t xml:space="preserve"> </w:t>
      </w:r>
      <w:r w:rsidR="002F4617" w:rsidRPr="005C1103">
        <w:rPr>
          <w:rFonts w:ascii="Verdana" w:hAnsi="Verdana" w:cs="Verdana"/>
          <w:bCs/>
          <w:i/>
          <w:sz w:val="16"/>
          <w:szCs w:val="16"/>
        </w:rPr>
        <w:t>Case of</w:t>
      </w:r>
      <w:r w:rsidRPr="005C1103">
        <w:rPr>
          <w:rFonts w:ascii="Verdana" w:hAnsi="Verdana" w:cs="Verdana"/>
          <w:bCs/>
          <w:i/>
          <w:sz w:val="16"/>
          <w:szCs w:val="16"/>
        </w:rPr>
        <w:t xml:space="preserve"> Cabrera García</w:t>
      </w:r>
      <w:r w:rsidR="0078694F" w:rsidRPr="005C1103">
        <w:rPr>
          <w:rFonts w:ascii="Verdana" w:hAnsi="Verdana" w:cs="Verdana"/>
          <w:bCs/>
          <w:i/>
          <w:sz w:val="16"/>
          <w:szCs w:val="16"/>
        </w:rPr>
        <w:t xml:space="preserve"> and </w:t>
      </w:r>
      <w:r w:rsidRPr="005C1103">
        <w:rPr>
          <w:rFonts w:ascii="Verdana" w:hAnsi="Verdana" w:cs="Verdana"/>
          <w:bCs/>
          <w:i/>
          <w:sz w:val="16"/>
          <w:szCs w:val="16"/>
        </w:rPr>
        <w:t xml:space="preserve">Montiel Flores </w:t>
      </w:r>
      <w:r w:rsidR="009C16A1" w:rsidRPr="005C1103">
        <w:rPr>
          <w:rFonts w:ascii="Verdana" w:hAnsi="Verdana" w:cs="Verdana"/>
          <w:bCs/>
          <w:i/>
          <w:sz w:val="16"/>
          <w:szCs w:val="16"/>
        </w:rPr>
        <w:t>v.</w:t>
      </w:r>
      <w:r w:rsidRPr="005C1103">
        <w:rPr>
          <w:rFonts w:ascii="Verdana" w:hAnsi="Verdana" w:cs="Verdana"/>
          <w:bCs/>
          <w:i/>
          <w:sz w:val="16"/>
          <w:szCs w:val="16"/>
        </w:rPr>
        <w:t xml:space="preserve"> </w:t>
      </w:r>
      <w:r w:rsidR="000A2350" w:rsidRPr="005C1103">
        <w:rPr>
          <w:rFonts w:ascii="Verdana" w:hAnsi="Verdana" w:cs="Verdana"/>
          <w:bCs/>
          <w:i/>
          <w:sz w:val="16"/>
          <w:szCs w:val="16"/>
        </w:rPr>
        <w:t>Mexico</w:t>
      </w:r>
      <w:r w:rsidRPr="005C1103">
        <w:rPr>
          <w:rFonts w:ascii="Verdana" w:hAnsi="Verdana" w:cs="Verdana"/>
          <w:bCs/>
          <w:i/>
          <w:sz w:val="16"/>
          <w:szCs w:val="16"/>
        </w:rPr>
        <w:t>, supra</w:t>
      </w:r>
      <w:r w:rsidRPr="005C1103">
        <w:rPr>
          <w:rFonts w:ascii="Verdana" w:hAnsi="Verdana" w:cs="Verdana"/>
          <w:bCs/>
          <w:sz w:val="16"/>
          <w:szCs w:val="16"/>
        </w:rPr>
        <w:t>,</w:t>
      </w:r>
      <w:r w:rsidRPr="005C1103">
        <w:rPr>
          <w:rFonts w:ascii="Verdana" w:hAnsi="Verdana" w:cs="Verdana"/>
          <w:bCs/>
          <w:i/>
          <w:sz w:val="16"/>
          <w:szCs w:val="16"/>
        </w:rPr>
        <w:t xml:space="preserve"> </w:t>
      </w:r>
      <w:r w:rsidR="00B10E5A" w:rsidRPr="005C1103">
        <w:rPr>
          <w:rFonts w:ascii="Verdana" w:hAnsi="Verdana" w:cs="Verdana"/>
          <w:sz w:val="16"/>
          <w:szCs w:val="16"/>
        </w:rPr>
        <w:t>para.</w:t>
      </w:r>
      <w:r w:rsidRPr="005C1103">
        <w:rPr>
          <w:rFonts w:ascii="Verdana" w:hAnsi="Verdana" w:cs="Verdana"/>
          <w:sz w:val="16"/>
          <w:szCs w:val="16"/>
        </w:rPr>
        <w:t xml:space="preserve"> 184</w:t>
      </w:r>
      <w:r w:rsidRPr="005C1103">
        <w:rPr>
          <w:rFonts w:ascii="Verdana" w:hAnsi="Verdana"/>
          <w:sz w:val="16"/>
          <w:szCs w:val="16"/>
        </w:rPr>
        <w:t>,</w:t>
      </w:r>
      <w:r w:rsidR="0078694F" w:rsidRPr="005C1103">
        <w:rPr>
          <w:rFonts w:ascii="Verdana" w:hAnsi="Verdana"/>
          <w:sz w:val="16"/>
          <w:szCs w:val="16"/>
        </w:rPr>
        <w:t xml:space="preserve"> and </w:t>
      </w:r>
      <w:r w:rsidR="002F4617" w:rsidRPr="005C1103">
        <w:rPr>
          <w:rFonts w:ascii="Verdana" w:hAnsi="Verdana"/>
          <w:i/>
          <w:sz w:val="16"/>
          <w:szCs w:val="16"/>
        </w:rPr>
        <w:t>Case of</w:t>
      </w:r>
      <w:r w:rsidRPr="005C1103">
        <w:rPr>
          <w:rFonts w:ascii="Verdana" w:hAnsi="Verdana"/>
          <w:i/>
          <w:sz w:val="16"/>
          <w:szCs w:val="16"/>
        </w:rPr>
        <w:t xml:space="preserve"> Rodríguez Revolorio </w:t>
      </w:r>
      <w:r w:rsidR="00B8393C" w:rsidRPr="005C1103">
        <w:rPr>
          <w:rFonts w:ascii="Verdana" w:hAnsi="Verdana"/>
          <w:i/>
          <w:sz w:val="16"/>
          <w:szCs w:val="16"/>
        </w:rPr>
        <w:t>et al. v.</w:t>
      </w:r>
      <w:r w:rsidRPr="005C1103">
        <w:rPr>
          <w:rFonts w:ascii="Verdana" w:hAnsi="Verdana"/>
          <w:i/>
          <w:sz w:val="16"/>
          <w:szCs w:val="16"/>
        </w:rPr>
        <w:t xml:space="preserve"> Guatemala, supra</w:t>
      </w:r>
      <w:r w:rsidRPr="005C1103">
        <w:rPr>
          <w:rFonts w:ascii="Verdana" w:hAnsi="Verdana"/>
          <w:sz w:val="16"/>
          <w:szCs w:val="16"/>
        </w:rPr>
        <w:t xml:space="preserve">, </w:t>
      </w:r>
      <w:r w:rsidR="00B10E5A" w:rsidRPr="005C1103">
        <w:rPr>
          <w:rFonts w:ascii="Verdana" w:hAnsi="Verdana"/>
          <w:sz w:val="16"/>
          <w:szCs w:val="16"/>
        </w:rPr>
        <w:t>para.</w:t>
      </w:r>
      <w:r w:rsidRPr="005C1103">
        <w:rPr>
          <w:rFonts w:ascii="Verdana" w:hAnsi="Verdana"/>
          <w:sz w:val="16"/>
          <w:szCs w:val="16"/>
        </w:rPr>
        <w:t xml:space="preserve"> </w:t>
      </w:r>
      <w:r w:rsidRPr="00954547">
        <w:rPr>
          <w:rFonts w:ascii="Verdana" w:hAnsi="Verdana"/>
          <w:sz w:val="16"/>
          <w:szCs w:val="16"/>
        </w:rPr>
        <w:t>109.</w:t>
      </w:r>
    </w:p>
  </w:footnote>
  <w:footnote w:id="241">
    <w:p w14:paraId="0C940E75" w14:textId="6274C39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w:t>
      </w:r>
      <w:r w:rsidR="00B939BF" w:rsidRPr="00954547">
        <w:rPr>
          <w:rFonts w:ascii="Verdana" w:hAnsi="Verdana"/>
          <w:i/>
          <w:sz w:val="16"/>
          <w:szCs w:val="16"/>
        </w:rPr>
        <w:t>González et al. (“Cotton Field”)</w:t>
      </w:r>
      <w:r w:rsidR="009C16A1" w:rsidRPr="00954547">
        <w:rPr>
          <w:rFonts w:ascii="Verdana" w:hAnsi="Verdana"/>
          <w:i/>
          <w:sz w:val="16"/>
          <w:szCs w:val="16"/>
        </w:rPr>
        <w:t>v.</w:t>
      </w:r>
      <w:r w:rsidRPr="00954547">
        <w:rPr>
          <w:rFonts w:ascii="Verdana" w:hAnsi="Verdana"/>
          <w:i/>
          <w:sz w:val="16"/>
          <w:szCs w:val="16"/>
        </w:rPr>
        <w:t xml:space="preserve"> </w:t>
      </w:r>
      <w:r w:rsidR="000A2350" w:rsidRPr="00954547">
        <w:rPr>
          <w:rFonts w:ascii="Verdana" w:hAnsi="Verdana"/>
          <w:i/>
          <w:sz w:val="16"/>
          <w:szCs w:val="16"/>
        </w:rPr>
        <w:t>Mexico</w:t>
      </w:r>
      <w:r w:rsidRPr="00954547">
        <w:rPr>
          <w:rFonts w:ascii="Verdana" w:hAnsi="Verdana"/>
          <w:i/>
          <w:sz w:val="16"/>
          <w:szCs w:val="16"/>
        </w:rPr>
        <w:t xml:space="preserve">.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939BF" w:rsidRPr="00954547">
        <w:rPr>
          <w:rFonts w:ascii="Verdana" w:hAnsi="Verdana"/>
          <w:sz w:val="16"/>
          <w:szCs w:val="16"/>
        </w:rPr>
        <w:t>November 16,</w:t>
      </w:r>
      <w:r w:rsidRPr="00954547">
        <w:rPr>
          <w:rFonts w:ascii="Verdana" w:hAnsi="Verdana"/>
          <w:sz w:val="16"/>
          <w:szCs w:val="16"/>
        </w:rPr>
        <w:t xml:space="preserve"> 2009. </w:t>
      </w:r>
      <w:r w:rsidR="00B8393C" w:rsidRPr="00954547">
        <w:rPr>
          <w:rFonts w:ascii="Verdana" w:hAnsi="Verdana"/>
          <w:sz w:val="16"/>
          <w:szCs w:val="16"/>
        </w:rPr>
        <w:t xml:space="preserve">Series </w:t>
      </w:r>
      <w:r w:rsidRPr="00954547">
        <w:rPr>
          <w:rFonts w:ascii="Verdana" w:hAnsi="Verdana"/>
          <w:sz w:val="16"/>
          <w:szCs w:val="16"/>
        </w:rPr>
        <w:t xml:space="preserve">C No. 205, </w:t>
      </w:r>
      <w:r w:rsidR="00B10E5A" w:rsidRPr="00954547">
        <w:rPr>
          <w:rFonts w:ascii="Verdana" w:hAnsi="Verdana"/>
          <w:sz w:val="16"/>
          <w:szCs w:val="16"/>
        </w:rPr>
        <w:t>para.</w:t>
      </w:r>
      <w:r w:rsidRPr="00954547">
        <w:rPr>
          <w:rFonts w:ascii="Verdana" w:hAnsi="Verdana"/>
          <w:sz w:val="16"/>
          <w:szCs w:val="16"/>
        </w:rPr>
        <w:t xml:space="preserve"> 401,</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Guzmán </w:t>
      </w:r>
      <w:r w:rsidR="00D44DFF" w:rsidRPr="00954547">
        <w:rPr>
          <w:rFonts w:ascii="Verdana" w:hAnsi="Verdana"/>
          <w:i/>
          <w:sz w:val="16"/>
          <w:szCs w:val="16"/>
        </w:rPr>
        <w:t>Albarracín 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D44DFF" w:rsidRPr="00954547">
        <w:rPr>
          <w:rFonts w:ascii="Verdana" w:hAnsi="Verdana"/>
          <w:sz w:val="16"/>
          <w:szCs w:val="16"/>
        </w:rPr>
        <w:t>June 24,</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 xml:space="preserve">C No. 405, </w:t>
      </w:r>
      <w:r w:rsidR="00B10E5A" w:rsidRPr="00954547">
        <w:rPr>
          <w:rFonts w:ascii="Verdana" w:hAnsi="Verdana"/>
          <w:sz w:val="16"/>
          <w:szCs w:val="16"/>
        </w:rPr>
        <w:t>para.</w:t>
      </w:r>
      <w:r w:rsidRPr="00954547">
        <w:rPr>
          <w:rFonts w:ascii="Verdana" w:hAnsi="Verdana"/>
          <w:sz w:val="16"/>
          <w:szCs w:val="16"/>
        </w:rPr>
        <w:t xml:space="preserve"> 188.</w:t>
      </w:r>
    </w:p>
  </w:footnote>
  <w:footnote w:id="242">
    <w:p w14:paraId="4428D9FF" w14:textId="4153236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D44DFF" w:rsidRPr="00954547">
        <w:rPr>
          <w:rFonts w:ascii="Verdana" w:hAnsi="Verdana"/>
          <w:sz w:val="16"/>
          <w:szCs w:val="16"/>
        </w:rPr>
        <w:t>Office of the</w:t>
      </w:r>
      <w:r w:rsidR="00053A7C" w:rsidRPr="00954547">
        <w:rPr>
          <w:rFonts w:ascii="Verdana" w:hAnsi="Verdana"/>
          <w:sz w:val="16"/>
          <w:szCs w:val="16"/>
        </w:rPr>
        <w:t xml:space="preserve"> </w:t>
      </w:r>
      <w:r w:rsidR="002A45FD" w:rsidRPr="00954547">
        <w:rPr>
          <w:rFonts w:ascii="Verdana" w:hAnsi="Verdana"/>
          <w:sz w:val="16"/>
          <w:szCs w:val="16"/>
        </w:rPr>
        <w:t>United Nations High Commissioner for Human Rights</w:t>
      </w:r>
      <w:r w:rsidRPr="00954547">
        <w:rPr>
          <w:rFonts w:ascii="Verdana" w:hAnsi="Verdana"/>
          <w:sz w:val="16"/>
          <w:szCs w:val="16"/>
        </w:rPr>
        <w:t xml:space="preserve">, </w:t>
      </w:r>
      <w:r w:rsidR="00D44DFF" w:rsidRPr="00954547">
        <w:rPr>
          <w:rFonts w:ascii="Verdana" w:hAnsi="Verdana"/>
          <w:sz w:val="16"/>
          <w:szCs w:val="16"/>
        </w:rPr>
        <w:t xml:space="preserve">Background paper on the role of the judiciary in addressing the harmful gender stereotypes related to sexual and reproductive health and rights, p. </w:t>
      </w:r>
      <w:r w:rsidRPr="00954547">
        <w:rPr>
          <w:rFonts w:ascii="Verdana" w:hAnsi="Verdana"/>
          <w:sz w:val="16"/>
          <w:szCs w:val="16"/>
        </w:rPr>
        <w:t xml:space="preserve">2. </w:t>
      </w:r>
      <w:r w:rsidR="002F4617" w:rsidRPr="00954547">
        <w:rPr>
          <w:rFonts w:ascii="Verdana" w:hAnsi="Verdana"/>
          <w:sz w:val="16"/>
          <w:szCs w:val="16"/>
        </w:rPr>
        <w:t>Available at</w:t>
      </w:r>
      <w:r w:rsidRPr="00954547">
        <w:rPr>
          <w:rFonts w:ascii="Verdana" w:hAnsi="Verdana"/>
          <w:sz w:val="16"/>
          <w:szCs w:val="16"/>
        </w:rPr>
        <w:t>: https://www.ohchr.org/Documents/Issues/Women/WRGS/JudiciaryRoleCounterStereotypes_</w:t>
      </w:r>
      <w:r w:rsidR="00D44DFF" w:rsidRPr="00954547">
        <w:rPr>
          <w:rFonts w:ascii="Verdana" w:hAnsi="Verdana"/>
          <w:sz w:val="16"/>
          <w:szCs w:val="16"/>
        </w:rPr>
        <w:t>EN.</w:t>
      </w:r>
      <w:r w:rsidRPr="00954547">
        <w:rPr>
          <w:rFonts w:ascii="Verdana" w:hAnsi="Verdana"/>
          <w:sz w:val="16"/>
          <w:szCs w:val="16"/>
        </w:rPr>
        <w:t>pdf</w:t>
      </w:r>
    </w:p>
  </w:footnote>
  <w:footnote w:id="243">
    <w:p w14:paraId="239B1DD9" w14:textId="7FA75631"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Pr="00954547">
        <w:rPr>
          <w:rFonts w:ascii="Verdana" w:hAnsi="Verdana"/>
          <w:sz w:val="16"/>
          <w:szCs w:val="16"/>
        </w:rPr>
        <w:t xml:space="preserve">CEDAW, </w:t>
      </w:r>
      <w:r w:rsidR="00A30817" w:rsidRPr="00954547">
        <w:rPr>
          <w:rFonts w:ascii="Verdana" w:hAnsi="Verdana"/>
          <w:sz w:val="16"/>
          <w:szCs w:val="16"/>
        </w:rPr>
        <w:t>General recommendation</w:t>
      </w:r>
      <w:r w:rsidRPr="00954547">
        <w:rPr>
          <w:rFonts w:ascii="Verdana" w:hAnsi="Verdana"/>
          <w:sz w:val="16"/>
          <w:szCs w:val="16"/>
        </w:rPr>
        <w:t xml:space="preserve"> No. 33</w:t>
      </w:r>
      <w:r w:rsidR="00BA6705" w:rsidRPr="00954547">
        <w:rPr>
          <w:rFonts w:ascii="Verdana" w:hAnsi="Verdana"/>
          <w:sz w:val="16"/>
          <w:szCs w:val="16"/>
        </w:rPr>
        <w:t xml:space="preserve"> on women’s access to justice,</w:t>
      </w:r>
      <w:r w:rsidRPr="00954547">
        <w:rPr>
          <w:rFonts w:ascii="Verdana" w:hAnsi="Verdana"/>
          <w:sz w:val="16"/>
          <w:szCs w:val="16"/>
        </w:rPr>
        <w:t xml:space="preserve"> CEDAW/C/GC/33, </w:t>
      </w:r>
      <w:r w:rsidR="00BA6705" w:rsidRPr="00954547">
        <w:rPr>
          <w:rFonts w:ascii="Verdana" w:hAnsi="Verdana"/>
          <w:sz w:val="16"/>
          <w:szCs w:val="16"/>
        </w:rPr>
        <w:t xml:space="preserve">August </w:t>
      </w:r>
      <w:r w:rsidRPr="00954547">
        <w:rPr>
          <w:rFonts w:ascii="Verdana" w:hAnsi="Verdana"/>
          <w:sz w:val="16"/>
          <w:szCs w:val="16"/>
        </w:rPr>
        <w:t>3</w:t>
      </w:r>
      <w:r w:rsidR="00BA6705" w:rsidRPr="00954547">
        <w:rPr>
          <w:rFonts w:ascii="Verdana" w:hAnsi="Verdana"/>
          <w:sz w:val="16"/>
          <w:szCs w:val="16"/>
        </w:rPr>
        <w:t xml:space="preserve">, </w:t>
      </w:r>
      <w:r w:rsidRPr="00954547">
        <w:rPr>
          <w:rFonts w:ascii="Verdana" w:hAnsi="Verdana"/>
          <w:sz w:val="16"/>
          <w:szCs w:val="16"/>
        </w:rPr>
        <w:t>2015</w:t>
      </w:r>
      <w:r w:rsidRPr="00954547">
        <w:rPr>
          <w:rFonts w:ascii="Verdana" w:hAnsi="Verdana" w:cs="Times New Roman"/>
          <w:sz w:val="16"/>
          <w:szCs w:val="16"/>
        </w:rPr>
        <w:t xml:space="preserve">, </w:t>
      </w:r>
      <w:r w:rsidR="0052231D" w:rsidRPr="00954547">
        <w:rPr>
          <w:rFonts w:ascii="Verdana" w:hAnsi="Verdana" w:cs="Times New Roman"/>
          <w:sz w:val="16"/>
          <w:szCs w:val="16"/>
        </w:rPr>
        <w:t>paras.</w:t>
      </w:r>
      <w:r w:rsidRPr="00954547">
        <w:rPr>
          <w:rFonts w:ascii="Verdana" w:hAnsi="Verdana" w:cs="Times New Roman"/>
          <w:sz w:val="16"/>
          <w:szCs w:val="16"/>
        </w:rPr>
        <w:t xml:space="preserve"> </w:t>
      </w:r>
      <w:r w:rsidRPr="00954547">
        <w:rPr>
          <w:rFonts w:ascii="Verdana" w:hAnsi="Verdana"/>
          <w:sz w:val="16"/>
          <w:szCs w:val="16"/>
        </w:rPr>
        <w:t xml:space="preserve">26 </w:t>
      </w:r>
      <w:r w:rsidR="00BA6705" w:rsidRPr="00954547">
        <w:rPr>
          <w:rFonts w:ascii="Verdana" w:hAnsi="Verdana"/>
          <w:sz w:val="16"/>
          <w:szCs w:val="16"/>
        </w:rPr>
        <w:t>to</w:t>
      </w:r>
      <w:r w:rsidRPr="00954547">
        <w:rPr>
          <w:rFonts w:ascii="Verdana" w:hAnsi="Verdana"/>
          <w:sz w:val="16"/>
          <w:szCs w:val="16"/>
        </w:rPr>
        <w:t xml:space="preserve"> 28,</w:t>
      </w:r>
      <w:r w:rsidR="0078694F" w:rsidRPr="00954547">
        <w:rPr>
          <w:rFonts w:ascii="Verdana" w:hAnsi="Verdana"/>
          <w:sz w:val="16"/>
          <w:szCs w:val="16"/>
        </w:rPr>
        <w:t xml:space="preserve"> and </w:t>
      </w:r>
      <w:r w:rsidR="00BA6705" w:rsidRPr="00954547">
        <w:rPr>
          <w:rFonts w:ascii="Verdana" w:hAnsi="Verdana"/>
          <w:sz w:val="16"/>
          <w:szCs w:val="16"/>
        </w:rPr>
        <w:t xml:space="preserve">Office of the United Nations High Commissioner for Human Rights, Background paper on the role of the judiciary in addressing the harmful gender stereotypes related to sexual and reproductive health and rights, p. 5. Available at: </w:t>
      </w:r>
      <w:hyperlink r:id="rId19" w:history="1">
        <w:r w:rsidR="00E07520" w:rsidRPr="00954547">
          <w:rPr>
            <w:rStyle w:val="Hyperlink"/>
            <w:rFonts w:ascii="Verdana" w:hAnsi="Verdana"/>
            <w:sz w:val="16"/>
            <w:szCs w:val="16"/>
          </w:rPr>
          <w:t>https://www.ohchr.org/Documents/Issues/Women/WRGS/JudiciaryRoleCounter Stereotypes</w:t>
        </w:r>
      </w:hyperlink>
      <w:r w:rsidR="00BA6705" w:rsidRPr="00954547">
        <w:rPr>
          <w:rFonts w:ascii="Verdana" w:hAnsi="Verdana"/>
          <w:sz w:val="16"/>
          <w:szCs w:val="16"/>
        </w:rPr>
        <w:t>_EN.pdf</w:t>
      </w:r>
    </w:p>
  </w:footnote>
  <w:footnote w:id="244">
    <w:p w14:paraId="68E343F3" w14:textId="751D3BF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Zegarra Marín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142.</w:t>
      </w:r>
    </w:p>
  </w:footnote>
  <w:footnote w:id="245">
    <w:p w14:paraId="71B2BA0F" w14:textId="3642052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238.</w:t>
      </w:r>
      <w:r w:rsidR="00E07520" w:rsidRPr="00954547">
        <w:rPr>
          <w:rFonts w:ascii="Verdana" w:hAnsi="Verdana"/>
          <w:sz w:val="16"/>
          <w:szCs w:val="16"/>
        </w:rPr>
        <w:t xml:space="preserve"> As soon as the</w:t>
      </w:r>
      <w:r w:rsidR="009C3FD2" w:rsidRPr="00954547">
        <w:rPr>
          <w:rFonts w:ascii="Verdana" w:hAnsi="Verdana"/>
          <w:sz w:val="16"/>
          <w:szCs w:val="16"/>
        </w:rPr>
        <w:t xml:space="preserve"> Prosecutor General</w:t>
      </w:r>
      <w:r w:rsidRPr="00954547">
        <w:rPr>
          <w:rFonts w:ascii="Verdana" w:hAnsi="Verdana"/>
          <w:sz w:val="16"/>
          <w:szCs w:val="16"/>
        </w:rPr>
        <w:t xml:space="preserve"> </w:t>
      </w:r>
      <w:r w:rsidR="00E07520" w:rsidRPr="00954547">
        <w:rPr>
          <w:rFonts w:ascii="Verdana" w:hAnsi="Verdana"/>
          <w:sz w:val="16"/>
          <w:szCs w:val="16"/>
        </w:rPr>
        <w:t xml:space="preserve">becomes aware of a wrongful act, either by a report or in any other reliable way, he shall endeavor to ensure that there are no further consequences and shall initiate the investigation, </w:t>
      </w:r>
      <w:r w:rsidR="00306857" w:rsidRPr="00954547">
        <w:rPr>
          <w:rFonts w:ascii="Verdana" w:hAnsi="Verdana"/>
          <w:sz w:val="16"/>
          <w:szCs w:val="16"/>
        </w:rPr>
        <w:t>subject to</w:t>
      </w:r>
      <w:r w:rsidR="00E07520" w:rsidRPr="00954547">
        <w:rPr>
          <w:rFonts w:ascii="Verdana" w:hAnsi="Verdana"/>
          <w:sz w:val="16"/>
          <w:szCs w:val="16"/>
        </w:rPr>
        <w:t xml:space="preserve"> the exceptions authorized by this Code or by law.</w:t>
      </w:r>
      <w:r w:rsidR="00306857" w:rsidRPr="00954547">
        <w:rPr>
          <w:rFonts w:ascii="Verdana" w:hAnsi="Verdana"/>
          <w:sz w:val="16"/>
          <w:szCs w:val="16"/>
        </w:rPr>
        <w:t xml:space="preserve"> The prosecutor shall investigate not only the circumstances that prove the charges, but also those that serve to excuse the accused, endeavoring to urgently gather evidence that could be lost. If </w:t>
      </w:r>
      <w:r w:rsidR="008D1D8B" w:rsidRPr="00954547">
        <w:rPr>
          <w:rFonts w:ascii="Verdana" w:hAnsi="Verdana"/>
          <w:sz w:val="16"/>
          <w:szCs w:val="16"/>
        </w:rPr>
        <w:t xml:space="preserve">it is deemed necessary to conduct a procedure in keeping with those established for definitive or non-reproducible evidence or if a court order is required, this shall be requested immediately from the competent magistrate; in urgent cases, the nearest one. He shall also conduct the investigations that the accused or his defense counsel request to clarify the incident and his situation </w:t>
      </w:r>
      <w:r w:rsidR="00B8393C" w:rsidRPr="00954547">
        <w:rPr>
          <w:rFonts w:ascii="Verdana" w:hAnsi="Verdana"/>
          <w:i/>
          <w:sz w:val="16"/>
          <w:szCs w:val="16"/>
        </w:rPr>
        <w:t>Cf.</w:t>
      </w:r>
      <w:r w:rsidRPr="00954547">
        <w:rPr>
          <w:rFonts w:ascii="Verdana" w:hAnsi="Verdana"/>
          <w:i/>
          <w:sz w:val="16"/>
          <w:szCs w:val="16"/>
        </w:rPr>
        <w:t xml:space="preserve"> </w:t>
      </w:r>
      <w:r w:rsidR="00BA4784" w:rsidRPr="00954547">
        <w:rPr>
          <w:rFonts w:ascii="Verdana" w:hAnsi="Verdana"/>
          <w:sz w:val="16"/>
          <w:szCs w:val="16"/>
        </w:rPr>
        <w:t>Code of Criminal Procedure</w:t>
      </w:r>
      <w:r w:rsidR="009E6B43" w:rsidRPr="00954547">
        <w:rPr>
          <w:rFonts w:ascii="Verdana" w:hAnsi="Verdana"/>
          <w:sz w:val="16"/>
          <w:szCs w:val="16"/>
        </w:rPr>
        <w:t xml:space="preserve"> of El </w:t>
      </w:r>
      <w:r w:rsidRPr="00954547">
        <w:rPr>
          <w:rFonts w:ascii="Verdana" w:hAnsi="Verdana"/>
          <w:sz w:val="16"/>
          <w:szCs w:val="16"/>
        </w:rPr>
        <w:t xml:space="preserve">Salvador, </w:t>
      </w:r>
      <w:r w:rsidR="00C86FE5" w:rsidRPr="00954547">
        <w:rPr>
          <w:rFonts w:ascii="Verdana" w:hAnsi="Verdana"/>
          <w:sz w:val="16"/>
          <w:szCs w:val="16"/>
        </w:rPr>
        <w:t>Legislative Decree</w:t>
      </w:r>
      <w:r w:rsidRPr="00954547">
        <w:rPr>
          <w:rFonts w:ascii="Verdana" w:hAnsi="Verdana"/>
          <w:sz w:val="16"/>
          <w:szCs w:val="16"/>
        </w:rPr>
        <w:t xml:space="preserve"> No. 776 </w:t>
      </w:r>
      <w:r w:rsidR="008D1D8B" w:rsidRPr="00954547">
        <w:rPr>
          <w:rFonts w:ascii="Verdana" w:hAnsi="Verdana"/>
          <w:sz w:val="16"/>
          <w:szCs w:val="16"/>
        </w:rPr>
        <w:t>of</w:t>
      </w:r>
      <w:r w:rsidRPr="00954547">
        <w:rPr>
          <w:rFonts w:ascii="Verdana" w:hAnsi="Verdana"/>
          <w:sz w:val="16"/>
          <w:szCs w:val="16"/>
        </w:rPr>
        <w:t xml:space="preserve"> 1996, </w:t>
      </w:r>
      <w:r w:rsidR="00C83FB8" w:rsidRPr="00954547">
        <w:rPr>
          <w:rFonts w:ascii="Verdana" w:hAnsi="Verdana"/>
          <w:sz w:val="16"/>
          <w:szCs w:val="16"/>
        </w:rPr>
        <w:t>a</w:t>
      </w:r>
      <w:r w:rsidR="00A17F8C" w:rsidRPr="00954547">
        <w:rPr>
          <w:rFonts w:ascii="Verdana" w:hAnsi="Verdana"/>
          <w:sz w:val="16"/>
          <w:szCs w:val="16"/>
        </w:rPr>
        <w:t>rticle</w:t>
      </w:r>
      <w:r w:rsidRPr="00954547">
        <w:rPr>
          <w:rFonts w:ascii="Verdana" w:hAnsi="Verdana"/>
          <w:sz w:val="16"/>
          <w:szCs w:val="16"/>
        </w:rPr>
        <w:t xml:space="preserve"> 238. </w:t>
      </w:r>
      <w:r w:rsidR="002F4617" w:rsidRPr="00954547">
        <w:rPr>
          <w:rFonts w:ascii="Verdana" w:hAnsi="Verdana"/>
          <w:sz w:val="16"/>
          <w:szCs w:val="16"/>
        </w:rPr>
        <w:t>Available at</w:t>
      </w:r>
      <w:r w:rsidRPr="00954547">
        <w:rPr>
          <w:rFonts w:ascii="Verdana" w:hAnsi="Verdana"/>
          <w:sz w:val="16"/>
          <w:szCs w:val="16"/>
        </w:rPr>
        <w:t xml:space="preserve">: </w:t>
      </w:r>
      <w:hyperlink r:id="rId20" w:history="1">
        <w:r w:rsidR="008D1D8B" w:rsidRPr="00954547">
          <w:rPr>
            <w:rStyle w:val="Hyperlink"/>
            <w:rFonts w:ascii="Verdana" w:hAnsi="Verdana"/>
            <w:sz w:val="16"/>
            <w:szCs w:val="16"/>
          </w:rPr>
          <w:t>http://www.oas.org/juridico/spanish/mesicic3_slv_ procesal.pdf</w:t>
        </w:r>
      </w:hyperlink>
    </w:p>
  </w:footnote>
  <w:footnote w:id="246">
    <w:p w14:paraId="0E712684" w14:textId="2A529722"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432C" w:rsidRPr="00954547">
        <w:rPr>
          <w:rFonts w:ascii="Verdana" w:hAnsi="Verdana"/>
          <w:sz w:val="16"/>
          <w:szCs w:val="16"/>
        </w:rPr>
        <w:t>Expert opinion provided by affidavit by</w:t>
      </w:r>
      <w:r w:rsidRPr="00954547">
        <w:rPr>
          <w:rFonts w:ascii="Verdana" w:hAnsi="Verdana"/>
          <w:sz w:val="16"/>
          <w:szCs w:val="16"/>
        </w:rPr>
        <w:t xml:space="preserve"> José Mario Nájera Ochoa </w:t>
      </w:r>
      <w:r w:rsidR="00FF2DDD" w:rsidRPr="00954547">
        <w:rPr>
          <w:rFonts w:ascii="Verdana" w:hAnsi="Verdana"/>
          <w:sz w:val="16"/>
          <w:szCs w:val="16"/>
        </w:rPr>
        <w:t>on March 5,</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3847).</w:t>
      </w:r>
    </w:p>
  </w:footnote>
  <w:footnote w:id="247">
    <w:p w14:paraId="177D2506" w14:textId="4308B0E7"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hAnsi="Verdana"/>
          <w:sz w:val="16"/>
          <w:szCs w:val="16"/>
        </w:rPr>
        <w:t>Expert opinion provided by Guillermo Antonio Ortiz Avendaño during the public hearing held</w:t>
      </w:r>
      <w:r w:rsidRPr="00954547">
        <w:rPr>
          <w:rFonts w:ascii="Verdana" w:hAnsi="Verdana"/>
          <w:sz w:val="16"/>
          <w:szCs w:val="16"/>
        </w:rPr>
        <w:t xml:space="preserve"> </w:t>
      </w:r>
      <w:r w:rsidR="00FC72C0" w:rsidRPr="00954547">
        <w:rPr>
          <w:rFonts w:ascii="Verdana" w:hAnsi="Verdana"/>
          <w:sz w:val="16"/>
          <w:szCs w:val="16"/>
        </w:rPr>
        <w:t>in this case</w:t>
      </w:r>
      <w:r w:rsidRPr="00954547">
        <w:rPr>
          <w:rFonts w:ascii="Verdana" w:hAnsi="Verdana"/>
          <w:sz w:val="16"/>
          <w:szCs w:val="16"/>
        </w:rPr>
        <w:t>,</w:t>
      </w:r>
      <w:r w:rsidR="0078694F" w:rsidRPr="00954547">
        <w:rPr>
          <w:rFonts w:ascii="Verdana" w:hAnsi="Verdana"/>
          <w:b/>
          <w:sz w:val="16"/>
          <w:szCs w:val="16"/>
        </w:rPr>
        <w:t xml:space="preserve"> </w:t>
      </w:r>
      <w:r w:rsidR="0078694F" w:rsidRPr="00954547">
        <w:rPr>
          <w:rFonts w:ascii="Verdana" w:hAnsi="Verdana"/>
          <w:bCs/>
          <w:sz w:val="16"/>
          <w:szCs w:val="16"/>
        </w:rPr>
        <w:t>and</w:t>
      </w:r>
      <w:r w:rsidR="0078694F" w:rsidRPr="00954547">
        <w:rPr>
          <w:rFonts w:ascii="Verdana" w:hAnsi="Verdana"/>
          <w:b/>
          <w:sz w:val="16"/>
          <w:szCs w:val="16"/>
        </w:rPr>
        <w:t xml:space="preserve"> </w:t>
      </w:r>
      <w:r w:rsidR="00807D09" w:rsidRPr="00954547">
        <w:rPr>
          <w:rFonts w:ascii="Verdana" w:hAnsi="Verdana"/>
          <w:color w:val="auto"/>
          <w:sz w:val="16"/>
          <w:szCs w:val="16"/>
        </w:rPr>
        <w:t xml:space="preserve">Communication </w:t>
      </w:r>
      <w:r w:rsidR="00046AE1" w:rsidRPr="00954547">
        <w:rPr>
          <w:rFonts w:ascii="Verdana" w:hAnsi="Verdana"/>
          <w:color w:val="auto"/>
          <w:sz w:val="16"/>
          <w:szCs w:val="16"/>
        </w:rPr>
        <w:t>of</w:t>
      </w:r>
      <w:r w:rsidR="00807D09" w:rsidRPr="00954547">
        <w:rPr>
          <w:rFonts w:ascii="Verdana" w:hAnsi="Verdana"/>
          <w:color w:val="auto"/>
          <w:sz w:val="16"/>
          <w:szCs w:val="16"/>
        </w:rPr>
        <w:t xml:space="preserve"> </w:t>
      </w:r>
      <w:r w:rsidR="006D5A9B" w:rsidRPr="00954547">
        <w:rPr>
          <w:rFonts w:ascii="Verdana" w:hAnsi="Verdana"/>
          <w:color w:val="auto"/>
          <w:sz w:val="16"/>
          <w:szCs w:val="16"/>
        </w:rPr>
        <w:t>the director of the</w:t>
      </w:r>
      <w:r w:rsidR="00807D09" w:rsidRPr="00954547">
        <w:rPr>
          <w:rFonts w:ascii="Verdana" w:hAnsi="Verdana"/>
          <w:color w:val="auto"/>
          <w:sz w:val="16"/>
          <w:szCs w:val="16"/>
        </w:rPr>
        <w:t xml:space="preserve"> San Francisco Gotera National Hospital of February 29,</w:t>
      </w:r>
      <w:r w:rsidRPr="00954547">
        <w:rPr>
          <w:rFonts w:ascii="Verdana" w:hAnsi="Verdana"/>
          <w:color w:val="auto"/>
          <w:sz w:val="16"/>
          <w:szCs w:val="16"/>
        </w:rPr>
        <w:t xml:space="preserve"> 2008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 59).</w:t>
      </w:r>
    </w:p>
  </w:footnote>
  <w:footnote w:id="248">
    <w:p w14:paraId="0B17B7F4" w14:textId="4548B960"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hAnsi="Verdana"/>
          <w:sz w:val="16"/>
          <w:szCs w:val="16"/>
        </w:rPr>
        <w:t>Expert opinion provided by Guillermo Antonio Ortiz Avendaño during the public hearing held</w:t>
      </w:r>
      <w:r w:rsidRPr="00954547">
        <w:rPr>
          <w:rFonts w:ascii="Verdana" w:hAnsi="Verdana"/>
          <w:sz w:val="16"/>
          <w:szCs w:val="16"/>
        </w:rPr>
        <w:t xml:space="preserve"> </w:t>
      </w:r>
      <w:r w:rsidR="00FC72C0" w:rsidRPr="00954547">
        <w:rPr>
          <w:rFonts w:ascii="Verdana" w:hAnsi="Verdana"/>
          <w:sz w:val="16"/>
          <w:szCs w:val="16"/>
        </w:rPr>
        <w:t>in this case</w:t>
      </w:r>
      <w:r w:rsidRPr="00954547">
        <w:rPr>
          <w:rFonts w:ascii="Verdana" w:hAnsi="Verdana"/>
          <w:sz w:val="16"/>
          <w:szCs w:val="16"/>
        </w:rPr>
        <w:t>.</w:t>
      </w:r>
    </w:p>
  </w:footnote>
  <w:footnote w:id="249">
    <w:p w14:paraId="25DF3CFE" w14:textId="1DCCB55C"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432C" w:rsidRPr="00954547">
        <w:rPr>
          <w:rFonts w:ascii="Verdana" w:hAnsi="Verdana"/>
          <w:sz w:val="16"/>
          <w:szCs w:val="16"/>
        </w:rPr>
        <w:t>Expert opinion provided by affidavit by</w:t>
      </w:r>
      <w:r w:rsidRPr="00954547">
        <w:rPr>
          <w:rFonts w:ascii="Verdana" w:hAnsi="Verdana"/>
          <w:sz w:val="16"/>
          <w:szCs w:val="16"/>
        </w:rPr>
        <w:t xml:space="preserve"> José Mario Nájera Ochoa </w:t>
      </w:r>
      <w:r w:rsidR="00FF2DDD" w:rsidRPr="00954547">
        <w:rPr>
          <w:rFonts w:ascii="Verdana" w:hAnsi="Verdana"/>
          <w:sz w:val="16"/>
          <w:szCs w:val="16"/>
        </w:rPr>
        <w:t>on March 5,</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folios 3846</w:t>
      </w:r>
      <w:r w:rsidR="0078694F" w:rsidRPr="00954547">
        <w:rPr>
          <w:rFonts w:ascii="Verdana" w:hAnsi="Verdana"/>
          <w:sz w:val="16"/>
          <w:szCs w:val="16"/>
        </w:rPr>
        <w:t xml:space="preserve"> and </w:t>
      </w:r>
      <w:r w:rsidRPr="00954547">
        <w:rPr>
          <w:rFonts w:ascii="Verdana" w:hAnsi="Verdana"/>
          <w:sz w:val="16"/>
          <w:szCs w:val="16"/>
        </w:rPr>
        <w:t xml:space="preserve">3847); </w:t>
      </w:r>
      <w:r w:rsidR="00046AE1" w:rsidRPr="00954547">
        <w:rPr>
          <w:rFonts w:ascii="Verdana" w:hAnsi="Verdana"/>
          <w:sz w:val="16"/>
          <w:szCs w:val="16"/>
        </w:rPr>
        <w:t>Forensic analysis by</w:t>
      </w:r>
      <w:r w:rsidRPr="00954547">
        <w:rPr>
          <w:rFonts w:ascii="Verdana" w:hAnsi="Verdana"/>
          <w:sz w:val="16"/>
          <w:szCs w:val="16"/>
        </w:rPr>
        <w:t xml:space="preserve"> </w:t>
      </w:r>
      <w:r w:rsidR="00046AE1" w:rsidRPr="00954547">
        <w:rPr>
          <w:rFonts w:ascii="Verdana" w:hAnsi="Verdana"/>
          <w:sz w:val="16"/>
          <w:szCs w:val="16"/>
        </w:rPr>
        <w:t>Dr.</w:t>
      </w:r>
      <w:r w:rsidRPr="00954547">
        <w:rPr>
          <w:rFonts w:ascii="Verdana" w:hAnsi="Verdana"/>
          <w:sz w:val="16"/>
          <w:szCs w:val="16"/>
        </w:rPr>
        <w:t xml:space="preserve"> José Mario Nájera Ochoa</w:t>
      </w:r>
      <w:r w:rsidRPr="00954547">
        <w:rPr>
          <w:rFonts w:ascii="Verdana" w:hAnsi="Verdana"/>
          <w:i/>
          <w:sz w:val="16"/>
          <w:szCs w:val="16"/>
        </w:rPr>
        <w:t xml:space="preserve">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 2165),</w:t>
      </w:r>
      <w:r w:rsidR="0078694F" w:rsidRPr="00954547">
        <w:rPr>
          <w:rFonts w:ascii="Verdana" w:hAnsi="Verdana"/>
          <w:sz w:val="16"/>
          <w:szCs w:val="16"/>
        </w:rPr>
        <w:t xml:space="preserve"> and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xml:space="preserve"> (</w:t>
      </w:r>
      <w:r w:rsidR="001C328F" w:rsidRPr="00954547">
        <w:rPr>
          <w:rFonts w:ascii="Verdana" w:hAnsi="Verdana"/>
          <w:sz w:val="16"/>
          <w:szCs w:val="16"/>
        </w:rPr>
        <w:t>evidence file</w:t>
      </w:r>
      <w:r w:rsidRPr="00954547">
        <w:rPr>
          <w:rFonts w:ascii="Verdana" w:hAnsi="Verdana"/>
          <w:sz w:val="16"/>
          <w:szCs w:val="16"/>
        </w:rPr>
        <w:t>, folio 181).</w:t>
      </w:r>
    </w:p>
  </w:footnote>
  <w:footnote w:id="250">
    <w:p w14:paraId="408E05C9" w14:textId="201A2B9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046AE1" w:rsidRPr="00954547">
        <w:rPr>
          <w:rFonts w:ascii="Verdana" w:hAnsi="Verdana"/>
          <w:sz w:val="16"/>
          <w:szCs w:val="16"/>
        </w:rPr>
        <w:t>Statement by the doctor who performed the autopsy, transcribed in the</w:t>
      </w:r>
      <w:r w:rsidRPr="00954547">
        <w:rPr>
          <w:rFonts w:ascii="Verdana" w:hAnsi="Verdana"/>
          <w:sz w:val="16"/>
          <w:szCs w:val="16"/>
        </w:rPr>
        <w:t xml:space="preserve"> </w:t>
      </w:r>
      <w:r w:rsidR="00046AE1" w:rsidRPr="00954547">
        <w:rPr>
          <w:rFonts w:ascii="Verdana" w:hAnsi="Verdana"/>
          <w:sz w:val="16"/>
          <w:szCs w:val="16"/>
        </w:rPr>
        <w:t>j</w:t>
      </w:r>
      <w:r w:rsidR="007E3A8B" w:rsidRPr="00954547">
        <w:rPr>
          <w:rFonts w:ascii="Verdana" w:hAnsi="Verdana"/>
          <w:sz w:val="16"/>
          <w:szCs w:val="16"/>
        </w:rPr>
        <w:t>udgment handed down by</w:t>
      </w:r>
      <w:r w:rsidRPr="00954547">
        <w:rPr>
          <w:rFonts w:ascii="Verdana" w:hAnsi="Verdana"/>
          <w:sz w:val="16"/>
          <w:szCs w:val="16"/>
        </w:rPr>
        <w:t xml:space="preserve"> </w:t>
      </w:r>
      <w:r w:rsidR="00E76B1A" w:rsidRPr="00954547">
        <w:rPr>
          <w:rFonts w:ascii="Verdana" w:hAnsi="Verdana"/>
          <w:sz w:val="16"/>
          <w:szCs w:val="16"/>
        </w:rPr>
        <w:t xml:space="preserve">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Morazán</w:t>
      </w:r>
      <w:r w:rsidR="00046AE1" w:rsidRPr="00954547">
        <w:rPr>
          <w:rFonts w:ascii="Verdana" w:hAnsi="Verdana"/>
          <w:sz w:val="16"/>
          <w:szCs w:val="16"/>
        </w:rPr>
        <w:t>,</w:t>
      </w:r>
      <w:r w:rsidRPr="00954547">
        <w:rPr>
          <w:rFonts w:ascii="Verdana" w:hAnsi="Verdana"/>
          <w:sz w:val="16"/>
          <w:szCs w:val="16"/>
        </w:rPr>
        <w:t xml:space="preserve"> </w:t>
      </w:r>
      <w:r w:rsidR="007232D8" w:rsidRPr="00954547">
        <w:rPr>
          <w:rFonts w:ascii="Verdana" w:hAnsi="Verdana"/>
          <w:sz w:val="16"/>
          <w:szCs w:val="16"/>
        </w:rPr>
        <w:t>on 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150).</w:t>
      </w:r>
    </w:p>
  </w:footnote>
  <w:footnote w:id="251">
    <w:p w14:paraId="11D29968" w14:textId="55889351"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López Soto </w:t>
      </w:r>
      <w:r w:rsidR="00B8393C" w:rsidRPr="00954547">
        <w:rPr>
          <w:rFonts w:ascii="Verdana" w:hAnsi="Verdana"/>
          <w:i/>
          <w:sz w:val="16"/>
          <w:szCs w:val="16"/>
        </w:rPr>
        <w:t>et al. v.</w:t>
      </w:r>
      <w:r w:rsidRPr="00954547">
        <w:rPr>
          <w:rFonts w:ascii="Verdana" w:hAnsi="Verdana"/>
          <w:i/>
          <w:sz w:val="16"/>
          <w:szCs w:val="16"/>
        </w:rPr>
        <w:t xml:space="preserve"> Venezuela.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F546F2" w:rsidRPr="00954547">
        <w:rPr>
          <w:rFonts w:ascii="Verdana" w:hAnsi="Verdana"/>
          <w:sz w:val="16"/>
          <w:szCs w:val="16"/>
        </w:rPr>
        <w:t>September 26,</w:t>
      </w:r>
      <w:r w:rsidRPr="00954547">
        <w:rPr>
          <w:rFonts w:ascii="Verdana" w:hAnsi="Verdana"/>
          <w:sz w:val="16"/>
          <w:szCs w:val="16"/>
        </w:rPr>
        <w:t xml:space="preserve"> 2018. </w:t>
      </w:r>
      <w:r w:rsidR="00B8393C" w:rsidRPr="00954547">
        <w:rPr>
          <w:rFonts w:ascii="Verdana" w:hAnsi="Verdana"/>
          <w:sz w:val="16"/>
          <w:szCs w:val="16"/>
        </w:rPr>
        <w:t xml:space="preserve">Series </w:t>
      </w:r>
      <w:r w:rsidRPr="00954547">
        <w:rPr>
          <w:rFonts w:ascii="Verdana" w:hAnsi="Verdana"/>
          <w:sz w:val="16"/>
          <w:szCs w:val="16"/>
        </w:rPr>
        <w:t xml:space="preserve">C No. 362, </w:t>
      </w:r>
      <w:r w:rsidR="00B10E5A" w:rsidRPr="00954547">
        <w:rPr>
          <w:rFonts w:ascii="Verdana" w:hAnsi="Verdana"/>
          <w:sz w:val="16"/>
          <w:szCs w:val="16"/>
        </w:rPr>
        <w:t>para.</w:t>
      </w:r>
      <w:r w:rsidRPr="00954547">
        <w:rPr>
          <w:rFonts w:ascii="Verdana" w:hAnsi="Verdana"/>
          <w:sz w:val="16"/>
          <w:szCs w:val="16"/>
        </w:rPr>
        <w:t xml:space="preserve"> 236,</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Vicky Hernández</w:t>
      </w:r>
      <w:r w:rsidR="0078694F" w:rsidRPr="00954547">
        <w:rPr>
          <w:rFonts w:ascii="Verdana" w:hAnsi="Verdana"/>
          <w:i/>
          <w:sz w:val="16"/>
          <w:szCs w:val="16"/>
        </w:rPr>
        <w:t xml:space="preserve"> </w:t>
      </w:r>
      <w:r w:rsidR="00F546F2"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Honduras. </w:t>
      </w:r>
      <w:r w:rsidR="00A70DC4" w:rsidRPr="00954547">
        <w:rPr>
          <w:rFonts w:ascii="Verdana" w:hAnsi="Verdana"/>
          <w:i/>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2871EC" w:rsidRPr="00954547">
        <w:rPr>
          <w:rFonts w:ascii="Verdana" w:hAnsi="Verdana"/>
          <w:sz w:val="16"/>
          <w:szCs w:val="16"/>
        </w:rPr>
        <w:t>March 26,</w:t>
      </w:r>
      <w:r w:rsidRPr="00954547">
        <w:rPr>
          <w:rFonts w:ascii="Verdana" w:hAnsi="Verdana"/>
          <w:sz w:val="16"/>
          <w:szCs w:val="16"/>
        </w:rPr>
        <w:t xml:space="preserve"> 2021. </w:t>
      </w:r>
      <w:r w:rsidR="00B8393C" w:rsidRPr="00954547">
        <w:rPr>
          <w:rFonts w:ascii="Verdana" w:hAnsi="Verdana"/>
          <w:sz w:val="16"/>
          <w:szCs w:val="16"/>
        </w:rPr>
        <w:t xml:space="preserve">Series </w:t>
      </w:r>
      <w:r w:rsidRPr="00954547">
        <w:rPr>
          <w:rFonts w:ascii="Verdana" w:hAnsi="Verdana"/>
          <w:sz w:val="16"/>
          <w:szCs w:val="16"/>
        </w:rPr>
        <w:t xml:space="preserve">C No. 422, </w:t>
      </w:r>
      <w:r w:rsidR="00B10E5A" w:rsidRPr="00954547">
        <w:rPr>
          <w:rFonts w:ascii="Verdana" w:hAnsi="Verdana"/>
          <w:sz w:val="16"/>
          <w:szCs w:val="16"/>
        </w:rPr>
        <w:t>para.</w:t>
      </w:r>
      <w:r w:rsidRPr="00954547">
        <w:rPr>
          <w:rFonts w:ascii="Verdana" w:hAnsi="Verdana"/>
          <w:sz w:val="16"/>
          <w:szCs w:val="16"/>
        </w:rPr>
        <w:t xml:space="preserve"> 114.</w:t>
      </w:r>
    </w:p>
  </w:footnote>
  <w:footnote w:id="252">
    <w:p w14:paraId="5753F7E2" w14:textId="020AADA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sz w:val="16"/>
          <w:szCs w:val="16"/>
        </w:rPr>
        <w:t>Record of interview</w:t>
      </w:r>
      <w:r w:rsidR="00E60BF1" w:rsidRPr="00954547">
        <w:rPr>
          <w:rFonts w:ascii="Verdana" w:hAnsi="Verdana"/>
          <w:sz w:val="16"/>
          <w:szCs w:val="16"/>
        </w:rPr>
        <w:t xml:space="preserve"> of</w:t>
      </w:r>
      <w:r w:rsidRPr="00954547">
        <w:rPr>
          <w:rFonts w:ascii="Verdana" w:hAnsi="Verdana"/>
          <w:sz w:val="16"/>
          <w:szCs w:val="16"/>
        </w:rPr>
        <w:t xml:space="preserve"> </w:t>
      </w:r>
      <w:r w:rsidR="00A56980" w:rsidRPr="00954547">
        <w:rPr>
          <w:rFonts w:ascii="Verdana" w:hAnsi="Verdana"/>
          <w:sz w:val="16"/>
          <w:szCs w:val="16"/>
        </w:rPr>
        <w:t>February 29,</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52</w:t>
      </w:r>
      <w:r w:rsidR="0078694F" w:rsidRPr="00954547">
        <w:rPr>
          <w:rFonts w:ascii="Verdana" w:hAnsi="Verdana"/>
          <w:sz w:val="16"/>
          <w:szCs w:val="16"/>
        </w:rPr>
        <w:t xml:space="preserve"> and </w:t>
      </w:r>
      <w:r w:rsidRPr="00954547">
        <w:rPr>
          <w:rFonts w:ascii="Verdana" w:hAnsi="Verdana"/>
          <w:sz w:val="16"/>
          <w:szCs w:val="16"/>
        </w:rPr>
        <w:t>53).</w:t>
      </w:r>
    </w:p>
  </w:footnote>
  <w:footnote w:id="253">
    <w:p w14:paraId="4B596F6B" w14:textId="22232D3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B422D" w:rsidRPr="00954547">
        <w:rPr>
          <w:rFonts w:ascii="Verdana" w:hAnsi="Verdana"/>
          <w:sz w:val="16"/>
          <w:szCs w:val="16"/>
        </w:rPr>
        <w:t>Request for a formal investigation with pr</w:t>
      </w:r>
      <w:r w:rsidR="000A2350" w:rsidRPr="00954547">
        <w:rPr>
          <w:rFonts w:ascii="Verdana" w:hAnsi="Verdana"/>
          <w:sz w:val="16"/>
          <w:szCs w:val="16"/>
        </w:rPr>
        <w:t>e-trial</w:t>
      </w:r>
      <w:r w:rsidR="009B422D" w:rsidRPr="00954547">
        <w:rPr>
          <w:rFonts w:ascii="Verdana" w:hAnsi="Verdana"/>
          <w:sz w:val="16"/>
          <w:szCs w:val="16"/>
        </w:rPr>
        <w:t xml:space="preserve"> detention</w:t>
      </w:r>
      <w:r w:rsidR="000A2350" w:rsidRPr="00954547">
        <w:rPr>
          <w:rFonts w:ascii="Verdana" w:hAnsi="Verdana"/>
          <w:sz w:val="16"/>
          <w:szCs w:val="16"/>
        </w:rPr>
        <w:t xml:space="preserve"> </w:t>
      </w:r>
      <w:r w:rsidR="00807D09" w:rsidRPr="00954547">
        <w:rPr>
          <w:rFonts w:ascii="Verdana" w:hAnsi="Verdana"/>
          <w:sz w:val="16"/>
          <w:szCs w:val="16"/>
        </w:rPr>
        <w:t>of February 29,</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65).</w:t>
      </w:r>
    </w:p>
  </w:footnote>
  <w:footnote w:id="254">
    <w:p w14:paraId="40CD483C" w14:textId="080332CA" w:rsidR="005F001B" w:rsidRPr="005C1103" w:rsidRDefault="005F001B" w:rsidP="007619E6">
      <w:pPr>
        <w:pStyle w:val="FootnoteText"/>
        <w:tabs>
          <w:tab w:val="left" w:pos="567"/>
        </w:tabs>
        <w:spacing w:after="120"/>
        <w:jc w:val="both"/>
        <w:rPr>
          <w:rFonts w:ascii="Verdana" w:hAnsi="Verdana"/>
          <w:sz w:val="16"/>
          <w:szCs w:val="16"/>
          <w:lang w:val="es-CR"/>
        </w:rPr>
      </w:pPr>
      <w:r w:rsidRPr="00954547">
        <w:rPr>
          <w:rStyle w:val="FootnoteReference"/>
          <w:rFonts w:ascii="Verdana" w:hAnsi="Verdana"/>
          <w:sz w:val="16"/>
          <w:szCs w:val="16"/>
        </w:rPr>
        <w:footnoteRef/>
      </w:r>
      <w:r w:rsidRPr="005C1103">
        <w:rPr>
          <w:rFonts w:ascii="Verdana" w:hAnsi="Verdana"/>
          <w:sz w:val="16"/>
          <w:szCs w:val="16"/>
        </w:rPr>
        <w:t xml:space="preserve"> </w:t>
      </w:r>
      <w:r w:rsidRPr="005C1103">
        <w:rPr>
          <w:rFonts w:ascii="Verdana" w:hAnsi="Verdana"/>
          <w:sz w:val="16"/>
          <w:szCs w:val="16"/>
        </w:rPr>
        <w:tab/>
      </w:r>
      <w:r w:rsidR="002F4617" w:rsidRPr="005C1103">
        <w:rPr>
          <w:rFonts w:ascii="Verdana" w:hAnsi="Verdana"/>
          <w:i/>
          <w:sz w:val="16"/>
          <w:szCs w:val="16"/>
        </w:rPr>
        <w:t>Case of</w:t>
      </w:r>
      <w:r w:rsidRPr="005C1103">
        <w:rPr>
          <w:rFonts w:ascii="Verdana" w:hAnsi="Verdana"/>
          <w:i/>
          <w:sz w:val="16"/>
          <w:szCs w:val="16"/>
        </w:rPr>
        <w:t xml:space="preserve"> Artavia Murillo</w:t>
      </w:r>
      <w:r w:rsidR="0078694F" w:rsidRPr="005C1103">
        <w:rPr>
          <w:rFonts w:ascii="Verdana" w:hAnsi="Verdana"/>
          <w:i/>
          <w:sz w:val="16"/>
          <w:szCs w:val="16"/>
        </w:rPr>
        <w:t xml:space="preserve"> </w:t>
      </w:r>
      <w:r w:rsidR="00521777" w:rsidRPr="005C1103">
        <w:rPr>
          <w:rFonts w:ascii="Verdana" w:hAnsi="Verdana"/>
          <w:i/>
          <w:sz w:val="16"/>
          <w:szCs w:val="16"/>
        </w:rPr>
        <w:t xml:space="preserve">et al. </w:t>
      </w:r>
      <w:r w:rsidR="00521777" w:rsidRPr="00954547">
        <w:rPr>
          <w:rFonts w:ascii="Verdana" w:hAnsi="Verdana"/>
          <w:i/>
          <w:sz w:val="16"/>
          <w:szCs w:val="16"/>
        </w:rPr>
        <w:t>(In vitro fertilization)</w:t>
      </w:r>
      <w:r w:rsidR="000A2350"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Costa Rica.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52125E" w:rsidRPr="00954547">
        <w:rPr>
          <w:rFonts w:ascii="Verdana" w:hAnsi="Verdana"/>
          <w:sz w:val="16"/>
          <w:szCs w:val="16"/>
        </w:rPr>
        <w:t>November 28,</w:t>
      </w:r>
      <w:r w:rsidRPr="00954547">
        <w:rPr>
          <w:rFonts w:ascii="Verdana" w:hAnsi="Verdana"/>
          <w:sz w:val="16"/>
          <w:szCs w:val="16"/>
        </w:rPr>
        <w:t xml:space="preserve"> 2012. </w:t>
      </w:r>
      <w:r w:rsidR="00B8393C" w:rsidRPr="00954547">
        <w:rPr>
          <w:rFonts w:ascii="Verdana" w:hAnsi="Verdana"/>
          <w:sz w:val="16"/>
          <w:szCs w:val="16"/>
        </w:rPr>
        <w:t xml:space="preserve">Series </w:t>
      </w:r>
      <w:r w:rsidRPr="00954547">
        <w:rPr>
          <w:rFonts w:ascii="Verdana" w:hAnsi="Verdana"/>
          <w:sz w:val="16"/>
          <w:szCs w:val="16"/>
        </w:rPr>
        <w:t xml:space="preserve">C No. 257, </w:t>
      </w:r>
      <w:r w:rsidR="00B10E5A" w:rsidRPr="00954547">
        <w:rPr>
          <w:rFonts w:ascii="Verdana" w:hAnsi="Verdana"/>
          <w:sz w:val="16"/>
          <w:szCs w:val="16"/>
        </w:rPr>
        <w:t>para.</w:t>
      </w:r>
      <w:r w:rsidRPr="00954547">
        <w:rPr>
          <w:rFonts w:ascii="Verdana" w:hAnsi="Verdana"/>
          <w:sz w:val="16"/>
          <w:szCs w:val="16"/>
        </w:rPr>
        <w:t xml:space="preserve"> 302,</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Velásquez Paiz </w:t>
      </w:r>
      <w:r w:rsidR="00B8393C" w:rsidRPr="00954547">
        <w:rPr>
          <w:rFonts w:ascii="Verdana" w:hAnsi="Verdana"/>
          <w:i/>
          <w:sz w:val="16"/>
          <w:szCs w:val="16"/>
        </w:rPr>
        <w:t>et al. v.</w:t>
      </w:r>
      <w:r w:rsidRPr="00954547">
        <w:rPr>
          <w:rFonts w:ascii="Verdana" w:hAnsi="Verdana"/>
          <w:i/>
          <w:sz w:val="16"/>
          <w:szCs w:val="16"/>
        </w:rPr>
        <w:t xml:space="preserve"> Guatemala.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0A2350" w:rsidRPr="00954547">
        <w:rPr>
          <w:rFonts w:ascii="Verdana" w:hAnsi="Verdana"/>
          <w:sz w:val="16"/>
          <w:szCs w:val="16"/>
        </w:rPr>
        <w:t>November 19,</w:t>
      </w:r>
      <w:r w:rsidRPr="00954547">
        <w:rPr>
          <w:rFonts w:ascii="Verdana" w:hAnsi="Verdana"/>
          <w:sz w:val="16"/>
          <w:szCs w:val="16"/>
        </w:rPr>
        <w:t xml:space="preserve"> 2015. </w:t>
      </w:r>
      <w:r w:rsidR="00B8393C" w:rsidRPr="00954547">
        <w:rPr>
          <w:rFonts w:ascii="Verdana" w:hAnsi="Verdana"/>
          <w:sz w:val="16"/>
          <w:szCs w:val="16"/>
        </w:rPr>
        <w:t xml:space="preserve">Series </w:t>
      </w:r>
      <w:r w:rsidRPr="00954547">
        <w:rPr>
          <w:rFonts w:ascii="Verdana" w:hAnsi="Verdana"/>
          <w:sz w:val="16"/>
          <w:szCs w:val="16"/>
        </w:rPr>
        <w:t xml:space="preserve">C No. 307, </w:t>
      </w:r>
      <w:r w:rsidR="00B10E5A" w:rsidRPr="00954547">
        <w:rPr>
          <w:rFonts w:ascii="Verdana" w:hAnsi="Verdana"/>
          <w:sz w:val="16"/>
          <w:szCs w:val="16"/>
        </w:rPr>
        <w:t>para.</w:t>
      </w:r>
      <w:r w:rsidRPr="00954547">
        <w:rPr>
          <w:rFonts w:ascii="Verdana" w:hAnsi="Verdana"/>
          <w:sz w:val="16"/>
          <w:szCs w:val="16"/>
        </w:rPr>
        <w:t xml:space="preserve"> </w:t>
      </w:r>
      <w:r w:rsidRPr="005C1103">
        <w:rPr>
          <w:rFonts w:ascii="Verdana" w:hAnsi="Verdana"/>
          <w:sz w:val="16"/>
          <w:szCs w:val="16"/>
          <w:lang w:val="es-CR"/>
        </w:rPr>
        <w:t>148.</w:t>
      </w:r>
    </w:p>
  </w:footnote>
  <w:footnote w:id="255">
    <w:p w14:paraId="1E5908C8" w14:textId="7452A90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5C1103">
        <w:rPr>
          <w:rFonts w:ascii="Verdana" w:hAnsi="Verdana"/>
          <w:sz w:val="16"/>
          <w:szCs w:val="16"/>
          <w:lang w:val="es-CR"/>
        </w:rPr>
        <w:t xml:space="preserve"> </w:t>
      </w:r>
      <w:r w:rsidRPr="005C1103">
        <w:rPr>
          <w:rFonts w:ascii="Verdana" w:hAnsi="Verdana"/>
          <w:sz w:val="16"/>
          <w:szCs w:val="16"/>
          <w:lang w:val="es-CR"/>
        </w:rPr>
        <w:tab/>
      </w:r>
      <w:r w:rsidR="00B8393C" w:rsidRPr="005C1103">
        <w:rPr>
          <w:rFonts w:ascii="Verdana" w:hAnsi="Verdana"/>
          <w:i/>
          <w:sz w:val="16"/>
          <w:szCs w:val="16"/>
          <w:lang w:val="es-CR"/>
        </w:rPr>
        <w:t>Cf.</w:t>
      </w:r>
      <w:r w:rsidRPr="005C1103">
        <w:rPr>
          <w:rFonts w:ascii="Verdana" w:hAnsi="Verdana"/>
          <w:i/>
          <w:sz w:val="16"/>
          <w:szCs w:val="16"/>
          <w:lang w:val="es-CR"/>
        </w:rPr>
        <w:t xml:space="preserve"> </w:t>
      </w:r>
      <w:r w:rsidR="002F4617" w:rsidRPr="005C1103">
        <w:rPr>
          <w:rFonts w:ascii="Verdana" w:hAnsi="Verdana"/>
          <w:i/>
          <w:sz w:val="16"/>
          <w:szCs w:val="16"/>
          <w:lang w:val="es-CR"/>
        </w:rPr>
        <w:t>Case of</w:t>
      </w:r>
      <w:r w:rsidRPr="005C1103">
        <w:rPr>
          <w:rFonts w:ascii="Verdana" w:hAnsi="Verdana"/>
          <w:i/>
          <w:sz w:val="16"/>
          <w:szCs w:val="16"/>
          <w:lang w:val="es-CR"/>
        </w:rPr>
        <w:t xml:space="preserve"> </w:t>
      </w:r>
      <w:r w:rsidR="00B939BF" w:rsidRPr="005C1103">
        <w:rPr>
          <w:rFonts w:ascii="Verdana" w:hAnsi="Verdana"/>
          <w:i/>
          <w:sz w:val="16"/>
          <w:szCs w:val="16"/>
          <w:lang w:val="es-CR"/>
        </w:rPr>
        <w:t xml:space="preserve">González et al. </w:t>
      </w:r>
      <w:r w:rsidR="00B939BF" w:rsidRPr="00954547">
        <w:rPr>
          <w:rFonts w:ascii="Verdana" w:hAnsi="Verdana"/>
          <w:i/>
          <w:sz w:val="16"/>
          <w:szCs w:val="16"/>
          <w:lang w:val="es-CR"/>
        </w:rPr>
        <w:t>(“Cotton Field”)</w:t>
      </w:r>
      <w:r w:rsidR="000A2350" w:rsidRPr="00954547">
        <w:rPr>
          <w:rFonts w:ascii="Verdana" w:hAnsi="Verdana"/>
          <w:i/>
          <w:sz w:val="16"/>
          <w:szCs w:val="16"/>
          <w:lang w:val="es-CR"/>
        </w:rPr>
        <w:t xml:space="preserve"> </w:t>
      </w:r>
      <w:r w:rsidR="009C16A1" w:rsidRPr="00954547">
        <w:rPr>
          <w:rFonts w:ascii="Verdana" w:hAnsi="Verdana"/>
          <w:i/>
          <w:sz w:val="16"/>
          <w:szCs w:val="16"/>
          <w:lang w:val="es-CR"/>
        </w:rPr>
        <w:t>v.</w:t>
      </w:r>
      <w:r w:rsidRPr="00954547">
        <w:rPr>
          <w:rFonts w:ascii="Verdana" w:hAnsi="Verdana"/>
          <w:i/>
          <w:sz w:val="16"/>
          <w:szCs w:val="16"/>
          <w:lang w:val="es-CR"/>
        </w:rPr>
        <w:t xml:space="preserve"> </w:t>
      </w:r>
      <w:r w:rsidR="000A2350" w:rsidRPr="00954547">
        <w:rPr>
          <w:rFonts w:ascii="Verdana" w:hAnsi="Verdana"/>
          <w:i/>
          <w:sz w:val="16"/>
          <w:szCs w:val="16"/>
          <w:lang w:val="es-CR"/>
        </w:rPr>
        <w:t>Mexico</w:t>
      </w:r>
      <w:r w:rsidRPr="00954547">
        <w:rPr>
          <w:rFonts w:ascii="Verdana" w:hAnsi="Verdana"/>
          <w:i/>
          <w:sz w:val="16"/>
          <w:szCs w:val="16"/>
          <w:lang w:val="es-CR"/>
        </w:rPr>
        <w:t xml:space="preserve">, supra, </w:t>
      </w:r>
      <w:r w:rsidR="00B10E5A" w:rsidRPr="00954547">
        <w:rPr>
          <w:rFonts w:ascii="Verdana" w:hAnsi="Verdana"/>
          <w:sz w:val="16"/>
          <w:szCs w:val="16"/>
          <w:lang w:val="es-CR"/>
        </w:rPr>
        <w:t>para.</w:t>
      </w:r>
      <w:r w:rsidRPr="00954547">
        <w:rPr>
          <w:rFonts w:ascii="Verdana" w:hAnsi="Verdana"/>
          <w:sz w:val="16"/>
          <w:szCs w:val="16"/>
          <w:lang w:val="es-CR"/>
        </w:rPr>
        <w:t xml:space="preserve"> 401,</w:t>
      </w:r>
      <w:r w:rsidR="0078694F" w:rsidRPr="00954547">
        <w:rPr>
          <w:rFonts w:ascii="Verdana" w:hAnsi="Verdana"/>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López Soto </w:t>
      </w:r>
      <w:r w:rsidR="00B8393C" w:rsidRPr="00954547">
        <w:rPr>
          <w:rFonts w:ascii="Verdana" w:hAnsi="Verdana"/>
          <w:i/>
          <w:sz w:val="16"/>
          <w:szCs w:val="16"/>
          <w:lang w:val="es-CR"/>
        </w:rPr>
        <w:t>et al. v.</w:t>
      </w:r>
      <w:r w:rsidRPr="00954547">
        <w:rPr>
          <w:rFonts w:ascii="Verdana" w:hAnsi="Verdana"/>
          <w:i/>
          <w:sz w:val="16"/>
          <w:szCs w:val="16"/>
          <w:lang w:val="es-CR"/>
        </w:rPr>
        <w:t xml:space="preserve"> Venezuela,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Fonts w:ascii="Verdana" w:hAnsi="Verdana"/>
          <w:sz w:val="16"/>
          <w:szCs w:val="16"/>
        </w:rPr>
        <w:t>235.</w:t>
      </w:r>
    </w:p>
  </w:footnote>
  <w:footnote w:id="256">
    <w:p w14:paraId="5852FFEA" w14:textId="36B0C1D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Gutiérrez Hernández </w:t>
      </w:r>
      <w:r w:rsidR="00B8393C" w:rsidRPr="00954547">
        <w:rPr>
          <w:rFonts w:ascii="Verdana" w:hAnsi="Verdana"/>
          <w:i/>
          <w:sz w:val="16"/>
          <w:szCs w:val="16"/>
        </w:rPr>
        <w:t>et al. v.</w:t>
      </w:r>
      <w:r w:rsidRPr="00954547">
        <w:rPr>
          <w:rFonts w:ascii="Verdana" w:hAnsi="Verdana"/>
          <w:i/>
          <w:sz w:val="16"/>
          <w:szCs w:val="16"/>
        </w:rPr>
        <w:t xml:space="preserve"> Guatemala.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0A2350" w:rsidRPr="00954547">
        <w:rPr>
          <w:rFonts w:ascii="Verdana" w:hAnsi="Verdana"/>
          <w:sz w:val="16"/>
          <w:szCs w:val="16"/>
        </w:rPr>
        <w:t>August 24,</w:t>
      </w:r>
      <w:r w:rsidRPr="00954547">
        <w:rPr>
          <w:rFonts w:ascii="Verdana" w:hAnsi="Verdana"/>
          <w:sz w:val="16"/>
          <w:szCs w:val="16"/>
        </w:rPr>
        <w:t xml:space="preserve"> 2017. </w:t>
      </w:r>
      <w:r w:rsidR="00B8393C" w:rsidRPr="00954547">
        <w:rPr>
          <w:rFonts w:ascii="Verdana" w:hAnsi="Verdana"/>
          <w:sz w:val="16"/>
          <w:szCs w:val="16"/>
        </w:rPr>
        <w:t xml:space="preserve">Series </w:t>
      </w:r>
      <w:r w:rsidRPr="00954547">
        <w:rPr>
          <w:rFonts w:ascii="Verdana" w:hAnsi="Verdana"/>
          <w:sz w:val="16"/>
          <w:szCs w:val="16"/>
        </w:rPr>
        <w:t xml:space="preserve">C No. 339, </w:t>
      </w:r>
      <w:r w:rsidR="00B10E5A" w:rsidRPr="00954547">
        <w:rPr>
          <w:rFonts w:ascii="Verdana" w:hAnsi="Verdana"/>
          <w:sz w:val="16"/>
          <w:szCs w:val="16"/>
        </w:rPr>
        <w:t>para.</w:t>
      </w:r>
      <w:r w:rsidRPr="00954547">
        <w:rPr>
          <w:rFonts w:ascii="Verdana" w:hAnsi="Verdana"/>
          <w:sz w:val="16"/>
          <w:szCs w:val="16"/>
        </w:rPr>
        <w:t xml:space="preserve"> 184.</w:t>
      </w:r>
    </w:p>
  </w:footnote>
  <w:footnote w:id="257">
    <w:p w14:paraId="4CC2AC04" w14:textId="09B116E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Pr="00954547">
        <w:rPr>
          <w:rFonts w:ascii="Verdana" w:hAnsi="Verdana"/>
          <w:i/>
          <w:sz w:val="16"/>
          <w:szCs w:val="16"/>
        </w:rPr>
        <w:t xml:space="preserve">Mutatis mutandis, </w:t>
      </w:r>
      <w:r w:rsidR="002F4617" w:rsidRPr="00954547">
        <w:rPr>
          <w:rFonts w:ascii="Verdana" w:hAnsi="Verdana"/>
          <w:i/>
          <w:sz w:val="16"/>
          <w:szCs w:val="16"/>
        </w:rPr>
        <w:t xml:space="preserve">Case </w:t>
      </w:r>
      <w:r w:rsidR="00225BB9" w:rsidRPr="00954547">
        <w:rPr>
          <w:rFonts w:ascii="Verdana" w:hAnsi="Verdana"/>
          <w:i/>
          <w:sz w:val="16"/>
          <w:szCs w:val="16"/>
        </w:rPr>
        <w:t>of the “Street Children” (Villagrán Morales 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Guatemala. </w:t>
      </w:r>
      <w:r w:rsidR="00225BB9" w:rsidRPr="00954547">
        <w:rPr>
          <w:rFonts w:ascii="Verdana" w:hAnsi="Verdana"/>
          <w:i/>
          <w:sz w:val="16"/>
          <w:szCs w:val="16"/>
        </w:rPr>
        <w:t>Merits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225BB9" w:rsidRPr="00954547">
        <w:rPr>
          <w:rFonts w:ascii="Verdana" w:hAnsi="Verdana"/>
          <w:sz w:val="16"/>
          <w:szCs w:val="16"/>
        </w:rPr>
        <w:t>November 19,</w:t>
      </w:r>
      <w:r w:rsidRPr="00954547">
        <w:rPr>
          <w:rFonts w:ascii="Verdana" w:hAnsi="Verdana"/>
          <w:sz w:val="16"/>
          <w:szCs w:val="16"/>
        </w:rPr>
        <w:t xml:space="preserve"> 1999. </w:t>
      </w:r>
      <w:r w:rsidR="00B8393C" w:rsidRPr="00954547">
        <w:rPr>
          <w:rFonts w:ascii="Verdana" w:hAnsi="Verdana"/>
          <w:sz w:val="16"/>
          <w:szCs w:val="16"/>
        </w:rPr>
        <w:t xml:space="preserve">Series </w:t>
      </w:r>
      <w:r w:rsidRPr="00954547">
        <w:rPr>
          <w:rFonts w:ascii="Verdana" w:hAnsi="Verdana"/>
          <w:sz w:val="16"/>
          <w:szCs w:val="16"/>
        </w:rPr>
        <w:t xml:space="preserve">C No. 63, </w:t>
      </w:r>
      <w:r w:rsidR="00B10E5A" w:rsidRPr="00954547">
        <w:rPr>
          <w:rFonts w:ascii="Verdana" w:hAnsi="Verdana"/>
          <w:sz w:val="16"/>
          <w:szCs w:val="16"/>
        </w:rPr>
        <w:t>para.</w:t>
      </w:r>
      <w:r w:rsidRPr="00954547">
        <w:rPr>
          <w:rFonts w:ascii="Verdana" w:hAnsi="Verdana"/>
          <w:sz w:val="16"/>
          <w:szCs w:val="16"/>
        </w:rPr>
        <w:t xml:space="preserve"> 222,</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Moya Solís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225BB9" w:rsidRPr="00954547">
        <w:rPr>
          <w:rFonts w:ascii="Verdana" w:hAnsi="Verdana"/>
          <w:sz w:val="16"/>
          <w:szCs w:val="16"/>
        </w:rPr>
        <w:t>June 3,</w:t>
      </w:r>
      <w:r w:rsidRPr="00954547">
        <w:rPr>
          <w:rFonts w:ascii="Verdana" w:hAnsi="Verdana"/>
          <w:sz w:val="16"/>
          <w:szCs w:val="16"/>
        </w:rPr>
        <w:t xml:space="preserve"> 2021. </w:t>
      </w:r>
      <w:r w:rsidR="00B8393C" w:rsidRPr="00954547">
        <w:rPr>
          <w:rFonts w:ascii="Verdana" w:hAnsi="Verdana"/>
          <w:sz w:val="16"/>
          <w:szCs w:val="16"/>
        </w:rPr>
        <w:t xml:space="preserve">Series </w:t>
      </w:r>
      <w:r w:rsidRPr="00954547">
        <w:rPr>
          <w:rFonts w:ascii="Verdana" w:hAnsi="Verdana"/>
          <w:sz w:val="16"/>
          <w:szCs w:val="16"/>
        </w:rPr>
        <w:t xml:space="preserve">C No. 425, </w:t>
      </w:r>
      <w:r w:rsidR="00B10E5A" w:rsidRPr="00954547">
        <w:rPr>
          <w:rFonts w:ascii="Verdana" w:hAnsi="Verdana"/>
          <w:sz w:val="16"/>
          <w:szCs w:val="16"/>
        </w:rPr>
        <w:t>para.</w:t>
      </w:r>
      <w:r w:rsidRPr="00954547">
        <w:rPr>
          <w:rFonts w:ascii="Verdana" w:hAnsi="Verdana"/>
          <w:sz w:val="16"/>
          <w:szCs w:val="16"/>
        </w:rPr>
        <w:t xml:space="preserve"> 28.</w:t>
      </w:r>
    </w:p>
  </w:footnote>
  <w:footnote w:id="258">
    <w:p w14:paraId="559F47BE" w14:textId="4BB7DBF1"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eastAsiaTheme="majorEastAsi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Apitz </w:t>
      </w:r>
      <w:r w:rsidR="0039456F" w:rsidRPr="00954547">
        <w:rPr>
          <w:rFonts w:ascii="Verdana" w:hAnsi="Verdana"/>
          <w:i/>
          <w:sz w:val="16"/>
          <w:szCs w:val="16"/>
        </w:rPr>
        <w:t>Barbera et al. (“First Court of Administrative Disputes”)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Venezuela,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78,</w:t>
      </w:r>
      <w:r w:rsidR="0078694F" w:rsidRPr="00954547">
        <w:rPr>
          <w:rFonts w:ascii="Verdana" w:hAnsi="Verdana"/>
          <w:sz w:val="16"/>
          <w:szCs w:val="16"/>
        </w:rPr>
        <w:t xml:space="preserve"> and </w:t>
      </w:r>
      <w:r w:rsidR="002F4617" w:rsidRPr="00954547">
        <w:rPr>
          <w:rStyle w:val="Strong"/>
          <w:rFonts w:ascii="Verdana" w:hAnsi="Verdana"/>
          <w:b w:val="0"/>
          <w:i/>
          <w:sz w:val="16"/>
          <w:szCs w:val="16"/>
          <w:shd w:val="clear" w:color="auto" w:fill="FFFFFF"/>
        </w:rPr>
        <w:t>Case of</w:t>
      </w:r>
      <w:r w:rsidRPr="00954547">
        <w:rPr>
          <w:rStyle w:val="Strong"/>
          <w:rFonts w:ascii="Verdana" w:hAnsi="Verdana"/>
          <w:b w:val="0"/>
          <w:i/>
          <w:sz w:val="16"/>
          <w:szCs w:val="16"/>
          <w:shd w:val="clear" w:color="auto" w:fill="FFFFFF"/>
        </w:rPr>
        <w:t xml:space="preserve"> Martínez Esquivia </w:t>
      </w:r>
      <w:r w:rsidR="009C16A1" w:rsidRPr="00954547">
        <w:rPr>
          <w:rStyle w:val="Strong"/>
          <w:rFonts w:ascii="Verdana" w:hAnsi="Verdana"/>
          <w:b w:val="0"/>
          <w:i/>
          <w:sz w:val="16"/>
          <w:szCs w:val="16"/>
          <w:shd w:val="clear" w:color="auto" w:fill="FFFFFF"/>
        </w:rPr>
        <w:t>v.</w:t>
      </w:r>
      <w:r w:rsidRPr="00954547">
        <w:rPr>
          <w:rStyle w:val="Strong"/>
          <w:rFonts w:ascii="Verdana" w:hAnsi="Verdana"/>
          <w:b w:val="0"/>
          <w:i/>
          <w:sz w:val="16"/>
          <w:szCs w:val="16"/>
          <w:shd w:val="clear" w:color="auto" w:fill="FFFFFF"/>
        </w:rPr>
        <w:t xml:space="preserve"> Colombia. </w:t>
      </w:r>
      <w:r w:rsidR="00A70DC4" w:rsidRPr="00954547">
        <w:rPr>
          <w:rStyle w:val="Strong"/>
          <w:rFonts w:ascii="Verdana" w:hAnsi="Verdana"/>
          <w:b w:val="0"/>
          <w:i/>
          <w:sz w:val="16"/>
          <w:szCs w:val="16"/>
          <w:shd w:val="clear" w:color="auto" w:fill="FFFFFF"/>
        </w:rPr>
        <w:t>Preliminary objections</w:t>
      </w:r>
      <w:r w:rsidRPr="00954547">
        <w:rPr>
          <w:rStyle w:val="Strong"/>
          <w:rFonts w:ascii="Verdana" w:hAnsi="Verdana"/>
          <w:b w:val="0"/>
          <w:i/>
          <w:sz w:val="16"/>
          <w:szCs w:val="16"/>
          <w:shd w:val="clear" w:color="auto" w:fill="FFFFFF"/>
        </w:rPr>
        <w:t xml:space="preserve">, </w:t>
      </w:r>
      <w:r w:rsidR="00225BB9" w:rsidRPr="00954547">
        <w:rPr>
          <w:rStyle w:val="Strong"/>
          <w:rFonts w:ascii="Verdana" w:hAnsi="Verdana"/>
          <w:b w:val="0"/>
          <w:i/>
          <w:sz w:val="16"/>
          <w:szCs w:val="16"/>
          <w:shd w:val="clear" w:color="auto" w:fill="FFFFFF"/>
        </w:rPr>
        <w:t>merits and reparations</w:t>
      </w:r>
      <w:r w:rsidRPr="00954547">
        <w:rPr>
          <w:rStyle w:val="Strong"/>
          <w:rFonts w:ascii="Verdana" w:hAnsi="Verdana"/>
          <w:b w:val="0"/>
          <w:i/>
          <w:sz w:val="16"/>
          <w:szCs w:val="16"/>
          <w:shd w:val="clear" w:color="auto" w:fill="FFFFFF"/>
        </w:rPr>
        <w:t xml:space="preserve">. </w:t>
      </w:r>
      <w:r w:rsidR="00B8393C" w:rsidRPr="00954547">
        <w:rPr>
          <w:rStyle w:val="Strong"/>
          <w:rFonts w:ascii="Verdana" w:hAnsi="Verdana"/>
          <w:b w:val="0"/>
          <w:sz w:val="16"/>
          <w:szCs w:val="16"/>
          <w:shd w:val="clear" w:color="auto" w:fill="FFFFFF"/>
        </w:rPr>
        <w:t>Judgment of</w:t>
      </w:r>
      <w:r w:rsidRPr="00954547">
        <w:rPr>
          <w:rStyle w:val="Strong"/>
          <w:rFonts w:ascii="Verdana" w:hAnsi="Verdana"/>
          <w:b w:val="0"/>
          <w:sz w:val="16"/>
          <w:szCs w:val="16"/>
          <w:shd w:val="clear" w:color="auto" w:fill="FFFFFF"/>
        </w:rPr>
        <w:t xml:space="preserve"> </w:t>
      </w:r>
      <w:r w:rsidR="00225BB9" w:rsidRPr="00954547">
        <w:rPr>
          <w:rStyle w:val="Strong"/>
          <w:rFonts w:ascii="Verdana" w:hAnsi="Verdana"/>
          <w:b w:val="0"/>
          <w:sz w:val="16"/>
          <w:szCs w:val="16"/>
          <w:shd w:val="clear" w:color="auto" w:fill="FFFFFF"/>
        </w:rPr>
        <w:t>October 6,</w:t>
      </w:r>
      <w:r w:rsidRPr="00954547">
        <w:rPr>
          <w:rStyle w:val="Strong"/>
          <w:rFonts w:ascii="Verdana" w:hAnsi="Verdana"/>
          <w:b w:val="0"/>
          <w:sz w:val="16"/>
          <w:szCs w:val="16"/>
          <w:shd w:val="clear" w:color="auto" w:fill="FFFFFF"/>
        </w:rPr>
        <w:t xml:space="preserve"> 2020. </w:t>
      </w:r>
      <w:r w:rsidR="00B8393C" w:rsidRPr="00954547">
        <w:rPr>
          <w:rStyle w:val="Strong"/>
          <w:rFonts w:ascii="Verdana" w:hAnsi="Verdana"/>
          <w:b w:val="0"/>
          <w:sz w:val="16"/>
          <w:szCs w:val="16"/>
          <w:shd w:val="clear" w:color="auto" w:fill="FFFFFF"/>
        </w:rPr>
        <w:t xml:space="preserve">Series </w:t>
      </w:r>
      <w:r w:rsidRPr="00954547">
        <w:rPr>
          <w:rStyle w:val="Strong"/>
          <w:rFonts w:ascii="Verdana" w:hAnsi="Verdana"/>
          <w:b w:val="0"/>
          <w:sz w:val="16"/>
          <w:szCs w:val="16"/>
          <w:shd w:val="clear" w:color="auto" w:fill="FFFFFF"/>
        </w:rPr>
        <w:t xml:space="preserve">C No. 412, </w:t>
      </w:r>
      <w:r w:rsidR="00B10E5A" w:rsidRPr="00954547">
        <w:rPr>
          <w:rStyle w:val="Strong"/>
          <w:rFonts w:ascii="Verdana" w:hAnsi="Verdana"/>
          <w:b w:val="0"/>
          <w:sz w:val="16"/>
          <w:szCs w:val="16"/>
          <w:shd w:val="clear" w:color="auto" w:fill="FFFFFF"/>
        </w:rPr>
        <w:t>para.</w:t>
      </w:r>
      <w:r w:rsidRPr="00954547">
        <w:rPr>
          <w:rStyle w:val="Strong"/>
          <w:rFonts w:ascii="Verdana" w:hAnsi="Verdana"/>
          <w:b w:val="0"/>
          <w:sz w:val="16"/>
          <w:szCs w:val="16"/>
          <w:shd w:val="clear" w:color="auto" w:fill="FFFFFF"/>
        </w:rPr>
        <w:t xml:space="preserve"> 106.</w:t>
      </w:r>
    </w:p>
  </w:footnote>
  <w:footnote w:id="259">
    <w:p w14:paraId="5A901F0F" w14:textId="29B6793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eastAsiaTheme="majorEastAsi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Chaparro Álvarez</w:t>
      </w:r>
      <w:r w:rsidR="0078694F" w:rsidRPr="00954547">
        <w:rPr>
          <w:rFonts w:ascii="Verdana" w:hAnsi="Verdana"/>
          <w:i/>
          <w:iCs/>
          <w:sz w:val="16"/>
          <w:szCs w:val="16"/>
        </w:rPr>
        <w:t xml:space="preserve"> and </w:t>
      </w:r>
      <w:r w:rsidRPr="00954547">
        <w:rPr>
          <w:rFonts w:ascii="Verdana" w:hAnsi="Verdana"/>
          <w:i/>
          <w:iCs/>
          <w:sz w:val="16"/>
          <w:szCs w:val="16"/>
        </w:rPr>
        <w:t xml:space="preserve">Lapo Íñiguez </w:t>
      </w:r>
      <w:r w:rsidR="009C16A1" w:rsidRPr="00954547">
        <w:rPr>
          <w:rFonts w:ascii="Verdana" w:hAnsi="Verdana"/>
          <w:i/>
          <w:iCs/>
          <w:sz w:val="16"/>
          <w:szCs w:val="16"/>
        </w:rPr>
        <w:t>v.</w:t>
      </w:r>
      <w:r w:rsidRPr="00954547">
        <w:rPr>
          <w:rFonts w:ascii="Verdana" w:hAnsi="Verdana"/>
          <w:i/>
          <w:iCs/>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107,</w:t>
      </w:r>
      <w:r w:rsidR="0078694F" w:rsidRPr="00954547">
        <w:rPr>
          <w:rFonts w:ascii="Verdana" w:hAnsi="Verdana"/>
          <w:sz w:val="16"/>
          <w:szCs w:val="16"/>
        </w:rPr>
        <w:t xml:space="preserve"> and </w:t>
      </w:r>
      <w:r w:rsidR="002F4617" w:rsidRPr="00954547">
        <w:rPr>
          <w:rStyle w:val="Strong"/>
          <w:rFonts w:ascii="Verdana" w:hAnsi="Verdana"/>
          <w:b w:val="0"/>
          <w:i/>
          <w:sz w:val="16"/>
          <w:szCs w:val="16"/>
          <w:shd w:val="clear" w:color="auto" w:fill="FFFFFF"/>
        </w:rPr>
        <w:t>Case of</w:t>
      </w:r>
      <w:r w:rsidRPr="00954547">
        <w:rPr>
          <w:rStyle w:val="Strong"/>
          <w:rFonts w:ascii="Verdana" w:hAnsi="Verdana"/>
          <w:b w:val="0"/>
          <w:i/>
          <w:sz w:val="16"/>
          <w:szCs w:val="16"/>
          <w:shd w:val="clear" w:color="auto" w:fill="FFFFFF"/>
        </w:rPr>
        <w:t xml:space="preserve"> Moya Solís </w:t>
      </w:r>
      <w:r w:rsidR="009C16A1" w:rsidRPr="00954547">
        <w:rPr>
          <w:rStyle w:val="Strong"/>
          <w:rFonts w:ascii="Verdana" w:hAnsi="Verdana"/>
          <w:b w:val="0"/>
          <w:i/>
          <w:sz w:val="16"/>
          <w:szCs w:val="16"/>
          <w:shd w:val="clear" w:color="auto" w:fill="FFFFFF"/>
        </w:rPr>
        <w:t>v.</w:t>
      </w:r>
      <w:r w:rsidRPr="00954547">
        <w:rPr>
          <w:rStyle w:val="Strong"/>
          <w:rFonts w:ascii="Verdana" w:hAnsi="Verdana"/>
          <w:b w:val="0"/>
          <w:i/>
          <w:sz w:val="16"/>
          <w:szCs w:val="16"/>
          <w:shd w:val="clear" w:color="auto" w:fill="FFFFFF"/>
        </w:rPr>
        <w:t xml:space="preserve"> </w:t>
      </w:r>
      <w:r w:rsidR="00C26F0B" w:rsidRPr="00954547">
        <w:rPr>
          <w:rStyle w:val="Strong"/>
          <w:rFonts w:ascii="Verdana" w:hAnsi="Verdana"/>
          <w:b w:val="0"/>
          <w:i/>
          <w:sz w:val="16"/>
          <w:szCs w:val="16"/>
          <w:shd w:val="clear" w:color="auto" w:fill="FFFFFF"/>
        </w:rPr>
        <w:t>Peru</w:t>
      </w:r>
      <w:r w:rsidRPr="00954547">
        <w:rPr>
          <w:rStyle w:val="Strong"/>
          <w:rFonts w:ascii="Verdana" w:hAnsi="Verdana"/>
          <w:b w:val="0"/>
          <w:i/>
          <w:sz w:val="16"/>
          <w:szCs w:val="16"/>
          <w:shd w:val="clear" w:color="auto" w:fill="FFFFFF"/>
        </w:rPr>
        <w:t>, supra</w:t>
      </w:r>
      <w:r w:rsidRPr="00954547">
        <w:rPr>
          <w:rStyle w:val="Strong"/>
          <w:rFonts w:ascii="Verdana" w:hAnsi="Verdana"/>
          <w:b w:val="0"/>
          <w:sz w:val="16"/>
          <w:szCs w:val="16"/>
          <w:shd w:val="clear" w:color="auto" w:fill="FFFFFF"/>
        </w:rPr>
        <w:t xml:space="preserve">, </w:t>
      </w:r>
      <w:r w:rsidR="00B10E5A" w:rsidRPr="00954547">
        <w:rPr>
          <w:rStyle w:val="Strong"/>
          <w:rFonts w:ascii="Verdana" w:hAnsi="Verdana"/>
          <w:b w:val="0"/>
          <w:sz w:val="16"/>
          <w:szCs w:val="16"/>
          <w:shd w:val="clear" w:color="auto" w:fill="FFFFFF"/>
        </w:rPr>
        <w:t>para.</w:t>
      </w:r>
      <w:r w:rsidRPr="00954547">
        <w:rPr>
          <w:rStyle w:val="Strong"/>
          <w:rFonts w:ascii="Verdana" w:hAnsi="Verdana"/>
          <w:b w:val="0"/>
          <w:sz w:val="16"/>
          <w:szCs w:val="16"/>
          <w:shd w:val="clear" w:color="auto" w:fill="FFFFFF"/>
        </w:rPr>
        <w:t xml:space="preserve"> 83.</w:t>
      </w:r>
    </w:p>
  </w:footnote>
  <w:footnote w:id="260">
    <w:p w14:paraId="660476E3" w14:textId="6CD2978A" w:rsidR="005F001B" w:rsidRPr="00954547" w:rsidRDefault="005F001B" w:rsidP="007619E6">
      <w:pPr>
        <w:pStyle w:val="FootnoteText"/>
        <w:tabs>
          <w:tab w:val="left" w:pos="567"/>
        </w:tabs>
        <w:spacing w:after="120"/>
        <w:jc w:val="both"/>
        <w:rPr>
          <w:rFonts w:ascii="Verdana" w:hAnsi="Verdana"/>
          <w:b/>
          <w:sz w:val="16"/>
          <w:szCs w:val="16"/>
        </w:rPr>
      </w:pPr>
      <w:r w:rsidRPr="00954547">
        <w:rPr>
          <w:rStyle w:val="FootnoteReference"/>
          <w:rFonts w:ascii="Verdana" w:eastAsiaTheme="majorEastAsi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b/>
          <w:sz w:val="16"/>
          <w:szCs w:val="16"/>
        </w:rPr>
        <w:t xml:space="preserve"> </w:t>
      </w:r>
      <w:r w:rsidR="002F4617" w:rsidRPr="00954547">
        <w:rPr>
          <w:rStyle w:val="Strong"/>
          <w:rFonts w:ascii="Verdana" w:hAnsi="Verdana"/>
          <w:b w:val="0"/>
          <w:i/>
          <w:sz w:val="16"/>
          <w:szCs w:val="16"/>
          <w:shd w:val="clear" w:color="auto" w:fill="FFFFFF"/>
        </w:rPr>
        <w:t>Case of</w:t>
      </w:r>
      <w:r w:rsidRPr="00954547">
        <w:rPr>
          <w:rStyle w:val="Strong"/>
          <w:rFonts w:ascii="Verdana" w:hAnsi="Verdana"/>
          <w:b w:val="0"/>
          <w:i/>
          <w:sz w:val="16"/>
          <w:szCs w:val="16"/>
          <w:shd w:val="clear" w:color="auto" w:fill="FFFFFF"/>
        </w:rPr>
        <w:t xml:space="preserve"> Apitz </w:t>
      </w:r>
      <w:r w:rsidR="0039456F" w:rsidRPr="00954547">
        <w:rPr>
          <w:rStyle w:val="Strong"/>
          <w:rFonts w:ascii="Verdana" w:hAnsi="Verdana"/>
          <w:b w:val="0"/>
          <w:i/>
          <w:sz w:val="16"/>
          <w:szCs w:val="16"/>
          <w:shd w:val="clear" w:color="auto" w:fill="FFFFFF"/>
        </w:rPr>
        <w:t>Barbera et al. (“First Court of Administrative Disputes”)</w:t>
      </w:r>
      <w:r w:rsidRPr="00954547">
        <w:rPr>
          <w:rStyle w:val="Strong"/>
          <w:rFonts w:ascii="Verdana" w:hAnsi="Verdana"/>
          <w:b w:val="0"/>
          <w:i/>
          <w:sz w:val="16"/>
          <w:szCs w:val="16"/>
          <w:shd w:val="clear" w:color="auto" w:fill="FFFFFF"/>
        </w:rPr>
        <w:t xml:space="preserve"> </w:t>
      </w:r>
      <w:r w:rsidR="009C16A1" w:rsidRPr="00954547">
        <w:rPr>
          <w:rStyle w:val="Strong"/>
          <w:rFonts w:ascii="Verdana" w:hAnsi="Verdana"/>
          <w:b w:val="0"/>
          <w:i/>
          <w:sz w:val="16"/>
          <w:szCs w:val="16"/>
          <w:shd w:val="clear" w:color="auto" w:fill="FFFFFF"/>
        </w:rPr>
        <w:t>v.</w:t>
      </w:r>
      <w:r w:rsidRPr="00954547">
        <w:rPr>
          <w:rStyle w:val="Strong"/>
          <w:rFonts w:ascii="Verdana" w:hAnsi="Verdana"/>
          <w:b w:val="0"/>
          <w:i/>
          <w:sz w:val="16"/>
          <w:szCs w:val="16"/>
          <w:shd w:val="clear" w:color="auto" w:fill="FFFFFF"/>
        </w:rPr>
        <w:t xml:space="preserve"> Venezuela, supra,</w:t>
      </w:r>
      <w:r w:rsidRPr="00954547">
        <w:rPr>
          <w:rStyle w:val="Strong"/>
          <w:rFonts w:ascii="Verdana" w:hAnsi="Verdana"/>
          <w:i/>
          <w:sz w:val="16"/>
          <w:szCs w:val="16"/>
          <w:shd w:val="clear" w:color="auto" w:fill="FFFFFF"/>
        </w:rPr>
        <w:t xml:space="preserve"> </w:t>
      </w:r>
      <w:r w:rsidR="00B10E5A" w:rsidRPr="00954547">
        <w:rPr>
          <w:rFonts w:ascii="Verdana" w:hAnsi="Verdana"/>
          <w:sz w:val="16"/>
          <w:szCs w:val="16"/>
        </w:rPr>
        <w:t>para.</w:t>
      </w:r>
      <w:r w:rsidRPr="00954547">
        <w:rPr>
          <w:rFonts w:ascii="Verdana" w:hAnsi="Verdana"/>
          <w:sz w:val="16"/>
          <w:szCs w:val="16"/>
        </w:rPr>
        <w:t xml:space="preserve"> 78,</w:t>
      </w:r>
      <w:r w:rsidR="0078694F" w:rsidRPr="00954547">
        <w:rPr>
          <w:rFonts w:ascii="Verdana" w:hAnsi="Verdana"/>
          <w:sz w:val="16"/>
          <w:szCs w:val="16"/>
        </w:rPr>
        <w:t xml:space="preserve"> and </w:t>
      </w:r>
      <w:r w:rsidR="002F4617" w:rsidRPr="00954547">
        <w:rPr>
          <w:rStyle w:val="Strong"/>
          <w:rFonts w:ascii="Verdana" w:hAnsi="Verdana"/>
          <w:b w:val="0"/>
          <w:i/>
          <w:sz w:val="16"/>
          <w:szCs w:val="16"/>
          <w:shd w:val="clear" w:color="auto" w:fill="FFFFFF"/>
        </w:rPr>
        <w:t>Case of</w:t>
      </w:r>
      <w:r w:rsidRPr="00954547">
        <w:rPr>
          <w:rStyle w:val="Strong"/>
          <w:rFonts w:ascii="Verdana" w:hAnsi="Verdana"/>
          <w:b w:val="0"/>
          <w:i/>
          <w:sz w:val="16"/>
          <w:szCs w:val="16"/>
          <w:shd w:val="clear" w:color="auto" w:fill="FFFFFF"/>
        </w:rPr>
        <w:t xml:space="preserve"> Moya Solís </w:t>
      </w:r>
      <w:r w:rsidR="009C16A1" w:rsidRPr="00954547">
        <w:rPr>
          <w:rStyle w:val="Strong"/>
          <w:rFonts w:ascii="Verdana" w:hAnsi="Verdana"/>
          <w:b w:val="0"/>
          <w:i/>
          <w:sz w:val="16"/>
          <w:szCs w:val="16"/>
          <w:shd w:val="clear" w:color="auto" w:fill="FFFFFF"/>
        </w:rPr>
        <w:t>v.</w:t>
      </w:r>
      <w:r w:rsidRPr="00954547">
        <w:rPr>
          <w:rStyle w:val="Strong"/>
          <w:rFonts w:ascii="Verdana" w:hAnsi="Verdana"/>
          <w:b w:val="0"/>
          <w:i/>
          <w:sz w:val="16"/>
          <w:szCs w:val="16"/>
          <w:shd w:val="clear" w:color="auto" w:fill="FFFFFF"/>
        </w:rPr>
        <w:t xml:space="preserve"> </w:t>
      </w:r>
      <w:r w:rsidR="00C26F0B" w:rsidRPr="00954547">
        <w:rPr>
          <w:rStyle w:val="Strong"/>
          <w:rFonts w:ascii="Verdana" w:hAnsi="Verdana"/>
          <w:b w:val="0"/>
          <w:i/>
          <w:sz w:val="16"/>
          <w:szCs w:val="16"/>
          <w:shd w:val="clear" w:color="auto" w:fill="FFFFFF"/>
        </w:rPr>
        <w:t>Peru</w:t>
      </w:r>
      <w:r w:rsidRPr="00954547">
        <w:rPr>
          <w:rStyle w:val="Strong"/>
          <w:rFonts w:ascii="Verdana" w:hAnsi="Verdana"/>
          <w:b w:val="0"/>
          <w:sz w:val="16"/>
          <w:szCs w:val="16"/>
          <w:shd w:val="clear" w:color="auto" w:fill="FFFFFF"/>
        </w:rPr>
        <w:t xml:space="preserve">, </w:t>
      </w:r>
      <w:r w:rsidRPr="00954547">
        <w:rPr>
          <w:rStyle w:val="Strong"/>
          <w:rFonts w:ascii="Verdana" w:hAnsi="Verdana"/>
          <w:b w:val="0"/>
          <w:i/>
          <w:sz w:val="16"/>
          <w:szCs w:val="16"/>
          <w:shd w:val="clear" w:color="auto" w:fill="FFFFFF"/>
        </w:rPr>
        <w:t>supra</w:t>
      </w:r>
      <w:r w:rsidRPr="00954547">
        <w:rPr>
          <w:rStyle w:val="Strong"/>
          <w:rFonts w:ascii="Verdana" w:hAnsi="Verdana"/>
          <w:b w:val="0"/>
          <w:sz w:val="16"/>
          <w:szCs w:val="16"/>
          <w:shd w:val="clear" w:color="auto" w:fill="FFFFFF"/>
        </w:rPr>
        <w:t xml:space="preserve">, </w:t>
      </w:r>
      <w:r w:rsidR="0052231D" w:rsidRPr="00954547">
        <w:rPr>
          <w:rStyle w:val="Strong"/>
          <w:rFonts w:ascii="Verdana" w:hAnsi="Verdana"/>
          <w:b w:val="0"/>
          <w:sz w:val="16"/>
          <w:szCs w:val="16"/>
          <w:shd w:val="clear" w:color="auto" w:fill="FFFFFF"/>
        </w:rPr>
        <w:t>paras.</w:t>
      </w:r>
      <w:r w:rsidRPr="00954547">
        <w:rPr>
          <w:rStyle w:val="Strong"/>
          <w:rFonts w:ascii="Verdana" w:hAnsi="Verdana"/>
          <w:b w:val="0"/>
          <w:sz w:val="16"/>
          <w:szCs w:val="16"/>
          <w:shd w:val="clear" w:color="auto" w:fill="FFFFFF"/>
        </w:rPr>
        <w:t xml:space="preserve"> 83</w:t>
      </w:r>
      <w:r w:rsidR="0078694F" w:rsidRPr="00954547">
        <w:rPr>
          <w:rStyle w:val="Strong"/>
          <w:rFonts w:ascii="Verdana" w:hAnsi="Verdana"/>
          <w:b w:val="0"/>
          <w:sz w:val="16"/>
          <w:szCs w:val="16"/>
          <w:shd w:val="clear" w:color="auto" w:fill="FFFFFF"/>
        </w:rPr>
        <w:t xml:space="preserve"> and </w:t>
      </w:r>
      <w:r w:rsidRPr="00954547">
        <w:rPr>
          <w:rStyle w:val="Strong"/>
          <w:rFonts w:ascii="Verdana" w:hAnsi="Verdana"/>
          <w:b w:val="0"/>
          <w:sz w:val="16"/>
          <w:szCs w:val="16"/>
          <w:shd w:val="clear" w:color="auto" w:fill="FFFFFF"/>
        </w:rPr>
        <w:t>84.</w:t>
      </w:r>
    </w:p>
  </w:footnote>
  <w:footnote w:id="261">
    <w:p w14:paraId="29A8D8CC" w14:textId="2F373E4D" w:rsidR="005F001B" w:rsidRPr="00954547" w:rsidRDefault="005F001B" w:rsidP="007619E6">
      <w:pPr>
        <w:pStyle w:val="FootnoteText"/>
        <w:tabs>
          <w:tab w:val="left" w:pos="567"/>
        </w:tabs>
        <w:spacing w:after="120"/>
        <w:jc w:val="both"/>
        <w:rPr>
          <w:rFonts w:ascii="Verdana" w:hAnsi="Verdana"/>
          <w:b/>
          <w:sz w:val="16"/>
          <w:szCs w:val="16"/>
          <w:lang w:val="es-CR"/>
        </w:rPr>
      </w:pPr>
      <w:r w:rsidRPr="00954547">
        <w:rPr>
          <w:rStyle w:val="FootnoteReference"/>
          <w:rFonts w:ascii="Verdana" w:eastAsiaTheme="majorEastAsi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Zegarra Marín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supra</w:t>
      </w:r>
      <w:r w:rsidRPr="00954547">
        <w:rPr>
          <w:rStyle w:val="Strong"/>
          <w:rFonts w:ascii="Verdana" w:hAnsi="Verdana"/>
          <w:b w:val="0"/>
          <w:sz w:val="16"/>
          <w:szCs w:val="16"/>
          <w:shd w:val="clear" w:color="auto" w:fill="FFFFFF"/>
        </w:rPr>
        <w:t xml:space="preserve">, </w:t>
      </w:r>
      <w:r w:rsidR="00B10E5A" w:rsidRPr="00954547">
        <w:rPr>
          <w:rStyle w:val="Strong"/>
          <w:rFonts w:ascii="Verdana" w:hAnsi="Verdana"/>
          <w:b w:val="0"/>
          <w:sz w:val="16"/>
          <w:szCs w:val="16"/>
          <w:shd w:val="clear" w:color="auto" w:fill="FFFFFF"/>
        </w:rPr>
        <w:t>para.</w:t>
      </w:r>
      <w:r w:rsidRPr="00954547">
        <w:rPr>
          <w:rStyle w:val="Strong"/>
          <w:rFonts w:ascii="Verdana" w:hAnsi="Verdana"/>
          <w:b w:val="0"/>
          <w:sz w:val="16"/>
          <w:szCs w:val="16"/>
          <w:shd w:val="clear" w:color="auto" w:fill="FFFFFF"/>
        </w:rPr>
        <w:t xml:space="preserve"> 147,</w:t>
      </w:r>
      <w:r w:rsidR="0078694F" w:rsidRPr="00954547">
        <w:rPr>
          <w:rStyle w:val="Strong"/>
          <w:rFonts w:ascii="Verdana" w:hAnsi="Verdana"/>
          <w:sz w:val="16"/>
          <w:szCs w:val="16"/>
          <w:shd w:val="clear" w:color="auto" w:fill="FFFFFF"/>
        </w:rPr>
        <w:t xml:space="preserve"> </w:t>
      </w:r>
      <w:r w:rsidR="0078694F" w:rsidRPr="00954547">
        <w:rPr>
          <w:rStyle w:val="Strong"/>
          <w:rFonts w:ascii="Verdana" w:hAnsi="Verdana"/>
          <w:b w:val="0"/>
          <w:bCs w:val="0"/>
          <w:sz w:val="16"/>
          <w:szCs w:val="16"/>
          <w:shd w:val="clear" w:color="auto" w:fill="FFFFFF"/>
        </w:rPr>
        <w:t xml:space="preserve">and </w:t>
      </w:r>
      <w:r w:rsidR="002F4617" w:rsidRPr="00954547">
        <w:rPr>
          <w:rFonts w:ascii="Verdana" w:hAnsi="Verdana"/>
          <w:i/>
          <w:sz w:val="16"/>
          <w:szCs w:val="16"/>
        </w:rPr>
        <w:t>Case of</w:t>
      </w:r>
      <w:r w:rsidRPr="00954547">
        <w:rPr>
          <w:rFonts w:ascii="Verdana" w:hAnsi="Verdana"/>
          <w:i/>
          <w:sz w:val="16"/>
          <w:szCs w:val="16"/>
        </w:rPr>
        <w:t xml:space="preserve"> Amrhein </w:t>
      </w:r>
      <w:r w:rsidR="00B8393C" w:rsidRPr="00954547">
        <w:rPr>
          <w:rFonts w:ascii="Verdana" w:hAnsi="Verdana"/>
          <w:i/>
          <w:sz w:val="16"/>
          <w:szCs w:val="16"/>
        </w:rPr>
        <w:t>et al. v.</w:t>
      </w:r>
      <w:r w:rsidRPr="00954547">
        <w:rPr>
          <w:rFonts w:ascii="Verdana" w:hAnsi="Verdana"/>
          <w:i/>
          <w:sz w:val="16"/>
          <w:szCs w:val="16"/>
        </w:rPr>
        <w:t xml:space="preserve"> Costa Rica,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w:t>
      </w:r>
      <w:r w:rsidRPr="00954547">
        <w:rPr>
          <w:rStyle w:val="Strong"/>
          <w:rFonts w:ascii="Verdana" w:hAnsi="Verdana"/>
          <w:b w:val="0"/>
          <w:sz w:val="16"/>
          <w:szCs w:val="16"/>
          <w:shd w:val="clear" w:color="auto" w:fill="FFFFFF"/>
          <w:lang w:val="es-CR"/>
        </w:rPr>
        <w:t>269.</w:t>
      </w:r>
    </w:p>
  </w:footnote>
  <w:footnote w:id="262">
    <w:p w14:paraId="4D91E06D" w14:textId="31E28E4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2F4617" w:rsidRPr="00954547">
        <w:rPr>
          <w:rFonts w:ascii="Verdana" w:hAnsi="Verdana"/>
          <w:i/>
          <w:sz w:val="16"/>
          <w:szCs w:val="16"/>
          <w:lang w:val="es-CR"/>
        </w:rPr>
        <w:t>Case of</w:t>
      </w:r>
      <w:r w:rsidRPr="00954547">
        <w:rPr>
          <w:rFonts w:ascii="Verdana" w:hAnsi="Verdana"/>
          <w:i/>
          <w:sz w:val="16"/>
          <w:szCs w:val="16"/>
          <w:lang w:val="es-CR"/>
        </w:rPr>
        <w:t xml:space="preserve"> Amrhein </w:t>
      </w:r>
      <w:r w:rsidR="00B8393C" w:rsidRPr="00954547">
        <w:rPr>
          <w:rFonts w:ascii="Verdana" w:hAnsi="Verdana"/>
          <w:i/>
          <w:sz w:val="16"/>
          <w:szCs w:val="16"/>
          <w:lang w:val="es-CR"/>
        </w:rPr>
        <w:t>et al. v.</w:t>
      </w:r>
      <w:r w:rsidRPr="00954547">
        <w:rPr>
          <w:rFonts w:ascii="Verdana" w:hAnsi="Verdana"/>
          <w:i/>
          <w:sz w:val="16"/>
          <w:szCs w:val="16"/>
          <w:lang w:val="es-CR"/>
        </w:rPr>
        <w:t xml:space="preserve"> Costa Rica,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Style w:val="Strong"/>
          <w:rFonts w:ascii="Verdana" w:hAnsi="Verdana"/>
          <w:b w:val="0"/>
          <w:sz w:val="16"/>
          <w:szCs w:val="16"/>
          <w:shd w:val="clear" w:color="auto" w:fill="FFFFFF"/>
        </w:rPr>
        <w:t>270.</w:t>
      </w:r>
    </w:p>
  </w:footnote>
  <w:footnote w:id="263">
    <w:p w14:paraId="1B59AD97" w14:textId="5898F97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Claude Reyes </w:t>
      </w:r>
      <w:r w:rsidR="00B8393C" w:rsidRPr="00954547">
        <w:rPr>
          <w:rFonts w:ascii="Verdana" w:hAnsi="Verdana"/>
          <w:i/>
          <w:iCs/>
          <w:sz w:val="16"/>
          <w:szCs w:val="16"/>
        </w:rPr>
        <w:t>et al. v.</w:t>
      </w:r>
      <w:r w:rsidRPr="00954547">
        <w:rPr>
          <w:rFonts w:ascii="Verdana" w:hAnsi="Verdana"/>
          <w:i/>
          <w:iCs/>
          <w:sz w:val="16"/>
          <w:szCs w:val="16"/>
        </w:rPr>
        <w:t xml:space="preserve"> Chile. </w:t>
      </w:r>
      <w:r w:rsidR="00A70DC4" w:rsidRPr="00954547">
        <w:rPr>
          <w:rFonts w:ascii="Verdana" w:hAnsi="Verdana"/>
          <w:i/>
          <w:iCs/>
          <w:sz w:val="16"/>
          <w:szCs w:val="16"/>
        </w:rPr>
        <w:t>Merits, reparations and costs</w:t>
      </w:r>
      <w:r w:rsidRPr="00954547">
        <w:rPr>
          <w:rFonts w:ascii="Verdana" w:hAnsi="Verdana"/>
          <w:i/>
          <w:iCs/>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6771AD" w:rsidRPr="00954547">
        <w:rPr>
          <w:rFonts w:ascii="Verdana" w:hAnsi="Verdana"/>
          <w:sz w:val="16"/>
          <w:szCs w:val="16"/>
        </w:rPr>
        <w:t xml:space="preserve">September </w:t>
      </w:r>
      <w:r w:rsidR="00225BB9" w:rsidRPr="00954547">
        <w:rPr>
          <w:rFonts w:ascii="Verdana" w:hAnsi="Verdana"/>
          <w:sz w:val="16"/>
          <w:szCs w:val="16"/>
        </w:rPr>
        <w:t>1</w:t>
      </w:r>
      <w:r w:rsidR="006771AD" w:rsidRPr="00954547">
        <w:rPr>
          <w:rFonts w:ascii="Verdana" w:hAnsi="Verdana"/>
          <w:sz w:val="16"/>
          <w:szCs w:val="16"/>
        </w:rPr>
        <w:t>9,</w:t>
      </w:r>
      <w:r w:rsidRPr="00954547">
        <w:rPr>
          <w:rFonts w:ascii="Verdana" w:hAnsi="Verdana"/>
          <w:sz w:val="16"/>
          <w:szCs w:val="16"/>
        </w:rPr>
        <w:t xml:space="preserve"> 2006. </w:t>
      </w:r>
      <w:r w:rsidR="00B8393C" w:rsidRPr="00954547">
        <w:rPr>
          <w:rFonts w:ascii="Verdana" w:hAnsi="Verdana"/>
          <w:sz w:val="16"/>
          <w:szCs w:val="16"/>
        </w:rPr>
        <w:t xml:space="preserve">Series </w:t>
      </w:r>
      <w:r w:rsidRPr="00954547">
        <w:rPr>
          <w:rFonts w:ascii="Verdana" w:hAnsi="Verdana"/>
          <w:sz w:val="16"/>
          <w:szCs w:val="16"/>
        </w:rPr>
        <w:t xml:space="preserve">C No. 151, </w:t>
      </w:r>
      <w:r w:rsidR="00B10E5A" w:rsidRPr="00954547">
        <w:rPr>
          <w:rFonts w:ascii="Verdana" w:hAnsi="Verdana"/>
          <w:sz w:val="16"/>
          <w:szCs w:val="16"/>
        </w:rPr>
        <w:t>para.</w:t>
      </w:r>
      <w:r w:rsidRPr="00954547">
        <w:rPr>
          <w:rFonts w:ascii="Verdana" w:hAnsi="Verdana"/>
          <w:sz w:val="16"/>
          <w:szCs w:val="16"/>
        </w:rPr>
        <w:t xml:space="preserve"> 122,</w:t>
      </w:r>
      <w:r w:rsidR="0078694F" w:rsidRPr="00954547">
        <w:rPr>
          <w:rFonts w:ascii="Verdana" w:hAnsi="Verdana"/>
          <w:sz w:val="16"/>
          <w:szCs w:val="16"/>
        </w:rPr>
        <w:t xml:space="preserve"> and </w:t>
      </w:r>
      <w:r w:rsidR="002F4617" w:rsidRPr="00954547">
        <w:rPr>
          <w:rStyle w:val="Strong"/>
          <w:rFonts w:ascii="Verdana" w:hAnsi="Verdana"/>
          <w:b w:val="0"/>
          <w:i/>
          <w:sz w:val="16"/>
          <w:szCs w:val="16"/>
          <w:shd w:val="clear" w:color="auto" w:fill="FFFFFF"/>
        </w:rPr>
        <w:t>Case of</w:t>
      </w:r>
      <w:r w:rsidRPr="00954547">
        <w:rPr>
          <w:rStyle w:val="Strong"/>
          <w:rFonts w:ascii="Verdana" w:hAnsi="Verdana"/>
          <w:b w:val="0"/>
          <w:i/>
          <w:sz w:val="16"/>
          <w:szCs w:val="16"/>
          <w:shd w:val="clear" w:color="auto" w:fill="FFFFFF"/>
        </w:rPr>
        <w:t xml:space="preserve"> Moya Solís </w:t>
      </w:r>
      <w:r w:rsidR="009C16A1" w:rsidRPr="00954547">
        <w:rPr>
          <w:rStyle w:val="Strong"/>
          <w:rFonts w:ascii="Verdana" w:hAnsi="Verdana"/>
          <w:b w:val="0"/>
          <w:i/>
          <w:sz w:val="16"/>
          <w:szCs w:val="16"/>
          <w:shd w:val="clear" w:color="auto" w:fill="FFFFFF"/>
        </w:rPr>
        <w:t>v.</w:t>
      </w:r>
      <w:r w:rsidRPr="00954547">
        <w:rPr>
          <w:rStyle w:val="Strong"/>
          <w:rFonts w:ascii="Verdana" w:hAnsi="Verdana"/>
          <w:b w:val="0"/>
          <w:i/>
          <w:sz w:val="16"/>
          <w:szCs w:val="16"/>
          <w:shd w:val="clear" w:color="auto" w:fill="FFFFFF"/>
        </w:rPr>
        <w:t xml:space="preserve"> </w:t>
      </w:r>
      <w:r w:rsidR="00C26F0B" w:rsidRPr="00954547">
        <w:rPr>
          <w:rStyle w:val="Strong"/>
          <w:rFonts w:ascii="Verdana" w:hAnsi="Verdana"/>
          <w:b w:val="0"/>
          <w:i/>
          <w:sz w:val="16"/>
          <w:szCs w:val="16"/>
          <w:shd w:val="clear" w:color="auto" w:fill="FFFFFF"/>
        </w:rPr>
        <w:t>Peru</w:t>
      </w:r>
      <w:r w:rsidRPr="00954547">
        <w:rPr>
          <w:rStyle w:val="Strong"/>
          <w:rFonts w:ascii="Verdana" w:hAnsi="Verdana"/>
          <w:b w:val="0"/>
          <w:i/>
          <w:sz w:val="16"/>
          <w:szCs w:val="16"/>
          <w:shd w:val="clear" w:color="auto" w:fill="FFFFFF"/>
        </w:rPr>
        <w:t>, supra</w:t>
      </w:r>
      <w:r w:rsidRPr="00954547">
        <w:rPr>
          <w:rStyle w:val="Strong"/>
          <w:rFonts w:ascii="Verdana" w:hAnsi="Verdana"/>
          <w:b w:val="0"/>
          <w:sz w:val="16"/>
          <w:szCs w:val="16"/>
          <w:shd w:val="clear" w:color="auto" w:fill="FFFFFF"/>
        </w:rPr>
        <w:t xml:space="preserve">, </w:t>
      </w:r>
      <w:r w:rsidR="00B10E5A" w:rsidRPr="00954547">
        <w:rPr>
          <w:rStyle w:val="Strong"/>
          <w:rFonts w:ascii="Verdana" w:hAnsi="Verdana"/>
          <w:b w:val="0"/>
          <w:sz w:val="16"/>
          <w:szCs w:val="16"/>
          <w:shd w:val="clear" w:color="auto" w:fill="FFFFFF"/>
        </w:rPr>
        <w:t>para.</w:t>
      </w:r>
      <w:r w:rsidRPr="00954547">
        <w:rPr>
          <w:rStyle w:val="Strong"/>
          <w:rFonts w:ascii="Verdana" w:hAnsi="Verdana"/>
          <w:b w:val="0"/>
          <w:sz w:val="16"/>
          <w:szCs w:val="16"/>
          <w:shd w:val="clear" w:color="auto" w:fill="FFFFFF"/>
        </w:rPr>
        <w:t xml:space="preserve"> 84.</w:t>
      </w:r>
    </w:p>
  </w:footnote>
  <w:footnote w:id="264">
    <w:p w14:paraId="152F4C46" w14:textId="0A02132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Pr="00954547">
        <w:rPr>
          <w:rFonts w:ascii="Verdana" w:hAnsi="Verdana"/>
          <w:sz w:val="16"/>
          <w:szCs w:val="16"/>
        </w:rPr>
        <w:t xml:space="preserve">CEDAW, </w:t>
      </w:r>
      <w:r w:rsidR="00BD7B4B" w:rsidRPr="00954547">
        <w:rPr>
          <w:rFonts w:ascii="Verdana" w:hAnsi="Verdana"/>
          <w:sz w:val="16"/>
          <w:szCs w:val="16"/>
        </w:rPr>
        <w:t xml:space="preserve">33 on women’s access to justice, CEDAW/C/GC/33, August 3, </w:t>
      </w:r>
      <w:r w:rsidRPr="00954547">
        <w:rPr>
          <w:rFonts w:ascii="Verdana" w:hAnsi="Verdana"/>
          <w:sz w:val="16"/>
          <w:szCs w:val="16"/>
        </w:rPr>
        <w:t>2015</w:t>
      </w:r>
      <w:r w:rsidRPr="00954547">
        <w:rPr>
          <w:rFonts w:ascii="Verdana" w:hAnsi="Verdana" w:cs="Times New Roman"/>
          <w:sz w:val="16"/>
          <w:szCs w:val="16"/>
        </w:rPr>
        <w:t xml:space="preserve">, </w:t>
      </w:r>
      <w:r w:rsidR="00B10E5A" w:rsidRPr="00954547">
        <w:rPr>
          <w:rFonts w:ascii="Verdana" w:hAnsi="Verdana" w:cs="Times New Roman"/>
          <w:sz w:val="16"/>
          <w:szCs w:val="16"/>
        </w:rPr>
        <w:t>para.</w:t>
      </w:r>
      <w:r w:rsidRPr="00954547">
        <w:rPr>
          <w:rFonts w:ascii="Verdana" w:hAnsi="Verdana" w:cs="Times New Roman"/>
          <w:sz w:val="16"/>
          <w:szCs w:val="16"/>
        </w:rPr>
        <w:t xml:space="preserve"> </w:t>
      </w:r>
      <w:r w:rsidRPr="00954547">
        <w:rPr>
          <w:rFonts w:ascii="Verdana" w:hAnsi="Verdana"/>
          <w:sz w:val="16"/>
          <w:szCs w:val="16"/>
        </w:rPr>
        <w:t>26.</w:t>
      </w:r>
    </w:p>
  </w:footnote>
  <w:footnote w:id="265">
    <w:p w14:paraId="67D0FBB1" w14:textId="5E2952D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D7B4B" w:rsidRPr="00954547">
        <w:rPr>
          <w:rFonts w:ascii="Verdana" w:hAnsi="Verdana"/>
          <w:sz w:val="16"/>
          <w:szCs w:val="16"/>
        </w:rPr>
        <w:t xml:space="preserve">In this regard, </w:t>
      </w:r>
      <w:r w:rsidR="00E76B1A" w:rsidRPr="00954547">
        <w:rPr>
          <w:rFonts w:ascii="Verdana" w:hAnsi="Verdana"/>
          <w:sz w:val="16"/>
          <w:szCs w:val="16"/>
        </w:rPr>
        <w:t>the Court</w:t>
      </w:r>
      <w:r w:rsidRPr="00954547">
        <w:rPr>
          <w:rFonts w:ascii="Verdana" w:hAnsi="Verdana"/>
          <w:sz w:val="16"/>
          <w:szCs w:val="16"/>
        </w:rPr>
        <w:t xml:space="preserve"> </w:t>
      </w:r>
      <w:r w:rsidR="00BD7B4B" w:rsidRPr="00954547">
        <w:rPr>
          <w:rFonts w:ascii="Verdana" w:hAnsi="Verdana"/>
          <w:sz w:val="16"/>
          <w:szCs w:val="16"/>
        </w:rPr>
        <w:t>notes that</w:t>
      </w:r>
      <w:r w:rsidRPr="00954547">
        <w:rPr>
          <w:rFonts w:ascii="Verdana" w:hAnsi="Verdana"/>
          <w:sz w:val="16"/>
          <w:szCs w:val="16"/>
        </w:rPr>
        <w:t xml:space="preserve"> </w:t>
      </w:r>
      <w:r w:rsidR="00BA4784" w:rsidRPr="00954547">
        <w:rPr>
          <w:rFonts w:ascii="Verdana" w:hAnsi="Verdana"/>
          <w:sz w:val="16"/>
          <w:szCs w:val="16"/>
        </w:rPr>
        <w:t>the Code of Criminal Procedure</w:t>
      </w:r>
      <w:r w:rsidRPr="00954547">
        <w:rPr>
          <w:rFonts w:ascii="Verdana" w:hAnsi="Verdana"/>
          <w:sz w:val="16"/>
          <w:szCs w:val="16"/>
        </w:rPr>
        <w:t xml:space="preserve"> establ</w:t>
      </w:r>
      <w:r w:rsidR="00BD7B4B" w:rsidRPr="00954547">
        <w:rPr>
          <w:rFonts w:ascii="Verdana" w:hAnsi="Verdana"/>
          <w:sz w:val="16"/>
          <w:szCs w:val="16"/>
        </w:rPr>
        <w:t xml:space="preserve">ishes the prohibition for parents to </w:t>
      </w:r>
      <w:r w:rsidR="00A049C9" w:rsidRPr="00954547">
        <w:rPr>
          <w:rFonts w:ascii="Verdana" w:hAnsi="Verdana"/>
          <w:sz w:val="16"/>
          <w:szCs w:val="16"/>
        </w:rPr>
        <w:t>bear witness against their children</w:t>
      </w:r>
      <w:r w:rsidRPr="00954547">
        <w:rPr>
          <w:rFonts w:ascii="Verdana" w:hAnsi="Verdana"/>
          <w:sz w:val="16"/>
          <w:szCs w:val="16"/>
        </w:rPr>
        <w:t>. “</w:t>
      </w:r>
      <w:r w:rsidR="00A17F8C" w:rsidRPr="00954547">
        <w:rPr>
          <w:rFonts w:ascii="Verdana" w:hAnsi="Verdana"/>
          <w:sz w:val="16"/>
          <w:szCs w:val="16"/>
        </w:rPr>
        <w:t>Article</w:t>
      </w:r>
      <w:r w:rsidRPr="00954547">
        <w:rPr>
          <w:rFonts w:ascii="Verdana" w:hAnsi="Verdana"/>
          <w:sz w:val="16"/>
          <w:szCs w:val="16"/>
        </w:rPr>
        <w:t xml:space="preserve"> 231.</w:t>
      </w:r>
      <w:r w:rsidR="00A049C9" w:rsidRPr="00954547">
        <w:rPr>
          <w:rFonts w:ascii="Verdana" w:hAnsi="Verdana"/>
          <w:sz w:val="16"/>
          <w:szCs w:val="16"/>
        </w:rPr>
        <w:t xml:space="preserve"> </w:t>
      </w:r>
      <w:r w:rsidR="007334FD" w:rsidRPr="00954547">
        <w:rPr>
          <w:rFonts w:ascii="Verdana" w:hAnsi="Verdana"/>
          <w:sz w:val="16"/>
          <w:szCs w:val="16"/>
        </w:rPr>
        <w:t>A</w:t>
      </w:r>
      <w:r w:rsidR="00A049C9" w:rsidRPr="00954547">
        <w:rPr>
          <w:rFonts w:ascii="Verdana" w:hAnsi="Verdana"/>
          <w:sz w:val="16"/>
          <w:szCs w:val="16"/>
        </w:rPr>
        <w:t xml:space="preserve"> </w:t>
      </w:r>
      <w:r w:rsidR="007334FD" w:rsidRPr="00954547">
        <w:rPr>
          <w:rFonts w:ascii="Verdana" w:hAnsi="Verdana"/>
          <w:sz w:val="16"/>
          <w:szCs w:val="16"/>
        </w:rPr>
        <w:t>child</w:t>
      </w:r>
      <w:r w:rsidR="00A049C9" w:rsidRPr="00954547">
        <w:rPr>
          <w:rFonts w:ascii="Verdana" w:hAnsi="Verdana"/>
          <w:sz w:val="16"/>
          <w:szCs w:val="16"/>
        </w:rPr>
        <w:t xml:space="preserve"> may not </w:t>
      </w:r>
      <w:r w:rsidR="007334FD" w:rsidRPr="00954547">
        <w:rPr>
          <w:rFonts w:ascii="Verdana" w:hAnsi="Verdana"/>
          <w:sz w:val="16"/>
          <w:szCs w:val="16"/>
        </w:rPr>
        <w:t>testify against</w:t>
      </w:r>
      <w:r w:rsidR="00A049C9" w:rsidRPr="00954547">
        <w:rPr>
          <w:rFonts w:ascii="Verdana" w:hAnsi="Verdana"/>
          <w:sz w:val="16"/>
          <w:szCs w:val="16"/>
        </w:rPr>
        <w:t xml:space="preserve"> his</w:t>
      </w:r>
      <w:r w:rsidR="007334FD" w:rsidRPr="00954547">
        <w:rPr>
          <w:rFonts w:ascii="Verdana" w:hAnsi="Verdana"/>
          <w:sz w:val="16"/>
          <w:szCs w:val="16"/>
        </w:rPr>
        <w:t>/her</w:t>
      </w:r>
      <w:r w:rsidR="00A049C9" w:rsidRPr="00954547">
        <w:rPr>
          <w:rFonts w:ascii="Verdana" w:hAnsi="Verdana"/>
          <w:sz w:val="16"/>
          <w:szCs w:val="16"/>
        </w:rPr>
        <w:t xml:space="preserve"> </w:t>
      </w:r>
      <w:r w:rsidR="007334FD" w:rsidRPr="00954547">
        <w:rPr>
          <w:rFonts w:ascii="Verdana" w:hAnsi="Verdana"/>
          <w:sz w:val="16"/>
          <w:szCs w:val="16"/>
        </w:rPr>
        <w:t>parents</w:t>
      </w:r>
      <w:r w:rsidR="00A049C9" w:rsidRPr="00954547">
        <w:rPr>
          <w:rFonts w:ascii="Verdana" w:hAnsi="Verdana"/>
          <w:sz w:val="16"/>
          <w:szCs w:val="16"/>
        </w:rPr>
        <w:t xml:space="preserve">, or vice versa; </w:t>
      </w:r>
      <w:r w:rsidR="007334FD" w:rsidRPr="00954547">
        <w:rPr>
          <w:rFonts w:ascii="Verdana" w:hAnsi="Verdana"/>
          <w:sz w:val="16"/>
          <w:szCs w:val="16"/>
        </w:rPr>
        <w:t>a</w:t>
      </w:r>
      <w:r w:rsidR="00A049C9" w:rsidRPr="00954547">
        <w:rPr>
          <w:rFonts w:ascii="Verdana" w:hAnsi="Verdana"/>
          <w:sz w:val="16"/>
          <w:szCs w:val="16"/>
        </w:rPr>
        <w:t xml:space="preserve"> husband</w:t>
      </w:r>
      <w:r w:rsidR="007334FD" w:rsidRPr="00954547">
        <w:rPr>
          <w:rFonts w:ascii="Verdana" w:hAnsi="Verdana"/>
          <w:sz w:val="16"/>
          <w:szCs w:val="16"/>
        </w:rPr>
        <w:t xml:space="preserve"> against</w:t>
      </w:r>
      <w:r w:rsidR="00A049C9" w:rsidRPr="00954547">
        <w:rPr>
          <w:rFonts w:ascii="Verdana" w:hAnsi="Verdana"/>
          <w:sz w:val="16"/>
          <w:szCs w:val="16"/>
        </w:rPr>
        <w:t xml:space="preserve"> </w:t>
      </w:r>
      <w:r w:rsidR="007334FD" w:rsidRPr="00954547">
        <w:rPr>
          <w:rFonts w:ascii="Verdana" w:hAnsi="Verdana"/>
          <w:sz w:val="16"/>
          <w:szCs w:val="16"/>
        </w:rPr>
        <w:t>his</w:t>
      </w:r>
      <w:r w:rsidR="00A049C9" w:rsidRPr="00954547">
        <w:rPr>
          <w:rFonts w:ascii="Verdana" w:hAnsi="Verdana"/>
          <w:sz w:val="16"/>
          <w:szCs w:val="16"/>
        </w:rPr>
        <w:t xml:space="preserve"> wife or vice versa; a sibling</w:t>
      </w:r>
      <w:r w:rsidR="007334FD" w:rsidRPr="00954547">
        <w:rPr>
          <w:rFonts w:ascii="Verdana" w:hAnsi="Verdana"/>
          <w:sz w:val="16"/>
          <w:szCs w:val="16"/>
        </w:rPr>
        <w:t xml:space="preserve"> against </w:t>
      </w:r>
      <w:r w:rsidR="00A049C9" w:rsidRPr="00954547">
        <w:rPr>
          <w:rFonts w:ascii="Verdana" w:hAnsi="Verdana"/>
          <w:sz w:val="16"/>
          <w:szCs w:val="16"/>
        </w:rPr>
        <w:t>another sibling; an adopter</w:t>
      </w:r>
      <w:r w:rsidR="007334FD" w:rsidRPr="00954547">
        <w:rPr>
          <w:rFonts w:ascii="Verdana" w:hAnsi="Verdana"/>
          <w:sz w:val="16"/>
          <w:szCs w:val="16"/>
        </w:rPr>
        <w:t xml:space="preserve"> against </w:t>
      </w:r>
      <w:r w:rsidR="00A049C9" w:rsidRPr="00954547">
        <w:rPr>
          <w:rFonts w:ascii="Verdana" w:hAnsi="Verdana"/>
          <w:sz w:val="16"/>
          <w:szCs w:val="16"/>
        </w:rPr>
        <w:t>an adoptee or vice versa, and the life partner</w:t>
      </w:r>
      <w:r w:rsidR="007334FD" w:rsidRPr="00954547">
        <w:rPr>
          <w:rFonts w:ascii="Verdana" w:hAnsi="Verdana"/>
          <w:sz w:val="16"/>
          <w:szCs w:val="16"/>
        </w:rPr>
        <w:t xml:space="preserve"> against </w:t>
      </w:r>
      <w:r w:rsidR="00A049C9" w:rsidRPr="00954547">
        <w:rPr>
          <w:rFonts w:ascii="Verdana" w:hAnsi="Verdana"/>
          <w:sz w:val="16"/>
          <w:szCs w:val="16"/>
        </w:rPr>
        <w:t>the partner</w:t>
      </w:r>
      <w:r w:rsidR="007334FD" w:rsidRPr="00954547">
        <w:rPr>
          <w:rFonts w:ascii="Verdana" w:hAnsi="Verdana"/>
          <w:sz w:val="16"/>
          <w:szCs w:val="16"/>
        </w:rPr>
        <w:t>. This prohibition shall not include the complaint filed for an offense committed against the complainant or against person</w:t>
      </w:r>
      <w:r w:rsidR="0012797B" w:rsidRPr="00954547">
        <w:rPr>
          <w:rFonts w:ascii="Verdana" w:hAnsi="Verdana"/>
          <w:sz w:val="16"/>
          <w:szCs w:val="16"/>
        </w:rPr>
        <w:t>s</w:t>
      </w:r>
      <w:r w:rsidR="007334FD" w:rsidRPr="00954547">
        <w:rPr>
          <w:rFonts w:ascii="Verdana" w:hAnsi="Verdana"/>
          <w:sz w:val="16"/>
          <w:szCs w:val="16"/>
        </w:rPr>
        <w:t xml:space="preserve"> he</w:t>
      </w:r>
      <w:r w:rsidR="006C3E98" w:rsidRPr="00954547">
        <w:rPr>
          <w:rFonts w:ascii="Verdana" w:hAnsi="Verdana"/>
          <w:sz w:val="16"/>
          <w:szCs w:val="16"/>
        </w:rPr>
        <w:t>/she</w:t>
      </w:r>
      <w:r w:rsidR="007334FD" w:rsidRPr="00954547">
        <w:rPr>
          <w:rFonts w:ascii="Verdana" w:hAnsi="Verdana"/>
          <w:sz w:val="16"/>
          <w:szCs w:val="16"/>
        </w:rPr>
        <w:t xml:space="preserve"> legally represents or whose relationship to him</w:t>
      </w:r>
      <w:r w:rsidR="006C3E98" w:rsidRPr="00954547">
        <w:rPr>
          <w:rFonts w:ascii="Verdana" w:hAnsi="Verdana"/>
          <w:sz w:val="16"/>
          <w:szCs w:val="16"/>
        </w:rPr>
        <w:t>/her</w:t>
      </w:r>
      <w:r w:rsidR="007334FD" w:rsidRPr="00954547">
        <w:rPr>
          <w:rFonts w:ascii="Verdana" w:hAnsi="Verdana"/>
          <w:sz w:val="16"/>
          <w:szCs w:val="16"/>
        </w:rPr>
        <w:t xml:space="preserve"> is equal or closer that the one </w:t>
      </w:r>
      <w:r w:rsidR="009C7854" w:rsidRPr="00954547">
        <w:rPr>
          <w:rFonts w:ascii="Verdana" w:hAnsi="Verdana"/>
          <w:sz w:val="16"/>
          <w:szCs w:val="16"/>
        </w:rPr>
        <w:t>that connects him</w:t>
      </w:r>
      <w:r w:rsidR="006C3E98" w:rsidRPr="00954547">
        <w:rPr>
          <w:rFonts w:ascii="Verdana" w:hAnsi="Verdana"/>
          <w:sz w:val="16"/>
          <w:szCs w:val="16"/>
        </w:rPr>
        <w:t>/her</w:t>
      </w:r>
      <w:r w:rsidR="009C7854" w:rsidRPr="00954547">
        <w:rPr>
          <w:rFonts w:ascii="Verdana" w:hAnsi="Verdana"/>
          <w:sz w:val="16"/>
          <w:szCs w:val="16"/>
        </w:rPr>
        <w:t xml:space="preserve"> to the person accused.” </w:t>
      </w:r>
      <w:r w:rsidR="00BA4784" w:rsidRPr="00954547">
        <w:rPr>
          <w:rFonts w:ascii="Verdana" w:hAnsi="Verdana"/>
          <w:sz w:val="16"/>
          <w:szCs w:val="16"/>
        </w:rPr>
        <w:t>Code of Criminal Procedure</w:t>
      </w:r>
      <w:r w:rsidR="009E6B43" w:rsidRPr="00954547">
        <w:rPr>
          <w:rFonts w:ascii="Verdana" w:hAnsi="Verdana"/>
          <w:sz w:val="16"/>
          <w:szCs w:val="16"/>
        </w:rPr>
        <w:t xml:space="preserve"> of El </w:t>
      </w:r>
      <w:r w:rsidRPr="00954547">
        <w:rPr>
          <w:rFonts w:ascii="Verdana" w:hAnsi="Verdana"/>
          <w:sz w:val="16"/>
          <w:szCs w:val="16"/>
        </w:rPr>
        <w:t xml:space="preserve">Salvador, </w:t>
      </w:r>
      <w:r w:rsidR="00C86FE5" w:rsidRPr="00954547">
        <w:rPr>
          <w:rFonts w:ascii="Verdana" w:hAnsi="Verdana"/>
          <w:sz w:val="16"/>
          <w:szCs w:val="16"/>
        </w:rPr>
        <w:t>Legislative Decree</w:t>
      </w:r>
      <w:r w:rsidRPr="00954547">
        <w:rPr>
          <w:rFonts w:ascii="Verdana" w:hAnsi="Verdana"/>
          <w:sz w:val="16"/>
          <w:szCs w:val="16"/>
        </w:rPr>
        <w:t xml:space="preserve"> No. 776 </w:t>
      </w:r>
      <w:r w:rsidR="009C7854" w:rsidRPr="00954547">
        <w:rPr>
          <w:rFonts w:ascii="Verdana" w:hAnsi="Verdana"/>
          <w:sz w:val="16"/>
          <w:szCs w:val="16"/>
        </w:rPr>
        <w:t>of</w:t>
      </w:r>
      <w:r w:rsidRPr="00954547">
        <w:rPr>
          <w:rFonts w:ascii="Verdana" w:hAnsi="Verdana"/>
          <w:sz w:val="16"/>
          <w:szCs w:val="16"/>
        </w:rPr>
        <w:t xml:space="preserve"> 1996, </w:t>
      </w:r>
      <w:r w:rsidR="00A17F8C" w:rsidRPr="00954547">
        <w:rPr>
          <w:rFonts w:ascii="Verdana" w:hAnsi="Verdana"/>
          <w:sz w:val="16"/>
          <w:szCs w:val="16"/>
        </w:rPr>
        <w:t>Article</w:t>
      </w:r>
      <w:r w:rsidRPr="00954547">
        <w:rPr>
          <w:rFonts w:ascii="Verdana" w:hAnsi="Verdana"/>
          <w:sz w:val="16"/>
          <w:szCs w:val="16"/>
        </w:rPr>
        <w:t xml:space="preserve"> 231. </w:t>
      </w:r>
      <w:r w:rsidR="002F4617" w:rsidRPr="00954547">
        <w:rPr>
          <w:rFonts w:ascii="Verdana" w:hAnsi="Verdana"/>
          <w:sz w:val="16"/>
          <w:szCs w:val="16"/>
        </w:rPr>
        <w:t>Available at</w:t>
      </w:r>
      <w:r w:rsidRPr="00954547">
        <w:rPr>
          <w:rFonts w:ascii="Verdana" w:hAnsi="Verdana"/>
          <w:sz w:val="16"/>
          <w:szCs w:val="16"/>
        </w:rPr>
        <w:t xml:space="preserve">: </w:t>
      </w:r>
      <w:hyperlink r:id="rId21" w:history="1">
        <w:r w:rsidR="0012797B" w:rsidRPr="00954547">
          <w:rPr>
            <w:rStyle w:val="Hyperlink"/>
            <w:rFonts w:ascii="Verdana" w:hAnsi="Verdana"/>
            <w:sz w:val="16"/>
            <w:szCs w:val="16"/>
          </w:rPr>
          <w:t>http://www.oas.org/juridico/spanish/ mesicic3_slv_procesal.pdf</w:t>
        </w:r>
      </w:hyperlink>
    </w:p>
  </w:footnote>
  <w:footnote w:id="266">
    <w:p w14:paraId="687C709D" w14:textId="61B1D1C0" w:rsidR="005F001B" w:rsidRPr="00954547" w:rsidRDefault="005F001B" w:rsidP="007619E6">
      <w:pPr>
        <w:pStyle w:val="FootnoteText"/>
        <w:tabs>
          <w:tab w:val="left" w:pos="567"/>
        </w:tabs>
        <w:spacing w:after="120"/>
        <w:jc w:val="both"/>
        <w:rPr>
          <w:rFonts w:ascii="Verdana" w:hAnsi="Verdana"/>
          <w:b/>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E3A8B" w:rsidRPr="00954547">
        <w:rPr>
          <w:rFonts w:ascii="Verdana" w:hAnsi="Verdana"/>
          <w:sz w:val="16"/>
          <w:szCs w:val="16"/>
        </w:rPr>
        <w:t>Judgment handed down by</w:t>
      </w:r>
      <w:r w:rsidRPr="00954547">
        <w:rPr>
          <w:rFonts w:ascii="Verdana" w:hAnsi="Verdana"/>
          <w:sz w:val="16"/>
          <w:szCs w:val="16"/>
        </w:rPr>
        <w:t xml:space="preserve"> </w:t>
      </w:r>
      <w:r w:rsidR="00E76B1A" w:rsidRPr="00954547">
        <w:rPr>
          <w:rFonts w:ascii="Verdana" w:hAnsi="Verdana"/>
          <w:sz w:val="16"/>
          <w:szCs w:val="16"/>
        </w:rPr>
        <w:t xml:space="preserve">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Morazán</w:t>
      </w:r>
      <w:r w:rsidR="009C7854" w:rsidRPr="00954547">
        <w:rPr>
          <w:rFonts w:ascii="Verdana" w:hAnsi="Verdana"/>
          <w:sz w:val="16"/>
          <w:szCs w:val="16"/>
        </w:rPr>
        <w:t>,</w:t>
      </w:r>
      <w:r w:rsidRPr="00954547">
        <w:rPr>
          <w:rFonts w:ascii="Verdana" w:hAnsi="Verdana"/>
          <w:sz w:val="16"/>
          <w:szCs w:val="16"/>
        </w:rPr>
        <w:t xml:space="preserve"> </w:t>
      </w:r>
      <w:r w:rsidR="007232D8" w:rsidRPr="00954547">
        <w:rPr>
          <w:rFonts w:ascii="Verdana" w:hAnsi="Verdana"/>
          <w:sz w:val="16"/>
          <w:szCs w:val="16"/>
        </w:rPr>
        <w:t>on 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folios 160, 164</w:t>
      </w:r>
      <w:r w:rsidR="0078694F" w:rsidRPr="00954547">
        <w:rPr>
          <w:rFonts w:ascii="Verdana" w:hAnsi="Verdana"/>
          <w:sz w:val="16"/>
          <w:szCs w:val="16"/>
        </w:rPr>
        <w:t xml:space="preserve"> and </w:t>
      </w:r>
      <w:r w:rsidRPr="00954547">
        <w:rPr>
          <w:rFonts w:ascii="Verdana" w:hAnsi="Verdana"/>
          <w:sz w:val="16"/>
          <w:szCs w:val="16"/>
        </w:rPr>
        <w:t xml:space="preserve">165). </w:t>
      </w:r>
    </w:p>
  </w:footnote>
  <w:footnote w:id="267">
    <w:p w14:paraId="3779C29C" w14:textId="712B064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F25A2" w:rsidRPr="00954547">
        <w:rPr>
          <w:rFonts w:ascii="Verdana" w:hAnsi="Verdana"/>
          <w:color w:val="auto"/>
          <w:sz w:val="16"/>
          <w:szCs w:val="16"/>
        </w:rPr>
        <w:t>Working Group on Arbitrary Detention</w:t>
      </w:r>
      <w:r w:rsidRPr="00954547">
        <w:rPr>
          <w:rFonts w:ascii="Verdana" w:hAnsi="Verdana"/>
          <w:color w:val="auto"/>
          <w:sz w:val="16"/>
          <w:szCs w:val="16"/>
        </w:rPr>
        <w:t xml:space="preserve">, </w:t>
      </w:r>
      <w:r w:rsidR="00910767" w:rsidRPr="00954547">
        <w:rPr>
          <w:rFonts w:ascii="Verdana" w:hAnsi="Verdana"/>
          <w:color w:val="auto"/>
          <w:sz w:val="16"/>
          <w:szCs w:val="16"/>
        </w:rPr>
        <w:t>Opinion No.</w:t>
      </w:r>
      <w:r w:rsidRPr="00954547">
        <w:rPr>
          <w:rFonts w:ascii="Verdana" w:hAnsi="Verdana"/>
          <w:color w:val="auto"/>
          <w:sz w:val="16"/>
          <w:szCs w:val="16"/>
        </w:rPr>
        <w:t xml:space="preserve"> 68/2019, </w:t>
      </w:r>
      <w:r w:rsidR="00910767" w:rsidRPr="00954547">
        <w:rPr>
          <w:rFonts w:ascii="Verdana" w:hAnsi="Verdana"/>
          <w:color w:val="auto"/>
          <w:sz w:val="16"/>
          <w:szCs w:val="16"/>
        </w:rPr>
        <w:t>concerning Sara del Rosario Rogel García</w:t>
      </w:r>
      <w:r w:rsidRPr="00954547">
        <w:rPr>
          <w:rFonts w:ascii="Verdana" w:hAnsi="Verdana"/>
          <w:color w:val="auto"/>
          <w:sz w:val="16"/>
          <w:szCs w:val="16"/>
        </w:rPr>
        <w:t>, Berta Margarita Arana Hernández</w:t>
      </w:r>
      <w:r w:rsidR="0078694F" w:rsidRPr="00954547">
        <w:rPr>
          <w:rFonts w:ascii="Verdana" w:hAnsi="Verdana"/>
          <w:color w:val="auto"/>
          <w:sz w:val="16"/>
          <w:szCs w:val="16"/>
        </w:rPr>
        <w:t xml:space="preserve"> and </w:t>
      </w:r>
      <w:r w:rsidRPr="00954547">
        <w:rPr>
          <w:rFonts w:ascii="Verdana" w:hAnsi="Verdana"/>
          <w:color w:val="auto"/>
          <w:sz w:val="16"/>
          <w:szCs w:val="16"/>
        </w:rPr>
        <w:t xml:space="preserve">Evelyn Beatriz Hernández Cruz (El Salvador), A/HRC/WGAD/2019/68 </w:t>
      </w:r>
      <w:r w:rsidR="007D7721" w:rsidRPr="00954547">
        <w:rPr>
          <w:rFonts w:ascii="Verdana" w:hAnsi="Verdana"/>
          <w:color w:val="auto"/>
          <w:sz w:val="16"/>
          <w:szCs w:val="16"/>
        </w:rPr>
        <w:t>on March 4,</w:t>
      </w:r>
      <w:r w:rsidRPr="00954547">
        <w:rPr>
          <w:rFonts w:ascii="Verdana" w:hAnsi="Verdana"/>
          <w:color w:val="auto"/>
          <w:sz w:val="16"/>
          <w:szCs w:val="16"/>
        </w:rPr>
        <w:t xml:space="preserve"> 2020, </w:t>
      </w:r>
      <w:r w:rsidR="00B10E5A" w:rsidRPr="00954547">
        <w:rPr>
          <w:rFonts w:ascii="Verdana" w:hAnsi="Verdana"/>
          <w:color w:val="auto"/>
          <w:sz w:val="16"/>
          <w:szCs w:val="16"/>
        </w:rPr>
        <w:t>para.</w:t>
      </w:r>
      <w:r w:rsidRPr="00954547">
        <w:rPr>
          <w:rFonts w:ascii="Verdana" w:hAnsi="Verdana"/>
          <w:color w:val="auto"/>
          <w:sz w:val="16"/>
          <w:szCs w:val="16"/>
        </w:rPr>
        <w:t xml:space="preserve"> 110.</w:t>
      </w:r>
    </w:p>
  </w:footnote>
  <w:footnote w:id="268">
    <w:p w14:paraId="375D1D15" w14:textId="0D019659" w:rsidR="005F001B" w:rsidRPr="00954547" w:rsidRDefault="005F001B" w:rsidP="007619E6">
      <w:pPr>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FC4D38" w:rsidRPr="00954547">
        <w:rPr>
          <w:rFonts w:ascii="Verdana" w:hAnsi="Verdana"/>
          <w:i/>
          <w:sz w:val="16"/>
          <w:szCs w:val="16"/>
        </w:rPr>
        <w:t xml:space="preserve">of the Workers of the </w:t>
      </w:r>
      <w:r w:rsidR="00420435" w:rsidRPr="00954547">
        <w:rPr>
          <w:rFonts w:ascii="Verdana" w:hAnsi="Verdana"/>
          <w:i/>
          <w:sz w:val="16"/>
          <w:szCs w:val="16"/>
        </w:rPr>
        <w:t>Fireworks</w:t>
      </w:r>
      <w:r w:rsidR="00FC4D38" w:rsidRPr="00954547">
        <w:rPr>
          <w:rFonts w:ascii="Verdana" w:hAnsi="Verdana"/>
          <w:i/>
          <w:sz w:val="16"/>
          <w:szCs w:val="16"/>
        </w:rPr>
        <w:t xml:space="preserve"> Factory of</w:t>
      </w:r>
      <w:r w:rsidRPr="00954547">
        <w:rPr>
          <w:rFonts w:ascii="Verdana" w:hAnsi="Verdana"/>
          <w:i/>
          <w:sz w:val="16"/>
          <w:szCs w:val="16"/>
        </w:rPr>
        <w:t xml:space="preserve"> Santo Antônio de Jesus</w:t>
      </w:r>
      <w:r w:rsidR="006E4BFA" w:rsidRPr="00954547">
        <w:rPr>
          <w:rFonts w:ascii="Verdana" w:hAnsi="Verdana"/>
          <w:i/>
          <w:sz w:val="16"/>
          <w:szCs w:val="16"/>
        </w:rPr>
        <w:t xml:space="preserve"> and their families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199</w:t>
      </w:r>
      <w:r w:rsidRPr="00954547">
        <w:rPr>
          <w:rFonts w:ascii="Verdana" w:hAnsi="Verdana"/>
          <w:i/>
          <w:sz w:val="16"/>
          <w:szCs w:val="16"/>
        </w:rPr>
        <w:t>,</w:t>
      </w:r>
      <w:r w:rsidR="0078694F" w:rsidRPr="00954547">
        <w:rPr>
          <w:rFonts w:ascii="Verdana" w:hAnsi="Verdana"/>
          <w:i/>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167. </w:t>
      </w:r>
    </w:p>
  </w:footnote>
  <w:footnote w:id="269">
    <w:p w14:paraId="62FCBF08" w14:textId="68AA580D" w:rsidR="005F001B" w:rsidRPr="00954547" w:rsidRDefault="005F001B" w:rsidP="007619E6">
      <w:pPr>
        <w:tabs>
          <w:tab w:val="left" w:pos="567"/>
        </w:tabs>
        <w:spacing w:after="120"/>
        <w:jc w:val="both"/>
        <w:rPr>
          <w:rFonts w:ascii="Verdana" w:hAnsi="Verdana" w:cs="Arial"/>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cs="Arial"/>
          <w:i/>
          <w:sz w:val="16"/>
          <w:szCs w:val="16"/>
        </w:rPr>
        <w:t>Cf.</w:t>
      </w:r>
      <w:r w:rsidRPr="00954547">
        <w:rPr>
          <w:rFonts w:ascii="Verdana" w:hAnsi="Verdana" w:cs="Arial"/>
          <w:sz w:val="16"/>
          <w:szCs w:val="16"/>
        </w:rPr>
        <w:t xml:space="preserve"> </w:t>
      </w:r>
      <w:r w:rsidR="002F4617" w:rsidRPr="00954547">
        <w:rPr>
          <w:rFonts w:ascii="Verdana" w:hAnsi="Verdana" w:cs="Arial"/>
          <w:i/>
          <w:sz w:val="16"/>
          <w:szCs w:val="16"/>
        </w:rPr>
        <w:t>Case of</w:t>
      </w:r>
      <w:r w:rsidRPr="00954547">
        <w:rPr>
          <w:rFonts w:ascii="Verdana" w:hAnsi="Verdana" w:cs="Arial"/>
          <w:i/>
          <w:sz w:val="16"/>
          <w:szCs w:val="16"/>
        </w:rPr>
        <w:t xml:space="preserve"> Yatama </w:t>
      </w:r>
      <w:r w:rsidR="009C16A1" w:rsidRPr="00954547">
        <w:rPr>
          <w:rFonts w:ascii="Verdana" w:hAnsi="Verdana" w:cs="Arial"/>
          <w:i/>
          <w:sz w:val="16"/>
          <w:szCs w:val="16"/>
        </w:rPr>
        <w:t>v.</w:t>
      </w:r>
      <w:r w:rsidRPr="00954547">
        <w:rPr>
          <w:rFonts w:ascii="Verdana" w:hAnsi="Verdana" w:cs="Arial"/>
          <w:i/>
          <w:sz w:val="16"/>
          <w:szCs w:val="16"/>
        </w:rPr>
        <w:t xml:space="preserve"> Nicaragua. </w:t>
      </w:r>
      <w:r w:rsidR="004C640C" w:rsidRPr="00954547">
        <w:rPr>
          <w:rFonts w:ascii="Verdana" w:hAnsi="Verdana" w:cs="Arial"/>
          <w:i/>
          <w:sz w:val="16"/>
          <w:szCs w:val="16"/>
        </w:rPr>
        <w:t>Preliminary objections, merits</w:t>
      </w:r>
      <w:r w:rsidR="00A70DC4" w:rsidRPr="00954547">
        <w:rPr>
          <w:rFonts w:ascii="Verdana" w:hAnsi="Verdana" w:cs="Arial"/>
          <w:i/>
          <w:sz w:val="16"/>
          <w:szCs w:val="16"/>
        </w:rPr>
        <w:t>, reparations and costs</w:t>
      </w:r>
      <w:r w:rsidRPr="00954547">
        <w:rPr>
          <w:rFonts w:ascii="Verdana" w:hAnsi="Verdana" w:cs="Arial"/>
          <w:sz w:val="16"/>
          <w:szCs w:val="16"/>
        </w:rPr>
        <w:t xml:space="preserve">. </w:t>
      </w:r>
      <w:r w:rsidR="00B8393C" w:rsidRPr="00954547">
        <w:rPr>
          <w:rFonts w:ascii="Verdana" w:hAnsi="Verdana" w:cs="Arial"/>
          <w:sz w:val="16"/>
          <w:szCs w:val="16"/>
        </w:rPr>
        <w:t>Judgment of</w:t>
      </w:r>
      <w:r w:rsidRPr="00954547">
        <w:rPr>
          <w:rFonts w:ascii="Verdana" w:hAnsi="Verdana" w:cs="Arial"/>
          <w:sz w:val="16"/>
          <w:szCs w:val="16"/>
        </w:rPr>
        <w:t xml:space="preserve"> </w:t>
      </w:r>
      <w:r w:rsidR="00FC4D38" w:rsidRPr="00954547">
        <w:rPr>
          <w:rFonts w:ascii="Verdana" w:hAnsi="Verdana" w:cs="Arial"/>
          <w:sz w:val="16"/>
          <w:szCs w:val="16"/>
        </w:rPr>
        <w:t xml:space="preserve">June </w:t>
      </w:r>
      <w:r w:rsidRPr="00954547">
        <w:rPr>
          <w:rFonts w:ascii="Verdana" w:hAnsi="Verdana" w:cs="Arial"/>
          <w:sz w:val="16"/>
          <w:szCs w:val="16"/>
        </w:rPr>
        <w:t>23</w:t>
      </w:r>
      <w:r w:rsidR="00FC4D38" w:rsidRPr="00954547">
        <w:rPr>
          <w:rFonts w:ascii="Verdana" w:hAnsi="Verdana" w:cs="Arial"/>
          <w:sz w:val="16"/>
          <w:szCs w:val="16"/>
        </w:rPr>
        <w:t>,</w:t>
      </w:r>
      <w:r w:rsidRPr="00954547">
        <w:rPr>
          <w:rFonts w:ascii="Verdana" w:hAnsi="Verdana" w:cs="Arial"/>
          <w:sz w:val="16"/>
          <w:szCs w:val="16"/>
        </w:rPr>
        <w:t xml:space="preserve"> 2005. </w:t>
      </w:r>
      <w:r w:rsidR="00B8393C" w:rsidRPr="00954547">
        <w:rPr>
          <w:rFonts w:ascii="Verdana" w:hAnsi="Verdana" w:cs="Arial"/>
          <w:sz w:val="16"/>
          <w:szCs w:val="16"/>
        </w:rPr>
        <w:t xml:space="preserve">Series </w:t>
      </w:r>
      <w:r w:rsidRPr="00954547">
        <w:rPr>
          <w:rFonts w:ascii="Verdana" w:hAnsi="Verdana" w:cs="Arial"/>
          <w:sz w:val="16"/>
          <w:szCs w:val="16"/>
        </w:rPr>
        <w:t xml:space="preserve">C No. 127, </w:t>
      </w:r>
      <w:r w:rsidR="00B10E5A" w:rsidRPr="00954547">
        <w:rPr>
          <w:rFonts w:ascii="Verdana" w:hAnsi="Verdana" w:cs="Arial"/>
          <w:sz w:val="16"/>
          <w:szCs w:val="16"/>
        </w:rPr>
        <w:t>para.</w:t>
      </w:r>
      <w:r w:rsidRPr="00954547">
        <w:rPr>
          <w:rFonts w:ascii="Verdana" w:hAnsi="Verdana" w:cs="Arial"/>
          <w:sz w:val="16"/>
          <w:szCs w:val="16"/>
        </w:rPr>
        <w:t xml:space="preserve"> 186,</w:t>
      </w:r>
      <w:r w:rsidR="0078694F" w:rsidRPr="00954547">
        <w:rPr>
          <w:rFonts w:ascii="Verdana" w:hAnsi="Verdana" w:cs="Arial"/>
          <w:sz w:val="16"/>
          <w:szCs w:val="16"/>
        </w:rPr>
        <w:t xml:space="preserve"> and </w:t>
      </w:r>
      <w:r w:rsidR="002F4617" w:rsidRPr="00954547">
        <w:rPr>
          <w:rFonts w:ascii="Verdana" w:hAnsi="Verdana" w:cs="Arial"/>
          <w:i/>
          <w:sz w:val="16"/>
          <w:szCs w:val="16"/>
        </w:rPr>
        <w:t>Case of</w:t>
      </w:r>
      <w:r w:rsidRPr="00954547">
        <w:rPr>
          <w:rFonts w:ascii="Verdana" w:hAnsi="Verdana" w:cs="Arial"/>
          <w:i/>
          <w:sz w:val="16"/>
          <w:szCs w:val="16"/>
        </w:rPr>
        <w:t xml:space="preserve"> Espinoza Gonzáles </w:t>
      </w:r>
      <w:r w:rsidR="009C16A1" w:rsidRPr="00954547">
        <w:rPr>
          <w:rFonts w:ascii="Verdana" w:hAnsi="Verdana" w:cs="Arial"/>
          <w:i/>
          <w:sz w:val="16"/>
          <w:szCs w:val="16"/>
        </w:rPr>
        <w:t>v.</w:t>
      </w:r>
      <w:r w:rsidRPr="00954547">
        <w:rPr>
          <w:rFonts w:ascii="Verdana" w:hAnsi="Verdana" w:cs="Arial"/>
          <w:i/>
          <w:sz w:val="16"/>
          <w:szCs w:val="16"/>
        </w:rPr>
        <w:t xml:space="preserve"> </w:t>
      </w:r>
      <w:r w:rsidR="00C26F0B" w:rsidRPr="00954547">
        <w:rPr>
          <w:rFonts w:ascii="Verdana" w:hAnsi="Verdana" w:cs="Arial"/>
          <w:i/>
          <w:sz w:val="16"/>
          <w:szCs w:val="16"/>
        </w:rPr>
        <w:t>Peru</w:t>
      </w:r>
      <w:r w:rsidRPr="00954547">
        <w:rPr>
          <w:rFonts w:ascii="Verdana" w:hAnsi="Verdana" w:cs="Arial"/>
          <w:i/>
          <w:sz w:val="16"/>
          <w:szCs w:val="16"/>
        </w:rPr>
        <w:t xml:space="preserve">. </w:t>
      </w:r>
      <w:r w:rsidR="004C640C" w:rsidRPr="00954547">
        <w:rPr>
          <w:rFonts w:ascii="Verdana" w:hAnsi="Verdana" w:cs="Arial"/>
          <w:i/>
          <w:sz w:val="16"/>
          <w:szCs w:val="16"/>
        </w:rPr>
        <w:t>Preliminary objections, merits</w:t>
      </w:r>
      <w:r w:rsidR="00A70DC4" w:rsidRPr="00954547">
        <w:rPr>
          <w:rFonts w:ascii="Verdana" w:hAnsi="Verdana" w:cs="Arial"/>
          <w:i/>
          <w:sz w:val="16"/>
          <w:szCs w:val="16"/>
        </w:rPr>
        <w:t>, reparations and costs</w:t>
      </w:r>
      <w:r w:rsidRPr="00954547">
        <w:rPr>
          <w:rFonts w:ascii="Verdana" w:hAnsi="Verdana" w:cs="Arial"/>
          <w:i/>
          <w:sz w:val="16"/>
          <w:szCs w:val="16"/>
        </w:rPr>
        <w:t xml:space="preserve">. </w:t>
      </w:r>
      <w:r w:rsidR="00B8393C" w:rsidRPr="00954547">
        <w:rPr>
          <w:rFonts w:ascii="Verdana" w:hAnsi="Verdana" w:cs="Arial"/>
          <w:sz w:val="16"/>
          <w:szCs w:val="16"/>
        </w:rPr>
        <w:t>Judgment of</w:t>
      </w:r>
      <w:r w:rsidRPr="00954547">
        <w:rPr>
          <w:rFonts w:ascii="Verdana" w:hAnsi="Verdana" w:cs="Arial"/>
          <w:sz w:val="16"/>
          <w:szCs w:val="16"/>
        </w:rPr>
        <w:t xml:space="preserve"> </w:t>
      </w:r>
      <w:r w:rsidR="00FC4D38" w:rsidRPr="00954547">
        <w:rPr>
          <w:rFonts w:ascii="Verdana" w:hAnsi="Verdana" w:cs="Arial"/>
          <w:sz w:val="16"/>
          <w:szCs w:val="16"/>
        </w:rPr>
        <w:t>November 20,</w:t>
      </w:r>
      <w:r w:rsidRPr="00954547">
        <w:rPr>
          <w:rFonts w:ascii="Verdana" w:hAnsi="Verdana" w:cs="Arial"/>
          <w:sz w:val="16"/>
          <w:szCs w:val="16"/>
        </w:rPr>
        <w:t xml:space="preserve"> 2014. </w:t>
      </w:r>
      <w:r w:rsidR="00B8393C" w:rsidRPr="00954547">
        <w:rPr>
          <w:rFonts w:ascii="Verdana" w:hAnsi="Verdana" w:cs="Arial"/>
          <w:sz w:val="16"/>
          <w:szCs w:val="16"/>
        </w:rPr>
        <w:t xml:space="preserve">Series </w:t>
      </w:r>
      <w:r w:rsidRPr="00954547">
        <w:rPr>
          <w:rFonts w:ascii="Verdana" w:hAnsi="Verdana" w:cs="Arial"/>
          <w:sz w:val="16"/>
          <w:szCs w:val="16"/>
        </w:rPr>
        <w:t xml:space="preserve">C No. 289, </w:t>
      </w:r>
      <w:r w:rsidR="00B10E5A" w:rsidRPr="00954547">
        <w:rPr>
          <w:rFonts w:ascii="Verdana" w:hAnsi="Verdana" w:cs="Arial"/>
          <w:sz w:val="16"/>
          <w:szCs w:val="16"/>
        </w:rPr>
        <w:t>para.</w:t>
      </w:r>
      <w:r w:rsidRPr="00954547">
        <w:rPr>
          <w:rFonts w:ascii="Verdana" w:hAnsi="Verdana" w:cs="Arial"/>
          <w:sz w:val="16"/>
          <w:szCs w:val="16"/>
        </w:rPr>
        <w:t xml:space="preserve"> 217.</w:t>
      </w:r>
    </w:p>
  </w:footnote>
  <w:footnote w:id="270">
    <w:p w14:paraId="15397F55" w14:textId="45132D2C" w:rsidR="005F001B" w:rsidRPr="00954547" w:rsidRDefault="005F001B" w:rsidP="007619E6">
      <w:pPr>
        <w:tabs>
          <w:tab w:val="left" w:pos="567"/>
        </w:tabs>
        <w:spacing w:after="120"/>
        <w:jc w:val="both"/>
        <w:rPr>
          <w:rFonts w:ascii="Verdana" w:hAnsi="Verdana" w:cs="Arial"/>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cs="Arial"/>
          <w:i/>
          <w:sz w:val="16"/>
          <w:szCs w:val="16"/>
        </w:rPr>
        <w:t>Cf.</w:t>
      </w:r>
      <w:r w:rsidRPr="00954547">
        <w:rPr>
          <w:rFonts w:ascii="Verdana" w:hAnsi="Verdana" w:cs="Arial"/>
          <w:sz w:val="16"/>
          <w:szCs w:val="16"/>
        </w:rPr>
        <w:t xml:space="preserve"> </w:t>
      </w:r>
      <w:r w:rsidR="002F4617" w:rsidRPr="00954547">
        <w:rPr>
          <w:rFonts w:ascii="Verdana" w:hAnsi="Verdana" w:cs="Arial"/>
          <w:i/>
          <w:sz w:val="16"/>
          <w:szCs w:val="16"/>
        </w:rPr>
        <w:t>Case of</w:t>
      </w:r>
      <w:r w:rsidRPr="00954547">
        <w:rPr>
          <w:rFonts w:ascii="Verdana" w:hAnsi="Verdana" w:cs="Arial"/>
          <w:i/>
          <w:sz w:val="16"/>
          <w:szCs w:val="16"/>
        </w:rPr>
        <w:t xml:space="preserve"> Yatama </w:t>
      </w:r>
      <w:r w:rsidR="009C16A1" w:rsidRPr="00954547">
        <w:rPr>
          <w:rFonts w:ascii="Verdana" w:hAnsi="Verdana" w:cs="Arial"/>
          <w:i/>
          <w:sz w:val="16"/>
          <w:szCs w:val="16"/>
        </w:rPr>
        <w:t>v.</w:t>
      </w:r>
      <w:r w:rsidRPr="00954547">
        <w:rPr>
          <w:rFonts w:ascii="Verdana" w:hAnsi="Verdana" w:cs="Arial"/>
          <w:i/>
          <w:sz w:val="16"/>
          <w:szCs w:val="16"/>
        </w:rPr>
        <w:t xml:space="preserve"> Nicaragua, supra</w:t>
      </w:r>
      <w:r w:rsidRPr="00954547">
        <w:rPr>
          <w:rFonts w:ascii="Verdana" w:hAnsi="Verdana" w:cs="Arial"/>
          <w:sz w:val="16"/>
          <w:szCs w:val="16"/>
        </w:rPr>
        <w:t xml:space="preserve">, </w:t>
      </w:r>
      <w:r w:rsidR="00B10E5A" w:rsidRPr="00954547">
        <w:rPr>
          <w:rFonts w:ascii="Verdana" w:hAnsi="Verdana" w:cs="Arial"/>
          <w:sz w:val="16"/>
          <w:szCs w:val="16"/>
        </w:rPr>
        <w:t>para.</w:t>
      </w:r>
      <w:r w:rsidRPr="00954547">
        <w:rPr>
          <w:rFonts w:ascii="Verdana" w:hAnsi="Verdana" w:cs="Arial"/>
          <w:sz w:val="16"/>
          <w:szCs w:val="16"/>
        </w:rPr>
        <w:t xml:space="preserve"> 186,</w:t>
      </w:r>
      <w:r w:rsidR="0078694F" w:rsidRPr="00954547">
        <w:rPr>
          <w:rFonts w:ascii="Verdana" w:hAnsi="Verdana" w:cs="Arial"/>
          <w:sz w:val="16"/>
          <w:szCs w:val="16"/>
        </w:rPr>
        <w:t xml:space="preserve"> and </w:t>
      </w:r>
      <w:r w:rsidR="002F4617" w:rsidRPr="00954547">
        <w:rPr>
          <w:rFonts w:ascii="Verdana" w:hAnsi="Verdana" w:cs="Arial"/>
          <w:i/>
          <w:sz w:val="16"/>
          <w:szCs w:val="16"/>
        </w:rPr>
        <w:t>Case of</w:t>
      </w:r>
      <w:r w:rsidRPr="00954547">
        <w:rPr>
          <w:rFonts w:ascii="Verdana" w:hAnsi="Verdana" w:cs="Arial"/>
          <w:i/>
          <w:sz w:val="16"/>
          <w:szCs w:val="16"/>
        </w:rPr>
        <w:t xml:space="preserve"> Espinoza Gonzáles </w:t>
      </w:r>
      <w:r w:rsidR="009C16A1" w:rsidRPr="00954547">
        <w:rPr>
          <w:rFonts w:ascii="Verdana" w:hAnsi="Verdana" w:cs="Arial"/>
          <w:i/>
          <w:sz w:val="16"/>
          <w:szCs w:val="16"/>
        </w:rPr>
        <w:t>v.</w:t>
      </w:r>
      <w:r w:rsidRPr="00954547">
        <w:rPr>
          <w:rFonts w:ascii="Verdana" w:hAnsi="Verdana" w:cs="Arial"/>
          <w:i/>
          <w:sz w:val="16"/>
          <w:szCs w:val="16"/>
        </w:rPr>
        <w:t xml:space="preserve"> </w:t>
      </w:r>
      <w:r w:rsidR="00C26F0B" w:rsidRPr="00954547">
        <w:rPr>
          <w:rFonts w:ascii="Verdana" w:hAnsi="Verdana" w:cs="Arial"/>
          <w:i/>
          <w:sz w:val="16"/>
          <w:szCs w:val="16"/>
        </w:rPr>
        <w:t>Peru</w:t>
      </w:r>
      <w:r w:rsidRPr="00954547">
        <w:rPr>
          <w:rFonts w:ascii="Verdana" w:hAnsi="Verdana" w:cs="Arial"/>
          <w:i/>
          <w:sz w:val="16"/>
          <w:szCs w:val="16"/>
        </w:rPr>
        <w:t>, supra</w:t>
      </w:r>
      <w:r w:rsidRPr="00954547">
        <w:rPr>
          <w:rFonts w:ascii="Verdana" w:hAnsi="Verdana" w:cs="Arial"/>
          <w:sz w:val="16"/>
          <w:szCs w:val="16"/>
        </w:rPr>
        <w:t xml:space="preserve">, </w:t>
      </w:r>
      <w:r w:rsidR="00B10E5A" w:rsidRPr="00954547">
        <w:rPr>
          <w:rFonts w:ascii="Verdana" w:hAnsi="Verdana" w:cs="Arial"/>
          <w:sz w:val="16"/>
          <w:szCs w:val="16"/>
        </w:rPr>
        <w:t>para.</w:t>
      </w:r>
      <w:r w:rsidRPr="00954547">
        <w:rPr>
          <w:rFonts w:ascii="Verdana" w:hAnsi="Verdana" w:cs="Arial"/>
          <w:sz w:val="16"/>
          <w:szCs w:val="16"/>
        </w:rPr>
        <w:t xml:space="preserve"> 217.</w:t>
      </w:r>
    </w:p>
  </w:footnote>
  <w:footnote w:id="271">
    <w:p w14:paraId="59D6A928" w14:textId="79219AE7" w:rsidR="005F001B" w:rsidRPr="00954547" w:rsidRDefault="005F001B" w:rsidP="00B82823">
      <w:pPr>
        <w:tabs>
          <w:tab w:val="left" w:pos="567"/>
        </w:tabs>
        <w:spacing w:after="120"/>
        <w:jc w:val="both"/>
        <w:rPr>
          <w:rFonts w:eastAsia="Times New Roman"/>
          <w:i/>
          <w:sz w:val="16"/>
          <w:szCs w:val="16"/>
        </w:rPr>
      </w:pPr>
      <w:r w:rsidRPr="00954547">
        <w:rPr>
          <w:rStyle w:val="FootnoteReference"/>
          <w:rFonts w:ascii="Verdana" w:eastAsia="Times New Roman"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cs="Arial"/>
          <w:i/>
          <w:sz w:val="16"/>
          <w:szCs w:val="16"/>
        </w:rPr>
        <w:t>Cf.</w:t>
      </w:r>
      <w:r w:rsidRPr="00954547">
        <w:rPr>
          <w:rFonts w:ascii="Verdana" w:hAnsi="Verdana" w:cs="Arial"/>
          <w:sz w:val="16"/>
          <w:szCs w:val="16"/>
        </w:rPr>
        <w:t xml:space="preserve"> </w:t>
      </w:r>
      <w:hyperlink r:id="rId22" w:history="1">
        <w:r w:rsidR="00B82823" w:rsidRPr="00954547">
          <w:rPr>
            <w:rFonts w:ascii="Verdana" w:eastAsia="Times New Roman" w:hAnsi="Verdana"/>
            <w:i/>
            <w:sz w:val="16"/>
            <w:szCs w:val="16"/>
          </w:rPr>
          <w:t>Proposed Amendments to the Naturalization Provisions of the Constitution of Costa Rica</w:t>
        </w:r>
      </w:hyperlink>
      <w:r w:rsidR="00B82823" w:rsidRPr="00954547">
        <w:rPr>
          <w:rFonts w:ascii="Verdana" w:eastAsia="Times New Roman" w:hAnsi="Verdana"/>
          <w:i/>
          <w:sz w:val="16"/>
          <w:szCs w:val="16"/>
        </w:rPr>
        <w:t xml:space="preserve">, </w:t>
      </w:r>
      <w:r w:rsidR="00B82823" w:rsidRPr="00954547">
        <w:rPr>
          <w:rFonts w:ascii="Verdana" w:eastAsia="Times New Roman" w:hAnsi="Verdana"/>
          <w:sz w:val="16"/>
          <w:szCs w:val="16"/>
        </w:rPr>
        <w:t>Advisory Opinion OC-4/84, January 19, 1984. Series A No. 4</w:t>
      </w:r>
      <w:r w:rsidRPr="00954547">
        <w:rPr>
          <w:rFonts w:ascii="Verdana" w:hAnsi="Verdana" w:cs="Arial"/>
          <w:sz w:val="16"/>
          <w:szCs w:val="16"/>
        </w:rPr>
        <w:t xml:space="preserve">, </w:t>
      </w:r>
      <w:r w:rsidR="00B10E5A" w:rsidRPr="00954547">
        <w:rPr>
          <w:rFonts w:ascii="Verdana" w:hAnsi="Verdana" w:cs="Arial"/>
          <w:sz w:val="16"/>
          <w:szCs w:val="16"/>
        </w:rPr>
        <w:t>para.</w:t>
      </w:r>
      <w:r w:rsidRPr="00954547">
        <w:rPr>
          <w:rFonts w:ascii="Verdana" w:hAnsi="Verdana" w:cs="Arial"/>
          <w:sz w:val="16"/>
          <w:szCs w:val="16"/>
        </w:rPr>
        <w:t xml:space="preserve"> 54,</w:t>
      </w:r>
      <w:r w:rsidR="0078694F" w:rsidRPr="00954547">
        <w:rPr>
          <w:rFonts w:ascii="Verdana" w:hAnsi="Verdana" w:cs="Arial"/>
          <w:sz w:val="16"/>
          <w:szCs w:val="16"/>
        </w:rPr>
        <w:t xml:space="preserve"> and </w:t>
      </w:r>
      <w:r w:rsidR="002F4617" w:rsidRPr="00954547">
        <w:rPr>
          <w:rFonts w:ascii="Verdana" w:hAnsi="Verdana" w:cs="Arial"/>
          <w:i/>
          <w:sz w:val="16"/>
          <w:szCs w:val="16"/>
        </w:rPr>
        <w:t>Case of</w:t>
      </w:r>
      <w:r w:rsidRPr="00954547">
        <w:rPr>
          <w:rFonts w:ascii="Verdana" w:hAnsi="Verdana" w:cs="Arial"/>
          <w:i/>
          <w:sz w:val="16"/>
          <w:szCs w:val="16"/>
        </w:rPr>
        <w:t xml:space="preserve"> Norín Catrimán</w:t>
      </w:r>
      <w:r w:rsidR="0078694F" w:rsidRPr="00954547">
        <w:rPr>
          <w:rFonts w:ascii="Verdana" w:hAnsi="Verdana" w:cs="Arial"/>
          <w:i/>
          <w:sz w:val="16"/>
          <w:szCs w:val="16"/>
        </w:rPr>
        <w:t xml:space="preserve"> </w:t>
      </w:r>
      <w:r w:rsidR="00B82823" w:rsidRPr="00954547">
        <w:rPr>
          <w:rFonts w:ascii="Verdana" w:hAnsi="Verdana" w:cs="Arial"/>
          <w:i/>
          <w:sz w:val="16"/>
          <w:szCs w:val="16"/>
        </w:rPr>
        <w:t>et al. (Leaders, members and activist of the Mapuche Indigenous People)</w:t>
      </w:r>
      <w:r w:rsidRPr="00954547">
        <w:rPr>
          <w:rFonts w:ascii="Verdana" w:hAnsi="Verdana" w:cs="Arial"/>
          <w:i/>
          <w:sz w:val="16"/>
          <w:szCs w:val="16"/>
        </w:rPr>
        <w:t xml:space="preserve"> </w:t>
      </w:r>
      <w:r w:rsidR="009C16A1" w:rsidRPr="00954547">
        <w:rPr>
          <w:rFonts w:ascii="Verdana" w:hAnsi="Verdana" w:cs="Arial"/>
          <w:i/>
          <w:sz w:val="16"/>
          <w:szCs w:val="16"/>
        </w:rPr>
        <w:t>v.</w:t>
      </w:r>
      <w:r w:rsidRPr="00954547">
        <w:rPr>
          <w:rFonts w:ascii="Verdana" w:hAnsi="Verdana" w:cs="Arial"/>
          <w:i/>
          <w:sz w:val="16"/>
          <w:szCs w:val="16"/>
        </w:rPr>
        <w:t xml:space="preserve"> Chile. </w:t>
      </w:r>
      <w:r w:rsidR="00A70DC4" w:rsidRPr="00954547">
        <w:rPr>
          <w:rFonts w:ascii="Verdana" w:hAnsi="Verdana" w:cs="Arial"/>
          <w:i/>
          <w:sz w:val="16"/>
          <w:szCs w:val="16"/>
        </w:rPr>
        <w:t>Merits, reparations and costs</w:t>
      </w:r>
      <w:r w:rsidRPr="00954547">
        <w:rPr>
          <w:rFonts w:ascii="Verdana" w:hAnsi="Verdana" w:cs="Arial"/>
          <w:sz w:val="16"/>
          <w:szCs w:val="16"/>
        </w:rPr>
        <w:t xml:space="preserve">. </w:t>
      </w:r>
      <w:r w:rsidR="00B8393C" w:rsidRPr="00954547">
        <w:rPr>
          <w:rFonts w:ascii="Verdana" w:hAnsi="Verdana" w:cs="Arial"/>
          <w:sz w:val="16"/>
          <w:szCs w:val="16"/>
        </w:rPr>
        <w:t>Judgment of</w:t>
      </w:r>
      <w:r w:rsidRPr="00954547">
        <w:rPr>
          <w:rFonts w:ascii="Verdana" w:hAnsi="Verdana" w:cs="Arial"/>
          <w:sz w:val="16"/>
          <w:szCs w:val="16"/>
        </w:rPr>
        <w:t xml:space="preserve"> </w:t>
      </w:r>
      <w:r w:rsidR="00B82823" w:rsidRPr="00954547">
        <w:rPr>
          <w:rFonts w:ascii="Verdana" w:hAnsi="Verdana" w:cs="Arial"/>
          <w:sz w:val="16"/>
          <w:szCs w:val="16"/>
        </w:rPr>
        <w:t>May 29,</w:t>
      </w:r>
      <w:r w:rsidRPr="00954547">
        <w:rPr>
          <w:rFonts w:ascii="Verdana" w:hAnsi="Verdana" w:cs="Arial"/>
          <w:sz w:val="16"/>
          <w:szCs w:val="16"/>
        </w:rPr>
        <w:t xml:space="preserve"> 2014. </w:t>
      </w:r>
      <w:r w:rsidR="00B8393C" w:rsidRPr="00954547">
        <w:rPr>
          <w:rFonts w:ascii="Verdana" w:hAnsi="Verdana" w:cs="Arial"/>
          <w:sz w:val="16"/>
          <w:szCs w:val="16"/>
        </w:rPr>
        <w:t xml:space="preserve">Series </w:t>
      </w:r>
      <w:r w:rsidRPr="00954547">
        <w:rPr>
          <w:rFonts w:ascii="Verdana" w:hAnsi="Verdana" w:cs="Arial"/>
          <w:sz w:val="16"/>
          <w:szCs w:val="16"/>
        </w:rPr>
        <w:t xml:space="preserve">C No. 279, </w:t>
      </w:r>
      <w:r w:rsidR="00B10E5A" w:rsidRPr="00954547">
        <w:rPr>
          <w:rFonts w:ascii="Verdana" w:hAnsi="Verdana" w:cs="Arial"/>
          <w:sz w:val="16"/>
          <w:szCs w:val="16"/>
        </w:rPr>
        <w:t>para.</w:t>
      </w:r>
      <w:r w:rsidRPr="00954547">
        <w:rPr>
          <w:rFonts w:ascii="Verdana" w:hAnsi="Verdana" w:cs="Arial"/>
          <w:sz w:val="16"/>
          <w:szCs w:val="16"/>
        </w:rPr>
        <w:t xml:space="preserve"> 199</w:t>
      </w:r>
      <w:r w:rsidRPr="00954547">
        <w:rPr>
          <w:rFonts w:ascii="Verdana" w:hAnsi="Verdana" w:cs="Arial"/>
          <w:i/>
          <w:sz w:val="16"/>
          <w:szCs w:val="16"/>
        </w:rPr>
        <w:t>.</w:t>
      </w:r>
    </w:p>
  </w:footnote>
  <w:footnote w:id="272">
    <w:p w14:paraId="1B245619" w14:textId="7B7CBA54" w:rsidR="005F001B" w:rsidRPr="00954547" w:rsidRDefault="005F001B" w:rsidP="007619E6">
      <w:pPr>
        <w:tabs>
          <w:tab w:val="left" w:pos="567"/>
        </w:tabs>
        <w:spacing w:after="120"/>
        <w:ind w:right="48"/>
        <w:jc w:val="both"/>
        <w:rPr>
          <w:rFonts w:ascii="Verdana" w:hAnsi="Verdana" w:cs="Arial"/>
          <w:sz w:val="16"/>
          <w:szCs w:val="16"/>
        </w:rPr>
      </w:pPr>
      <w:r w:rsidRPr="00954547">
        <w:rPr>
          <w:rStyle w:val="FootnoteReference"/>
          <w:rFonts w:ascii="Verdana" w:eastAsia="Times New Roman"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cs="Arial"/>
          <w:i/>
          <w:sz w:val="16"/>
          <w:szCs w:val="16"/>
        </w:rPr>
        <w:t>Cf.</w:t>
      </w:r>
      <w:r w:rsidRPr="00954547">
        <w:rPr>
          <w:rFonts w:ascii="Verdana" w:hAnsi="Verdana" w:cs="Arial"/>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Apitz </w:t>
      </w:r>
      <w:r w:rsidR="0039456F" w:rsidRPr="00954547">
        <w:rPr>
          <w:rFonts w:ascii="Verdana" w:hAnsi="Verdana"/>
          <w:i/>
          <w:sz w:val="16"/>
          <w:szCs w:val="16"/>
        </w:rPr>
        <w:t>Barbera et al. (“First Court of Administrative Disputes”)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Venezuela, supra</w:t>
      </w:r>
      <w:r w:rsidRPr="00954547">
        <w:rPr>
          <w:rFonts w:ascii="Verdana" w:hAnsi="Verdana" w:cs="Arial"/>
          <w:sz w:val="16"/>
          <w:szCs w:val="16"/>
        </w:rPr>
        <w:t xml:space="preserve">, </w:t>
      </w:r>
      <w:r w:rsidR="00B10E5A" w:rsidRPr="00954547">
        <w:rPr>
          <w:rFonts w:ascii="Verdana" w:hAnsi="Verdana" w:cs="Arial"/>
          <w:sz w:val="16"/>
          <w:szCs w:val="16"/>
        </w:rPr>
        <w:t>para.</w:t>
      </w:r>
      <w:r w:rsidRPr="00954547">
        <w:rPr>
          <w:rFonts w:ascii="Verdana" w:hAnsi="Verdana" w:cs="Arial"/>
          <w:sz w:val="16"/>
          <w:szCs w:val="16"/>
        </w:rPr>
        <w:t xml:space="preserve"> 209,</w:t>
      </w:r>
      <w:r w:rsidR="0078694F" w:rsidRPr="00954547">
        <w:rPr>
          <w:rFonts w:ascii="Verdana" w:hAnsi="Verdana" w:cs="Arial"/>
          <w:sz w:val="16"/>
          <w:szCs w:val="16"/>
        </w:rPr>
        <w:t xml:space="preserve"> and </w:t>
      </w:r>
      <w:r w:rsidR="002F4617" w:rsidRPr="00954547">
        <w:rPr>
          <w:rFonts w:ascii="Verdana" w:hAnsi="Verdana" w:cs="Arial"/>
          <w:i/>
          <w:sz w:val="16"/>
          <w:szCs w:val="16"/>
        </w:rPr>
        <w:t>Case of</w:t>
      </w:r>
      <w:r w:rsidRPr="00954547">
        <w:rPr>
          <w:rFonts w:ascii="Verdana" w:hAnsi="Verdana" w:cs="Arial"/>
          <w:i/>
          <w:sz w:val="16"/>
          <w:szCs w:val="16"/>
        </w:rPr>
        <w:t xml:space="preserve"> Norín Catrimán</w:t>
      </w:r>
      <w:r w:rsidR="0078694F" w:rsidRPr="00954547">
        <w:rPr>
          <w:rFonts w:ascii="Verdana" w:hAnsi="Verdana" w:cs="Arial"/>
          <w:i/>
          <w:sz w:val="16"/>
          <w:szCs w:val="16"/>
        </w:rPr>
        <w:t xml:space="preserve"> </w:t>
      </w:r>
      <w:r w:rsidR="00B82823" w:rsidRPr="00954547">
        <w:rPr>
          <w:rFonts w:ascii="Verdana" w:hAnsi="Verdana" w:cs="Arial"/>
          <w:i/>
          <w:sz w:val="16"/>
          <w:szCs w:val="16"/>
        </w:rPr>
        <w:t>et al. (Leaders, members and activist of the Mapuche Indigenous People)</w:t>
      </w:r>
      <w:r w:rsidRPr="00954547">
        <w:rPr>
          <w:rFonts w:ascii="Verdana" w:hAnsi="Verdana" w:cs="Arial"/>
          <w:i/>
          <w:sz w:val="16"/>
          <w:szCs w:val="16"/>
        </w:rPr>
        <w:t xml:space="preserve"> </w:t>
      </w:r>
      <w:r w:rsidR="009C16A1" w:rsidRPr="00954547">
        <w:rPr>
          <w:rFonts w:ascii="Verdana" w:hAnsi="Verdana" w:cs="Arial"/>
          <w:i/>
          <w:sz w:val="16"/>
          <w:szCs w:val="16"/>
        </w:rPr>
        <w:t>v.</w:t>
      </w:r>
      <w:r w:rsidRPr="00954547">
        <w:rPr>
          <w:rFonts w:ascii="Verdana" w:hAnsi="Verdana" w:cs="Arial"/>
          <w:i/>
          <w:sz w:val="16"/>
          <w:szCs w:val="16"/>
        </w:rPr>
        <w:t xml:space="preserve"> Chile, supra</w:t>
      </w:r>
      <w:r w:rsidRPr="00954547">
        <w:rPr>
          <w:rFonts w:ascii="Verdana" w:hAnsi="Verdana" w:cs="Arial"/>
          <w:sz w:val="16"/>
          <w:szCs w:val="16"/>
        </w:rPr>
        <w:t xml:space="preserve">, </w:t>
      </w:r>
      <w:r w:rsidR="00B10E5A" w:rsidRPr="00954547">
        <w:rPr>
          <w:rFonts w:ascii="Verdana" w:hAnsi="Verdana" w:cs="Arial"/>
          <w:sz w:val="16"/>
          <w:szCs w:val="16"/>
        </w:rPr>
        <w:t>para.</w:t>
      </w:r>
      <w:r w:rsidRPr="00954547">
        <w:rPr>
          <w:rFonts w:ascii="Verdana" w:hAnsi="Verdana" w:cs="Arial"/>
          <w:sz w:val="16"/>
          <w:szCs w:val="16"/>
        </w:rPr>
        <w:t xml:space="preserve"> 199</w:t>
      </w:r>
      <w:r w:rsidRPr="00954547">
        <w:rPr>
          <w:rFonts w:ascii="Verdana" w:hAnsi="Verdana" w:cs="Arial"/>
          <w:i/>
          <w:sz w:val="16"/>
          <w:szCs w:val="16"/>
        </w:rPr>
        <w:t>.</w:t>
      </w:r>
    </w:p>
  </w:footnote>
  <w:footnote w:id="273">
    <w:p w14:paraId="5D390005" w14:textId="1070A72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Pr="00954547">
        <w:rPr>
          <w:rFonts w:ascii="Verdana" w:hAnsi="Verdana" w:cs="Arial"/>
          <w:i/>
          <w:sz w:val="16"/>
          <w:szCs w:val="16"/>
          <w:shd w:val="clear" w:color="auto" w:fill="FFFFFF"/>
        </w:rPr>
        <w:t xml:space="preserve">Mutatis mutandis, </w:t>
      </w:r>
      <w:r w:rsidR="002F4617" w:rsidRPr="00954547">
        <w:rPr>
          <w:rFonts w:ascii="Verdana" w:hAnsi="Verdana" w:cs="Arial"/>
          <w:i/>
          <w:sz w:val="16"/>
          <w:szCs w:val="16"/>
          <w:shd w:val="clear" w:color="auto" w:fill="FFFFFF"/>
        </w:rPr>
        <w:t>Case of</w:t>
      </w:r>
      <w:r w:rsidRPr="00954547">
        <w:rPr>
          <w:rFonts w:ascii="Verdana" w:hAnsi="Verdana" w:cs="Arial"/>
          <w:i/>
          <w:sz w:val="16"/>
          <w:szCs w:val="16"/>
          <w:shd w:val="clear" w:color="auto" w:fill="FFFFFF"/>
        </w:rPr>
        <w:t xml:space="preserve"> Norín Catrimán</w:t>
      </w:r>
      <w:r w:rsidR="0078694F" w:rsidRPr="00954547">
        <w:rPr>
          <w:rFonts w:ascii="Verdana" w:hAnsi="Verdana" w:cs="Arial"/>
          <w:i/>
          <w:sz w:val="16"/>
          <w:szCs w:val="16"/>
          <w:shd w:val="clear" w:color="auto" w:fill="FFFFFF"/>
        </w:rPr>
        <w:t xml:space="preserve"> </w:t>
      </w:r>
      <w:r w:rsidR="00B82823" w:rsidRPr="00954547">
        <w:rPr>
          <w:rFonts w:ascii="Verdana" w:hAnsi="Verdana" w:cs="Arial"/>
          <w:i/>
          <w:sz w:val="16"/>
          <w:szCs w:val="16"/>
          <w:shd w:val="clear" w:color="auto" w:fill="FFFFFF"/>
        </w:rPr>
        <w:t>et al. (Leaders, members and activist of the Mapuche Indigenous People)</w:t>
      </w:r>
      <w:r w:rsidRPr="00954547">
        <w:rPr>
          <w:rFonts w:ascii="Verdana" w:hAnsi="Verdana" w:cs="Arial"/>
          <w:i/>
          <w:sz w:val="16"/>
          <w:szCs w:val="16"/>
          <w:shd w:val="clear" w:color="auto" w:fill="FFFFFF"/>
        </w:rPr>
        <w:t xml:space="preserve"> </w:t>
      </w:r>
      <w:r w:rsidR="009C16A1" w:rsidRPr="00954547">
        <w:rPr>
          <w:rFonts w:ascii="Verdana" w:hAnsi="Verdana" w:cs="Arial"/>
          <w:i/>
          <w:sz w:val="16"/>
          <w:szCs w:val="16"/>
          <w:shd w:val="clear" w:color="auto" w:fill="FFFFFF"/>
        </w:rPr>
        <w:t>v.</w:t>
      </w:r>
      <w:r w:rsidRPr="00954547">
        <w:rPr>
          <w:rFonts w:ascii="Verdana" w:hAnsi="Verdana" w:cs="Arial"/>
          <w:i/>
          <w:sz w:val="16"/>
          <w:szCs w:val="16"/>
          <w:shd w:val="clear" w:color="auto" w:fill="FFFFFF"/>
        </w:rPr>
        <w:t xml:space="preserve"> Chile, supra</w:t>
      </w:r>
      <w:r w:rsidRPr="00954547">
        <w:rPr>
          <w:rFonts w:ascii="Verdana" w:hAnsi="Verdana" w:cs="Arial"/>
          <w:sz w:val="16"/>
          <w:szCs w:val="16"/>
          <w:shd w:val="clear" w:color="auto" w:fill="FFFFFF"/>
        </w:rPr>
        <w:t xml:space="preserve">, </w:t>
      </w:r>
      <w:r w:rsidR="00B10E5A" w:rsidRPr="00954547">
        <w:rPr>
          <w:rFonts w:ascii="Verdana" w:hAnsi="Verdana" w:cs="Arial"/>
          <w:sz w:val="16"/>
          <w:szCs w:val="16"/>
          <w:shd w:val="clear" w:color="auto" w:fill="FFFFFF"/>
        </w:rPr>
        <w:t>para.</w:t>
      </w:r>
      <w:r w:rsidRPr="00954547">
        <w:rPr>
          <w:rFonts w:ascii="Verdana" w:hAnsi="Verdana" w:cs="Arial"/>
          <w:sz w:val="16"/>
          <w:szCs w:val="16"/>
          <w:shd w:val="clear" w:color="auto" w:fill="FFFFFF"/>
        </w:rPr>
        <w:t xml:space="preserve"> 223.</w:t>
      </w:r>
    </w:p>
  </w:footnote>
  <w:footnote w:id="274">
    <w:p w14:paraId="60B65BE2" w14:textId="0B770926" w:rsidR="005F001B" w:rsidRPr="00954547" w:rsidRDefault="005F001B" w:rsidP="007619E6">
      <w:pPr>
        <w:pStyle w:val="FootnoteText"/>
        <w:tabs>
          <w:tab w:val="left" w:pos="567"/>
        </w:tabs>
        <w:spacing w:after="120"/>
        <w:ind w:right="48"/>
        <w:jc w:val="both"/>
        <w:rPr>
          <w:rFonts w:ascii="Verdana" w:hAnsi="Verdana"/>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Pr="00954547">
        <w:rPr>
          <w:rFonts w:ascii="Verdana" w:hAnsi="Verdana"/>
          <w:i/>
          <w:color w:val="auto"/>
          <w:sz w:val="16"/>
          <w:szCs w:val="16"/>
        </w:rPr>
        <w:t xml:space="preserve">Mutatis mutandis, </w:t>
      </w:r>
      <w:r w:rsidR="00BF25A2" w:rsidRPr="00954547">
        <w:rPr>
          <w:rFonts w:ascii="Verdana" w:hAnsi="Verdana"/>
          <w:color w:val="auto"/>
          <w:sz w:val="16"/>
          <w:szCs w:val="16"/>
        </w:rPr>
        <w:t>Working Group on Arbitrary Detention</w:t>
      </w:r>
      <w:r w:rsidRPr="00954547">
        <w:rPr>
          <w:rFonts w:ascii="Verdana" w:hAnsi="Verdana"/>
          <w:color w:val="auto"/>
          <w:sz w:val="16"/>
          <w:szCs w:val="16"/>
        </w:rPr>
        <w:t xml:space="preserve">, </w:t>
      </w:r>
      <w:r w:rsidR="00910767" w:rsidRPr="00954547">
        <w:rPr>
          <w:rFonts w:ascii="Verdana" w:hAnsi="Verdana"/>
          <w:color w:val="auto"/>
          <w:sz w:val="16"/>
          <w:szCs w:val="16"/>
        </w:rPr>
        <w:t>Opinion No.</w:t>
      </w:r>
      <w:r w:rsidRPr="00954547">
        <w:rPr>
          <w:rFonts w:ascii="Verdana" w:hAnsi="Verdana"/>
          <w:color w:val="auto"/>
          <w:sz w:val="16"/>
          <w:szCs w:val="16"/>
        </w:rPr>
        <w:t xml:space="preserve"> 68/2019, </w:t>
      </w:r>
      <w:r w:rsidR="00910767" w:rsidRPr="00954547">
        <w:rPr>
          <w:rFonts w:ascii="Verdana" w:hAnsi="Verdana"/>
          <w:color w:val="auto"/>
          <w:sz w:val="16"/>
          <w:szCs w:val="16"/>
        </w:rPr>
        <w:t>concerning Sara del Rosario Rogel García</w:t>
      </w:r>
      <w:r w:rsidRPr="00954547">
        <w:rPr>
          <w:rFonts w:ascii="Verdana" w:hAnsi="Verdana"/>
          <w:color w:val="auto"/>
          <w:sz w:val="16"/>
          <w:szCs w:val="16"/>
        </w:rPr>
        <w:t>, Berta Margarita Arana Hernández</w:t>
      </w:r>
      <w:r w:rsidR="0078694F" w:rsidRPr="00954547">
        <w:rPr>
          <w:rFonts w:ascii="Verdana" w:hAnsi="Verdana"/>
          <w:color w:val="auto"/>
          <w:sz w:val="16"/>
          <w:szCs w:val="16"/>
        </w:rPr>
        <w:t xml:space="preserve"> and </w:t>
      </w:r>
      <w:r w:rsidRPr="00954547">
        <w:rPr>
          <w:rFonts w:ascii="Verdana" w:hAnsi="Verdana"/>
          <w:color w:val="auto"/>
          <w:sz w:val="16"/>
          <w:szCs w:val="16"/>
        </w:rPr>
        <w:t>Evelyn Beatriz Hernández Cruz (El Salvador) A/HRC/WGAD/2019/68</w:t>
      </w:r>
      <w:r w:rsidR="00B82823" w:rsidRPr="00954547">
        <w:rPr>
          <w:rFonts w:ascii="Verdana" w:hAnsi="Verdana"/>
          <w:color w:val="auto"/>
          <w:sz w:val="16"/>
          <w:szCs w:val="16"/>
        </w:rPr>
        <w:t xml:space="preserve">, March 4, </w:t>
      </w:r>
      <w:r w:rsidRPr="00954547">
        <w:rPr>
          <w:rFonts w:ascii="Verdana" w:hAnsi="Verdana"/>
          <w:color w:val="auto"/>
          <w:sz w:val="16"/>
          <w:szCs w:val="16"/>
        </w:rPr>
        <w:t xml:space="preserve">2020, </w:t>
      </w:r>
      <w:r w:rsidR="00B10E5A" w:rsidRPr="00954547">
        <w:rPr>
          <w:rFonts w:ascii="Verdana" w:hAnsi="Verdana"/>
          <w:color w:val="auto"/>
          <w:sz w:val="16"/>
          <w:szCs w:val="16"/>
        </w:rPr>
        <w:t>para.</w:t>
      </w:r>
      <w:r w:rsidRPr="00954547">
        <w:rPr>
          <w:rFonts w:ascii="Verdana" w:hAnsi="Verdana"/>
          <w:color w:val="auto"/>
          <w:sz w:val="16"/>
          <w:szCs w:val="16"/>
        </w:rPr>
        <w:t xml:space="preserve"> 110.</w:t>
      </w:r>
    </w:p>
  </w:footnote>
  <w:footnote w:id="275">
    <w:p w14:paraId="20D12F02" w14:textId="0454DB7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Velásquez Rodríguez </w:t>
      </w:r>
      <w:r w:rsidR="009C16A1" w:rsidRPr="00954547">
        <w:rPr>
          <w:rFonts w:ascii="Verdana" w:hAnsi="Verdana"/>
          <w:i/>
          <w:sz w:val="16"/>
          <w:szCs w:val="16"/>
        </w:rPr>
        <w:t>v.</w:t>
      </w:r>
      <w:r w:rsidRPr="00954547">
        <w:rPr>
          <w:rFonts w:ascii="Verdana" w:hAnsi="Verdana"/>
          <w:i/>
          <w:sz w:val="16"/>
          <w:szCs w:val="16"/>
        </w:rPr>
        <w:t xml:space="preserve"> Honduras. </w:t>
      </w:r>
      <w:r w:rsidR="00B82823" w:rsidRPr="00954547">
        <w:rPr>
          <w:rFonts w:ascii="Verdana" w:hAnsi="Verdana"/>
          <w:i/>
          <w:sz w:val="16"/>
          <w:szCs w:val="16"/>
        </w:rPr>
        <w:t>Merits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82823" w:rsidRPr="00954547">
        <w:rPr>
          <w:rFonts w:ascii="Verdana" w:hAnsi="Verdana"/>
          <w:sz w:val="16"/>
          <w:szCs w:val="16"/>
        </w:rPr>
        <w:t>July 29,</w:t>
      </w:r>
      <w:r w:rsidRPr="00954547">
        <w:rPr>
          <w:rFonts w:ascii="Verdana" w:hAnsi="Verdana"/>
          <w:sz w:val="16"/>
          <w:szCs w:val="16"/>
        </w:rPr>
        <w:t xml:space="preserve"> 1988. </w:t>
      </w:r>
      <w:r w:rsidR="00B8393C" w:rsidRPr="00954547">
        <w:rPr>
          <w:rFonts w:ascii="Verdana" w:hAnsi="Verdana"/>
          <w:sz w:val="16"/>
          <w:szCs w:val="16"/>
        </w:rPr>
        <w:t xml:space="preserve">Series </w:t>
      </w:r>
      <w:r w:rsidRPr="00954547">
        <w:rPr>
          <w:rFonts w:ascii="Verdana" w:hAnsi="Verdana"/>
          <w:sz w:val="16"/>
          <w:szCs w:val="16"/>
        </w:rPr>
        <w:t>C No. 4,</w:t>
      </w:r>
      <w:r w:rsidRPr="00954547">
        <w:rPr>
          <w:rFonts w:ascii="Verdana" w:hAnsi="Verdana"/>
          <w:i/>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163,</w:t>
      </w:r>
      <w:r w:rsidR="0078694F" w:rsidRPr="00954547">
        <w:rPr>
          <w:rFonts w:ascii="Verdana" w:hAnsi="Verdana"/>
          <w:sz w:val="16"/>
          <w:szCs w:val="16"/>
        </w:rPr>
        <w:t xml:space="preserve"> and </w:t>
      </w:r>
      <w:r w:rsidR="002F4617" w:rsidRPr="00954547">
        <w:rPr>
          <w:rFonts w:ascii="Verdana" w:hAnsi="Verdana"/>
          <w:i/>
          <w:sz w:val="16"/>
          <w:szCs w:val="16"/>
        </w:rPr>
        <w:t xml:space="preserve">Case </w:t>
      </w:r>
      <w:r w:rsidR="009C16A1" w:rsidRPr="00954547">
        <w:rPr>
          <w:rFonts w:ascii="Verdana" w:hAnsi="Verdana"/>
          <w:i/>
          <w:sz w:val="16"/>
          <w:szCs w:val="16"/>
        </w:rPr>
        <w:t>of the Indigenous Communities of the Lhaka Honhat (Our Land) Association</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Argentina,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200.</w:t>
      </w:r>
    </w:p>
  </w:footnote>
  <w:footnote w:id="276">
    <w:p w14:paraId="110BFCB3" w14:textId="685E5BC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Mendoza </w:t>
      </w:r>
      <w:r w:rsidR="00B8393C" w:rsidRPr="00954547">
        <w:rPr>
          <w:rFonts w:ascii="Verdana" w:hAnsi="Verdana"/>
          <w:i/>
          <w:sz w:val="16"/>
          <w:szCs w:val="16"/>
        </w:rPr>
        <w:t>et al. v.</w:t>
      </w:r>
      <w:r w:rsidRPr="00954547">
        <w:rPr>
          <w:rFonts w:ascii="Verdana" w:hAnsi="Verdana"/>
          <w:i/>
          <w:sz w:val="16"/>
          <w:szCs w:val="16"/>
        </w:rPr>
        <w:t xml:space="preserve"> Argentina. </w:t>
      </w:r>
      <w:r w:rsidR="00A70DC4" w:rsidRPr="00954547">
        <w:rPr>
          <w:rFonts w:ascii="Verdana" w:hAnsi="Verdana"/>
          <w:i/>
          <w:sz w:val="16"/>
          <w:szCs w:val="16"/>
        </w:rPr>
        <w:t>Preliminary objections</w:t>
      </w:r>
      <w:r w:rsidRPr="00954547">
        <w:rPr>
          <w:rFonts w:ascii="Verdana" w:hAnsi="Verdana"/>
          <w:i/>
          <w:sz w:val="16"/>
          <w:szCs w:val="16"/>
        </w:rPr>
        <w:t xml:space="preserve">, </w:t>
      </w:r>
      <w:r w:rsidR="00687AB1" w:rsidRPr="00954547">
        <w:rPr>
          <w:rFonts w:ascii="Verdana" w:hAnsi="Verdana"/>
          <w:i/>
          <w:sz w:val="16"/>
          <w:szCs w:val="16"/>
        </w:rPr>
        <w:t>Merits and reparations.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687AB1" w:rsidRPr="00954547">
        <w:rPr>
          <w:rFonts w:ascii="Verdana" w:hAnsi="Verdana"/>
          <w:sz w:val="16"/>
          <w:szCs w:val="16"/>
        </w:rPr>
        <w:t xml:space="preserve">May </w:t>
      </w:r>
      <w:r w:rsidRPr="00954547">
        <w:rPr>
          <w:rFonts w:ascii="Verdana" w:hAnsi="Verdana"/>
          <w:sz w:val="16"/>
          <w:szCs w:val="16"/>
        </w:rPr>
        <w:t>14</w:t>
      </w:r>
      <w:r w:rsidR="00687AB1" w:rsidRPr="00954547">
        <w:rPr>
          <w:rFonts w:ascii="Verdana" w:hAnsi="Verdana"/>
          <w:sz w:val="16"/>
          <w:szCs w:val="16"/>
        </w:rPr>
        <w:t>,</w:t>
      </w:r>
      <w:r w:rsidRPr="00954547">
        <w:rPr>
          <w:rFonts w:ascii="Verdana" w:hAnsi="Verdana"/>
          <w:sz w:val="16"/>
          <w:szCs w:val="16"/>
        </w:rPr>
        <w:t xml:space="preserve"> 2013. </w:t>
      </w:r>
      <w:r w:rsidR="00B8393C" w:rsidRPr="00954547">
        <w:rPr>
          <w:rFonts w:ascii="Verdana" w:hAnsi="Verdana"/>
          <w:sz w:val="16"/>
          <w:szCs w:val="16"/>
        </w:rPr>
        <w:t xml:space="preserve">Series </w:t>
      </w:r>
      <w:r w:rsidRPr="00954547">
        <w:rPr>
          <w:rFonts w:ascii="Verdana" w:hAnsi="Verdana"/>
          <w:sz w:val="16"/>
          <w:szCs w:val="16"/>
        </w:rPr>
        <w:t xml:space="preserve">C No. 260, </w:t>
      </w:r>
      <w:r w:rsidR="00B10E5A" w:rsidRPr="00954547">
        <w:rPr>
          <w:rFonts w:ascii="Verdana" w:hAnsi="Verdana"/>
          <w:sz w:val="16"/>
          <w:szCs w:val="16"/>
        </w:rPr>
        <w:t>para.</w:t>
      </w:r>
      <w:r w:rsidRPr="00954547">
        <w:rPr>
          <w:rFonts w:ascii="Verdana" w:hAnsi="Verdana"/>
          <w:sz w:val="16"/>
          <w:szCs w:val="16"/>
        </w:rPr>
        <w:t xml:space="preserve"> 174.</w:t>
      </w:r>
    </w:p>
  </w:footnote>
  <w:footnote w:id="277">
    <w:p w14:paraId="5AB70F5A" w14:textId="3F9F4D6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Mendoza </w:t>
      </w:r>
      <w:r w:rsidR="00B8393C" w:rsidRPr="00954547">
        <w:rPr>
          <w:rFonts w:ascii="Verdana" w:hAnsi="Verdana"/>
          <w:i/>
          <w:sz w:val="16"/>
          <w:szCs w:val="16"/>
        </w:rPr>
        <w:t>et al. v.</w:t>
      </w:r>
      <w:r w:rsidRPr="00954547">
        <w:rPr>
          <w:rFonts w:ascii="Verdana" w:hAnsi="Verdana"/>
          <w:i/>
          <w:sz w:val="16"/>
          <w:szCs w:val="16"/>
        </w:rPr>
        <w:t xml:space="preserve"> Argentina,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165.</w:t>
      </w:r>
    </w:p>
  </w:footnote>
  <w:footnote w:id="278">
    <w:p w14:paraId="54F1F5E1" w14:textId="63FA5D6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D77B1" w:rsidRPr="00954547">
        <w:rPr>
          <w:rFonts w:ascii="Verdana" w:hAnsi="Verdana"/>
          <w:sz w:val="16"/>
          <w:szCs w:val="16"/>
        </w:rPr>
        <w:t>Th</w:t>
      </w:r>
      <w:r w:rsidR="0027438B" w:rsidRPr="00954547">
        <w:rPr>
          <w:rFonts w:ascii="Verdana" w:hAnsi="Verdana"/>
          <w:sz w:val="16"/>
          <w:szCs w:val="16"/>
        </w:rPr>
        <w:t>e</w:t>
      </w:r>
      <w:r w:rsidR="007D77B1" w:rsidRPr="00954547">
        <w:rPr>
          <w:rFonts w:ascii="Verdana" w:hAnsi="Verdana"/>
          <w:sz w:val="16"/>
          <w:szCs w:val="16"/>
        </w:rPr>
        <w:t xml:space="preserve"> proportionality of the punishment </w:t>
      </w:r>
      <w:r w:rsidR="0027438B" w:rsidRPr="00954547">
        <w:rPr>
          <w:rFonts w:ascii="Verdana" w:hAnsi="Verdana"/>
          <w:sz w:val="16"/>
          <w:szCs w:val="16"/>
        </w:rPr>
        <w:t>to</w:t>
      </w:r>
      <w:r w:rsidR="007D77B1" w:rsidRPr="00954547">
        <w:rPr>
          <w:rFonts w:ascii="Verdana" w:hAnsi="Verdana"/>
          <w:sz w:val="16"/>
          <w:szCs w:val="16"/>
        </w:rPr>
        <w:t xml:space="preserve"> the guilt is reflected in Salvador law, because</w:t>
      </w:r>
      <w:r w:rsidRPr="00954547">
        <w:rPr>
          <w:rFonts w:ascii="Verdana" w:hAnsi="Verdana"/>
          <w:sz w:val="16"/>
          <w:szCs w:val="16"/>
        </w:rPr>
        <w:t xml:space="preserve"> </w:t>
      </w:r>
      <w:r w:rsidR="007D77B1" w:rsidRPr="00954547">
        <w:rPr>
          <w:rFonts w:ascii="Verdana" w:hAnsi="Verdana"/>
          <w:sz w:val="16"/>
          <w:szCs w:val="16"/>
        </w:rPr>
        <w:t>a</w:t>
      </w:r>
      <w:r w:rsidR="00A17F8C" w:rsidRPr="00954547">
        <w:rPr>
          <w:rFonts w:ascii="Verdana" w:hAnsi="Verdana"/>
          <w:sz w:val="16"/>
          <w:szCs w:val="16"/>
        </w:rPr>
        <w:t>rticle</w:t>
      </w:r>
      <w:r w:rsidRPr="00954547">
        <w:rPr>
          <w:rFonts w:ascii="Verdana" w:hAnsi="Verdana"/>
          <w:sz w:val="16"/>
          <w:szCs w:val="16"/>
        </w:rPr>
        <w:t xml:space="preserve"> 63 </w:t>
      </w:r>
      <w:r w:rsidR="007D77B1" w:rsidRPr="00954547">
        <w:rPr>
          <w:rFonts w:ascii="Verdana" w:hAnsi="Verdana"/>
          <w:sz w:val="16"/>
          <w:szCs w:val="16"/>
        </w:rPr>
        <w:t>of its</w:t>
      </w:r>
      <w:r w:rsidRPr="00954547">
        <w:rPr>
          <w:rFonts w:ascii="Verdana" w:hAnsi="Verdana"/>
          <w:sz w:val="16"/>
          <w:szCs w:val="16"/>
        </w:rPr>
        <w:t xml:space="preserve"> </w:t>
      </w:r>
      <w:r w:rsidR="001101C0" w:rsidRPr="00954547">
        <w:rPr>
          <w:rFonts w:ascii="Verdana" w:hAnsi="Verdana"/>
          <w:sz w:val="16"/>
          <w:szCs w:val="16"/>
        </w:rPr>
        <w:t>Criminal Code</w:t>
      </w:r>
      <w:r w:rsidRPr="00954547">
        <w:rPr>
          <w:rFonts w:ascii="Verdana" w:hAnsi="Verdana"/>
          <w:sz w:val="16"/>
          <w:szCs w:val="16"/>
        </w:rPr>
        <w:t xml:space="preserve"> estab</w:t>
      </w:r>
      <w:r w:rsidR="007D77B1" w:rsidRPr="00954547">
        <w:rPr>
          <w:rFonts w:ascii="Verdana" w:hAnsi="Verdana"/>
          <w:sz w:val="16"/>
          <w:szCs w:val="16"/>
        </w:rPr>
        <w:t>lishes</w:t>
      </w:r>
      <w:r w:rsidRPr="00954547">
        <w:rPr>
          <w:rFonts w:ascii="Verdana" w:hAnsi="Verdana"/>
          <w:sz w:val="16"/>
          <w:szCs w:val="16"/>
        </w:rPr>
        <w:t>: “</w:t>
      </w:r>
      <w:r w:rsidR="007D77B1" w:rsidRPr="00954547">
        <w:rPr>
          <w:rFonts w:ascii="Verdana" w:hAnsi="Verdana"/>
          <w:sz w:val="16"/>
          <w:szCs w:val="16"/>
        </w:rPr>
        <w:t xml:space="preserve">The punishment </w:t>
      </w:r>
      <w:r w:rsidR="0027438B" w:rsidRPr="00954547">
        <w:rPr>
          <w:rFonts w:ascii="Verdana" w:hAnsi="Verdana"/>
          <w:sz w:val="16"/>
          <w:szCs w:val="16"/>
        </w:rPr>
        <w:t>shall</w:t>
      </w:r>
      <w:r w:rsidR="007D77B1" w:rsidRPr="00954547">
        <w:rPr>
          <w:rFonts w:ascii="Verdana" w:hAnsi="Verdana"/>
          <w:sz w:val="16"/>
          <w:szCs w:val="16"/>
        </w:rPr>
        <w:t xml:space="preserve"> not exceed the </w:t>
      </w:r>
      <w:r w:rsidR="0027438B" w:rsidRPr="00954547">
        <w:rPr>
          <w:rFonts w:ascii="Verdana" w:hAnsi="Verdana"/>
          <w:sz w:val="16"/>
          <w:szCs w:val="16"/>
        </w:rPr>
        <w:t>harm</w:t>
      </w:r>
      <w:r w:rsidRPr="00954547">
        <w:rPr>
          <w:rFonts w:ascii="Verdana" w:hAnsi="Verdana"/>
          <w:sz w:val="16"/>
          <w:szCs w:val="16"/>
        </w:rPr>
        <w:t xml:space="preserve"> </w:t>
      </w:r>
      <w:r w:rsidR="0027438B" w:rsidRPr="00954547">
        <w:rPr>
          <w:rFonts w:ascii="Verdana" w:hAnsi="Verdana"/>
          <w:sz w:val="16"/>
          <w:szCs w:val="16"/>
        </w:rPr>
        <w:t>resulting from</w:t>
      </w:r>
      <w:r w:rsidR="007D77B1" w:rsidRPr="00954547">
        <w:rPr>
          <w:rFonts w:ascii="Verdana" w:hAnsi="Verdana"/>
          <w:sz w:val="16"/>
          <w:szCs w:val="16"/>
        </w:rPr>
        <w:t xml:space="preserve"> the act carried out by the perpetrator and shall be proportionate to his guilt.” </w:t>
      </w:r>
      <w:r w:rsidR="001101C0" w:rsidRPr="00954547">
        <w:rPr>
          <w:rFonts w:ascii="Verdana" w:hAnsi="Verdana"/>
          <w:sz w:val="16"/>
          <w:szCs w:val="16"/>
        </w:rPr>
        <w:t>Criminal Code</w:t>
      </w:r>
      <w:r w:rsidR="009E6B43" w:rsidRPr="00954547">
        <w:rPr>
          <w:rFonts w:ascii="Verdana" w:hAnsi="Verdana"/>
          <w:sz w:val="16"/>
          <w:szCs w:val="16"/>
        </w:rPr>
        <w:t xml:space="preserve"> of El </w:t>
      </w:r>
      <w:r w:rsidRPr="00954547">
        <w:rPr>
          <w:rFonts w:ascii="Verdana" w:eastAsiaTheme="minorHAnsi" w:hAnsi="Verdana" w:cs="Arial"/>
          <w:sz w:val="16"/>
          <w:szCs w:val="16"/>
          <w:bdr w:val="none" w:sz="0" w:space="0" w:color="auto"/>
        </w:rPr>
        <w:t>Salvador.</w:t>
      </w:r>
      <w:r w:rsidRPr="00954547">
        <w:rPr>
          <w:rFonts w:ascii="Verdana" w:hAnsi="Verdana"/>
          <w:sz w:val="16"/>
          <w:szCs w:val="16"/>
        </w:rPr>
        <w:t xml:space="preserve"> </w:t>
      </w:r>
      <w:r w:rsidR="00C86FE5" w:rsidRPr="00954547">
        <w:rPr>
          <w:rFonts w:ascii="Verdana" w:hAnsi="Verdana"/>
          <w:sz w:val="16"/>
          <w:szCs w:val="16"/>
        </w:rPr>
        <w:t>Legislative Decree</w:t>
      </w:r>
      <w:r w:rsidRPr="00954547">
        <w:rPr>
          <w:rFonts w:ascii="Verdana" w:hAnsi="Verdana"/>
          <w:sz w:val="16"/>
          <w:szCs w:val="16"/>
        </w:rPr>
        <w:t xml:space="preserve"> No. 1030 </w:t>
      </w:r>
      <w:r w:rsidR="00FB394B" w:rsidRPr="00954547">
        <w:rPr>
          <w:rFonts w:ascii="Verdana" w:hAnsi="Verdana"/>
          <w:sz w:val="16"/>
          <w:szCs w:val="16"/>
        </w:rPr>
        <w:t>of April 26,</w:t>
      </w:r>
      <w:r w:rsidRPr="00954547">
        <w:rPr>
          <w:rFonts w:ascii="Verdana" w:hAnsi="Verdana"/>
          <w:sz w:val="16"/>
          <w:szCs w:val="16"/>
        </w:rPr>
        <w:t xml:space="preserve"> 1997, </w:t>
      </w:r>
      <w:r w:rsidR="00FB394B" w:rsidRPr="00954547">
        <w:rPr>
          <w:rFonts w:ascii="Verdana" w:hAnsi="Verdana"/>
          <w:sz w:val="16"/>
          <w:szCs w:val="16"/>
        </w:rPr>
        <w:t>a</w:t>
      </w:r>
      <w:r w:rsidR="00A17F8C" w:rsidRPr="00954547">
        <w:rPr>
          <w:rFonts w:ascii="Verdana" w:hAnsi="Verdana"/>
          <w:sz w:val="16"/>
          <w:szCs w:val="16"/>
        </w:rPr>
        <w:t>rticle</w:t>
      </w:r>
      <w:r w:rsidRPr="00954547">
        <w:rPr>
          <w:rFonts w:ascii="Verdana" w:hAnsi="Verdana"/>
          <w:sz w:val="16"/>
          <w:szCs w:val="16"/>
        </w:rPr>
        <w:t xml:space="preserve"> 63. </w:t>
      </w:r>
      <w:r w:rsidR="002F4617" w:rsidRPr="00954547">
        <w:rPr>
          <w:rFonts w:ascii="Verdana" w:hAnsi="Verdana"/>
          <w:sz w:val="16"/>
          <w:szCs w:val="16"/>
        </w:rPr>
        <w:t>Available at</w:t>
      </w:r>
      <w:r w:rsidRPr="00954547">
        <w:rPr>
          <w:rFonts w:ascii="Verdana" w:hAnsi="Verdana"/>
          <w:sz w:val="16"/>
          <w:szCs w:val="16"/>
        </w:rPr>
        <w:t xml:space="preserve">: </w:t>
      </w:r>
      <w:hyperlink r:id="rId23" w:history="1">
        <w:r w:rsidR="00FB394B" w:rsidRPr="00954547">
          <w:rPr>
            <w:rStyle w:val="Hyperlink"/>
            <w:rFonts w:ascii="Verdana" w:hAnsi="Verdana"/>
            <w:sz w:val="16"/>
            <w:szCs w:val="16"/>
          </w:rPr>
          <w:t>https://www.asamblea.gob.sv/sites/default/files/documents/decretos/ C0AB56F8-AF37-4F25-AD90-08AE401C0BA7.pdf</w:t>
        </w:r>
      </w:hyperlink>
    </w:p>
  </w:footnote>
  <w:footnote w:id="279">
    <w:p w14:paraId="79F533C8" w14:textId="7C2C5FF5"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i/>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Vargas Areco </w:t>
      </w:r>
      <w:r w:rsidR="009C16A1" w:rsidRPr="00954547">
        <w:rPr>
          <w:rFonts w:ascii="Verdana" w:hAnsi="Verdana"/>
          <w:i/>
          <w:sz w:val="16"/>
          <w:szCs w:val="16"/>
        </w:rPr>
        <w:t>v.</w:t>
      </w:r>
      <w:r w:rsidRPr="00954547">
        <w:rPr>
          <w:rFonts w:ascii="Verdana" w:hAnsi="Verdana"/>
          <w:i/>
          <w:sz w:val="16"/>
          <w:szCs w:val="16"/>
        </w:rPr>
        <w:t xml:space="preserve"> Paraguay. </w:t>
      </w:r>
      <w:r w:rsidR="00A70DC4" w:rsidRPr="00954547">
        <w:rPr>
          <w:rFonts w:ascii="Verdana" w:hAnsi="Verdana"/>
          <w:i/>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FB394B" w:rsidRPr="00954547">
        <w:rPr>
          <w:rFonts w:ascii="Verdana" w:hAnsi="Verdana"/>
          <w:sz w:val="16"/>
          <w:szCs w:val="16"/>
        </w:rPr>
        <w:t>September 26,</w:t>
      </w:r>
      <w:r w:rsidRPr="00954547">
        <w:rPr>
          <w:rFonts w:ascii="Verdana" w:hAnsi="Verdana"/>
          <w:sz w:val="16"/>
          <w:szCs w:val="16"/>
        </w:rPr>
        <w:t xml:space="preserve"> 2006. </w:t>
      </w:r>
      <w:r w:rsidR="00B8393C" w:rsidRPr="00954547">
        <w:rPr>
          <w:rFonts w:ascii="Verdana" w:hAnsi="Verdana"/>
          <w:sz w:val="16"/>
          <w:szCs w:val="16"/>
        </w:rPr>
        <w:t xml:space="preserve">Series </w:t>
      </w:r>
      <w:r w:rsidRPr="00954547">
        <w:rPr>
          <w:rFonts w:ascii="Verdana" w:hAnsi="Verdana"/>
          <w:sz w:val="16"/>
          <w:szCs w:val="16"/>
        </w:rPr>
        <w:t xml:space="preserve">C No. 155, </w:t>
      </w:r>
      <w:r w:rsidR="00B10E5A" w:rsidRPr="00954547">
        <w:rPr>
          <w:rFonts w:ascii="Verdana" w:hAnsi="Verdana"/>
          <w:sz w:val="16"/>
          <w:szCs w:val="16"/>
        </w:rPr>
        <w:t>para.</w:t>
      </w:r>
      <w:r w:rsidRPr="00954547">
        <w:rPr>
          <w:rFonts w:ascii="Verdana" w:hAnsi="Verdana"/>
          <w:sz w:val="16"/>
          <w:szCs w:val="16"/>
        </w:rPr>
        <w:t xml:space="preserve"> 108,</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Mémoli </w:t>
      </w:r>
      <w:r w:rsidR="009C16A1" w:rsidRPr="00954547">
        <w:rPr>
          <w:rFonts w:ascii="Verdana" w:hAnsi="Verdana"/>
          <w:i/>
          <w:sz w:val="16"/>
          <w:szCs w:val="16"/>
        </w:rPr>
        <w:t>v.</w:t>
      </w:r>
      <w:r w:rsidRPr="00954547">
        <w:rPr>
          <w:rFonts w:ascii="Verdana" w:hAnsi="Verdana"/>
          <w:i/>
          <w:sz w:val="16"/>
          <w:szCs w:val="16"/>
        </w:rPr>
        <w:t xml:space="preserve"> Argentina.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FB394B" w:rsidRPr="00954547">
        <w:rPr>
          <w:rFonts w:ascii="Verdana" w:hAnsi="Verdana"/>
          <w:sz w:val="16"/>
          <w:szCs w:val="16"/>
        </w:rPr>
        <w:t>August 22,</w:t>
      </w:r>
      <w:r w:rsidRPr="00954547">
        <w:rPr>
          <w:rFonts w:ascii="Verdana" w:hAnsi="Verdana"/>
          <w:sz w:val="16"/>
          <w:szCs w:val="16"/>
        </w:rPr>
        <w:t xml:space="preserve"> 2013. </w:t>
      </w:r>
      <w:r w:rsidR="00B8393C" w:rsidRPr="00954547">
        <w:rPr>
          <w:rFonts w:ascii="Verdana" w:hAnsi="Verdana"/>
          <w:sz w:val="16"/>
          <w:szCs w:val="16"/>
        </w:rPr>
        <w:t xml:space="preserve">Series </w:t>
      </w:r>
      <w:r w:rsidRPr="00954547">
        <w:rPr>
          <w:rFonts w:ascii="Verdana" w:hAnsi="Verdana"/>
          <w:sz w:val="16"/>
          <w:szCs w:val="16"/>
        </w:rPr>
        <w:t xml:space="preserve">C No. 265, </w:t>
      </w:r>
      <w:r w:rsidR="00B10E5A" w:rsidRPr="00954547">
        <w:rPr>
          <w:rFonts w:ascii="Verdana" w:hAnsi="Verdana"/>
          <w:sz w:val="16"/>
          <w:szCs w:val="16"/>
        </w:rPr>
        <w:t>para.</w:t>
      </w:r>
      <w:r w:rsidRPr="00954547">
        <w:rPr>
          <w:rFonts w:ascii="Verdana" w:hAnsi="Verdana"/>
          <w:sz w:val="16"/>
          <w:szCs w:val="16"/>
        </w:rPr>
        <w:t xml:space="preserve"> 144.</w:t>
      </w:r>
    </w:p>
  </w:footnote>
  <w:footnote w:id="280">
    <w:p w14:paraId="0BF43B2E" w14:textId="2CA55718"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FB394B" w:rsidRPr="00954547">
        <w:rPr>
          <w:rFonts w:ascii="Verdana" w:hAnsi="Verdana"/>
          <w:iCs/>
          <w:sz w:val="16"/>
          <w:szCs w:val="16"/>
        </w:rPr>
        <w:t>See, for example,</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Cepeda Vargas </w:t>
      </w:r>
      <w:r w:rsidR="009C16A1" w:rsidRPr="00954547">
        <w:rPr>
          <w:rFonts w:ascii="Verdana" w:hAnsi="Verdana"/>
          <w:i/>
          <w:sz w:val="16"/>
          <w:szCs w:val="16"/>
        </w:rPr>
        <w:t>v.</w:t>
      </w:r>
      <w:r w:rsidRPr="00954547">
        <w:rPr>
          <w:rFonts w:ascii="Verdana" w:hAnsi="Verdana"/>
          <w:i/>
          <w:sz w:val="16"/>
          <w:szCs w:val="16"/>
        </w:rPr>
        <w:t xml:space="preserve"> Colombia.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FB394B" w:rsidRPr="00954547">
        <w:rPr>
          <w:rFonts w:ascii="Verdana" w:hAnsi="Verdana"/>
          <w:sz w:val="16"/>
          <w:szCs w:val="16"/>
        </w:rPr>
        <w:t>May 26,</w:t>
      </w:r>
      <w:r w:rsidRPr="00954547">
        <w:rPr>
          <w:rFonts w:ascii="Verdana" w:hAnsi="Verdana"/>
          <w:sz w:val="16"/>
          <w:szCs w:val="16"/>
        </w:rPr>
        <w:t xml:space="preserve"> 2010. </w:t>
      </w:r>
      <w:r w:rsidR="00B8393C" w:rsidRPr="00954547">
        <w:rPr>
          <w:rFonts w:ascii="Verdana" w:hAnsi="Verdana"/>
          <w:sz w:val="16"/>
          <w:szCs w:val="16"/>
        </w:rPr>
        <w:t xml:space="preserve">Series </w:t>
      </w:r>
      <w:r w:rsidRPr="00954547">
        <w:rPr>
          <w:rFonts w:ascii="Verdana" w:hAnsi="Verdana"/>
          <w:sz w:val="16"/>
          <w:szCs w:val="16"/>
        </w:rPr>
        <w:t xml:space="preserve">C No. 213, </w:t>
      </w:r>
      <w:r w:rsidR="00B10E5A" w:rsidRPr="00954547">
        <w:rPr>
          <w:rFonts w:ascii="Verdana" w:hAnsi="Verdana"/>
          <w:sz w:val="16"/>
          <w:szCs w:val="16"/>
        </w:rPr>
        <w:t>para.</w:t>
      </w:r>
      <w:r w:rsidRPr="00954547">
        <w:rPr>
          <w:rFonts w:ascii="Verdana" w:hAnsi="Verdana"/>
          <w:sz w:val="16"/>
          <w:szCs w:val="16"/>
        </w:rPr>
        <w:t xml:space="preserve"> 150,</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Mendoza </w:t>
      </w:r>
      <w:r w:rsidR="00B8393C" w:rsidRPr="00954547">
        <w:rPr>
          <w:rFonts w:ascii="Verdana" w:hAnsi="Verdana"/>
          <w:i/>
          <w:sz w:val="16"/>
          <w:szCs w:val="16"/>
        </w:rPr>
        <w:t>et al. v.</w:t>
      </w:r>
      <w:r w:rsidRPr="00954547">
        <w:rPr>
          <w:rFonts w:ascii="Verdana" w:hAnsi="Verdana"/>
          <w:i/>
          <w:sz w:val="16"/>
          <w:szCs w:val="16"/>
        </w:rPr>
        <w:t xml:space="preserve"> Argentina,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166.</w:t>
      </w:r>
    </w:p>
  </w:footnote>
  <w:footnote w:id="281">
    <w:p w14:paraId="570A5F18" w14:textId="677671E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FB394B" w:rsidRPr="00954547">
        <w:rPr>
          <w:rFonts w:ascii="Verdana" w:hAnsi="Verdana"/>
          <w:sz w:val="16"/>
          <w:szCs w:val="16"/>
        </w:rPr>
        <w:t xml:space="preserve">Almost all contemporary literature on legal medicine </w:t>
      </w:r>
      <w:r w:rsidR="000C786C" w:rsidRPr="00954547">
        <w:rPr>
          <w:rFonts w:ascii="Verdana" w:hAnsi="Verdana"/>
          <w:sz w:val="16"/>
          <w:szCs w:val="16"/>
        </w:rPr>
        <w:t>agrees</w:t>
      </w:r>
      <w:r w:rsidR="00FB394B" w:rsidRPr="00954547">
        <w:rPr>
          <w:rFonts w:ascii="Verdana" w:hAnsi="Verdana"/>
          <w:sz w:val="16"/>
          <w:szCs w:val="16"/>
        </w:rPr>
        <w:t xml:space="preserve"> with this. </w:t>
      </w:r>
      <w:r w:rsidR="00B8393C" w:rsidRPr="00954547">
        <w:rPr>
          <w:rFonts w:ascii="Verdana" w:hAnsi="Verdana"/>
          <w:i/>
          <w:sz w:val="16"/>
          <w:szCs w:val="16"/>
        </w:rPr>
        <w:t>Cf.</w:t>
      </w:r>
      <w:r w:rsidRPr="00954547">
        <w:rPr>
          <w:rFonts w:ascii="Verdana" w:hAnsi="Verdana"/>
          <w:i/>
          <w:sz w:val="16"/>
          <w:szCs w:val="16"/>
        </w:rPr>
        <w:t xml:space="preserve"> </w:t>
      </w:r>
      <w:r w:rsidRPr="00954547">
        <w:rPr>
          <w:rFonts w:ascii="Verdana" w:hAnsi="Verdana"/>
          <w:sz w:val="16"/>
          <w:szCs w:val="16"/>
        </w:rPr>
        <w:t xml:space="preserve">C. Simonin, </w:t>
      </w:r>
      <w:r w:rsidRPr="00954547">
        <w:rPr>
          <w:rFonts w:ascii="Verdana" w:hAnsi="Verdana"/>
          <w:i/>
          <w:sz w:val="16"/>
          <w:szCs w:val="16"/>
        </w:rPr>
        <w:t xml:space="preserve">Medicina Legal Judicial, </w:t>
      </w:r>
      <w:r w:rsidRPr="00954547">
        <w:rPr>
          <w:rFonts w:ascii="Verdana" w:hAnsi="Verdana"/>
          <w:sz w:val="16"/>
          <w:szCs w:val="16"/>
        </w:rPr>
        <w:t xml:space="preserve">Barcelona, 1973, p. 273; </w:t>
      </w:r>
      <w:r w:rsidR="003B21CE" w:rsidRPr="00954547">
        <w:rPr>
          <w:rFonts w:ascii="Verdana" w:hAnsi="Verdana"/>
          <w:sz w:val="16"/>
          <w:szCs w:val="16"/>
        </w:rPr>
        <w:t>a review of current medical bibliography</w:t>
      </w:r>
      <w:r w:rsidRPr="00954547">
        <w:rPr>
          <w:rFonts w:ascii="Verdana" w:hAnsi="Verdana"/>
          <w:sz w:val="16"/>
          <w:szCs w:val="16"/>
        </w:rPr>
        <w:t xml:space="preserve"> </w:t>
      </w:r>
      <w:r w:rsidR="003B21CE" w:rsidRPr="00954547">
        <w:rPr>
          <w:rFonts w:ascii="Verdana" w:hAnsi="Verdana"/>
          <w:sz w:val="16"/>
          <w:szCs w:val="16"/>
        </w:rPr>
        <w:t>i</w:t>
      </w:r>
      <w:r w:rsidRPr="00954547">
        <w:rPr>
          <w:rFonts w:ascii="Verdana" w:hAnsi="Verdana"/>
          <w:sz w:val="16"/>
          <w:szCs w:val="16"/>
        </w:rPr>
        <w:t xml:space="preserve">n Mariano N. Castex, </w:t>
      </w:r>
      <w:r w:rsidRPr="00954547">
        <w:rPr>
          <w:rFonts w:ascii="Verdana" w:hAnsi="Verdana"/>
          <w:i/>
          <w:sz w:val="16"/>
          <w:szCs w:val="16"/>
        </w:rPr>
        <w:t>Estado puerperal e infanticidio, Implicancias médico-legales</w:t>
      </w:r>
      <w:r w:rsidR="0078694F" w:rsidRPr="00954547">
        <w:rPr>
          <w:rFonts w:ascii="Verdana" w:hAnsi="Verdana"/>
          <w:i/>
          <w:sz w:val="16"/>
          <w:szCs w:val="16"/>
        </w:rPr>
        <w:t xml:space="preserve"> </w:t>
      </w:r>
      <w:r w:rsidR="003B21CE" w:rsidRPr="00954547">
        <w:rPr>
          <w:rFonts w:ascii="Verdana" w:hAnsi="Verdana"/>
          <w:i/>
          <w:sz w:val="16"/>
          <w:szCs w:val="16"/>
        </w:rPr>
        <w:t>y</w:t>
      </w:r>
      <w:r w:rsidR="0078694F" w:rsidRPr="00954547">
        <w:rPr>
          <w:rFonts w:ascii="Verdana" w:hAnsi="Verdana"/>
          <w:i/>
          <w:sz w:val="16"/>
          <w:szCs w:val="16"/>
        </w:rPr>
        <w:t xml:space="preserve"> </w:t>
      </w:r>
      <w:r w:rsidRPr="00954547">
        <w:rPr>
          <w:rFonts w:ascii="Verdana" w:hAnsi="Verdana"/>
          <w:i/>
          <w:sz w:val="16"/>
          <w:szCs w:val="16"/>
        </w:rPr>
        <w:t xml:space="preserve">psiquiátrico-forenses, </w:t>
      </w:r>
      <w:r w:rsidRPr="00954547">
        <w:rPr>
          <w:rFonts w:ascii="Verdana" w:hAnsi="Verdana"/>
          <w:sz w:val="16"/>
          <w:szCs w:val="16"/>
        </w:rPr>
        <w:t>Buenos Aires, 2008.</w:t>
      </w:r>
      <w:r w:rsidR="003B21CE" w:rsidRPr="00954547">
        <w:rPr>
          <w:rFonts w:ascii="Verdana" w:hAnsi="Verdana"/>
          <w:sz w:val="16"/>
          <w:szCs w:val="16"/>
        </w:rPr>
        <w:t xml:space="preserve"> Similarly,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231. Castex propo</w:t>
      </w:r>
      <w:r w:rsidR="003B21CE" w:rsidRPr="00954547">
        <w:rPr>
          <w:rFonts w:ascii="Verdana" w:hAnsi="Verdana"/>
          <w:sz w:val="16"/>
          <w:szCs w:val="16"/>
        </w:rPr>
        <w:t xml:space="preserve">ses that the period </w:t>
      </w:r>
      <w:r w:rsidR="000C786C" w:rsidRPr="00954547">
        <w:rPr>
          <w:rFonts w:ascii="Verdana" w:hAnsi="Verdana"/>
          <w:sz w:val="16"/>
          <w:szCs w:val="16"/>
        </w:rPr>
        <w:t>which</w:t>
      </w:r>
      <w:r w:rsidR="003B21CE" w:rsidRPr="00954547">
        <w:rPr>
          <w:rFonts w:ascii="Verdana" w:hAnsi="Verdana"/>
          <w:sz w:val="16"/>
          <w:szCs w:val="16"/>
        </w:rPr>
        <w:t xml:space="preserve"> begins for every mother </w:t>
      </w:r>
      <w:r w:rsidR="000C786C" w:rsidRPr="00954547">
        <w:rPr>
          <w:rFonts w:ascii="Verdana" w:hAnsi="Verdana"/>
          <w:sz w:val="16"/>
          <w:szCs w:val="16"/>
        </w:rPr>
        <w:t>at</w:t>
      </w:r>
      <w:r w:rsidR="003B21CE" w:rsidRPr="00954547">
        <w:rPr>
          <w:rFonts w:ascii="Verdana" w:hAnsi="Verdana"/>
          <w:sz w:val="16"/>
          <w:szCs w:val="16"/>
        </w:rPr>
        <w:t xml:space="preserve"> the moment the fetus become viable and concludes with the reappearance of menstruation</w:t>
      </w:r>
      <w:r w:rsidR="000C786C" w:rsidRPr="00954547">
        <w:rPr>
          <w:rFonts w:ascii="Verdana" w:hAnsi="Verdana"/>
          <w:sz w:val="16"/>
          <w:szCs w:val="16"/>
        </w:rPr>
        <w:t xml:space="preserve"> should be referred to as the perinatal period</w:t>
      </w:r>
      <w:r w:rsidR="003B21CE" w:rsidRPr="00954547">
        <w:rPr>
          <w:rFonts w:ascii="Verdana" w:hAnsi="Verdana"/>
          <w:sz w:val="16"/>
          <w:szCs w:val="16"/>
        </w:rPr>
        <w:t>.</w:t>
      </w:r>
      <w:r w:rsidRPr="00954547">
        <w:rPr>
          <w:rFonts w:ascii="Verdana" w:hAnsi="Verdana"/>
          <w:sz w:val="16"/>
          <w:szCs w:val="16"/>
        </w:rPr>
        <w:t xml:space="preserve"> Mariano N. Castex, </w:t>
      </w:r>
      <w:r w:rsidRPr="00954547">
        <w:rPr>
          <w:rFonts w:ascii="Verdana" w:hAnsi="Verdana"/>
          <w:i/>
          <w:sz w:val="16"/>
          <w:szCs w:val="16"/>
        </w:rPr>
        <w:t>Estado puerperal e infanticidio, Implicancias médico-legales</w:t>
      </w:r>
      <w:r w:rsidR="0078694F" w:rsidRPr="00954547">
        <w:rPr>
          <w:rFonts w:ascii="Verdana" w:hAnsi="Verdana"/>
          <w:i/>
          <w:sz w:val="16"/>
          <w:szCs w:val="16"/>
        </w:rPr>
        <w:t xml:space="preserve"> </w:t>
      </w:r>
      <w:r w:rsidR="000C786C" w:rsidRPr="00954547">
        <w:rPr>
          <w:rFonts w:ascii="Verdana" w:hAnsi="Verdana"/>
          <w:i/>
          <w:sz w:val="16"/>
          <w:szCs w:val="16"/>
        </w:rPr>
        <w:t>y</w:t>
      </w:r>
      <w:r w:rsidR="0078694F" w:rsidRPr="00954547">
        <w:rPr>
          <w:rFonts w:ascii="Verdana" w:hAnsi="Verdana"/>
          <w:i/>
          <w:sz w:val="16"/>
          <w:szCs w:val="16"/>
        </w:rPr>
        <w:t xml:space="preserve"> </w:t>
      </w:r>
      <w:r w:rsidRPr="00954547">
        <w:rPr>
          <w:rFonts w:ascii="Verdana" w:hAnsi="Verdana"/>
          <w:i/>
          <w:sz w:val="16"/>
          <w:szCs w:val="16"/>
        </w:rPr>
        <w:t>psiquiátrico-forenses</w:t>
      </w:r>
      <w:r w:rsidRPr="00954547">
        <w:rPr>
          <w:rFonts w:ascii="Verdana" w:hAnsi="Verdana"/>
          <w:sz w:val="16"/>
          <w:szCs w:val="16"/>
        </w:rPr>
        <w:t xml:space="preserve">, Buenos Aires, 2008, p. 73. </w:t>
      </w:r>
    </w:p>
  </w:footnote>
  <w:footnote w:id="282">
    <w:p w14:paraId="602143BC" w14:textId="07CBD2B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D40981" w:rsidRPr="00954547">
        <w:rPr>
          <w:rFonts w:ascii="Verdana" w:hAnsi="Verdana"/>
          <w:sz w:val="16"/>
          <w:szCs w:val="16"/>
        </w:rPr>
        <w:t>This has been recorded for many years</w:t>
      </w:r>
      <w:r w:rsidR="00B7600D" w:rsidRPr="00954547">
        <w:rPr>
          <w:rFonts w:ascii="Verdana" w:hAnsi="Verdana"/>
          <w:sz w:val="16"/>
          <w:szCs w:val="16"/>
        </w:rPr>
        <w:t>,</w:t>
      </w:r>
      <w:r w:rsidR="00D40981" w:rsidRPr="00954547">
        <w:rPr>
          <w:rFonts w:ascii="Verdana" w:hAnsi="Verdana"/>
          <w:sz w:val="16"/>
          <w:szCs w:val="16"/>
        </w:rPr>
        <w:t xml:space="preserve"> for example:</w:t>
      </w:r>
      <w:r w:rsidRPr="00954547">
        <w:rPr>
          <w:rFonts w:ascii="Verdana" w:hAnsi="Verdana"/>
          <w:sz w:val="16"/>
          <w:szCs w:val="16"/>
        </w:rPr>
        <w:t xml:space="preserve"> Ambrosio Tardieu, </w:t>
      </w:r>
      <w:r w:rsidRPr="00954547">
        <w:rPr>
          <w:rFonts w:ascii="Verdana" w:hAnsi="Verdana"/>
          <w:i/>
          <w:sz w:val="16"/>
          <w:szCs w:val="16"/>
        </w:rPr>
        <w:t>Estudio médico-legal sobre el infanticidio</w:t>
      </w:r>
      <w:r w:rsidRPr="00954547">
        <w:rPr>
          <w:rFonts w:ascii="Verdana" w:hAnsi="Verdana"/>
          <w:sz w:val="16"/>
          <w:szCs w:val="16"/>
        </w:rPr>
        <w:t xml:space="preserve">, </w:t>
      </w:r>
      <w:r w:rsidR="00D40981" w:rsidRPr="00954547">
        <w:rPr>
          <w:rFonts w:ascii="Verdana" w:hAnsi="Verdana"/>
          <w:sz w:val="16"/>
          <w:szCs w:val="16"/>
        </w:rPr>
        <w:t>translated by</w:t>
      </w:r>
      <w:r w:rsidRPr="00954547">
        <w:rPr>
          <w:rFonts w:ascii="Verdana" w:hAnsi="Verdana"/>
          <w:sz w:val="16"/>
          <w:szCs w:val="16"/>
        </w:rPr>
        <w:t xml:space="preserve"> Prudencio Sereñana</w:t>
      </w:r>
      <w:r w:rsidR="0078694F" w:rsidRPr="00954547">
        <w:rPr>
          <w:rFonts w:ascii="Verdana" w:hAnsi="Verdana"/>
          <w:sz w:val="16"/>
          <w:szCs w:val="16"/>
        </w:rPr>
        <w:t xml:space="preserve"> </w:t>
      </w:r>
      <w:r w:rsidR="00D40981" w:rsidRPr="00954547">
        <w:rPr>
          <w:rFonts w:ascii="Verdana" w:hAnsi="Verdana"/>
          <w:sz w:val="16"/>
          <w:szCs w:val="16"/>
        </w:rPr>
        <w:t>y</w:t>
      </w:r>
      <w:r w:rsidR="0078694F" w:rsidRPr="00954547">
        <w:rPr>
          <w:rFonts w:ascii="Verdana" w:hAnsi="Verdana"/>
          <w:sz w:val="16"/>
          <w:szCs w:val="16"/>
        </w:rPr>
        <w:t xml:space="preserve"> </w:t>
      </w:r>
      <w:r w:rsidRPr="00954547">
        <w:rPr>
          <w:rFonts w:ascii="Verdana" w:hAnsi="Verdana"/>
          <w:sz w:val="16"/>
          <w:szCs w:val="16"/>
        </w:rPr>
        <w:t>Partagás, B</w:t>
      </w:r>
      <w:r w:rsidR="00D40981" w:rsidRPr="00954547">
        <w:rPr>
          <w:rFonts w:ascii="Verdana" w:hAnsi="Verdana"/>
          <w:sz w:val="16"/>
          <w:szCs w:val="16"/>
        </w:rPr>
        <w:t>a</w:t>
      </w:r>
      <w:r w:rsidRPr="00954547">
        <w:rPr>
          <w:rFonts w:ascii="Verdana" w:hAnsi="Verdana"/>
          <w:sz w:val="16"/>
          <w:szCs w:val="16"/>
        </w:rPr>
        <w:t>rcelona, 1883, pp. 253</w:t>
      </w:r>
      <w:r w:rsidR="0078694F" w:rsidRPr="00954547">
        <w:rPr>
          <w:rFonts w:ascii="Verdana" w:hAnsi="Verdana"/>
          <w:sz w:val="16"/>
          <w:szCs w:val="16"/>
        </w:rPr>
        <w:t xml:space="preserve"> and </w:t>
      </w:r>
      <w:r w:rsidR="00D40981" w:rsidRPr="00954547">
        <w:rPr>
          <w:rFonts w:ascii="Verdana" w:hAnsi="Verdana"/>
          <w:i/>
          <w:iCs/>
          <w:sz w:val="16"/>
          <w:szCs w:val="16"/>
        </w:rPr>
        <w:t>ff</w:t>
      </w:r>
      <w:r w:rsidRPr="00954547">
        <w:rPr>
          <w:rFonts w:ascii="Verdana" w:hAnsi="Verdana"/>
          <w:i/>
          <w:iCs/>
          <w:sz w:val="16"/>
          <w:szCs w:val="16"/>
        </w:rPr>
        <w:t xml:space="preserve">. </w:t>
      </w:r>
    </w:p>
  </w:footnote>
  <w:footnote w:id="283">
    <w:p w14:paraId="7730659A" w14:textId="40DCAAE5" w:rsidR="005F001B" w:rsidRPr="00954547" w:rsidRDefault="005F001B" w:rsidP="007619E6">
      <w:pPr>
        <w:pStyle w:val="FootnoteText"/>
        <w:tabs>
          <w:tab w:val="left" w:pos="567"/>
        </w:tabs>
        <w:spacing w:after="120"/>
        <w:jc w:val="both"/>
        <w:rPr>
          <w:rFonts w:ascii="Verdana" w:hAnsi="Verdana"/>
          <w:sz w:val="16"/>
          <w:szCs w:val="16"/>
          <w:lang w:val="es-CR"/>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Pr="00954547">
        <w:rPr>
          <w:rFonts w:ascii="Verdana" w:hAnsi="Verdana"/>
          <w:sz w:val="16"/>
          <w:szCs w:val="16"/>
          <w:lang w:val="es-CR"/>
        </w:rPr>
        <w:t xml:space="preserve">C. Simonin, </w:t>
      </w:r>
      <w:r w:rsidRPr="00954547">
        <w:rPr>
          <w:rFonts w:ascii="Verdana" w:hAnsi="Verdana"/>
          <w:i/>
          <w:sz w:val="16"/>
          <w:szCs w:val="16"/>
          <w:lang w:val="es-CR"/>
        </w:rPr>
        <w:t xml:space="preserve">Medicina Legal Judicial, </w:t>
      </w:r>
      <w:r w:rsidRPr="00954547">
        <w:rPr>
          <w:rFonts w:ascii="Verdana" w:hAnsi="Verdana"/>
          <w:sz w:val="16"/>
          <w:szCs w:val="16"/>
          <w:lang w:val="es-CR"/>
        </w:rPr>
        <w:t>Barcelona, 1973, p. 273,</w:t>
      </w:r>
    </w:p>
  </w:footnote>
  <w:footnote w:id="284">
    <w:p w14:paraId="766AA2B6" w14:textId="79D67DD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E76B1A" w:rsidRPr="00954547">
        <w:rPr>
          <w:rFonts w:ascii="Verdana" w:hAnsi="Verdana"/>
          <w:sz w:val="16"/>
          <w:szCs w:val="16"/>
        </w:rPr>
        <w:t>The Court</w:t>
      </w:r>
      <w:r w:rsidRPr="00954547">
        <w:rPr>
          <w:rFonts w:ascii="Verdana" w:hAnsi="Verdana"/>
          <w:sz w:val="16"/>
          <w:szCs w:val="16"/>
        </w:rPr>
        <w:t xml:space="preserve"> </w:t>
      </w:r>
      <w:r w:rsidR="00D40981" w:rsidRPr="00954547">
        <w:rPr>
          <w:rFonts w:ascii="Verdana" w:hAnsi="Verdana"/>
          <w:sz w:val="16"/>
          <w:szCs w:val="16"/>
        </w:rPr>
        <w:t xml:space="preserve">notes that comparative law does not have a standardized definition of infanticide. In the 1973 </w:t>
      </w:r>
      <w:r w:rsidR="001101C0" w:rsidRPr="00954547">
        <w:rPr>
          <w:rFonts w:ascii="Verdana" w:hAnsi="Verdana"/>
          <w:sz w:val="16"/>
          <w:szCs w:val="16"/>
        </w:rPr>
        <w:t>Criminal Code</w:t>
      </w:r>
      <w:r w:rsidR="009E6B43" w:rsidRPr="00954547">
        <w:rPr>
          <w:rFonts w:ascii="Verdana" w:hAnsi="Verdana"/>
          <w:sz w:val="16"/>
          <w:szCs w:val="16"/>
        </w:rPr>
        <w:t xml:space="preserve"> of El </w:t>
      </w:r>
      <w:r w:rsidRPr="00954547">
        <w:rPr>
          <w:rFonts w:ascii="Verdana" w:hAnsi="Verdana"/>
          <w:sz w:val="16"/>
          <w:szCs w:val="16"/>
        </w:rPr>
        <w:t>Salvador</w:t>
      </w:r>
      <w:r w:rsidR="00D40981" w:rsidRPr="00954547">
        <w:rPr>
          <w:rFonts w:ascii="Verdana" w:hAnsi="Verdana"/>
          <w:sz w:val="16"/>
          <w:szCs w:val="16"/>
        </w:rPr>
        <w:t>, infanticide is defined as</w:t>
      </w:r>
      <w:r w:rsidR="00F031D5" w:rsidRPr="00954547">
        <w:rPr>
          <w:rFonts w:ascii="Verdana" w:hAnsi="Verdana"/>
          <w:sz w:val="16"/>
          <w:szCs w:val="16"/>
        </w:rPr>
        <w:t xml:space="preserve"> an</w:t>
      </w:r>
      <w:r w:rsidR="00D40981" w:rsidRPr="00954547">
        <w:rPr>
          <w:rFonts w:ascii="Verdana" w:hAnsi="Verdana"/>
          <w:sz w:val="16"/>
          <w:szCs w:val="16"/>
        </w:rPr>
        <w:t xml:space="preserve"> </w:t>
      </w:r>
      <w:r w:rsidR="00F031D5" w:rsidRPr="00954547">
        <w:rPr>
          <w:rFonts w:ascii="Verdana" w:hAnsi="Verdana"/>
          <w:sz w:val="16"/>
          <w:szCs w:val="16"/>
        </w:rPr>
        <w:t>attenuated homicide committed by the mother against her child “during its birth or within the following seventy-two hours.” The Court underscores that the concept of infanticide referred to in this judgment should never be understood as including the</w:t>
      </w:r>
      <w:r w:rsidR="003D7E22" w:rsidRPr="00954547">
        <w:rPr>
          <w:rFonts w:ascii="Verdana" w:hAnsi="Verdana"/>
          <w:sz w:val="16"/>
          <w:szCs w:val="16"/>
        </w:rPr>
        <w:t xml:space="preserve"> murder</w:t>
      </w:r>
      <w:r w:rsidR="00F031D5" w:rsidRPr="00954547">
        <w:rPr>
          <w:rFonts w:ascii="Verdana" w:hAnsi="Verdana"/>
          <w:sz w:val="16"/>
          <w:szCs w:val="16"/>
        </w:rPr>
        <w:t xml:space="preserve"> of children or adolescents in circumstances other than those described in this case.</w:t>
      </w:r>
    </w:p>
  </w:footnote>
  <w:footnote w:id="285">
    <w:p w14:paraId="0D3E9B3F" w14:textId="1928574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4 </w:t>
      </w:r>
      <w:r w:rsidR="005E0FD1" w:rsidRPr="00954547">
        <w:rPr>
          <w:rFonts w:ascii="Verdana" w:hAnsi="Verdana"/>
          <w:sz w:val="16"/>
          <w:szCs w:val="16"/>
        </w:rPr>
        <w:t>of the Convention</w:t>
      </w:r>
      <w:r w:rsidRPr="00954547">
        <w:rPr>
          <w:rFonts w:ascii="Verdana" w:hAnsi="Verdana"/>
          <w:sz w:val="16"/>
          <w:szCs w:val="16"/>
        </w:rPr>
        <w:t>.</w:t>
      </w:r>
    </w:p>
  </w:footnote>
  <w:footnote w:id="286">
    <w:p w14:paraId="1814CC5F" w14:textId="50BB2D7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26 </w:t>
      </w:r>
      <w:r w:rsidR="005E0FD1" w:rsidRPr="00954547">
        <w:rPr>
          <w:rFonts w:ascii="Verdana" w:hAnsi="Verdana"/>
          <w:sz w:val="16"/>
          <w:szCs w:val="16"/>
        </w:rPr>
        <w:t>of the Convention</w:t>
      </w:r>
      <w:r w:rsidRPr="00954547">
        <w:rPr>
          <w:rFonts w:ascii="Verdana" w:hAnsi="Verdana"/>
          <w:sz w:val="16"/>
          <w:szCs w:val="16"/>
        </w:rPr>
        <w:t>.</w:t>
      </w:r>
    </w:p>
  </w:footnote>
  <w:footnote w:id="287">
    <w:p w14:paraId="70F122B0" w14:textId="2EB98E8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11 </w:t>
      </w:r>
      <w:r w:rsidR="005E0FD1" w:rsidRPr="00954547">
        <w:rPr>
          <w:rFonts w:ascii="Verdana" w:hAnsi="Verdana"/>
          <w:sz w:val="16"/>
          <w:szCs w:val="16"/>
        </w:rPr>
        <w:t>of the Convention</w:t>
      </w:r>
      <w:r w:rsidRPr="00954547">
        <w:rPr>
          <w:rFonts w:ascii="Verdana" w:hAnsi="Verdana"/>
          <w:sz w:val="16"/>
          <w:szCs w:val="16"/>
        </w:rPr>
        <w:t>.</w:t>
      </w:r>
    </w:p>
  </w:footnote>
  <w:footnote w:id="288">
    <w:p w14:paraId="330BB2CE" w14:textId="777EE4A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24 </w:t>
      </w:r>
      <w:r w:rsidR="005E0FD1" w:rsidRPr="00954547">
        <w:rPr>
          <w:rFonts w:ascii="Verdana" w:hAnsi="Verdana"/>
          <w:sz w:val="16"/>
          <w:szCs w:val="16"/>
        </w:rPr>
        <w:t>of the Convention</w:t>
      </w:r>
      <w:r w:rsidRPr="00954547">
        <w:rPr>
          <w:rFonts w:ascii="Verdana" w:hAnsi="Verdana"/>
          <w:sz w:val="16"/>
          <w:szCs w:val="16"/>
        </w:rPr>
        <w:t>.</w:t>
      </w:r>
    </w:p>
  </w:footnote>
  <w:footnote w:id="289">
    <w:p w14:paraId="604C1265" w14:textId="4FF3500A" w:rsidR="005F001B" w:rsidRPr="00954547" w:rsidRDefault="005F001B" w:rsidP="007619E6">
      <w:pPr>
        <w:pStyle w:val="FootnoteText"/>
        <w:tabs>
          <w:tab w:val="left" w:pos="567"/>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 xml:space="preserve">Article 1(1) </w:t>
      </w:r>
      <w:r w:rsidR="005E0FD1" w:rsidRPr="00954547">
        <w:rPr>
          <w:rFonts w:ascii="Verdana" w:hAnsi="Verdana"/>
          <w:sz w:val="16"/>
          <w:szCs w:val="16"/>
        </w:rPr>
        <w:t>of the Convention</w:t>
      </w:r>
      <w:r w:rsidRPr="00954547">
        <w:rPr>
          <w:rFonts w:ascii="Verdana" w:hAnsi="Verdana"/>
          <w:sz w:val="16"/>
          <w:szCs w:val="16"/>
        </w:rPr>
        <w:t>.</w:t>
      </w:r>
    </w:p>
  </w:footnote>
  <w:footnote w:id="290">
    <w:p w14:paraId="616AA1CD" w14:textId="2B5F9934" w:rsidR="005F001B" w:rsidRPr="00954547" w:rsidRDefault="005F001B" w:rsidP="007619E6">
      <w:pPr>
        <w:pStyle w:val="FootnoteText"/>
        <w:tabs>
          <w:tab w:val="left" w:pos="567"/>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2 </w:t>
      </w:r>
      <w:r w:rsidR="005E0FD1" w:rsidRPr="00954547">
        <w:rPr>
          <w:rFonts w:ascii="Verdana" w:hAnsi="Verdana"/>
          <w:sz w:val="16"/>
          <w:szCs w:val="16"/>
        </w:rPr>
        <w:t>of the Convention</w:t>
      </w:r>
      <w:r w:rsidRPr="00954547">
        <w:rPr>
          <w:rFonts w:ascii="Verdana" w:hAnsi="Verdana"/>
          <w:sz w:val="16"/>
          <w:szCs w:val="16"/>
        </w:rPr>
        <w:t>.</w:t>
      </w:r>
    </w:p>
  </w:footnote>
  <w:footnote w:id="291">
    <w:p w14:paraId="66139270" w14:textId="7F846C21" w:rsidR="005F001B" w:rsidRPr="00954547" w:rsidRDefault="005F001B" w:rsidP="007619E6">
      <w:pPr>
        <w:pStyle w:val="Textonotapie1"/>
        <w:tabs>
          <w:tab w:val="left" w:pos="567"/>
        </w:tabs>
        <w:spacing w:after="120"/>
        <w:jc w:val="both"/>
        <w:rPr>
          <w:rFonts w:ascii="Verdana" w:hAnsi="Verdana"/>
          <w:sz w:val="16"/>
          <w:szCs w:val="16"/>
        </w:rPr>
      </w:pPr>
      <w:r w:rsidRPr="00954547">
        <w:rPr>
          <w:rStyle w:val="FootnoteReference"/>
          <w:rFonts w:ascii="Verdana" w:eastAsia="Times" w:hAnsi="Verdana"/>
          <w:sz w:val="16"/>
          <w:szCs w:val="16"/>
          <w:lang w:eastAsia="x-none"/>
        </w:rPr>
        <w:footnoteRef/>
      </w:r>
      <w:r w:rsidRPr="00954547">
        <w:rPr>
          <w:rFonts w:ascii="Verdana" w:hAnsi="Verdana" w:cs="Verdana"/>
          <w:i/>
          <w:iCs/>
          <w:sz w:val="16"/>
          <w:szCs w:val="16"/>
        </w:rPr>
        <w:tab/>
      </w:r>
      <w:r w:rsidR="00B8393C" w:rsidRPr="00954547">
        <w:rPr>
          <w:rFonts w:ascii="Verdana" w:hAnsi="Verdana" w:cs="Verdana"/>
          <w:i/>
          <w:iCs/>
          <w:sz w:val="16"/>
          <w:szCs w:val="16"/>
        </w:rPr>
        <w:t>Cf.</w:t>
      </w:r>
      <w:r w:rsidRPr="00954547">
        <w:rPr>
          <w:rFonts w:ascii="Verdana" w:hAnsi="Verdana" w:cs="Verdana"/>
          <w:i/>
          <w:iCs/>
          <w:sz w:val="16"/>
          <w:szCs w:val="16"/>
        </w:rPr>
        <w:t xml:space="preserve"> </w:t>
      </w:r>
      <w:r w:rsidR="002F4617" w:rsidRPr="00954547">
        <w:rPr>
          <w:rFonts w:ascii="Verdana" w:hAnsi="Verdana" w:cs="Verdana"/>
          <w:i/>
          <w:iCs/>
          <w:sz w:val="16"/>
          <w:szCs w:val="16"/>
        </w:rPr>
        <w:t xml:space="preserve">Case </w:t>
      </w:r>
      <w:r w:rsidR="00225BB9" w:rsidRPr="00954547">
        <w:rPr>
          <w:rFonts w:ascii="Verdana" w:hAnsi="Verdana" w:cs="Verdana"/>
          <w:i/>
          <w:iCs/>
          <w:sz w:val="16"/>
          <w:szCs w:val="16"/>
        </w:rPr>
        <w:t>of the “Street Children” (Villagrán Morales et al.)</w:t>
      </w:r>
      <w:r w:rsidRPr="00954547">
        <w:rPr>
          <w:rFonts w:ascii="Verdana" w:hAnsi="Verdana" w:cs="Verdana"/>
          <w:i/>
          <w:iCs/>
          <w:sz w:val="16"/>
          <w:szCs w:val="16"/>
        </w:rPr>
        <w:t xml:space="preserve"> </w:t>
      </w:r>
      <w:r w:rsidR="009C16A1" w:rsidRPr="00954547">
        <w:rPr>
          <w:rFonts w:ascii="Verdana" w:hAnsi="Verdana" w:cs="Verdana"/>
          <w:i/>
          <w:iCs/>
          <w:sz w:val="16"/>
          <w:szCs w:val="16"/>
        </w:rPr>
        <w:t>v.</w:t>
      </w:r>
      <w:r w:rsidRPr="00954547">
        <w:rPr>
          <w:rFonts w:ascii="Verdana" w:hAnsi="Verdana" w:cs="Verdana"/>
          <w:i/>
          <w:iCs/>
          <w:sz w:val="16"/>
          <w:szCs w:val="16"/>
        </w:rPr>
        <w:t xml:space="preserve"> Guatemala, supra</w:t>
      </w:r>
      <w:r w:rsidRPr="00954547">
        <w:rPr>
          <w:rFonts w:ascii="Verdana" w:hAnsi="Verdana" w:cs="Verdana"/>
          <w:sz w:val="16"/>
          <w:szCs w:val="16"/>
        </w:rPr>
        <w:t xml:space="preserve">, </w:t>
      </w:r>
      <w:r w:rsidR="00B10E5A" w:rsidRPr="00954547">
        <w:rPr>
          <w:rFonts w:ascii="Verdana" w:hAnsi="Verdana" w:cs="Verdana"/>
          <w:sz w:val="16"/>
          <w:szCs w:val="16"/>
        </w:rPr>
        <w:t>para.</w:t>
      </w:r>
      <w:r w:rsidRPr="00954547">
        <w:rPr>
          <w:rFonts w:ascii="Verdana" w:hAnsi="Verdana" w:cs="Verdana"/>
          <w:sz w:val="16"/>
          <w:szCs w:val="16"/>
        </w:rPr>
        <w:t xml:space="preserve"> 144</w:t>
      </w:r>
      <w:r w:rsidRPr="00954547">
        <w:rPr>
          <w:rFonts w:ascii="Verdana" w:hAnsi="Verdana" w:cs="Verdana"/>
          <w:bCs/>
          <w:i/>
          <w:iCs/>
          <w:sz w:val="16"/>
          <w:szCs w:val="16"/>
        </w:rPr>
        <w:t>,</w:t>
      </w:r>
      <w:r w:rsidR="0078694F" w:rsidRPr="00954547">
        <w:rPr>
          <w:rFonts w:ascii="Verdana" w:hAnsi="Verdana" w:cs="Verdana"/>
          <w:bCs/>
          <w:iCs/>
          <w:sz w:val="16"/>
          <w:szCs w:val="16"/>
        </w:rPr>
        <w:t xml:space="preserve"> and </w:t>
      </w:r>
      <w:r w:rsidR="002F4617" w:rsidRPr="00954547">
        <w:rPr>
          <w:rFonts w:ascii="Verdana" w:hAnsi="Verdana" w:cs="Verdana"/>
          <w:bCs/>
          <w:i/>
          <w:iCs/>
          <w:sz w:val="16"/>
          <w:szCs w:val="16"/>
        </w:rPr>
        <w:t>Case of</w:t>
      </w:r>
      <w:r w:rsidRPr="00954547">
        <w:rPr>
          <w:rFonts w:ascii="Verdana" w:hAnsi="Verdana" w:cs="Verdana"/>
          <w:bCs/>
          <w:i/>
          <w:iCs/>
          <w:sz w:val="16"/>
          <w:szCs w:val="16"/>
        </w:rPr>
        <w:t xml:space="preserve"> Chinchilla Sandoval </w:t>
      </w:r>
      <w:r w:rsidR="00B8393C" w:rsidRPr="00954547">
        <w:rPr>
          <w:rFonts w:ascii="Verdana" w:hAnsi="Verdana" w:cs="Verdana"/>
          <w:bCs/>
          <w:i/>
          <w:iCs/>
          <w:sz w:val="16"/>
          <w:szCs w:val="16"/>
        </w:rPr>
        <w:t>et al. v.</w:t>
      </w:r>
      <w:r w:rsidRPr="00954547">
        <w:rPr>
          <w:rFonts w:ascii="Verdana" w:hAnsi="Verdana" w:cs="Verdana"/>
          <w:bCs/>
          <w:i/>
          <w:iCs/>
          <w:sz w:val="16"/>
          <w:szCs w:val="16"/>
        </w:rPr>
        <w:t xml:space="preserve"> Guatemala. </w:t>
      </w:r>
      <w:r w:rsidR="005315AC" w:rsidRPr="00954547">
        <w:rPr>
          <w:rFonts w:ascii="Verdana" w:hAnsi="Verdana" w:cs="Verdana"/>
          <w:bCs/>
          <w:i/>
          <w:iCs/>
          <w:sz w:val="16"/>
          <w:szCs w:val="16"/>
        </w:rPr>
        <w:t>Preliminary objection, merits,</w:t>
      </w:r>
      <w:r w:rsidR="00A70DC4" w:rsidRPr="00954547">
        <w:rPr>
          <w:rFonts w:ascii="Verdana" w:hAnsi="Verdana" w:cs="Verdana"/>
          <w:bCs/>
          <w:i/>
          <w:iCs/>
          <w:sz w:val="16"/>
          <w:szCs w:val="16"/>
        </w:rPr>
        <w:t xml:space="preserve"> reparations and costs</w:t>
      </w:r>
      <w:r w:rsidRPr="00954547">
        <w:rPr>
          <w:rFonts w:ascii="Verdana" w:hAnsi="Verdana" w:cs="Verdana"/>
          <w:bCs/>
          <w:i/>
          <w:iCs/>
          <w:sz w:val="16"/>
          <w:szCs w:val="16"/>
        </w:rPr>
        <w:t xml:space="preserve">. </w:t>
      </w:r>
      <w:r w:rsidR="00B8393C" w:rsidRPr="00954547">
        <w:rPr>
          <w:rFonts w:ascii="Verdana" w:hAnsi="Verdana" w:cs="Verdana"/>
          <w:bCs/>
          <w:iCs/>
          <w:sz w:val="16"/>
          <w:szCs w:val="16"/>
        </w:rPr>
        <w:t>Judgment of</w:t>
      </w:r>
      <w:r w:rsidRPr="00954547">
        <w:rPr>
          <w:rFonts w:ascii="Verdana" w:hAnsi="Verdana" w:cs="Verdana"/>
          <w:bCs/>
          <w:iCs/>
          <w:sz w:val="16"/>
          <w:szCs w:val="16"/>
        </w:rPr>
        <w:t xml:space="preserve"> </w:t>
      </w:r>
      <w:r w:rsidR="00A56980" w:rsidRPr="00954547">
        <w:rPr>
          <w:rFonts w:ascii="Verdana" w:hAnsi="Verdana" w:cs="Verdana"/>
          <w:bCs/>
          <w:iCs/>
          <w:sz w:val="16"/>
          <w:szCs w:val="16"/>
        </w:rPr>
        <w:t>February 29,</w:t>
      </w:r>
      <w:r w:rsidRPr="00954547">
        <w:rPr>
          <w:rFonts w:ascii="Verdana" w:hAnsi="Verdana" w:cs="Verdana"/>
          <w:bCs/>
          <w:iCs/>
          <w:sz w:val="16"/>
          <w:szCs w:val="16"/>
        </w:rPr>
        <w:t xml:space="preserve"> 2016. </w:t>
      </w:r>
      <w:r w:rsidR="00B8393C" w:rsidRPr="00954547">
        <w:rPr>
          <w:rFonts w:ascii="Verdana" w:hAnsi="Verdana" w:cs="Verdana"/>
          <w:bCs/>
          <w:iCs/>
          <w:sz w:val="16"/>
          <w:szCs w:val="16"/>
        </w:rPr>
        <w:t xml:space="preserve">Series </w:t>
      </w:r>
      <w:r w:rsidRPr="00954547">
        <w:rPr>
          <w:rFonts w:ascii="Verdana" w:hAnsi="Verdana" w:cs="Verdana"/>
          <w:bCs/>
          <w:iCs/>
          <w:sz w:val="16"/>
          <w:szCs w:val="16"/>
        </w:rPr>
        <w:t xml:space="preserve">C No. 312, </w:t>
      </w:r>
      <w:r w:rsidR="00B10E5A" w:rsidRPr="00954547">
        <w:rPr>
          <w:rFonts w:ascii="Verdana" w:hAnsi="Verdana" w:cs="Verdana"/>
          <w:bCs/>
          <w:iCs/>
          <w:sz w:val="16"/>
          <w:szCs w:val="16"/>
        </w:rPr>
        <w:t>para.</w:t>
      </w:r>
      <w:r w:rsidRPr="00954547">
        <w:rPr>
          <w:rFonts w:ascii="Verdana" w:hAnsi="Verdana" w:cs="Verdana"/>
          <w:bCs/>
          <w:iCs/>
          <w:sz w:val="16"/>
          <w:szCs w:val="16"/>
        </w:rPr>
        <w:t xml:space="preserve"> 166.</w:t>
      </w:r>
    </w:p>
  </w:footnote>
  <w:footnote w:id="292">
    <w:p w14:paraId="17E5CF5F" w14:textId="1305CADC" w:rsidR="005F001B" w:rsidRPr="00954547" w:rsidRDefault="005F001B" w:rsidP="007619E6">
      <w:pPr>
        <w:pStyle w:val="Textonotapie1"/>
        <w:tabs>
          <w:tab w:val="left" w:pos="567"/>
        </w:tabs>
        <w:spacing w:after="120"/>
        <w:jc w:val="both"/>
        <w:rPr>
          <w:rFonts w:ascii="Verdana" w:hAnsi="Verdana"/>
          <w:sz w:val="16"/>
          <w:szCs w:val="16"/>
        </w:rPr>
      </w:pPr>
      <w:r w:rsidRPr="00954547">
        <w:rPr>
          <w:rStyle w:val="FootnoteReference"/>
          <w:rFonts w:ascii="Verdana" w:eastAsia="Times" w:hAnsi="Verdana"/>
          <w:sz w:val="16"/>
          <w:szCs w:val="16"/>
          <w:lang w:eastAsia="x-none"/>
        </w:rPr>
        <w:footnoteRef/>
      </w:r>
      <w:r w:rsidRPr="00954547">
        <w:rPr>
          <w:rFonts w:ascii="Verdana" w:hAnsi="Verdana"/>
          <w:i/>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cs="Verdana"/>
          <w:i/>
          <w:iCs/>
          <w:sz w:val="16"/>
          <w:szCs w:val="16"/>
        </w:rPr>
        <w:t xml:space="preserve">Case </w:t>
      </w:r>
      <w:r w:rsidR="00225BB9" w:rsidRPr="00954547">
        <w:rPr>
          <w:rFonts w:ascii="Verdana" w:hAnsi="Verdana" w:cs="Verdana"/>
          <w:i/>
          <w:iCs/>
          <w:sz w:val="16"/>
          <w:szCs w:val="16"/>
        </w:rPr>
        <w:t>of the “Street Children” (Villagrán Morales et al.)</w:t>
      </w:r>
      <w:r w:rsidRPr="00954547">
        <w:rPr>
          <w:rFonts w:ascii="Verdana" w:hAnsi="Verdana" w:cs="Verdana"/>
          <w:i/>
          <w:iCs/>
          <w:sz w:val="16"/>
          <w:szCs w:val="16"/>
        </w:rPr>
        <w:t xml:space="preserve"> </w:t>
      </w:r>
      <w:r w:rsidR="009C16A1" w:rsidRPr="00954547">
        <w:rPr>
          <w:rFonts w:ascii="Verdana" w:hAnsi="Verdana" w:cs="Verdana"/>
          <w:i/>
          <w:iCs/>
          <w:sz w:val="16"/>
          <w:szCs w:val="16"/>
        </w:rPr>
        <w:t>v.</w:t>
      </w:r>
      <w:r w:rsidRPr="00954547">
        <w:rPr>
          <w:rFonts w:ascii="Verdana" w:hAnsi="Verdana" w:cs="Verdana"/>
          <w:i/>
          <w:iCs/>
          <w:sz w:val="16"/>
          <w:szCs w:val="16"/>
        </w:rPr>
        <w:t xml:space="preserve"> Guatemala, supra</w:t>
      </w:r>
      <w:r w:rsidRPr="00954547">
        <w:rPr>
          <w:rFonts w:ascii="Verdana" w:hAnsi="Verdana" w:cs="Verdana"/>
          <w:sz w:val="16"/>
          <w:szCs w:val="16"/>
        </w:rPr>
        <w:t xml:space="preserve">, </w:t>
      </w:r>
      <w:r w:rsidR="00B10E5A" w:rsidRPr="00954547">
        <w:rPr>
          <w:rFonts w:ascii="Verdana" w:hAnsi="Verdana" w:cs="Verdana"/>
          <w:sz w:val="16"/>
          <w:szCs w:val="16"/>
        </w:rPr>
        <w:t>para.</w:t>
      </w:r>
      <w:r w:rsidRPr="00954547">
        <w:rPr>
          <w:rFonts w:ascii="Verdana" w:hAnsi="Verdana" w:cs="Verdana"/>
          <w:sz w:val="16"/>
          <w:szCs w:val="16"/>
        </w:rPr>
        <w:t xml:space="preserve"> </w:t>
      </w:r>
      <w:r w:rsidRPr="00954547">
        <w:rPr>
          <w:rFonts w:ascii="Verdana" w:eastAsia="MS Mincho" w:hAnsi="Verdana" w:cs="Verdana"/>
          <w:sz w:val="16"/>
          <w:szCs w:val="16"/>
          <w:lang w:eastAsia="en-US"/>
        </w:rPr>
        <w:t>144,</w:t>
      </w:r>
      <w:r w:rsidR="0078694F" w:rsidRPr="00954547">
        <w:rPr>
          <w:rFonts w:ascii="Verdana" w:hAnsi="Verdana" w:cs="Verdana"/>
          <w:bCs/>
          <w:iCs/>
          <w:sz w:val="16"/>
          <w:szCs w:val="16"/>
        </w:rPr>
        <w:t xml:space="preserve"> and </w:t>
      </w:r>
      <w:r w:rsidR="002F4617" w:rsidRPr="00954547">
        <w:rPr>
          <w:rFonts w:ascii="Verdana" w:hAnsi="Verdana" w:cs="Verdana"/>
          <w:bCs/>
          <w:i/>
          <w:iCs/>
          <w:sz w:val="16"/>
          <w:szCs w:val="16"/>
        </w:rPr>
        <w:t>Case of</w:t>
      </w:r>
      <w:r w:rsidRPr="00954547">
        <w:rPr>
          <w:rFonts w:ascii="Verdana" w:hAnsi="Verdana" w:cs="Verdana"/>
          <w:bCs/>
          <w:i/>
          <w:iCs/>
          <w:sz w:val="16"/>
          <w:szCs w:val="16"/>
        </w:rPr>
        <w:t xml:space="preserve"> Chinchilla Sandoval </w:t>
      </w:r>
      <w:r w:rsidR="00B8393C" w:rsidRPr="00954547">
        <w:rPr>
          <w:rFonts w:ascii="Verdana" w:hAnsi="Verdana" w:cs="Verdana"/>
          <w:bCs/>
          <w:i/>
          <w:iCs/>
          <w:sz w:val="16"/>
          <w:szCs w:val="16"/>
        </w:rPr>
        <w:t>et al. v.</w:t>
      </w:r>
      <w:r w:rsidRPr="00954547">
        <w:rPr>
          <w:rFonts w:ascii="Verdana" w:hAnsi="Verdana" w:cs="Verdana"/>
          <w:bCs/>
          <w:i/>
          <w:iCs/>
          <w:sz w:val="16"/>
          <w:szCs w:val="16"/>
        </w:rPr>
        <w:t xml:space="preserve"> Guatemala, supra</w:t>
      </w:r>
      <w:r w:rsidRPr="00954547">
        <w:rPr>
          <w:rFonts w:ascii="Verdana" w:hAnsi="Verdana" w:cs="Verdana"/>
          <w:bCs/>
          <w:iCs/>
          <w:sz w:val="16"/>
          <w:szCs w:val="16"/>
        </w:rPr>
        <w:t xml:space="preserve">, </w:t>
      </w:r>
      <w:r w:rsidR="00B10E5A" w:rsidRPr="00954547">
        <w:rPr>
          <w:rFonts w:ascii="Verdana" w:hAnsi="Verdana" w:cs="Verdana"/>
          <w:bCs/>
          <w:iCs/>
          <w:sz w:val="16"/>
          <w:szCs w:val="16"/>
        </w:rPr>
        <w:t>para.</w:t>
      </w:r>
      <w:r w:rsidRPr="00954547">
        <w:rPr>
          <w:rFonts w:ascii="Verdana" w:hAnsi="Verdana" w:cs="Verdana"/>
          <w:bCs/>
          <w:iCs/>
          <w:sz w:val="16"/>
          <w:szCs w:val="16"/>
        </w:rPr>
        <w:t xml:space="preserve"> 166.</w:t>
      </w:r>
    </w:p>
  </w:footnote>
  <w:footnote w:id="293">
    <w:p w14:paraId="4CCA8D28" w14:textId="27EE0FA7" w:rsidR="005F001B" w:rsidRPr="00954547" w:rsidRDefault="005F001B" w:rsidP="007619E6">
      <w:pPr>
        <w:pStyle w:val="Textonotapie1"/>
        <w:tabs>
          <w:tab w:val="left" w:pos="567"/>
        </w:tabs>
        <w:spacing w:after="120"/>
        <w:jc w:val="both"/>
        <w:rPr>
          <w:rFonts w:ascii="Verdana" w:hAnsi="Verdana"/>
          <w:sz w:val="16"/>
          <w:szCs w:val="16"/>
        </w:rPr>
      </w:pPr>
      <w:r w:rsidRPr="00954547">
        <w:rPr>
          <w:rStyle w:val="FootnoteReference"/>
          <w:rFonts w:ascii="Verdana" w:eastAsia="Times" w:hAnsi="Verdana"/>
          <w:sz w:val="16"/>
          <w:szCs w:val="16"/>
          <w:lang w:eastAsia="x-none"/>
        </w:rPr>
        <w:footnoteRef/>
      </w:r>
      <w:r w:rsidRPr="00954547">
        <w:rPr>
          <w:rFonts w:ascii="Verdana" w:hAnsi="Verdana" w:cs="Verdana"/>
          <w:bCs/>
          <w:iCs/>
          <w:sz w:val="16"/>
          <w:szCs w:val="16"/>
        </w:rPr>
        <w:tab/>
      </w:r>
      <w:r w:rsidR="00A17F8C" w:rsidRPr="00954547">
        <w:rPr>
          <w:rFonts w:ascii="Verdana" w:hAnsi="Verdana" w:cs="Verdana"/>
          <w:bCs/>
          <w:iCs/>
          <w:sz w:val="16"/>
          <w:szCs w:val="16"/>
        </w:rPr>
        <w:t>Article</w:t>
      </w:r>
      <w:r w:rsidRPr="00954547">
        <w:rPr>
          <w:rFonts w:ascii="Verdana" w:hAnsi="Verdana" w:cs="Tahoma"/>
          <w:bCs/>
          <w:iCs/>
          <w:sz w:val="16"/>
          <w:szCs w:val="16"/>
        </w:rPr>
        <w:t>s 5</w:t>
      </w:r>
      <w:r w:rsidR="0078694F" w:rsidRPr="00954547">
        <w:rPr>
          <w:rFonts w:ascii="Verdana" w:hAnsi="Verdana" w:cs="Tahoma"/>
          <w:bCs/>
          <w:iCs/>
          <w:sz w:val="16"/>
          <w:szCs w:val="16"/>
        </w:rPr>
        <w:t xml:space="preserve"> and </w:t>
      </w:r>
      <w:r w:rsidRPr="00954547">
        <w:rPr>
          <w:rFonts w:ascii="Verdana" w:hAnsi="Verdana" w:cs="Tahoma"/>
          <w:bCs/>
          <w:iCs/>
          <w:sz w:val="16"/>
          <w:szCs w:val="16"/>
        </w:rPr>
        <w:t>27</w:t>
      </w:r>
      <w:r w:rsidR="005E0FD1" w:rsidRPr="00954547">
        <w:rPr>
          <w:rFonts w:ascii="Verdana" w:hAnsi="Verdana" w:cs="Tahoma"/>
          <w:bCs/>
          <w:iCs/>
          <w:sz w:val="16"/>
          <w:szCs w:val="16"/>
        </w:rPr>
        <w:t xml:space="preserve"> of the American Convention</w:t>
      </w:r>
      <w:r w:rsidRPr="00954547">
        <w:rPr>
          <w:rFonts w:ascii="Verdana" w:hAnsi="Verdana" w:cs="Tahoma"/>
          <w:bCs/>
          <w:iCs/>
          <w:sz w:val="16"/>
          <w:szCs w:val="16"/>
        </w:rPr>
        <w:t>.</w:t>
      </w:r>
      <w:r w:rsidR="003E1CDB" w:rsidRPr="00954547">
        <w:rPr>
          <w:rFonts w:ascii="Verdana" w:hAnsi="Verdana" w:cs="Tahoma"/>
          <w:bCs/>
          <w:iCs/>
          <w:sz w:val="16"/>
          <w:szCs w:val="16"/>
        </w:rPr>
        <w:t xml:space="preserve"> See also,</w:t>
      </w:r>
      <w:r w:rsidRPr="00954547">
        <w:rPr>
          <w:rFonts w:ascii="Verdana" w:hAnsi="Verdana" w:cs="Tahoma"/>
          <w:bCs/>
          <w:iCs/>
          <w:sz w:val="16"/>
          <w:szCs w:val="16"/>
        </w:rPr>
        <w:t xml:space="preserve"> </w:t>
      </w:r>
      <w:r w:rsidR="002F4617" w:rsidRPr="00954547">
        <w:rPr>
          <w:rFonts w:ascii="Verdana" w:hAnsi="Verdana" w:cs="Verdana"/>
          <w:i/>
          <w:sz w:val="16"/>
          <w:szCs w:val="16"/>
        </w:rPr>
        <w:t>Case of</w:t>
      </w:r>
      <w:r w:rsidR="003E1CDB" w:rsidRPr="00954547">
        <w:rPr>
          <w:rFonts w:ascii="Verdana" w:hAnsi="Verdana" w:cs="Verdana"/>
          <w:i/>
          <w:sz w:val="16"/>
          <w:szCs w:val="16"/>
        </w:rPr>
        <w:t xml:space="preserve"> the</w:t>
      </w:r>
      <w:r w:rsidRPr="00954547">
        <w:rPr>
          <w:rFonts w:ascii="Verdana" w:hAnsi="Verdana" w:cs="Verdana"/>
          <w:i/>
          <w:sz w:val="16"/>
          <w:szCs w:val="16"/>
        </w:rPr>
        <w:t xml:space="preserve"> “</w:t>
      </w:r>
      <w:r w:rsidR="004C640C" w:rsidRPr="00954547">
        <w:rPr>
          <w:rFonts w:ascii="Verdana" w:hAnsi="Verdana" w:cs="Verdana"/>
          <w:i/>
          <w:sz w:val="16"/>
          <w:szCs w:val="16"/>
        </w:rPr>
        <w:t>Juvenile Re-education Institute</w:t>
      </w:r>
      <w:r w:rsidRPr="00954547">
        <w:rPr>
          <w:rFonts w:ascii="Verdana" w:hAnsi="Verdana" w:cs="Verdana"/>
          <w:i/>
          <w:sz w:val="16"/>
          <w:szCs w:val="16"/>
        </w:rPr>
        <w:t xml:space="preserve"> </w:t>
      </w:r>
      <w:r w:rsidR="009C16A1" w:rsidRPr="00954547">
        <w:rPr>
          <w:rFonts w:ascii="Verdana" w:hAnsi="Verdana" w:cs="Verdana"/>
          <w:i/>
          <w:sz w:val="16"/>
          <w:szCs w:val="16"/>
        </w:rPr>
        <w:t>v.</w:t>
      </w:r>
      <w:r w:rsidRPr="00954547">
        <w:rPr>
          <w:rFonts w:ascii="Verdana" w:hAnsi="Verdana" w:cs="Verdana"/>
          <w:i/>
          <w:sz w:val="16"/>
          <w:szCs w:val="16"/>
        </w:rPr>
        <w:t xml:space="preserve"> Paraguay, supra</w:t>
      </w:r>
      <w:r w:rsidRPr="00954547">
        <w:rPr>
          <w:rFonts w:ascii="Verdana" w:hAnsi="Verdana" w:cs="Verdana"/>
          <w:bCs/>
          <w:iCs/>
          <w:sz w:val="16"/>
          <w:szCs w:val="16"/>
        </w:rPr>
        <w:t xml:space="preserve">, </w:t>
      </w:r>
      <w:r w:rsidR="00B10E5A" w:rsidRPr="00954547">
        <w:rPr>
          <w:rFonts w:ascii="Verdana" w:hAnsi="Verdana" w:cs="Verdana"/>
          <w:bCs/>
          <w:iCs/>
          <w:sz w:val="16"/>
          <w:szCs w:val="16"/>
        </w:rPr>
        <w:t>para.</w:t>
      </w:r>
      <w:r w:rsidRPr="00954547">
        <w:rPr>
          <w:rFonts w:ascii="Verdana" w:hAnsi="Verdana" w:cs="Verdana"/>
          <w:bCs/>
          <w:iCs/>
          <w:sz w:val="16"/>
          <w:szCs w:val="16"/>
        </w:rPr>
        <w:t xml:space="preserve"> 157,</w:t>
      </w:r>
      <w:r w:rsidR="0078694F" w:rsidRPr="00954547">
        <w:rPr>
          <w:rFonts w:ascii="Verdana" w:hAnsi="Verdana" w:cs="Verdana"/>
          <w:bCs/>
          <w:iCs/>
          <w:sz w:val="16"/>
          <w:szCs w:val="16"/>
        </w:rPr>
        <w:t xml:space="preserve"> and </w:t>
      </w:r>
      <w:r w:rsidR="002F4617" w:rsidRPr="00954547">
        <w:rPr>
          <w:rFonts w:ascii="Verdana" w:hAnsi="Verdana" w:cs="Verdana"/>
          <w:bCs/>
          <w:i/>
          <w:iCs/>
          <w:sz w:val="16"/>
          <w:szCs w:val="16"/>
        </w:rPr>
        <w:t>Case of</w:t>
      </w:r>
      <w:r w:rsidRPr="00954547">
        <w:rPr>
          <w:rFonts w:ascii="Verdana" w:hAnsi="Verdana" w:cs="Verdana"/>
          <w:bCs/>
          <w:i/>
          <w:iCs/>
          <w:sz w:val="16"/>
          <w:szCs w:val="16"/>
        </w:rPr>
        <w:t xml:space="preserve"> Hernández </w:t>
      </w:r>
      <w:r w:rsidR="009C16A1" w:rsidRPr="00954547">
        <w:rPr>
          <w:rFonts w:ascii="Verdana" w:hAnsi="Verdana" w:cs="Verdana"/>
          <w:bCs/>
          <w:i/>
          <w:iCs/>
          <w:sz w:val="16"/>
          <w:szCs w:val="16"/>
        </w:rPr>
        <w:t>v.</w:t>
      </w:r>
      <w:r w:rsidRPr="00954547">
        <w:rPr>
          <w:rFonts w:ascii="Verdana" w:hAnsi="Verdana" w:cs="Verdana"/>
          <w:bCs/>
          <w:i/>
          <w:iCs/>
          <w:sz w:val="16"/>
          <w:szCs w:val="16"/>
        </w:rPr>
        <w:t xml:space="preserve"> Argentina. </w:t>
      </w:r>
      <w:r w:rsidR="005315AC" w:rsidRPr="00954547">
        <w:rPr>
          <w:rFonts w:ascii="Verdana" w:hAnsi="Verdana" w:cs="Verdana"/>
          <w:bCs/>
          <w:i/>
          <w:iCs/>
          <w:sz w:val="16"/>
          <w:szCs w:val="16"/>
        </w:rPr>
        <w:t>Preliminary objection, merits,</w:t>
      </w:r>
      <w:r w:rsidR="00A70DC4" w:rsidRPr="00954547">
        <w:rPr>
          <w:rFonts w:ascii="Verdana" w:hAnsi="Verdana" w:cs="Verdana"/>
          <w:bCs/>
          <w:i/>
          <w:iCs/>
          <w:sz w:val="16"/>
          <w:szCs w:val="16"/>
        </w:rPr>
        <w:t xml:space="preserve"> reparations and costs</w:t>
      </w:r>
      <w:r w:rsidRPr="00954547">
        <w:rPr>
          <w:rFonts w:ascii="Verdana" w:hAnsi="Verdana" w:cs="Verdana"/>
          <w:bCs/>
          <w:i/>
          <w:iCs/>
          <w:sz w:val="16"/>
          <w:szCs w:val="16"/>
        </w:rPr>
        <w:t>.</w:t>
      </w:r>
      <w:r w:rsidRPr="00954547">
        <w:rPr>
          <w:rFonts w:ascii="Verdana" w:hAnsi="Verdana" w:cs="Verdana"/>
          <w:bCs/>
          <w:iCs/>
          <w:sz w:val="16"/>
          <w:szCs w:val="16"/>
        </w:rPr>
        <w:t xml:space="preserve"> </w:t>
      </w:r>
      <w:r w:rsidR="00B8393C" w:rsidRPr="00954547">
        <w:rPr>
          <w:rFonts w:ascii="Verdana" w:hAnsi="Verdana" w:cs="Verdana"/>
          <w:bCs/>
          <w:iCs/>
          <w:sz w:val="16"/>
          <w:szCs w:val="16"/>
        </w:rPr>
        <w:t>Judgment of</w:t>
      </w:r>
      <w:r w:rsidRPr="00954547">
        <w:rPr>
          <w:rFonts w:ascii="Verdana" w:hAnsi="Verdana" w:cs="Verdana"/>
          <w:bCs/>
          <w:iCs/>
          <w:sz w:val="16"/>
          <w:szCs w:val="16"/>
        </w:rPr>
        <w:t xml:space="preserve"> </w:t>
      </w:r>
      <w:r w:rsidR="00BF0AF9" w:rsidRPr="00954547">
        <w:rPr>
          <w:rFonts w:ascii="Verdana" w:hAnsi="Verdana" w:cs="Verdana"/>
          <w:bCs/>
          <w:iCs/>
          <w:sz w:val="16"/>
          <w:szCs w:val="16"/>
        </w:rPr>
        <w:t>November 22,</w:t>
      </w:r>
      <w:r w:rsidRPr="00954547">
        <w:rPr>
          <w:rFonts w:ascii="Verdana" w:hAnsi="Verdana" w:cs="Verdana"/>
          <w:bCs/>
          <w:iCs/>
          <w:sz w:val="16"/>
          <w:szCs w:val="16"/>
        </w:rPr>
        <w:t xml:space="preserve"> 2019. </w:t>
      </w:r>
      <w:r w:rsidR="00B8393C" w:rsidRPr="00954547">
        <w:rPr>
          <w:rFonts w:ascii="Verdana" w:hAnsi="Verdana" w:cs="Verdana"/>
          <w:bCs/>
          <w:iCs/>
          <w:sz w:val="16"/>
          <w:szCs w:val="16"/>
        </w:rPr>
        <w:t xml:space="preserve">Series </w:t>
      </w:r>
      <w:r w:rsidRPr="00954547">
        <w:rPr>
          <w:rFonts w:ascii="Verdana" w:hAnsi="Verdana" w:cs="Verdana"/>
          <w:bCs/>
          <w:iCs/>
          <w:sz w:val="16"/>
          <w:szCs w:val="16"/>
        </w:rPr>
        <w:t xml:space="preserve">C No. 395, </w:t>
      </w:r>
      <w:r w:rsidR="00B10E5A" w:rsidRPr="00954547">
        <w:rPr>
          <w:rFonts w:ascii="Verdana" w:hAnsi="Verdana" w:cs="Verdana"/>
          <w:bCs/>
          <w:iCs/>
          <w:sz w:val="16"/>
          <w:szCs w:val="16"/>
        </w:rPr>
        <w:t>para.</w:t>
      </w:r>
      <w:r w:rsidRPr="00954547">
        <w:rPr>
          <w:rFonts w:ascii="Verdana" w:hAnsi="Verdana" w:cs="Verdana"/>
          <w:bCs/>
          <w:iCs/>
          <w:sz w:val="16"/>
          <w:szCs w:val="16"/>
        </w:rPr>
        <w:t xml:space="preserve"> 55.</w:t>
      </w:r>
      <w:r w:rsidRPr="00954547">
        <w:rPr>
          <w:rFonts w:ascii="Verdana" w:hAnsi="Verdana" w:cs="Verdana"/>
          <w:bCs/>
          <w:i/>
          <w:iCs/>
          <w:sz w:val="16"/>
          <w:szCs w:val="16"/>
        </w:rPr>
        <w:t xml:space="preserve"> </w:t>
      </w:r>
    </w:p>
  </w:footnote>
  <w:footnote w:id="294">
    <w:p w14:paraId="31EAC6E1" w14:textId="54A36E33" w:rsidR="005F001B" w:rsidRPr="00954547" w:rsidRDefault="005F001B" w:rsidP="004308E9">
      <w:pPr>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4308E9" w:rsidRPr="00954547">
        <w:rPr>
          <w:rFonts w:ascii="Verdana" w:hAnsi="Verdana"/>
          <w:sz w:val="16"/>
          <w:szCs w:val="16"/>
        </w:rPr>
        <w:t>Article 34(i) of the OAS Charter establishes: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 (i) Protection of man's potential through the extension and application of modern medical science; […] (l) ) Urban conditions that offer the opportunity for a healthful, productive, and full life.</w:t>
      </w:r>
    </w:p>
  </w:footnote>
  <w:footnote w:id="295">
    <w:p w14:paraId="16DC8546" w14:textId="36C2761D" w:rsidR="005F001B" w:rsidRPr="00954547" w:rsidRDefault="005F001B" w:rsidP="004308E9">
      <w:pPr>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4308E9" w:rsidRPr="00954547">
        <w:rPr>
          <w:rFonts w:ascii="Verdana" w:hAnsi="Verdana"/>
          <w:sz w:val="16"/>
          <w:szCs w:val="16"/>
        </w:rPr>
        <w:t>Article 45(h) of the OAS Charter establishes: “[t]he Member States, convinced that man can only achieve the full realization of his aspirations within a just social order, along with economic development and true peace, agree to dedicate every effort to the application of the following principles and mechanisms: […] (h) Development of an efficient social security policy.”</w:t>
      </w:r>
    </w:p>
  </w:footnote>
  <w:footnote w:id="296">
    <w:p w14:paraId="24F1989C" w14:textId="5570C09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Poblete Vilches </w:t>
      </w:r>
      <w:r w:rsidR="00B8393C" w:rsidRPr="00954547">
        <w:rPr>
          <w:rFonts w:ascii="Verdana" w:hAnsi="Verdana"/>
          <w:i/>
          <w:sz w:val="16"/>
          <w:szCs w:val="16"/>
        </w:rPr>
        <w:t>et al. v.</w:t>
      </w:r>
      <w:r w:rsidRPr="00954547">
        <w:rPr>
          <w:rFonts w:ascii="Verdana" w:hAnsi="Verdana"/>
          <w:i/>
          <w:sz w:val="16"/>
          <w:szCs w:val="16"/>
        </w:rPr>
        <w:t xml:space="preserve"> Chile.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110D3" w:rsidRPr="00954547">
        <w:rPr>
          <w:rFonts w:ascii="Verdana" w:hAnsi="Verdana"/>
          <w:sz w:val="16"/>
          <w:szCs w:val="16"/>
        </w:rPr>
        <w:t>March 8,</w:t>
      </w:r>
      <w:r w:rsidRPr="00954547">
        <w:rPr>
          <w:rFonts w:ascii="Verdana" w:hAnsi="Verdana"/>
          <w:sz w:val="16"/>
          <w:szCs w:val="16"/>
        </w:rPr>
        <w:t xml:space="preserve"> 2018. </w:t>
      </w:r>
      <w:r w:rsidR="00B8393C" w:rsidRPr="00954547">
        <w:rPr>
          <w:rFonts w:ascii="Verdana" w:hAnsi="Verdana"/>
          <w:sz w:val="16"/>
          <w:szCs w:val="16"/>
        </w:rPr>
        <w:t xml:space="preserve">Series </w:t>
      </w:r>
      <w:r w:rsidRPr="00954547">
        <w:rPr>
          <w:rFonts w:ascii="Verdana" w:hAnsi="Verdana"/>
          <w:sz w:val="16"/>
          <w:szCs w:val="16"/>
        </w:rPr>
        <w:t xml:space="preserve">C No. 349, </w:t>
      </w:r>
      <w:r w:rsidR="00B10E5A" w:rsidRPr="00954547">
        <w:rPr>
          <w:rFonts w:ascii="Verdana" w:hAnsi="Verdana"/>
          <w:sz w:val="16"/>
          <w:szCs w:val="16"/>
        </w:rPr>
        <w:t>para</w:t>
      </w:r>
      <w:r w:rsidR="0067513A" w:rsidRPr="00954547">
        <w:rPr>
          <w:rFonts w:ascii="Verdana" w:hAnsi="Verdana"/>
          <w:sz w:val="16"/>
          <w:szCs w:val="16"/>
        </w:rPr>
        <w:t>s</w:t>
      </w:r>
      <w:r w:rsidR="00B10E5A" w:rsidRPr="00954547">
        <w:rPr>
          <w:rFonts w:ascii="Verdana" w:hAnsi="Verdana"/>
          <w:sz w:val="16"/>
          <w:szCs w:val="16"/>
        </w:rPr>
        <w:t>.</w:t>
      </w:r>
      <w:r w:rsidRPr="00954547">
        <w:rPr>
          <w:rFonts w:ascii="Verdana" w:hAnsi="Verdana"/>
          <w:sz w:val="16"/>
          <w:szCs w:val="16"/>
        </w:rPr>
        <w:t xml:space="preserve"> 106</w:t>
      </w:r>
      <w:r w:rsidR="0078694F" w:rsidRPr="00954547">
        <w:rPr>
          <w:rFonts w:ascii="Verdana" w:hAnsi="Verdana"/>
          <w:sz w:val="16"/>
          <w:szCs w:val="16"/>
        </w:rPr>
        <w:t xml:space="preserve"> and </w:t>
      </w:r>
      <w:r w:rsidRPr="00954547">
        <w:rPr>
          <w:rFonts w:ascii="Verdana" w:hAnsi="Verdana"/>
          <w:sz w:val="16"/>
          <w:szCs w:val="16"/>
        </w:rPr>
        <w:t>110,</w:t>
      </w:r>
      <w:r w:rsidR="0078694F" w:rsidRPr="00954547">
        <w:rPr>
          <w:rFonts w:ascii="Verdana" w:hAnsi="Verdana"/>
          <w:sz w:val="16"/>
          <w:szCs w:val="16"/>
        </w:rPr>
        <w:t xml:space="preserve"> and </w:t>
      </w:r>
      <w:r w:rsidR="002F4617" w:rsidRPr="00954547">
        <w:rPr>
          <w:rFonts w:ascii="Verdana" w:hAnsi="Verdana"/>
          <w:i/>
          <w:sz w:val="16"/>
          <w:szCs w:val="16"/>
        </w:rPr>
        <w:t xml:space="preserve">Case </w:t>
      </w:r>
      <w:r w:rsidR="00F044BF" w:rsidRPr="00954547">
        <w:rPr>
          <w:rFonts w:ascii="Verdana" w:hAnsi="Verdana"/>
          <w:i/>
          <w:sz w:val="16"/>
          <w:szCs w:val="16"/>
        </w:rPr>
        <w:t>of the Miskito Divers</w:t>
      </w:r>
      <w:r w:rsidRPr="00954547">
        <w:rPr>
          <w:rFonts w:ascii="Verdana" w:hAnsi="Verdana"/>
          <w:i/>
          <w:sz w:val="16"/>
          <w:szCs w:val="16"/>
        </w:rPr>
        <w:t xml:space="preserve"> (Lemoth Morris</w:t>
      </w:r>
      <w:r w:rsidR="0078694F" w:rsidRPr="00954547">
        <w:rPr>
          <w:rFonts w:ascii="Verdana" w:hAnsi="Verdana"/>
          <w:i/>
          <w:sz w:val="16"/>
          <w:szCs w:val="16"/>
        </w:rPr>
        <w:t xml:space="preserve"> </w:t>
      </w:r>
      <w:r w:rsidR="0067513A"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Honduras.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August 31,</w:t>
      </w:r>
      <w:r w:rsidRPr="00954547">
        <w:rPr>
          <w:rFonts w:ascii="Verdana" w:hAnsi="Verdana"/>
          <w:sz w:val="16"/>
          <w:szCs w:val="16"/>
        </w:rPr>
        <w:t xml:space="preserve"> 2021. </w:t>
      </w:r>
      <w:r w:rsidR="00B8393C" w:rsidRPr="00954547">
        <w:rPr>
          <w:rFonts w:ascii="Verdana" w:hAnsi="Verdana"/>
          <w:sz w:val="16"/>
          <w:szCs w:val="16"/>
        </w:rPr>
        <w:t xml:space="preserve">Series </w:t>
      </w:r>
      <w:r w:rsidRPr="00954547">
        <w:rPr>
          <w:rFonts w:ascii="Verdana" w:hAnsi="Verdana"/>
          <w:sz w:val="16"/>
          <w:szCs w:val="16"/>
        </w:rPr>
        <w:t xml:space="preserve">C No. 432, </w:t>
      </w:r>
      <w:r w:rsidR="00B10E5A" w:rsidRPr="00954547">
        <w:rPr>
          <w:rFonts w:ascii="Verdana" w:hAnsi="Verdana"/>
          <w:sz w:val="16"/>
          <w:szCs w:val="16"/>
        </w:rPr>
        <w:t>para.</w:t>
      </w:r>
      <w:r w:rsidRPr="00954547">
        <w:rPr>
          <w:rFonts w:ascii="Verdana" w:hAnsi="Verdana"/>
          <w:sz w:val="16"/>
          <w:szCs w:val="16"/>
        </w:rPr>
        <w:t xml:space="preserve"> 80. </w:t>
      </w:r>
    </w:p>
  </w:footnote>
  <w:footnote w:id="297">
    <w:p w14:paraId="7547060B" w14:textId="47E411B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67513A" w:rsidRPr="00954547">
        <w:rPr>
          <w:rFonts w:ascii="Verdana" w:hAnsi="Verdana"/>
          <w:sz w:val="16"/>
          <w:szCs w:val="16"/>
        </w:rPr>
        <w:t>These include</w:t>
      </w:r>
      <w:r w:rsidRPr="00954547">
        <w:rPr>
          <w:rFonts w:ascii="Verdana" w:hAnsi="Verdana"/>
          <w:sz w:val="16"/>
          <w:szCs w:val="16"/>
        </w:rPr>
        <w:t xml:space="preserve">: Argentina, Barbados, Bolivia, </w:t>
      </w:r>
      <w:r w:rsidR="000B21CE" w:rsidRPr="00954547">
        <w:rPr>
          <w:rFonts w:ascii="Verdana" w:hAnsi="Verdana"/>
          <w:sz w:val="16"/>
          <w:szCs w:val="16"/>
        </w:rPr>
        <w:t>Brazil</w:t>
      </w:r>
      <w:r w:rsidRPr="00954547">
        <w:rPr>
          <w:rFonts w:ascii="Verdana" w:hAnsi="Verdana"/>
          <w:sz w:val="16"/>
          <w:szCs w:val="16"/>
        </w:rPr>
        <w:t xml:space="preserve">, Colombia, Costa Rica, Chile, </w:t>
      </w:r>
      <w:r w:rsidR="0067513A" w:rsidRPr="00954547">
        <w:rPr>
          <w:rFonts w:ascii="Verdana" w:hAnsi="Verdana"/>
          <w:sz w:val="16"/>
          <w:szCs w:val="16"/>
        </w:rPr>
        <w:t xml:space="preserve">Dominican Republic, </w:t>
      </w:r>
      <w:r w:rsidRPr="00954547">
        <w:rPr>
          <w:rFonts w:ascii="Verdana" w:hAnsi="Verdana"/>
          <w:sz w:val="16"/>
          <w:szCs w:val="16"/>
        </w:rPr>
        <w:t>Ecuador, El Salvador, Guatemala, Hait</w:t>
      </w:r>
      <w:r w:rsidR="0067513A" w:rsidRPr="00954547">
        <w:rPr>
          <w:rFonts w:ascii="Verdana" w:hAnsi="Verdana"/>
          <w:sz w:val="16"/>
          <w:szCs w:val="16"/>
        </w:rPr>
        <w:t>i</w:t>
      </w:r>
      <w:r w:rsidRPr="00954547">
        <w:rPr>
          <w:rFonts w:ascii="Verdana" w:hAnsi="Verdana"/>
          <w:sz w:val="16"/>
          <w:szCs w:val="16"/>
        </w:rPr>
        <w:t xml:space="preserve">, </w:t>
      </w:r>
      <w:r w:rsidR="000A2350" w:rsidRPr="00954547">
        <w:rPr>
          <w:rFonts w:ascii="Verdana" w:hAnsi="Verdana"/>
          <w:sz w:val="16"/>
          <w:szCs w:val="16"/>
        </w:rPr>
        <w:t>Mexico</w:t>
      </w:r>
      <w:r w:rsidRPr="00954547">
        <w:rPr>
          <w:rFonts w:ascii="Verdana" w:hAnsi="Verdana"/>
          <w:sz w:val="16"/>
          <w:szCs w:val="16"/>
        </w:rPr>
        <w:t>, Nicaragua, Panam</w:t>
      </w:r>
      <w:r w:rsidR="0067513A" w:rsidRPr="00954547">
        <w:rPr>
          <w:rFonts w:ascii="Verdana" w:hAnsi="Verdana"/>
          <w:sz w:val="16"/>
          <w:szCs w:val="16"/>
        </w:rPr>
        <w:t>a</w:t>
      </w:r>
      <w:r w:rsidRPr="00954547">
        <w:rPr>
          <w:rFonts w:ascii="Verdana" w:hAnsi="Verdana"/>
          <w:sz w:val="16"/>
          <w:szCs w:val="16"/>
        </w:rPr>
        <w:t xml:space="preserve">, Paraguay, </w:t>
      </w:r>
      <w:r w:rsidR="00C26F0B" w:rsidRPr="00954547">
        <w:rPr>
          <w:rFonts w:ascii="Verdana" w:hAnsi="Verdana"/>
          <w:sz w:val="16"/>
          <w:szCs w:val="16"/>
        </w:rPr>
        <w:t>Peru</w:t>
      </w:r>
      <w:r w:rsidRPr="00954547">
        <w:rPr>
          <w:rFonts w:ascii="Verdana" w:hAnsi="Verdana"/>
          <w:sz w:val="16"/>
          <w:szCs w:val="16"/>
        </w:rPr>
        <w:t>, Surinam</w:t>
      </w:r>
      <w:r w:rsidR="0067513A" w:rsidRPr="00954547">
        <w:rPr>
          <w:rFonts w:ascii="Verdana" w:hAnsi="Verdana"/>
          <w:sz w:val="16"/>
          <w:szCs w:val="16"/>
        </w:rPr>
        <w:t>e</w:t>
      </w:r>
      <w:r w:rsidRPr="00954547">
        <w:rPr>
          <w:rFonts w:ascii="Verdana" w:hAnsi="Verdana"/>
          <w:sz w:val="16"/>
          <w:szCs w:val="16"/>
        </w:rPr>
        <w:t>, Uruguay</w:t>
      </w:r>
      <w:r w:rsidR="0078694F" w:rsidRPr="00954547">
        <w:rPr>
          <w:rFonts w:ascii="Verdana" w:hAnsi="Verdana"/>
          <w:sz w:val="16"/>
          <w:szCs w:val="16"/>
        </w:rPr>
        <w:t xml:space="preserve"> and </w:t>
      </w:r>
      <w:r w:rsidRPr="00954547">
        <w:rPr>
          <w:rFonts w:ascii="Verdana" w:hAnsi="Verdana"/>
          <w:sz w:val="16"/>
          <w:szCs w:val="16"/>
        </w:rPr>
        <w:t xml:space="preserve">Venezuela. </w:t>
      </w:r>
      <w:r w:rsidR="0067513A" w:rsidRPr="00954547">
        <w:rPr>
          <w:rFonts w:ascii="Verdana" w:hAnsi="Verdana"/>
          <w:sz w:val="16"/>
          <w:szCs w:val="16"/>
        </w:rPr>
        <w:t xml:space="preserve">See the constitutional provisions of </w:t>
      </w:r>
      <w:r w:rsidRPr="00954547">
        <w:rPr>
          <w:rFonts w:ascii="Verdana" w:hAnsi="Verdana"/>
          <w:sz w:val="16"/>
          <w:szCs w:val="16"/>
        </w:rPr>
        <w:t>Argentina (art. 10); Barbados (art. 1</w:t>
      </w:r>
      <w:r w:rsidR="00A17F8C" w:rsidRPr="00954547">
        <w:rPr>
          <w:rFonts w:ascii="Verdana" w:hAnsi="Verdana"/>
          <w:sz w:val="16"/>
          <w:szCs w:val="16"/>
        </w:rPr>
        <w:t>7(2)</w:t>
      </w:r>
      <w:r w:rsidR="0067513A" w:rsidRPr="00954547">
        <w:rPr>
          <w:rFonts w:ascii="Verdana" w:hAnsi="Verdana"/>
          <w:sz w:val="16"/>
          <w:szCs w:val="16"/>
        </w:rPr>
        <w:t>(</w:t>
      </w:r>
      <w:r w:rsidRPr="00954547">
        <w:rPr>
          <w:rFonts w:ascii="Verdana" w:hAnsi="Verdana"/>
          <w:sz w:val="16"/>
          <w:szCs w:val="16"/>
        </w:rPr>
        <w:t xml:space="preserve">A); Bolivia (art. 35); </w:t>
      </w:r>
      <w:r w:rsidR="000B21CE" w:rsidRPr="00954547">
        <w:rPr>
          <w:rFonts w:ascii="Verdana" w:hAnsi="Verdana"/>
          <w:sz w:val="16"/>
          <w:szCs w:val="16"/>
        </w:rPr>
        <w:t>Brazil</w:t>
      </w:r>
      <w:r w:rsidRPr="00954547">
        <w:rPr>
          <w:rFonts w:ascii="Verdana" w:hAnsi="Verdana"/>
          <w:sz w:val="16"/>
          <w:szCs w:val="16"/>
        </w:rPr>
        <w:t xml:space="preserve"> (art. 196); Chile (art. 19)</w:t>
      </w:r>
      <w:r w:rsidR="00055482" w:rsidRPr="00954547">
        <w:rPr>
          <w:rFonts w:ascii="Verdana" w:hAnsi="Verdana"/>
          <w:sz w:val="16"/>
          <w:szCs w:val="16"/>
        </w:rPr>
        <w:t>;</w:t>
      </w:r>
      <w:r w:rsidRPr="00954547">
        <w:rPr>
          <w:rFonts w:ascii="Verdana" w:hAnsi="Verdana"/>
          <w:sz w:val="16"/>
          <w:szCs w:val="16"/>
        </w:rPr>
        <w:t xml:space="preserve"> Colombia (art. 49); Costa Rica (art. 46); </w:t>
      </w:r>
      <w:r w:rsidR="0067513A" w:rsidRPr="00954547">
        <w:rPr>
          <w:rFonts w:ascii="Verdana" w:hAnsi="Verdana"/>
          <w:sz w:val="16"/>
          <w:szCs w:val="16"/>
        </w:rPr>
        <w:t xml:space="preserve">Dominican Republic (art. 61); </w:t>
      </w:r>
      <w:r w:rsidRPr="00954547">
        <w:rPr>
          <w:rFonts w:ascii="Verdana" w:hAnsi="Verdana"/>
          <w:sz w:val="16"/>
          <w:szCs w:val="16"/>
        </w:rPr>
        <w:t>Ecuador (art. 32); El Salvador (art. 65); Guatemala (arts. 93</w:t>
      </w:r>
      <w:r w:rsidR="0078694F" w:rsidRPr="00954547">
        <w:rPr>
          <w:rFonts w:ascii="Verdana" w:hAnsi="Verdana"/>
          <w:sz w:val="16"/>
          <w:szCs w:val="16"/>
        </w:rPr>
        <w:t xml:space="preserve"> and </w:t>
      </w:r>
      <w:r w:rsidRPr="00954547">
        <w:rPr>
          <w:rFonts w:ascii="Verdana" w:hAnsi="Verdana"/>
          <w:sz w:val="16"/>
          <w:szCs w:val="16"/>
        </w:rPr>
        <w:t xml:space="preserve">94); </w:t>
      </w:r>
      <w:r w:rsidR="0067513A" w:rsidRPr="00954547">
        <w:rPr>
          <w:rFonts w:ascii="Verdana" w:hAnsi="Verdana"/>
          <w:sz w:val="16"/>
          <w:szCs w:val="16"/>
        </w:rPr>
        <w:t>Haiti</w:t>
      </w:r>
      <w:r w:rsidRPr="00954547">
        <w:rPr>
          <w:rFonts w:ascii="Verdana" w:hAnsi="Verdana"/>
          <w:sz w:val="16"/>
          <w:szCs w:val="16"/>
        </w:rPr>
        <w:t xml:space="preserve"> (art. 19); </w:t>
      </w:r>
      <w:r w:rsidR="000A2350" w:rsidRPr="00954547">
        <w:rPr>
          <w:rFonts w:ascii="Verdana" w:hAnsi="Verdana"/>
          <w:sz w:val="16"/>
          <w:szCs w:val="16"/>
        </w:rPr>
        <w:t>Mexico</w:t>
      </w:r>
      <w:r w:rsidRPr="00954547">
        <w:rPr>
          <w:rFonts w:ascii="Verdana" w:hAnsi="Verdana"/>
          <w:sz w:val="16"/>
          <w:szCs w:val="16"/>
        </w:rPr>
        <w:t xml:space="preserve"> (art. 4); Nicaragua (art. 59); </w:t>
      </w:r>
      <w:r w:rsidR="0067513A" w:rsidRPr="00954547">
        <w:rPr>
          <w:rFonts w:ascii="Verdana" w:hAnsi="Verdana"/>
          <w:sz w:val="16"/>
          <w:szCs w:val="16"/>
        </w:rPr>
        <w:t>Panama</w:t>
      </w:r>
      <w:r w:rsidRPr="00954547">
        <w:rPr>
          <w:rFonts w:ascii="Verdana" w:hAnsi="Verdana"/>
          <w:sz w:val="16"/>
          <w:szCs w:val="16"/>
        </w:rPr>
        <w:t xml:space="preserve"> (art. 109); Paraguay (art. 68); </w:t>
      </w:r>
      <w:r w:rsidR="00C26F0B" w:rsidRPr="00954547">
        <w:rPr>
          <w:rFonts w:ascii="Verdana" w:hAnsi="Verdana"/>
          <w:sz w:val="16"/>
          <w:szCs w:val="16"/>
        </w:rPr>
        <w:t>Peru</w:t>
      </w:r>
      <w:r w:rsidRPr="00954547">
        <w:rPr>
          <w:rFonts w:ascii="Verdana" w:hAnsi="Verdana"/>
          <w:sz w:val="16"/>
          <w:szCs w:val="16"/>
        </w:rPr>
        <w:t xml:space="preserve"> (art. 70); Suriname (art. 36); Uruguay (art. 44)</w:t>
      </w:r>
      <w:r w:rsidR="0078694F" w:rsidRPr="00954547">
        <w:rPr>
          <w:rFonts w:ascii="Verdana" w:hAnsi="Verdana"/>
          <w:sz w:val="16"/>
          <w:szCs w:val="16"/>
        </w:rPr>
        <w:t xml:space="preserve"> and </w:t>
      </w:r>
      <w:r w:rsidRPr="00954547">
        <w:rPr>
          <w:rFonts w:ascii="Verdana" w:hAnsi="Verdana"/>
          <w:sz w:val="16"/>
          <w:szCs w:val="16"/>
        </w:rPr>
        <w:t xml:space="preserve">Venezuela (art. 83). </w:t>
      </w:r>
      <w:r w:rsidR="00B8393C" w:rsidRPr="00954547">
        <w:rPr>
          <w:rFonts w:ascii="Verdana" w:hAnsi="Verdana"/>
          <w:sz w:val="16"/>
          <w:szCs w:val="16"/>
        </w:rPr>
        <w:t>Cf.</w:t>
      </w:r>
      <w:r w:rsidRPr="00954547">
        <w:rPr>
          <w:rFonts w:ascii="Verdana" w:hAnsi="Verdana"/>
          <w:sz w:val="16"/>
          <w:szCs w:val="16"/>
        </w:rPr>
        <w:t xml:space="preserve"> </w:t>
      </w:r>
      <w:r w:rsidR="0067513A" w:rsidRPr="00954547">
        <w:rPr>
          <w:rFonts w:ascii="Verdana" w:hAnsi="Verdana"/>
          <w:sz w:val="16"/>
          <w:szCs w:val="16"/>
        </w:rPr>
        <w:t>Constitutional Chamber</w:t>
      </w:r>
      <w:r w:rsidRPr="00954547">
        <w:rPr>
          <w:rFonts w:ascii="Verdana" w:hAnsi="Verdana"/>
          <w:sz w:val="16"/>
          <w:szCs w:val="16"/>
        </w:rPr>
        <w:t xml:space="preserve"> </w:t>
      </w:r>
      <w:r w:rsidR="0067513A" w:rsidRPr="00954547">
        <w:rPr>
          <w:rFonts w:ascii="Verdana" w:hAnsi="Verdana"/>
          <w:sz w:val="16"/>
          <w:szCs w:val="16"/>
        </w:rPr>
        <w:t>Supreme Court of Justice of</w:t>
      </w:r>
      <w:r w:rsidRPr="00954547">
        <w:rPr>
          <w:rFonts w:ascii="Verdana" w:hAnsi="Verdana"/>
          <w:sz w:val="16"/>
          <w:szCs w:val="16"/>
        </w:rPr>
        <w:t xml:space="preserve"> Costa Rica, Resolu</w:t>
      </w:r>
      <w:r w:rsidR="00E65F42" w:rsidRPr="00954547">
        <w:rPr>
          <w:rFonts w:ascii="Verdana" w:hAnsi="Verdana"/>
          <w:sz w:val="16"/>
          <w:szCs w:val="16"/>
        </w:rPr>
        <w:t>tion</w:t>
      </w:r>
      <w:r w:rsidRPr="00954547">
        <w:rPr>
          <w:rFonts w:ascii="Verdana" w:hAnsi="Verdana"/>
          <w:sz w:val="16"/>
          <w:szCs w:val="16"/>
        </w:rPr>
        <w:t xml:space="preserve"> No. 13505–2006, </w:t>
      </w:r>
      <w:r w:rsidR="0067513A" w:rsidRPr="00954547">
        <w:rPr>
          <w:rFonts w:ascii="Verdana" w:hAnsi="Verdana"/>
          <w:sz w:val="16"/>
          <w:szCs w:val="16"/>
        </w:rPr>
        <w:t>of September 12,</w:t>
      </w:r>
      <w:r w:rsidRPr="00954547">
        <w:rPr>
          <w:rFonts w:ascii="Verdana" w:hAnsi="Verdana"/>
          <w:sz w:val="16"/>
          <w:szCs w:val="16"/>
        </w:rPr>
        <w:t xml:space="preserve"> 2006, </w:t>
      </w:r>
      <w:r w:rsidR="00E65F42" w:rsidRPr="00954547">
        <w:rPr>
          <w:rFonts w:ascii="Verdana" w:hAnsi="Verdana"/>
          <w:sz w:val="16"/>
          <w:szCs w:val="16"/>
        </w:rPr>
        <w:t>considering paragraph</w:t>
      </w:r>
      <w:r w:rsidRPr="00954547">
        <w:rPr>
          <w:rFonts w:ascii="Verdana" w:hAnsi="Verdana"/>
          <w:sz w:val="16"/>
          <w:szCs w:val="16"/>
        </w:rPr>
        <w:t xml:space="preserve"> III; </w:t>
      </w:r>
      <w:r w:rsidR="00E65F42" w:rsidRPr="00954547">
        <w:rPr>
          <w:rFonts w:ascii="Verdana" w:hAnsi="Verdana"/>
          <w:sz w:val="16"/>
          <w:szCs w:val="16"/>
        </w:rPr>
        <w:t>Constitutional Court of</w:t>
      </w:r>
      <w:r w:rsidRPr="00954547">
        <w:rPr>
          <w:rFonts w:ascii="Verdana" w:hAnsi="Verdana"/>
          <w:sz w:val="16"/>
          <w:szCs w:val="16"/>
        </w:rPr>
        <w:t xml:space="preserve"> Colombia, </w:t>
      </w:r>
      <w:r w:rsidR="00E65F42" w:rsidRPr="00954547">
        <w:rPr>
          <w:rFonts w:ascii="Verdana" w:hAnsi="Verdana"/>
          <w:sz w:val="16"/>
          <w:szCs w:val="16"/>
        </w:rPr>
        <w:t>Judgment</w:t>
      </w:r>
      <w:r w:rsidRPr="00954547">
        <w:rPr>
          <w:rFonts w:ascii="Verdana" w:hAnsi="Verdana"/>
          <w:sz w:val="16"/>
          <w:szCs w:val="16"/>
        </w:rPr>
        <w:t xml:space="preserve"> C-177 </w:t>
      </w:r>
      <w:r w:rsidR="00E65F42" w:rsidRPr="00954547">
        <w:rPr>
          <w:rFonts w:ascii="Verdana" w:hAnsi="Verdana"/>
          <w:sz w:val="16"/>
          <w:szCs w:val="16"/>
        </w:rPr>
        <w:t xml:space="preserve">of </w:t>
      </w:r>
      <w:r w:rsidRPr="00954547">
        <w:rPr>
          <w:rFonts w:ascii="Verdana" w:hAnsi="Verdana"/>
          <w:sz w:val="16"/>
          <w:szCs w:val="16"/>
        </w:rPr>
        <w:t>1998; Suprem</w:t>
      </w:r>
      <w:r w:rsidR="00E65F42" w:rsidRPr="00954547">
        <w:rPr>
          <w:rFonts w:ascii="Verdana" w:hAnsi="Verdana"/>
          <w:sz w:val="16"/>
          <w:szCs w:val="16"/>
        </w:rPr>
        <w:t>e Court of Justice of the Nation</w:t>
      </w:r>
      <w:r w:rsidR="00055482" w:rsidRPr="00954547">
        <w:rPr>
          <w:rFonts w:ascii="Verdana" w:hAnsi="Verdana"/>
          <w:sz w:val="16"/>
          <w:szCs w:val="16"/>
        </w:rPr>
        <w:t xml:space="preserve">; </w:t>
      </w:r>
      <w:r w:rsidR="00E65F42" w:rsidRPr="00954547">
        <w:rPr>
          <w:rFonts w:ascii="Verdana" w:hAnsi="Verdana"/>
          <w:sz w:val="16"/>
          <w:szCs w:val="16"/>
        </w:rPr>
        <w:t>Mexico, Judgment</w:t>
      </w:r>
      <w:r w:rsidRPr="00954547">
        <w:rPr>
          <w:rFonts w:ascii="Verdana" w:hAnsi="Verdana"/>
          <w:sz w:val="16"/>
          <w:szCs w:val="16"/>
        </w:rPr>
        <w:t xml:space="preserve"> 8/2019 (10).</w:t>
      </w:r>
      <w:r w:rsidR="00E65F42" w:rsidRPr="00954547">
        <w:rPr>
          <w:rFonts w:ascii="Verdana" w:hAnsi="Verdana"/>
          <w:sz w:val="16"/>
          <w:szCs w:val="16"/>
        </w:rPr>
        <w:t xml:space="preserve"> Right to the protection of</w:t>
      </w:r>
      <w:r w:rsidRPr="00954547">
        <w:rPr>
          <w:rFonts w:ascii="Verdana" w:hAnsi="Verdana"/>
          <w:sz w:val="16"/>
          <w:szCs w:val="16"/>
        </w:rPr>
        <w:t xml:space="preserve"> </w:t>
      </w:r>
      <w:r w:rsidR="0078694F" w:rsidRPr="00954547">
        <w:rPr>
          <w:rFonts w:ascii="Verdana" w:hAnsi="Verdana"/>
          <w:sz w:val="16"/>
          <w:szCs w:val="16"/>
        </w:rPr>
        <w:t>health</w:t>
      </w:r>
      <w:r w:rsidRPr="00954547">
        <w:rPr>
          <w:rFonts w:ascii="Verdana" w:hAnsi="Verdana"/>
          <w:sz w:val="16"/>
          <w:szCs w:val="16"/>
        </w:rPr>
        <w:t xml:space="preserve">. </w:t>
      </w:r>
      <w:r w:rsidR="00E65F42" w:rsidRPr="00954547">
        <w:rPr>
          <w:rFonts w:ascii="Verdana" w:hAnsi="Verdana"/>
          <w:sz w:val="16"/>
          <w:szCs w:val="16"/>
        </w:rPr>
        <w:t>Individual and social dimensions</w:t>
      </w:r>
      <w:r w:rsidR="00055482" w:rsidRPr="00954547">
        <w:rPr>
          <w:rFonts w:ascii="Verdana" w:hAnsi="Verdana"/>
          <w:sz w:val="16"/>
          <w:szCs w:val="16"/>
        </w:rPr>
        <w:t>, and</w:t>
      </w:r>
      <w:r w:rsidRPr="00954547">
        <w:rPr>
          <w:rFonts w:ascii="Verdana" w:hAnsi="Verdana"/>
          <w:sz w:val="16"/>
          <w:szCs w:val="16"/>
        </w:rPr>
        <w:t xml:space="preserve"> </w:t>
      </w:r>
      <w:r w:rsidR="00E65F42" w:rsidRPr="00954547">
        <w:rPr>
          <w:rFonts w:ascii="Verdana" w:hAnsi="Verdana"/>
          <w:sz w:val="16"/>
          <w:szCs w:val="16"/>
        </w:rPr>
        <w:t xml:space="preserve">Constitutional Court of </w:t>
      </w:r>
      <w:r w:rsidRPr="00954547">
        <w:rPr>
          <w:rFonts w:ascii="Verdana" w:hAnsi="Verdana"/>
          <w:sz w:val="16"/>
          <w:szCs w:val="16"/>
        </w:rPr>
        <w:t xml:space="preserve">Ecuador, </w:t>
      </w:r>
      <w:r w:rsidR="00E65F42" w:rsidRPr="00954547">
        <w:rPr>
          <w:rFonts w:ascii="Verdana" w:hAnsi="Verdana"/>
          <w:sz w:val="16"/>
          <w:szCs w:val="16"/>
        </w:rPr>
        <w:t>Judgment</w:t>
      </w:r>
      <w:r w:rsidRPr="00954547">
        <w:rPr>
          <w:rFonts w:ascii="Verdana" w:hAnsi="Verdana"/>
          <w:sz w:val="16"/>
          <w:szCs w:val="16"/>
        </w:rPr>
        <w:t xml:space="preserve"> No. 0012-09-SIS-CC, </w:t>
      </w:r>
      <w:r w:rsidR="00E65F42" w:rsidRPr="00954547">
        <w:rPr>
          <w:rFonts w:ascii="Verdana" w:hAnsi="Verdana"/>
          <w:sz w:val="16"/>
          <w:szCs w:val="16"/>
        </w:rPr>
        <w:t>October 8,</w:t>
      </w:r>
      <w:r w:rsidRPr="00954547">
        <w:rPr>
          <w:rFonts w:ascii="Verdana" w:hAnsi="Verdana"/>
          <w:sz w:val="16"/>
          <w:szCs w:val="16"/>
        </w:rPr>
        <w:t xml:space="preserve"> 2009.</w:t>
      </w:r>
    </w:p>
  </w:footnote>
  <w:footnote w:id="298">
    <w:p w14:paraId="15ECF293" w14:textId="0B84837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65 </w:t>
      </w:r>
      <w:r w:rsidR="00E65F42" w:rsidRPr="00954547">
        <w:rPr>
          <w:rFonts w:ascii="Verdana" w:hAnsi="Verdana"/>
          <w:sz w:val="16"/>
          <w:szCs w:val="16"/>
        </w:rPr>
        <w:t>of the Constitution</w:t>
      </w:r>
      <w:r w:rsidR="009E6B43" w:rsidRPr="00954547">
        <w:rPr>
          <w:rFonts w:ascii="Verdana" w:hAnsi="Verdana"/>
          <w:sz w:val="16"/>
          <w:szCs w:val="16"/>
        </w:rPr>
        <w:t xml:space="preserve"> of El </w:t>
      </w:r>
      <w:r w:rsidRPr="00954547">
        <w:rPr>
          <w:rFonts w:ascii="Verdana" w:hAnsi="Verdana"/>
          <w:sz w:val="16"/>
          <w:szCs w:val="16"/>
        </w:rPr>
        <w:t xml:space="preserve">Salvador </w:t>
      </w:r>
      <w:r w:rsidR="00E65F42" w:rsidRPr="00954547">
        <w:rPr>
          <w:rFonts w:ascii="Verdana" w:hAnsi="Verdana"/>
          <w:sz w:val="16"/>
          <w:szCs w:val="16"/>
        </w:rPr>
        <w:t>establishes that</w:t>
      </w:r>
      <w:r w:rsidRPr="00954547">
        <w:rPr>
          <w:rFonts w:ascii="Verdana" w:hAnsi="Verdana"/>
          <w:sz w:val="16"/>
          <w:szCs w:val="16"/>
        </w:rPr>
        <w:t xml:space="preserve"> “</w:t>
      </w:r>
      <w:r w:rsidR="00E65F42" w:rsidRPr="00954547">
        <w:rPr>
          <w:rFonts w:ascii="Verdana" w:hAnsi="Verdana"/>
          <w:sz w:val="16"/>
          <w:szCs w:val="16"/>
        </w:rPr>
        <w:t>the h</w:t>
      </w:r>
      <w:r w:rsidR="0078694F" w:rsidRPr="00954547">
        <w:rPr>
          <w:rFonts w:ascii="Verdana" w:hAnsi="Verdana"/>
          <w:sz w:val="16"/>
          <w:szCs w:val="16"/>
        </w:rPr>
        <w:t>ealth</w:t>
      </w:r>
      <w:r w:rsidRPr="00954547">
        <w:rPr>
          <w:rFonts w:ascii="Verdana" w:hAnsi="Verdana"/>
          <w:sz w:val="16"/>
          <w:szCs w:val="16"/>
        </w:rPr>
        <w:t xml:space="preserve"> </w:t>
      </w:r>
      <w:r w:rsidR="00E65F42" w:rsidRPr="00954547">
        <w:rPr>
          <w:rFonts w:ascii="Verdana" w:hAnsi="Verdana"/>
          <w:sz w:val="16"/>
          <w:szCs w:val="16"/>
        </w:rPr>
        <w:t xml:space="preserve">of the inhabitants of the Republic constitutes a public good. </w:t>
      </w:r>
      <w:r w:rsidR="00B8393C" w:rsidRPr="00954547">
        <w:rPr>
          <w:rFonts w:ascii="Verdana" w:hAnsi="Verdana"/>
          <w:sz w:val="16"/>
          <w:szCs w:val="16"/>
        </w:rPr>
        <w:t>The State</w:t>
      </w:r>
      <w:r w:rsidR="0078694F" w:rsidRPr="00954547">
        <w:rPr>
          <w:rFonts w:ascii="Verdana" w:hAnsi="Verdana"/>
          <w:sz w:val="16"/>
          <w:szCs w:val="16"/>
        </w:rPr>
        <w:t xml:space="preserve"> and </w:t>
      </w:r>
      <w:r w:rsidR="00E65F42" w:rsidRPr="00954547">
        <w:rPr>
          <w:rFonts w:ascii="Verdana" w:hAnsi="Verdana"/>
          <w:sz w:val="16"/>
          <w:szCs w:val="16"/>
        </w:rPr>
        <w:t xml:space="preserve">the </w:t>
      </w:r>
      <w:r w:rsidR="00055482" w:rsidRPr="00954547">
        <w:rPr>
          <w:rFonts w:ascii="Verdana" w:hAnsi="Verdana"/>
          <w:sz w:val="16"/>
          <w:szCs w:val="16"/>
        </w:rPr>
        <w:t>individual</w:t>
      </w:r>
      <w:r w:rsidR="00E65F42" w:rsidRPr="00954547">
        <w:rPr>
          <w:rFonts w:ascii="Verdana" w:hAnsi="Verdana"/>
          <w:sz w:val="16"/>
          <w:szCs w:val="16"/>
        </w:rPr>
        <w:t xml:space="preserve"> are obliged to ensure i</w:t>
      </w:r>
      <w:r w:rsidR="00055482" w:rsidRPr="00954547">
        <w:rPr>
          <w:rFonts w:ascii="Verdana" w:hAnsi="Verdana"/>
          <w:sz w:val="16"/>
          <w:szCs w:val="16"/>
        </w:rPr>
        <w:t>t</w:t>
      </w:r>
      <w:r w:rsidR="00E65F42" w:rsidRPr="00954547">
        <w:rPr>
          <w:rFonts w:ascii="Verdana" w:hAnsi="Verdana"/>
          <w:sz w:val="16"/>
          <w:szCs w:val="16"/>
        </w:rPr>
        <w:t>s conservation and restoration. The State shall determine the national health policy and shall oversee and supervise its application.</w:t>
      </w:r>
      <w:r w:rsidRPr="00954547">
        <w:rPr>
          <w:rFonts w:ascii="Verdana" w:hAnsi="Verdana"/>
          <w:sz w:val="16"/>
          <w:szCs w:val="16"/>
        </w:rPr>
        <w:t xml:space="preserve">” </w:t>
      </w:r>
      <w:r w:rsidR="002F4617" w:rsidRPr="00954547">
        <w:rPr>
          <w:rFonts w:ascii="Verdana" w:hAnsi="Verdana"/>
          <w:sz w:val="16"/>
          <w:szCs w:val="16"/>
        </w:rPr>
        <w:t>Available at</w:t>
      </w:r>
      <w:r w:rsidRPr="00954547">
        <w:rPr>
          <w:rFonts w:ascii="Verdana" w:hAnsi="Verdana"/>
          <w:sz w:val="16"/>
          <w:szCs w:val="16"/>
        </w:rPr>
        <w:t xml:space="preserve">: </w:t>
      </w:r>
      <w:hyperlink r:id="rId24" w:history="1">
        <w:r w:rsidR="00715A4B" w:rsidRPr="00954547">
          <w:rPr>
            <w:rStyle w:val="Hyperlink"/>
            <w:rFonts w:ascii="Verdana" w:hAnsi="Verdana"/>
            <w:sz w:val="16"/>
            <w:szCs w:val="16"/>
          </w:rPr>
          <w:t>https://www.asamblea.gob.sv/sites/default/files/documents/decretos/EA1C26BE-E75B-4709-98AB8BC6CA287232</w:t>
        </w:r>
      </w:hyperlink>
      <w:r w:rsidR="00715A4B" w:rsidRPr="00954547">
        <w:rPr>
          <w:rFonts w:ascii="Verdana" w:hAnsi="Verdana"/>
          <w:sz w:val="16"/>
          <w:szCs w:val="16"/>
        </w:rPr>
        <w:t xml:space="preserve"> </w:t>
      </w:r>
      <w:r w:rsidRPr="00954547">
        <w:rPr>
          <w:rFonts w:ascii="Verdana" w:hAnsi="Verdana"/>
          <w:sz w:val="16"/>
          <w:szCs w:val="16"/>
        </w:rPr>
        <w:t xml:space="preserve">.pdf  </w:t>
      </w:r>
    </w:p>
  </w:footnote>
  <w:footnote w:id="299">
    <w:p w14:paraId="639F6F54" w14:textId="3F0545D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Style w:val="Strong"/>
          <w:rFonts w:ascii="Verdana" w:hAnsi="Verdana"/>
          <w:b w:val="0"/>
          <w:i/>
          <w:sz w:val="16"/>
          <w:szCs w:val="16"/>
          <w:shd w:val="clear" w:color="auto" w:fill="FFFFFF"/>
        </w:rPr>
        <w:t>Case of</w:t>
      </w:r>
      <w:r w:rsidRPr="00954547">
        <w:rPr>
          <w:rStyle w:val="Strong"/>
          <w:rFonts w:ascii="Verdana" w:hAnsi="Verdana"/>
          <w:b w:val="0"/>
          <w:i/>
          <w:sz w:val="16"/>
          <w:szCs w:val="16"/>
          <w:shd w:val="clear" w:color="auto" w:fill="FFFFFF"/>
        </w:rPr>
        <w:t xml:space="preserve"> Albán Cornejo</w:t>
      </w:r>
      <w:r w:rsidR="0078694F" w:rsidRPr="00954547">
        <w:rPr>
          <w:rStyle w:val="Strong"/>
          <w:rFonts w:ascii="Verdana" w:hAnsi="Verdana"/>
          <w:b w:val="0"/>
          <w:i/>
          <w:sz w:val="16"/>
          <w:szCs w:val="16"/>
          <w:shd w:val="clear" w:color="auto" w:fill="FFFFFF"/>
        </w:rPr>
        <w:t xml:space="preserve"> </w:t>
      </w:r>
      <w:r w:rsidR="00715A4B" w:rsidRPr="00954547">
        <w:rPr>
          <w:rStyle w:val="Strong"/>
          <w:rFonts w:ascii="Verdana" w:hAnsi="Verdana"/>
          <w:b w:val="0"/>
          <w:i/>
          <w:sz w:val="16"/>
          <w:szCs w:val="16"/>
          <w:shd w:val="clear" w:color="auto" w:fill="FFFFFF"/>
        </w:rPr>
        <w:t>et al.</w:t>
      </w:r>
      <w:r w:rsidRPr="00954547">
        <w:rPr>
          <w:rStyle w:val="Strong"/>
          <w:rFonts w:ascii="Verdana" w:hAnsi="Verdana"/>
          <w:b w:val="0"/>
          <w:i/>
          <w:sz w:val="16"/>
          <w:szCs w:val="16"/>
          <w:shd w:val="clear" w:color="auto" w:fill="FFFFFF"/>
        </w:rPr>
        <w:t xml:space="preserve"> </w:t>
      </w:r>
      <w:r w:rsidR="009C16A1" w:rsidRPr="00954547">
        <w:rPr>
          <w:rStyle w:val="Strong"/>
          <w:rFonts w:ascii="Verdana" w:hAnsi="Verdana"/>
          <w:b w:val="0"/>
          <w:i/>
          <w:sz w:val="16"/>
          <w:szCs w:val="16"/>
          <w:shd w:val="clear" w:color="auto" w:fill="FFFFFF"/>
        </w:rPr>
        <w:t>v.</w:t>
      </w:r>
      <w:r w:rsidRPr="00954547">
        <w:rPr>
          <w:rStyle w:val="Strong"/>
          <w:rFonts w:ascii="Verdana" w:hAnsi="Verdana"/>
          <w:b w:val="0"/>
          <w:i/>
          <w:sz w:val="16"/>
          <w:szCs w:val="16"/>
          <w:shd w:val="clear" w:color="auto" w:fill="FFFFFF"/>
        </w:rPr>
        <w:t xml:space="preserve"> Ecuador. </w:t>
      </w:r>
      <w:r w:rsidR="00715A4B" w:rsidRPr="00954547">
        <w:rPr>
          <w:rStyle w:val="Strong"/>
          <w:rFonts w:ascii="Verdana" w:hAnsi="Verdana"/>
          <w:b w:val="0"/>
          <w:i/>
          <w:sz w:val="16"/>
          <w:szCs w:val="16"/>
          <w:shd w:val="clear" w:color="auto" w:fill="FFFFFF"/>
        </w:rPr>
        <w:t>Merits, reparations and costs</w:t>
      </w:r>
      <w:r w:rsidRPr="00954547">
        <w:rPr>
          <w:rStyle w:val="Strong"/>
          <w:rFonts w:ascii="Verdana" w:hAnsi="Verdana"/>
          <w:b w:val="0"/>
          <w:sz w:val="16"/>
          <w:szCs w:val="16"/>
          <w:shd w:val="clear" w:color="auto" w:fill="FFFFFF"/>
        </w:rPr>
        <w:t xml:space="preserve">. </w:t>
      </w:r>
      <w:r w:rsidR="00B8393C" w:rsidRPr="00954547">
        <w:rPr>
          <w:rStyle w:val="Strong"/>
          <w:rFonts w:ascii="Verdana" w:hAnsi="Verdana"/>
          <w:b w:val="0"/>
          <w:sz w:val="16"/>
          <w:szCs w:val="16"/>
          <w:shd w:val="clear" w:color="auto" w:fill="FFFFFF"/>
        </w:rPr>
        <w:t>Judgment of</w:t>
      </w:r>
      <w:r w:rsidRPr="00954547">
        <w:rPr>
          <w:rStyle w:val="Strong"/>
          <w:rFonts w:ascii="Verdana" w:hAnsi="Verdana"/>
          <w:b w:val="0"/>
          <w:sz w:val="16"/>
          <w:szCs w:val="16"/>
          <w:shd w:val="clear" w:color="auto" w:fill="FFFFFF"/>
        </w:rPr>
        <w:t xml:space="preserve"> </w:t>
      </w:r>
      <w:r w:rsidR="00BF0AF9" w:rsidRPr="00954547">
        <w:rPr>
          <w:rStyle w:val="Strong"/>
          <w:rFonts w:ascii="Verdana" w:hAnsi="Verdana"/>
          <w:b w:val="0"/>
          <w:sz w:val="16"/>
          <w:szCs w:val="16"/>
          <w:shd w:val="clear" w:color="auto" w:fill="FFFFFF"/>
        </w:rPr>
        <w:t>November 22,</w:t>
      </w:r>
      <w:r w:rsidRPr="00954547">
        <w:rPr>
          <w:rStyle w:val="Strong"/>
          <w:rFonts w:ascii="Verdana" w:hAnsi="Verdana"/>
          <w:b w:val="0"/>
          <w:sz w:val="16"/>
          <w:szCs w:val="16"/>
          <w:shd w:val="clear" w:color="auto" w:fill="FFFFFF"/>
        </w:rPr>
        <w:t xml:space="preserve"> 2007. </w:t>
      </w:r>
      <w:r w:rsidR="00B8393C" w:rsidRPr="00954547">
        <w:rPr>
          <w:rStyle w:val="Strong"/>
          <w:rFonts w:ascii="Verdana" w:hAnsi="Verdana"/>
          <w:b w:val="0"/>
          <w:sz w:val="16"/>
          <w:szCs w:val="16"/>
          <w:shd w:val="clear" w:color="auto" w:fill="FFFFFF"/>
        </w:rPr>
        <w:t xml:space="preserve">Series </w:t>
      </w:r>
      <w:r w:rsidRPr="00954547">
        <w:rPr>
          <w:rStyle w:val="Strong"/>
          <w:rFonts w:ascii="Verdana" w:hAnsi="Verdana"/>
          <w:b w:val="0"/>
          <w:sz w:val="16"/>
          <w:szCs w:val="16"/>
          <w:shd w:val="clear" w:color="auto" w:fill="FFFFFF"/>
        </w:rPr>
        <w:t>C No. 171,</w:t>
      </w:r>
      <w:r w:rsidRPr="00954547">
        <w:rPr>
          <w:rStyle w:val="Strong"/>
          <w:rFonts w:ascii="Verdana" w:hAnsi="Verdana"/>
          <w:sz w:val="16"/>
          <w:szCs w:val="16"/>
          <w:shd w:val="clear" w:color="auto" w:fill="FFFFFF"/>
        </w:rPr>
        <w:t xml:space="preserve"> </w:t>
      </w:r>
      <w:r w:rsidR="00B10E5A" w:rsidRPr="00954547">
        <w:rPr>
          <w:rFonts w:ascii="Verdana" w:hAnsi="Verdana"/>
          <w:sz w:val="16"/>
          <w:szCs w:val="16"/>
        </w:rPr>
        <w:t>para.</w:t>
      </w:r>
      <w:r w:rsidRPr="00954547">
        <w:rPr>
          <w:rFonts w:ascii="Verdana" w:hAnsi="Verdana"/>
          <w:sz w:val="16"/>
          <w:szCs w:val="16"/>
        </w:rPr>
        <w:t xml:space="preserve"> 117</w:t>
      </w:r>
      <w:r w:rsidRPr="00954547">
        <w:rPr>
          <w:rFonts w:ascii="Verdana" w:hAnsi="Verdana"/>
          <w:i/>
          <w:sz w:val="16"/>
          <w:szCs w:val="16"/>
        </w:rPr>
        <w:t>,</w:t>
      </w:r>
      <w:r w:rsidR="0078694F" w:rsidRPr="00954547">
        <w:rPr>
          <w:rFonts w:ascii="Verdana" w:hAnsi="Verdana"/>
          <w:i/>
          <w:sz w:val="16"/>
          <w:szCs w:val="16"/>
        </w:rPr>
        <w:t xml:space="preserve"> and </w:t>
      </w:r>
      <w:r w:rsidR="002F4617" w:rsidRPr="00954547">
        <w:rPr>
          <w:rFonts w:ascii="Verdana" w:hAnsi="Verdana"/>
          <w:bCs/>
          <w:i/>
          <w:sz w:val="16"/>
          <w:szCs w:val="16"/>
        </w:rPr>
        <w:t>Case of</w:t>
      </w:r>
      <w:r w:rsidRPr="00954547">
        <w:rPr>
          <w:rFonts w:ascii="Verdana" w:hAnsi="Verdana"/>
          <w:bCs/>
          <w:i/>
          <w:sz w:val="16"/>
          <w:szCs w:val="16"/>
        </w:rPr>
        <w:t xml:space="preserve"> Gonzales Lluy </w:t>
      </w:r>
      <w:r w:rsidR="00B8393C" w:rsidRPr="00954547">
        <w:rPr>
          <w:rFonts w:ascii="Verdana" w:hAnsi="Verdana"/>
          <w:bCs/>
          <w:i/>
          <w:sz w:val="16"/>
          <w:szCs w:val="16"/>
        </w:rPr>
        <w:t>et al. v.</w:t>
      </w:r>
      <w:r w:rsidRPr="00954547">
        <w:rPr>
          <w:rFonts w:ascii="Verdana" w:hAnsi="Verdana"/>
          <w:bCs/>
          <w:i/>
          <w:sz w:val="16"/>
          <w:szCs w:val="16"/>
        </w:rPr>
        <w:t xml:space="preserve"> Ecuador. </w:t>
      </w:r>
      <w:r w:rsidR="004C640C" w:rsidRPr="00954547">
        <w:rPr>
          <w:rFonts w:ascii="Verdana" w:hAnsi="Verdana"/>
          <w:bCs/>
          <w:i/>
          <w:sz w:val="16"/>
          <w:szCs w:val="16"/>
        </w:rPr>
        <w:t>Preliminary objections, merits</w:t>
      </w:r>
      <w:r w:rsidR="00A70DC4" w:rsidRPr="00954547">
        <w:rPr>
          <w:rFonts w:ascii="Verdana" w:hAnsi="Verdana"/>
          <w:bCs/>
          <w:i/>
          <w:sz w:val="16"/>
          <w:szCs w:val="16"/>
        </w:rPr>
        <w:t>, reparations and costs</w:t>
      </w:r>
      <w:r w:rsidRPr="00954547">
        <w:rPr>
          <w:rFonts w:ascii="Verdana" w:hAnsi="Verdana"/>
          <w:bCs/>
          <w:i/>
          <w:sz w:val="16"/>
          <w:szCs w:val="16"/>
        </w:rPr>
        <w:t>.</w:t>
      </w:r>
      <w:r w:rsidRPr="00954547">
        <w:rPr>
          <w:rFonts w:ascii="Verdana" w:hAnsi="Verdana"/>
          <w:bCs/>
          <w:sz w:val="16"/>
          <w:szCs w:val="16"/>
        </w:rPr>
        <w:t xml:space="preserve"> </w:t>
      </w:r>
      <w:r w:rsidR="00B8393C" w:rsidRPr="00954547">
        <w:rPr>
          <w:rFonts w:ascii="Verdana" w:hAnsi="Verdana"/>
          <w:bCs/>
          <w:sz w:val="16"/>
          <w:szCs w:val="16"/>
        </w:rPr>
        <w:t>Judgment of</w:t>
      </w:r>
      <w:r w:rsidRPr="00954547">
        <w:rPr>
          <w:rFonts w:ascii="Verdana" w:hAnsi="Verdana"/>
          <w:bCs/>
          <w:sz w:val="16"/>
          <w:szCs w:val="16"/>
        </w:rPr>
        <w:t xml:space="preserve"> </w:t>
      </w:r>
      <w:r w:rsidR="004110D3" w:rsidRPr="00954547">
        <w:rPr>
          <w:rFonts w:ascii="Verdana" w:hAnsi="Verdana"/>
          <w:bCs/>
          <w:sz w:val="16"/>
          <w:szCs w:val="16"/>
        </w:rPr>
        <w:t>September 1,</w:t>
      </w:r>
      <w:r w:rsidRPr="00954547">
        <w:rPr>
          <w:rFonts w:ascii="Verdana" w:hAnsi="Verdana"/>
          <w:bCs/>
          <w:sz w:val="16"/>
          <w:szCs w:val="16"/>
        </w:rPr>
        <w:t xml:space="preserve"> 2015. </w:t>
      </w:r>
      <w:r w:rsidR="00B8393C" w:rsidRPr="00954547">
        <w:rPr>
          <w:rFonts w:ascii="Verdana" w:hAnsi="Verdana"/>
          <w:bCs/>
          <w:sz w:val="16"/>
          <w:szCs w:val="16"/>
        </w:rPr>
        <w:t xml:space="preserve">Series </w:t>
      </w:r>
      <w:r w:rsidRPr="00954547">
        <w:rPr>
          <w:rFonts w:ascii="Verdana" w:hAnsi="Verdana"/>
          <w:bCs/>
          <w:sz w:val="16"/>
          <w:szCs w:val="16"/>
        </w:rPr>
        <w:t xml:space="preserve">C No. 298, </w:t>
      </w:r>
      <w:r w:rsidR="00B10E5A" w:rsidRPr="00954547">
        <w:rPr>
          <w:rFonts w:ascii="Verdana" w:hAnsi="Verdana"/>
          <w:bCs/>
          <w:sz w:val="16"/>
          <w:szCs w:val="16"/>
        </w:rPr>
        <w:t>para.</w:t>
      </w:r>
      <w:r w:rsidRPr="00954547">
        <w:rPr>
          <w:rFonts w:ascii="Verdana" w:hAnsi="Verdana"/>
          <w:bCs/>
          <w:sz w:val="16"/>
          <w:szCs w:val="16"/>
        </w:rPr>
        <w:t xml:space="preserve"> 171. </w:t>
      </w:r>
    </w:p>
  </w:footnote>
  <w:footnote w:id="300">
    <w:p w14:paraId="767ED230" w14:textId="5B3FB63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15A4B" w:rsidRPr="00954547">
        <w:rPr>
          <w:rFonts w:ascii="Verdana" w:hAnsi="Verdana"/>
          <w:iCs/>
          <w:sz w:val="16"/>
          <w:szCs w:val="16"/>
        </w:rPr>
        <w:t>See, for example</w:t>
      </w:r>
      <w:r w:rsidRPr="00954547">
        <w:rPr>
          <w:rFonts w:ascii="Verdana" w:hAnsi="Verdana"/>
          <w:iCs/>
          <w:sz w:val="16"/>
          <w:szCs w:val="16"/>
        </w:rPr>
        <w:t>,</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Tibi </w:t>
      </w:r>
      <w:r w:rsidR="009C16A1" w:rsidRPr="00954547">
        <w:rPr>
          <w:rFonts w:ascii="Verdana" w:hAnsi="Verdana"/>
          <w:i/>
          <w:sz w:val="16"/>
          <w:szCs w:val="16"/>
        </w:rPr>
        <w:t>v.</w:t>
      </w:r>
      <w:r w:rsidRPr="00954547">
        <w:rPr>
          <w:rFonts w:ascii="Verdana" w:hAnsi="Verdana"/>
          <w:i/>
          <w:sz w:val="16"/>
          <w:szCs w:val="16"/>
        </w:rPr>
        <w:t xml:space="preserve"> Ecuador, supra</w:t>
      </w:r>
      <w:r w:rsidRPr="00954547">
        <w:rPr>
          <w:rFonts w:ascii="Verdana" w:hAnsi="Verdana"/>
          <w:sz w:val="16"/>
          <w:szCs w:val="16"/>
        </w:rPr>
        <w:t>,</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Hernández </w:t>
      </w:r>
      <w:r w:rsidR="009C16A1" w:rsidRPr="00954547">
        <w:rPr>
          <w:rFonts w:ascii="Verdana" w:hAnsi="Verdana"/>
          <w:i/>
          <w:sz w:val="16"/>
          <w:szCs w:val="16"/>
        </w:rPr>
        <w:t>v.</w:t>
      </w:r>
      <w:r w:rsidRPr="00954547">
        <w:rPr>
          <w:rFonts w:ascii="Verdana" w:hAnsi="Verdana"/>
          <w:i/>
          <w:sz w:val="16"/>
          <w:szCs w:val="16"/>
        </w:rPr>
        <w:t xml:space="preserve"> Argentina, supra</w:t>
      </w:r>
      <w:r w:rsidRPr="00954547">
        <w:rPr>
          <w:rFonts w:ascii="Verdana" w:hAnsi="Verdana"/>
          <w:sz w:val="16"/>
          <w:szCs w:val="16"/>
        </w:rPr>
        <w:t>.</w:t>
      </w:r>
      <w:r w:rsidRPr="00954547">
        <w:rPr>
          <w:rFonts w:ascii="Verdana" w:hAnsi="Verdana"/>
          <w:i/>
          <w:sz w:val="16"/>
          <w:szCs w:val="16"/>
        </w:rPr>
        <w:t xml:space="preserve"> </w:t>
      </w:r>
    </w:p>
  </w:footnote>
  <w:footnote w:id="301">
    <w:p w14:paraId="7A52721F" w14:textId="081CFF09"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715A4B" w:rsidRPr="00954547">
        <w:rPr>
          <w:iCs/>
          <w:lang w:val="en-US"/>
        </w:rPr>
        <w:t>See, for example</w:t>
      </w:r>
      <w:r w:rsidRPr="00954547">
        <w:rPr>
          <w:iCs/>
          <w:lang w:val="en-US"/>
        </w:rPr>
        <w:t>,</w:t>
      </w:r>
      <w:r w:rsidRPr="00954547">
        <w:rPr>
          <w:lang w:val="en-US"/>
        </w:rPr>
        <w:t xml:space="preserve"> </w:t>
      </w:r>
      <w:r w:rsidR="002F4617" w:rsidRPr="00954547">
        <w:rPr>
          <w:lang w:val="en-US"/>
        </w:rPr>
        <w:t>Case of</w:t>
      </w:r>
      <w:r w:rsidRPr="00954547">
        <w:rPr>
          <w:lang w:val="en-US"/>
        </w:rPr>
        <w:t xml:space="preserve"> Gonzales Lluy </w:t>
      </w:r>
      <w:r w:rsidR="00B8393C" w:rsidRPr="00954547">
        <w:rPr>
          <w:lang w:val="en-US"/>
        </w:rPr>
        <w:t>et al. v.</w:t>
      </w:r>
      <w:r w:rsidRPr="00954547">
        <w:rPr>
          <w:lang w:val="en-US"/>
        </w:rPr>
        <w:t xml:space="preserve"> Ecuador, supra, </w:t>
      </w:r>
      <w:r w:rsidR="00B10E5A" w:rsidRPr="00954547">
        <w:rPr>
          <w:lang w:val="en-US"/>
        </w:rPr>
        <w:t>para.</w:t>
      </w:r>
      <w:r w:rsidRPr="00954547">
        <w:rPr>
          <w:lang w:val="en-US"/>
        </w:rPr>
        <w:t xml:space="preserve"> 171,</w:t>
      </w:r>
      <w:r w:rsidR="0078694F" w:rsidRPr="00954547">
        <w:rPr>
          <w:lang w:val="en-US"/>
        </w:rPr>
        <w:t xml:space="preserve"> and </w:t>
      </w:r>
      <w:r w:rsidR="002F4617" w:rsidRPr="00954547">
        <w:rPr>
          <w:rFonts w:cs="Verdana"/>
          <w:iCs/>
          <w:lang w:val="en-US"/>
        </w:rPr>
        <w:t>Case of</w:t>
      </w:r>
      <w:r w:rsidRPr="00954547">
        <w:rPr>
          <w:rFonts w:cs="Verdana"/>
          <w:iCs/>
          <w:lang w:val="en-US"/>
        </w:rPr>
        <w:t xml:space="preserve"> Chinchilla Sandoval </w:t>
      </w:r>
      <w:r w:rsidR="00B8393C" w:rsidRPr="00954547">
        <w:rPr>
          <w:rFonts w:cs="Verdana"/>
          <w:iCs/>
          <w:lang w:val="en-US"/>
        </w:rPr>
        <w:t>et al. v.</w:t>
      </w:r>
      <w:r w:rsidRPr="00954547">
        <w:rPr>
          <w:rFonts w:cs="Verdana"/>
          <w:iCs/>
          <w:lang w:val="en-US"/>
        </w:rPr>
        <w:t xml:space="preserve"> Guatemala, supra, </w:t>
      </w:r>
      <w:r w:rsidR="0052231D" w:rsidRPr="00954547">
        <w:rPr>
          <w:lang w:val="en-US"/>
        </w:rPr>
        <w:t>paras.</w:t>
      </w:r>
      <w:r w:rsidRPr="00954547">
        <w:rPr>
          <w:lang w:val="en-US"/>
        </w:rPr>
        <w:t xml:space="preserve"> 170, 200</w:t>
      </w:r>
      <w:r w:rsidR="0078694F" w:rsidRPr="00954547">
        <w:rPr>
          <w:lang w:val="en-US"/>
        </w:rPr>
        <w:t xml:space="preserve"> and </w:t>
      </w:r>
      <w:r w:rsidRPr="00954547">
        <w:rPr>
          <w:lang w:val="en-US"/>
        </w:rPr>
        <w:t>225.</w:t>
      </w:r>
    </w:p>
  </w:footnote>
  <w:footnote w:id="302">
    <w:p w14:paraId="3E229DE9" w14:textId="6893010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Poblete Vilches </w:t>
      </w:r>
      <w:r w:rsidR="00B8393C" w:rsidRPr="00954547">
        <w:rPr>
          <w:rFonts w:ascii="Verdana" w:hAnsi="Verdana"/>
          <w:i/>
          <w:sz w:val="16"/>
          <w:szCs w:val="16"/>
        </w:rPr>
        <w:t>et al. v.</w:t>
      </w:r>
      <w:r w:rsidRPr="00954547">
        <w:rPr>
          <w:rFonts w:ascii="Verdana" w:hAnsi="Verdana"/>
          <w:i/>
          <w:sz w:val="16"/>
          <w:szCs w:val="16"/>
        </w:rPr>
        <w:t xml:space="preserve"> Chile,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118,</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100.</w:t>
      </w:r>
    </w:p>
  </w:footnote>
  <w:footnote w:id="303">
    <w:p w14:paraId="5110C970" w14:textId="7021530F" w:rsidR="005F001B" w:rsidRPr="00954547" w:rsidRDefault="005F001B" w:rsidP="007619E6">
      <w:pPr>
        <w:pStyle w:val="FootnoteText"/>
        <w:tabs>
          <w:tab w:val="left" w:pos="567"/>
        </w:tabs>
        <w:spacing w:after="120"/>
        <w:jc w:val="both"/>
        <w:rPr>
          <w:rFonts w:ascii="Verdana" w:hAnsi="Verdana"/>
          <w:sz w:val="16"/>
          <w:szCs w:val="16"/>
          <w:lang w:val="es-CR"/>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Poblete Vilches </w:t>
      </w:r>
      <w:r w:rsidR="00B8393C" w:rsidRPr="00954547">
        <w:rPr>
          <w:rFonts w:ascii="Verdana" w:hAnsi="Verdana"/>
          <w:i/>
          <w:sz w:val="16"/>
          <w:szCs w:val="16"/>
        </w:rPr>
        <w:t>et al. v.</w:t>
      </w:r>
      <w:r w:rsidRPr="00954547">
        <w:rPr>
          <w:rFonts w:ascii="Verdana" w:hAnsi="Verdana"/>
          <w:i/>
          <w:sz w:val="16"/>
          <w:szCs w:val="16"/>
        </w:rPr>
        <w:t xml:space="preserve"> Chile,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118,</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 xml:space="preserve">100. </w:t>
      </w:r>
      <w:r w:rsidR="00715A4B" w:rsidRPr="00954547">
        <w:rPr>
          <w:rFonts w:ascii="Verdana" w:hAnsi="Verdana"/>
          <w:sz w:val="16"/>
          <w:szCs w:val="16"/>
        </w:rPr>
        <w:t>See</w:t>
      </w:r>
      <w:r w:rsidRPr="00954547">
        <w:rPr>
          <w:rFonts w:ascii="Verdana" w:hAnsi="Verdana"/>
          <w:sz w:val="16"/>
          <w:szCs w:val="16"/>
        </w:rPr>
        <w:t xml:space="preserve">, </w:t>
      </w:r>
      <w:r w:rsidRPr="00954547">
        <w:rPr>
          <w:rFonts w:ascii="Verdana" w:hAnsi="Verdana"/>
          <w:i/>
          <w:sz w:val="16"/>
          <w:szCs w:val="16"/>
        </w:rPr>
        <w:t xml:space="preserve">inter alia, </w:t>
      </w:r>
      <w:r w:rsidR="001B6251" w:rsidRPr="00954547">
        <w:rPr>
          <w:rFonts w:ascii="Verdana" w:hAnsi="Verdana"/>
          <w:sz w:val="16"/>
          <w:szCs w:val="16"/>
        </w:rPr>
        <w:t>Preamble to the Constitution of the World Health Organization (WHO), adopted by the International Health Conference held in New York from 19 June to 22 July 1946, signed on 22 July 1946, by the representatives of 61 States (Off. Rec. WHO, 2, 100), and entered into force on 7 April 1948. Amendments adopted by the Twenty-sixth, Twenty-ninth, Thirty-ninth and Fifty-first World Health Assemblies (resolutions WHA26.37, WHA29.38, WHA39.6 and WHA51.23) came into force on 3 February 1977, 20 January 1984, 11 July 1994 and 15 September 2005 respectively and are incorporated into the present text</w:t>
      </w:r>
      <w:r w:rsidRPr="00954547">
        <w:rPr>
          <w:rFonts w:ascii="Verdana" w:hAnsi="Verdana"/>
          <w:sz w:val="16"/>
          <w:szCs w:val="16"/>
        </w:rPr>
        <w:t>.</w:t>
      </w:r>
      <w:r w:rsidR="001B6251" w:rsidRPr="00954547">
        <w:rPr>
          <w:rFonts w:ascii="Verdana" w:hAnsi="Verdana"/>
          <w:sz w:val="16"/>
          <w:szCs w:val="16"/>
        </w:rPr>
        <w:t xml:space="preserve"> </w:t>
      </w:r>
      <w:r w:rsidR="00715A4B" w:rsidRPr="00954547">
        <w:rPr>
          <w:rFonts w:ascii="Verdana" w:hAnsi="Verdana"/>
          <w:sz w:val="16"/>
          <w:szCs w:val="16"/>
        </w:rPr>
        <w:t>Committee on Economic, Social and Cultural Rights</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No. 14: </w:t>
      </w:r>
      <w:r w:rsidR="001B6251" w:rsidRPr="00954547">
        <w:rPr>
          <w:rFonts w:ascii="Verdana" w:hAnsi="Verdana"/>
          <w:sz w:val="16"/>
          <w:szCs w:val="16"/>
        </w:rPr>
        <w:t>The right to the highest attainable standard of health</w:t>
      </w:r>
      <w:r w:rsidRPr="00954547">
        <w:rPr>
          <w:rFonts w:ascii="Verdana" w:hAnsi="Verdana"/>
          <w:sz w:val="16"/>
          <w:szCs w:val="16"/>
        </w:rPr>
        <w:t xml:space="preserve">, </w:t>
      </w:r>
      <w:r w:rsidR="003212CD" w:rsidRPr="00954547">
        <w:rPr>
          <w:rFonts w:ascii="Verdana" w:hAnsi="Verdana"/>
          <w:sz w:val="16"/>
          <w:szCs w:val="16"/>
        </w:rPr>
        <w:t>August 11,</w:t>
      </w:r>
      <w:r w:rsidRPr="00954547">
        <w:rPr>
          <w:rFonts w:ascii="Verdana" w:hAnsi="Verdana"/>
          <w:sz w:val="16"/>
          <w:szCs w:val="16"/>
        </w:rPr>
        <w:t xml:space="preserve"> 2000, </w:t>
      </w:r>
      <w:r w:rsidR="003561F1" w:rsidRPr="00954547">
        <w:rPr>
          <w:rFonts w:ascii="Verdana" w:hAnsi="Verdana"/>
          <w:sz w:val="16"/>
          <w:szCs w:val="16"/>
        </w:rPr>
        <w:t>UN Doc.</w:t>
      </w:r>
      <w:r w:rsidRPr="00954547">
        <w:rPr>
          <w:rFonts w:ascii="Verdana" w:hAnsi="Verdana"/>
          <w:sz w:val="16"/>
          <w:szCs w:val="16"/>
        </w:rPr>
        <w:t xml:space="preserve"> </w:t>
      </w:r>
      <w:r w:rsidRPr="00954547">
        <w:rPr>
          <w:rFonts w:ascii="Verdana" w:hAnsi="Verdana"/>
          <w:sz w:val="16"/>
          <w:szCs w:val="16"/>
          <w:lang w:val="es-CR"/>
        </w:rPr>
        <w:t xml:space="preserve">E/C.12/2000/4, </w:t>
      </w:r>
      <w:r w:rsidR="00B10E5A" w:rsidRPr="00954547">
        <w:rPr>
          <w:rFonts w:ascii="Verdana" w:hAnsi="Verdana"/>
          <w:sz w:val="16"/>
          <w:szCs w:val="16"/>
          <w:lang w:val="es-CR"/>
        </w:rPr>
        <w:t>para.</w:t>
      </w:r>
      <w:r w:rsidRPr="00954547">
        <w:rPr>
          <w:rFonts w:ascii="Verdana" w:hAnsi="Verdana"/>
          <w:sz w:val="16"/>
          <w:szCs w:val="16"/>
          <w:lang w:val="es-CR"/>
        </w:rPr>
        <w:t xml:space="preserve"> 12.</w:t>
      </w:r>
    </w:p>
  </w:footnote>
  <w:footnote w:id="304">
    <w:p w14:paraId="0C0CA6B5" w14:textId="1EAD35A0" w:rsidR="005F001B" w:rsidRPr="00954547" w:rsidRDefault="005F001B" w:rsidP="007619E6">
      <w:pPr>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Poblete Vilches </w:t>
      </w:r>
      <w:r w:rsidR="00B8393C" w:rsidRPr="00954547">
        <w:rPr>
          <w:rFonts w:ascii="Verdana" w:hAnsi="Verdana"/>
          <w:i/>
          <w:sz w:val="16"/>
          <w:szCs w:val="16"/>
          <w:lang w:val="es-CR"/>
        </w:rPr>
        <w:t>et al. v.</w:t>
      </w:r>
      <w:r w:rsidRPr="00954547">
        <w:rPr>
          <w:rFonts w:ascii="Verdana" w:hAnsi="Verdana"/>
          <w:i/>
          <w:sz w:val="16"/>
          <w:szCs w:val="16"/>
          <w:lang w:val="es-CR"/>
        </w:rPr>
        <w:t xml:space="preserve"> Chile,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5C1103">
        <w:rPr>
          <w:rFonts w:ascii="Verdana" w:hAnsi="Verdana"/>
          <w:sz w:val="16"/>
          <w:szCs w:val="16"/>
        </w:rPr>
        <w:t>118,</w:t>
      </w:r>
      <w:r w:rsidR="0078694F" w:rsidRPr="005C1103">
        <w:rPr>
          <w:rFonts w:ascii="Verdana" w:hAnsi="Verdana"/>
          <w:sz w:val="16"/>
          <w:szCs w:val="16"/>
        </w:rPr>
        <w:t xml:space="preserve"> and </w:t>
      </w:r>
      <w:r w:rsidR="002F4617" w:rsidRPr="005C1103">
        <w:rPr>
          <w:rFonts w:ascii="Verdana" w:hAnsi="Verdana"/>
          <w:i/>
          <w:sz w:val="16"/>
          <w:szCs w:val="16"/>
        </w:rPr>
        <w:t>Case of</w:t>
      </w:r>
      <w:r w:rsidRPr="005C1103">
        <w:rPr>
          <w:rFonts w:ascii="Verdana" w:hAnsi="Verdana"/>
          <w:i/>
          <w:sz w:val="16"/>
          <w:szCs w:val="16"/>
        </w:rPr>
        <w:t xml:space="preserve"> Guachalá Chimbo </w:t>
      </w:r>
      <w:r w:rsidR="00B8393C" w:rsidRPr="005C1103">
        <w:rPr>
          <w:rFonts w:ascii="Verdana" w:hAnsi="Verdana"/>
          <w:i/>
          <w:sz w:val="16"/>
          <w:szCs w:val="16"/>
        </w:rPr>
        <w:t>et al. v.</w:t>
      </w:r>
      <w:r w:rsidRPr="005C1103">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101.</w:t>
      </w:r>
    </w:p>
  </w:footnote>
  <w:footnote w:id="305">
    <w:p w14:paraId="5C641923" w14:textId="39DA91B5" w:rsidR="005F001B" w:rsidRPr="00954547" w:rsidRDefault="005F001B" w:rsidP="007619E6">
      <w:pPr>
        <w:tabs>
          <w:tab w:val="left" w:pos="567"/>
        </w:tabs>
        <w:spacing w:after="120"/>
        <w:ind w:right="49"/>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Cuscul Pivaral </w:t>
      </w:r>
      <w:r w:rsidR="00B8393C" w:rsidRPr="00954547">
        <w:rPr>
          <w:rFonts w:ascii="Verdana" w:hAnsi="Verdana"/>
          <w:i/>
          <w:sz w:val="16"/>
          <w:szCs w:val="16"/>
        </w:rPr>
        <w:t>et al. v.</w:t>
      </w:r>
      <w:r w:rsidRPr="00954547">
        <w:rPr>
          <w:rFonts w:ascii="Verdana" w:hAnsi="Verdana"/>
          <w:i/>
          <w:sz w:val="16"/>
          <w:szCs w:val="16"/>
        </w:rPr>
        <w:t xml:space="preserve"> Guatemala.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August 23,</w:t>
      </w:r>
      <w:r w:rsidRPr="00954547">
        <w:rPr>
          <w:rFonts w:ascii="Verdana" w:hAnsi="Verdana"/>
          <w:sz w:val="16"/>
          <w:szCs w:val="16"/>
        </w:rPr>
        <w:t xml:space="preserve"> 2018. </w:t>
      </w:r>
      <w:r w:rsidR="00B8393C" w:rsidRPr="00954547">
        <w:rPr>
          <w:rFonts w:ascii="Verdana" w:hAnsi="Verdana"/>
          <w:sz w:val="16"/>
          <w:szCs w:val="16"/>
        </w:rPr>
        <w:t xml:space="preserve">Series </w:t>
      </w:r>
      <w:r w:rsidRPr="00954547">
        <w:rPr>
          <w:rFonts w:ascii="Verdana" w:hAnsi="Verdana"/>
          <w:sz w:val="16"/>
          <w:szCs w:val="16"/>
        </w:rPr>
        <w:t>C No. 359,</w:t>
      </w:r>
      <w:r w:rsidRPr="00954547">
        <w:rPr>
          <w:rFonts w:ascii="Verdana" w:hAnsi="Verdana"/>
          <w:i/>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39,</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100.</w:t>
      </w:r>
    </w:p>
  </w:footnote>
  <w:footnote w:id="306">
    <w:p w14:paraId="07253414" w14:textId="7DB5DC0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Poblete Vilches </w:t>
      </w:r>
      <w:r w:rsidR="00B8393C" w:rsidRPr="00954547">
        <w:rPr>
          <w:rFonts w:ascii="Verdana" w:hAnsi="Verdana"/>
          <w:i/>
          <w:sz w:val="16"/>
          <w:szCs w:val="16"/>
        </w:rPr>
        <w:t>et al. v.</w:t>
      </w:r>
      <w:r w:rsidRPr="00954547">
        <w:rPr>
          <w:rFonts w:ascii="Verdana" w:hAnsi="Verdana"/>
          <w:i/>
          <w:sz w:val="16"/>
          <w:szCs w:val="16"/>
        </w:rPr>
        <w:t xml:space="preserve"> Chile,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104,</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106.</w:t>
      </w:r>
    </w:p>
  </w:footnote>
  <w:footnote w:id="307">
    <w:p w14:paraId="394B8702" w14:textId="75CAC6C1"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Muelle Flores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1D4E6E" w:rsidRPr="00954547">
        <w:rPr>
          <w:rFonts w:ascii="Verdana" w:hAnsi="Verdana"/>
          <w:sz w:val="16"/>
          <w:szCs w:val="16"/>
        </w:rPr>
        <w:t>March 6,</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375, </w:t>
      </w:r>
      <w:r w:rsidR="00B10E5A" w:rsidRPr="00954547">
        <w:rPr>
          <w:rFonts w:ascii="Verdana" w:hAnsi="Verdana"/>
          <w:sz w:val="16"/>
          <w:szCs w:val="16"/>
        </w:rPr>
        <w:t>para.</w:t>
      </w:r>
      <w:r w:rsidRPr="00954547">
        <w:rPr>
          <w:rFonts w:ascii="Verdana" w:hAnsi="Verdana"/>
          <w:sz w:val="16"/>
          <w:szCs w:val="16"/>
        </w:rPr>
        <w:t xml:space="preserve"> 190,</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106.</w:t>
      </w:r>
    </w:p>
  </w:footnote>
  <w:footnote w:id="308">
    <w:p w14:paraId="1A9DCFE1" w14:textId="289EED55"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A17F8C" w:rsidRPr="00954547">
        <w:t>Article</w:t>
      </w:r>
      <w:r w:rsidRPr="00954547">
        <w:t xml:space="preserve"> 65 </w:t>
      </w:r>
      <w:r w:rsidR="00715A4B" w:rsidRPr="00954547">
        <w:t>of</w:t>
      </w:r>
      <w:r w:rsidRPr="00954547">
        <w:t xml:space="preserve"> </w:t>
      </w:r>
      <w:r w:rsidR="00715A4B" w:rsidRPr="00954547">
        <w:t>the Constitution</w:t>
      </w:r>
      <w:r w:rsidR="009E6B43" w:rsidRPr="00954547">
        <w:t xml:space="preserve"> of El </w:t>
      </w:r>
      <w:r w:rsidRPr="00954547">
        <w:t xml:space="preserve">Salvador </w:t>
      </w:r>
      <w:r w:rsidR="00715A4B" w:rsidRPr="00954547">
        <w:t>establishes</w:t>
      </w:r>
      <w:r w:rsidRPr="00954547">
        <w:t xml:space="preserve"> “</w:t>
      </w:r>
      <w:r w:rsidR="00715A4B" w:rsidRPr="00954547">
        <w:t xml:space="preserve">“the health of the inhabitants of the Republic constitutes a public good. The State and the </w:t>
      </w:r>
      <w:r w:rsidR="0068490B" w:rsidRPr="00954547">
        <w:t>individual</w:t>
      </w:r>
      <w:r w:rsidR="00715A4B" w:rsidRPr="00954547">
        <w:t xml:space="preserve"> are obliged to ensure is conservation and restoration. The State shall determine the national health policy and shall oversee and supervise its application.</w:t>
      </w:r>
      <w:r w:rsidRPr="00954547">
        <w:t xml:space="preserve">”  </w:t>
      </w:r>
      <w:r w:rsidR="001101C0" w:rsidRPr="00954547">
        <w:t>Constitution</w:t>
      </w:r>
      <w:r w:rsidR="00607E12" w:rsidRPr="00954547">
        <w:t xml:space="preserve"> of the </w:t>
      </w:r>
      <w:r w:rsidR="00B8393C" w:rsidRPr="00954547">
        <w:t>Republic of</w:t>
      </w:r>
      <w:r w:rsidRPr="00954547">
        <w:t xml:space="preserve"> El Salvador, </w:t>
      </w:r>
      <w:r w:rsidR="00C86FE5" w:rsidRPr="00954547">
        <w:t>Legislative Decree</w:t>
      </w:r>
      <w:r w:rsidRPr="00954547">
        <w:t xml:space="preserve"> No. 38 </w:t>
      </w:r>
      <w:r w:rsidR="00715A4B" w:rsidRPr="00954547">
        <w:t>of</w:t>
      </w:r>
      <w:r w:rsidRPr="00954547">
        <w:t xml:space="preserve"> 1983. </w:t>
      </w:r>
      <w:r w:rsidR="002F4617" w:rsidRPr="00954547">
        <w:t>Available at</w:t>
      </w:r>
      <w:r w:rsidRPr="00954547">
        <w:t xml:space="preserve">: </w:t>
      </w:r>
      <w:hyperlink r:id="rId25" w:history="1">
        <w:r w:rsidR="00715A4B" w:rsidRPr="00954547">
          <w:rPr>
            <w:rStyle w:val="Hyperlink"/>
          </w:rPr>
          <w:t>https://www.asamblea.gob.sv/sites/ default/files/documents/decretos/EA1C26BE-E75B-4709-98AB-8BC6CA287232.pdf</w:t>
        </w:r>
      </w:hyperlink>
      <w:r w:rsidRPr="00954547">
        <w:t xml:space="preserve"> </w:t>
      </w:r>
    </w:p>
  </w:footnote>
  <w:footnote w:id="309">
    <w:p w14:paraId="58775103" w14:textId="45275EA8" w:rsidR="005F001B" w:rsidRPr="00954547" w:rsidRDefault="005F001B" w:rsidP="007619E6">
      <w:pPr>
        <w:tabs>
          <w:tab w:val="left" w:pos="567"/>
        </w:tabs>
        <w:spacing w:after="120"/>
        <w:ind w:right="49"/>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 xml:space="preserve">151. </w:t>
      </w:r>
      <w:r w:rsidR="002A45FD" w:rsidRPr="00954547">
        <w:rPr>
          <w:rFonts w:ascii="Verdana" w:hAnsi="Verdana"/>
          <w:iCs/>
          <w:sz w:val="16"/>
          <w:szCs w:val="16"/>
        </w:rPr>
        <w:t>See also</w:t>
      </w:r>
      <w:r w:rsidR="002A45FD" w:rsidRPr="00954547">
        <w:rPr>
          <w:rFonts w:ascii="Verdana" w:hAnsi="Verdana"/>
          <w:i/>
          <w:sz w:val="16"/>
          <w:szCs w:val="16"/>
        </w:rPr>
        <w:t>,</w:t>
      </w:r>
      <w:r w:rsidR="000F0C04" w:rsidRPr="00954547">
        <w:rPr>
          <w:rFonts w:ascii="Verdana" w:hAnsi="Verdana"/>
          <w:i/>
          <w:sz w:val="16"/>
          <w:szCs w:val="16"/>
        </w:rPr>
        <w:t xml:space="preserve"> </w:t>
      </w:r>
      <w:r w:rsidR="00715A4B" w:rsidRPr="00954547">
        <w:rPr>
          <w:rFonts w:ascii="Verdana" w:hAnsi="Verdana"/>
          <w:i/>
          <w:sz w:val="16"/>
          <w:szCs w:val="16"/>
        </w:rPr>
        <w:t>Committee on Economic, Social and Cultural Rights</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No. 14: </w:t>
      </w:r>
      <w:r w:rsidR="001B6251" w:rsidRPr="00954547">
        <w:rPr>
          <w:rFonts w:ascii="Verdana" w:hAnsi="Verdana"/>
          <w:sz w:val="16"/>
          <w:szCs w:val="16"/>
        </w:rPr>
        <w:t>The right to the highest attainable standard of health</w:t>
      </w:r>
      <w:r w:rsidRPr="00954547">
        <w:rPr>
          <w:rFonts w:ascii="Verdana" w:hAnsi="Verdana"/>
          <w:sz w:val="16"/>
          <w:szCs w:val="16"/>
        </w:rPr>
        <w:t xml:space="preserve">, </w:t>
      </w:r>
      <w:r w:rsidR="003212CD" w:rsidRPr="00954547">
        <w:rPr>
          <w:rFonts w:ascii="Verdana" w:hAnsi="Verdana"/>
          <w:sz w:val="16"/>
          <w:szCs w:val="16"/>
        </w:rPr>
        <w:t>August 11,</w:t>
      </w:r>
      <w:r w:rsidRPr="00954547">
        <w:rPr>
          <w:rFonts w:ascii="Verdana" w:hAnsi="Verdana"/>
          <w:sz w:val="16"/>
          <w:szCs w:val="16"/>
        </w:rPr>
        <w:t xml:space="preserve"> 2000, </w:t>
      </w:r>
      <w:r w:rsidR="003561F1" w:rsidRPr="00954547">
        <w:rPr>
          <w:rFonts w:ascii="Verdana" w:hAnsi="Verdana"/>
          <w:sz w:val="16"/>
          <w:szCs w:val="16"/>
        </w:rPr>
        <w:t>UN Doc.</w:t>
      </w:r>
      <w:r w:rsidRPr="00954547">
        <w:rPr>
          <w:rFonts w:ascii="Verdana" w:hAnsi="Verdana"/>
          <w:sz w:val="16"/>
          <w:szCs w:val="16"/>
        </w:rPr>
        <w:t xml:space="preserve"> E/C.12/2000/4, </w:t>
      </w:r>
      <w:r w:rsidR="00B10E5A" w:rsidRPr="00954547">
        <w:rPr>
          <w:rFonts w:ascii="Verdana" w:hAnsi="Verdana"/>
          <w:sz w:val="16"/>
          <w:szCs w:val="16"/>
        </w:rPr>
        <w:t>para.</w:t>
      </w:r>
      <w:r w:rsidRPr="00954547">
        <w:rPr>
          <w:rFonts w:ascii="Verdana" w:hAnsi="Verdana"/>
          <w:sz w:val="16"/>
          <w:szCs w:val="16"/>
        </w:rPr>
        <w:t xml:space="preserve"> 12.</w:t>
      </w:r>
    </w:p>
  </w:footnote>
  <w:footnote w:id="310">
    <w:p w14:paraId="7B1592BB" w14:textId="40316BB9"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6E60A1" w:rsidRPr="00954547">
        <w:rPr>
          <w:lang w:val="en-US"/>
        </w:rPr>
        <w:t>Thus, for example, the European Court of Human Rights (</w:t>
      </w:r>
      <w:r w:rsidR="007619E6" w:rsidRPr="00954547">
        <w:rPr>
          <w:lang w:val="en-US"/>
        </w:rPr>
        <w:t>ECHR</w:t>
      </w:r>
      <w:r w:rsidR="006E60A1" w:rsidRPr="00954547">
        <w:rPr>
          <w:lang w:val="en-US"/>
        </w:rPr>
        <w:t>)</w:t>
      </w:r>
      <w:r w:rsidRPr="00954547">
        <w:rPr>
          <w:lang w:val="en-US"/>
        </w:rPr>
        <w:t xml:space="preserve"> ha</w:t>
      </w:r>
      <w:r w:rsidR="006E60A1" w:rsidRPr="00954547">
        <w:rPr>
          <w:lang w:val="en-US"/>
        </w:rPr>
        <w:t>s</w:t>
      </w:r>
      <w:r w:rsidRPr="00954547">
        <w:rPr>
          <w:lang w:val="en-US"/>
        </w:rPr>
        <w:t xml:space="preserve"> </w:t>
      </w:r>
      <w:r w:rsidR="006E60A1" w:rsidRPr="00954547">
        <w:rPr>
          <w:lang w:val="en-US"/>
        </w:rPr>
        <w:t>indicated that whe</w:t>
      </w:r>
      <w:r w:rsidR="009F2137" w:rsidRPr="00954547">
        <w:rPr>
          <w:lang w:val="en-US"/>
        </w:rPr>
        <w:t>re</w:t>
      </w:r>
      <w:r w:rsidR="006E60A1" w:rsidRPr="00954547">
        <w:rPr>
          <w:lang w:val="en-US"/>
        </w:rPr>
        <w:t xml:space="preserve"> States have</w:t>
      </w:r>
      <w:r w:rsidR="009F2137" w:rsidRPr="00954547">
        <w:rPr>
          <w:lang w:val="en-US"/>
        </w:rPr>
        <w:t xml:space="preserve"> “made adequate provision for securing </w:t>
      </w:r>
      <w:r w:rsidR="006E60A1" w:rsidRPr="00954547">
        <w:rPr>
          <w:lang w:val="en-US"/>
        </w:rPr>
        <w:t xml:space="preserve">high professional standards </w:t>
      </w:r>
      <w:r w:rsidR="009F2137" w:rsidRPr="00954547">
        <w:rPr>
          <w:lang w:val="en-US"/>
        </w:rPr>
        <w:t>among</w:t>
      </w:r>
      <w:r w:rsidR="006E60A1" w:rsidRPr="00954547">
        <w:rPr>
          <w:lang w:val="en-US"/>
        </w:rPr>
        <w:t xml:space="preserve"> health personnel</w:t>
      </w:r>
      <w:r w:rsidR="009F2137" w:rsidRPr="00954547">
        <w:rPr>
          <w:lang w:val="en-US"/>
        </w:rPr>
        <w:t xml:space="preserve"> </w:t>
      </w:r>
      <w:r w:rsidR="006D569A" w:rsidRPr="00954547">
        <w:rPr>
          <w:lang w:val="en-US"/>
        </w:rPr>
        <w:t>[…</w:t>
      </w:r>
      <w:r w:rsidR="001F75E5" w:rsidRPr="00954547">
        <w:rPr>
          <w:lang w:val="en-US"/>
        </w:rPr>
        <w:t xml:space="preserve"> the Court]</w:t>
      </w:r>
      <w:r w:rsidR="009F2137" w:rsidRPr="00954547">
        <w:rPr>
          <w:lang w:val="en-US"/>
        </w:rPr>
        <w:t xml:space="preserve"> cannot accept that </w:t>
      </w:r>
      <w:r w:rsidR="006E60A1" w:rsidRPr="00954547">
        <w:rPr>
          <w:lang w:val="en-US"/>
        </w:rPr>
        <w:t xml:space="preserve">matters such as error of judgment </w:t>
      </w:r>
      <w:r w:rsidR="009F2137" w:rsidRPr="00954547">
        <w:rPr>
          <w:lang w:val="en-US"/>
        </w:rPr>
        <w:t>on the part of a health professional or</w:t>
      </w:r>
      <w:r w:rsidR="006E60A1" w:rsidRPr="00954547">
        <w:rPr>
          <w:lang w:val="en-US"/>
        </w:rPr>
        <w:t xml:space="preserve"> negligent co</w:t>
      </w:r>
      <w:r w:rsidR="009F2137" w:rsidRPr="00954547">
        <w:rPr>
          <w:lang w:val="en-US"/>
        </w:rPr>
        <w:t>-</w:t>
      </w:r>
      <w:r w:rsidR="006E60A1" w:rsidRPr="00954547">
        <w:rPr>
          <w:lang w:val="en-US"/>
        </w:rPr>
        <w:t xml:space="preserve">ordination </w:t>
      </w:r>
      <w:r w:rsidR="009F2137" w:rsidRPr="00954547">
        <w:rPr>
          <w:lang w:val="en-US"/>
        </w:rPr>
        <w:t>among</w:t>
      </w:r>
      <w:r w:rsidR="006E60A1" w:rsidRPr="00954547">
        <w:rPr>
          <w:lang w:val="en-US"/>
        </w:rPr>
        <w:t xml:space="preserve"> health professionals in the treatment of a </w:t>
      </w:r>
      <w:r w:rsidR="009F2137" w:rsidRPr="00954547">
        <w:rPr>
          <w:lang w:val="en-US"/>
        </w:rPr>
        <w:t xml:space="preserve">particular patient are </w:t>
      </w:r>
      <w:r w:rsidR="006E60A1" w:rsidRPr="00954547">
        <w:rPr>
          <w:lang w:val="en-US"/>
        </w:rPr>
        <w:t>sufficient in themselves</w:t>
      </w:r>
      <w:r w:rsidR="009F2137" w:rsidRPr="00954547">
        <w:rPr>
          <w:lang w:val="en-US"/>
        </w:rPr>
        <w:t>”</w:t>
      </w:r>
      <w:r w:rsidR="006E60A1" w:rsidRPr="00954547">
        <w:rPr>
          <w:lang w:val="en-US"/>
        </w:rPr>
        <w:t xml:space="preserve"> to establish the international responsibility of a State. </w:t>
      </w:r>
      <w:r w:rsidR="007619E6" w:rsidRPr="00954547">
        <w:rPr>
          <w:lang w:val="en-US"/>
        </w:rPr>
        <w:t>ECHR</w:t>
      </w:r>
      <w:r w:rsidRPr="00954547">
        <w:rPr>
          <w:lang w:val="en-US"/>
        </w:rPr>
        <w:t xml:space="preserve"> [</w:t>
      </w:r>
      <w:r w:rsidR="006E60A1" w:rsidRPr="00954547">
        <w:rPr>
          <w:lang w:val="en-US"/>
        </w:rPr>
        <w:t>Fourth Section</w:t>
      </w:r>
      <w:r w:rsidRPr="00954547">
        <w:rPr>
          <w:lang w:val="en-US"/>
        </w:rPr>
        <w:t xml:space="preserve">]. </w:t>
      </w:r>
      <w:r w:rsidR="002F4617" w:rsidRPr="00954547">
        <w:rPr>
          <w:i/>
          <w:lang w:val="en-US"/>
        </w:rPr>
        <w:t>Case of</w:t>
      </w:r>
      <w:r w:rsidRPr="00954547">
        <w:rPr>
          <w:i/>
          <w:lang w:val="en-US"/>
        </w:rPr>
        <w:t xml:space="preserve"> Byrzykowski </w:t>
      </w:r>
      <w:r w:rsidR="009C16A1" w:rsidRPr="00954547">
        <w:rPr>
          <w:i/>
          <w:lang w:val="en-US"/>
        </w:rPr>
        <w:t>v.</w:t>
      </w:r>
      <w:r w:rsidRPr="00954547">
        <w:rPr>
          <w:i/>
          <w:lang w:val="en-US"/>
        </w:rPr>
        <w:t xml:space="preserve"> Pol</w:t>
      </w:r>
      <w:r w:rsidR="006E60A1" w:rsidRPr="00954547">
        <w:rPr>
          <w:i/>
          <w:lang w:val="en-US"/>
        </w:rPr>
        <w:t>and</w:t>
      </w:r>
      <w:r w:rsidRPr="00954547">
        <w:rPr>
          <w:lang w:val="en-US"/>
        </w:rPr>
        <w:t xml:space="preserve">, No 11562/05, </w:t>
      </w:r>
      <w:r w:rsidR="006E60A1" w:rsidRPr="00954547">
        <w:rPr>
          <w:lang w:val="en-US"/>
        </w:rPr>
        <w:t>of September 27,</w:t>
      </w:r>
      <w:r w:rsidRPr="00954547">
        <w:rPr>
          <w:lang w:val="en-US"/>
        </w:rPr>
        <w:t xml:space="preserve"> 2006, </w:t>
      </w:r>
      <w:r w:rsidR="00B10E5A" w:rsidRPr="00954547">
        <w:rPr>
          <w:lang w:val="en-US"/>
        </w:rPr>
        <w:t>para.</w:t>
      </w:r>
      <w:r w:rsidRPr="00954547">
        <w:rPr>
          <w:lang w:val="en-US"/>
        </w:rPr>
        <w:t xml:space="preserve"> 104.</w:t>
      </w:r>
    </w:p>
  </w:footnote>
  <w:footnote w:id="311">
    <w:p w14:paraId="746BD2BA" w14:textId="42FE6C3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15A4B" w:rsidRPr="00954547">
        <w:rPr>
          <w:rFonts w:ascii="Verdana" w:hAnsi="Verdana"/>
          <w:sz w:val="16"/>
          <w:szCs w:val="16"/>
        </w:rPr>
        <w:t>Committee on Economic, Social and Cultural Rights</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No. 22: </w:t>
      </w:r>
      <w:r w:rsidR="00A47246" w:rsidRPr="00954547">
        <w:rPr>
          <w:rFonts w:ascii="Verdana" w:hAnsi="Verdana"/>
          <w:sz w:val="16"/>
          <w:szCs w:val="16"/>
        </w:rPr>
        <w:t>The right to sexual and reproductive health</w:t>
      </w:r>
      <w:r w:rsidRPr="00954547">
        <w:rPr>
          <w:rFonts w:ascii="Verdana" w:hAnsi="Verdana"/>
          <w:sz w:val="16"/>
          <w:szCs w:val="16"/>
        </w:rPr>
        <w:t xml:space="preserve">, </w:t>
      </w:r>
      <w:r w:rsidR="00A47246" w:rsidRPr="00954547">
        <w:rPr>
          <w:rFonts w:ascii="Verdana" w:hAnsi="Verdana"/>
          <w:sz w:val="16"/>
          <w:szCs w:val="16"/>
        </w:rPr>
        <w:t>May 2,</w:t>
      </w:r>
      <w:r w:rsidRPr="00954547">
        <w:rPr>
          <w:rFonts w:ascii="Verdana" w:hAnsi="Verdana"/>
          <w:sz w:val="16"/>
          <w:szCs w:val="16"/>
        </w:rPr>
        <w:t xml:space="preserve"> 2016, UN Doc. E/C.12/GC/22, </w:t>
      </w:r>
      <w:r w:rsidR="00B10E5A" w:rsidRPr="00954547">
        <w:rPr>
          <w:rFonts w:ascii="Verdana" w:hAnsi="Verdana"/>
          <w:sz w:val="16"/>
          <w:szCs w:val="16"/>
        </w:rPr>
        <w:t>para.</w:t>
      </w:r>
      <w:r w:rsidRPr="00954547">
        <w:rPr>
          <w:rFonts w:ascii="Verdana" w:hAnsi="Verdana"/>
          <w:sz w:val="16"/>
          <w:szCs w:val="16"/>
        </w:rPr>
        <w:t xml:space="preserve"> 1. </w:t>
      </w:r>
      <w:r w:rsidR="002A45FD" w:rsidRPr="00954547">
        <w:rPr>
          <w:rFonts w:ascii="Verdana" w:hAnsi="Verdana"/>
          <w:iCs/>
          <w:sz w:val="16"/>
          <w:szCs w:val="16"/>
        </w:rPr>
        <w:t>See also,</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Artavia </w:t>
      </w:r>
      <w:r w:rsidR="00A47246" w:rsidRPr="00954547">
        <w:rPr>
          <w:rFonts w:ascii="Verdana" w:hAnsi="Verdana"/>
          <w:i/>
          <w:sz w:val="16"/>
          <w:szCs w:val="16"/>
        </w:rPr>
        <w:t>Murillo et al. (“In vitro fertilization”)</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Costa Rica</w:t>
      </w:r>
      <w:r w:rsidRPr="00954547">
        <w:rPr>
          <w:rFonts w:ascii="Verdana" w:hAnsi="Verdana"/>
          <w:sz w:val="16"/>
          <w:szCs w:val="16"/>
        </w:rPr>
        <w:t xml:space="preserve">, supra, </w:t>
      </w:r>
      <w:r w:rsidR="00B10E5A" w:rsidRPr="00954547">
        <w:rPr>
          <w:rFonts w:ascii="Verdana" w:hAnsi="Verdana"/>
          <w:sz w:val="16"/>
          <w:szCs w:val="16"/>
        </w:rPr>
        <w:t>para.</w:t>
      </w:r>
      <w:r w:rsidRPr="00954547">
        <w:rPr>
          <w:rFonts w:ascii="Verdana" w:hAnsi="Verdana"/>
          <w:sz w:val="16"/>
          <w:szCs w:val="16"/>
        </w:rPr>
        <w:t xml:space="preserve"> 148,</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157. </w:t>
      </w:r>
      <w:r w:rsidR="00E76B1A" w:rsidRPr="00954547">
        <w:rPr>
          <w:rFonts w:ascii="Verdana" w:hAnsi="Verdana"/>
          <w:sz w:val="16"/>
          <w:szCs w:val="16"/>
        </w:rPr>
        <w:t>The Court</w:t>
      </w:r>
      <w:r w:rsidRPr="00954547">
        <w:rPr>
          <w:rFonts w:ascii="Verdana" w:hAnsi="Verdana"/>
          <w:sz w:val="16"/>
          <w:szCs w:val="16"/>
        </w:rPr>
        <w:t xml:space="preserve"> ha</w:t>
      </w:r>
      <w:r w:rsidR="00A47246" w:rsidRPr="00954547">
        <w:rPr>
          <w:rFonts w:ascii="Verdana" w:hAnsi="Verdana"/>
          <w:sz w:val="16"/>
          <w:szCs w:val="16"/>
        </w:rPr>
        <w:t xml:space="preserve">s adopted the concept of reproductive health formulated by the </w:t>
      </w:r>
      <w:r w:rsidR="002A148F" w:rsidRPr="00954547">
        <w:rPr>
          <w:rFonts w:ascii="Verdana" w:hAnsi="Verdana"/>
          <w:sz w:val="16"/>
          <w:szCs w:val="16"/>
        </w:rPr>
        <w:t xml:space="preserve">Programme of </w:t>
      </w:r>
      <w:r w:rsidR="00A47246" w:rsidRPr="00954547">
        <w:rPr>
          <w:rFonts w:ascii="Verdana" w:hAnsi="Verdana"/>
          <w:sz w:val="16"/>
          <w:szCs w:val="16"/>
        </w:rPr>
        <w:t xml:space="preserve">Action </w:t>
      </w:r>
      <w:r w:rsidR="002A148F" w:rsidRPr="00954547">
        <w:rPr>
          <w:rFonts w:ascii="Verdana" w:hAnsi="Verdana"/>
          <w:sz w:val="16"/>
          <w:szCs w:val="16"/>
        </w:rPr>
        <w:t>of</w:t>
      </w:r>
      <w:r w:rsidR="00A47246" w:rsidRPr="00954547">
        <w:rPr>
          <w:rFonts w:ascii="Verdana" w:hAnsi="Verdana"/>
          <w:sz w:val="16"/>
          <w:szCs w:val="16"/>
        </w:rPr>
        <w:t xml:space="preserve"> the</w:t>
      </w:r>
      <w:r w:rsidR="002A148F" w:rsidRPr="00954547">
        <w:rPr>
          <w:rFonts w:ascii="Verdana" w:hAnsi="Verdana"/>
          <w:sz w:val="16"/>
          <w:szCs w:val="16"/>
        </w:rPr>
        <w:t xml:space="preserve"> 1994</w:t>
      </w:r>
      <w:r w:rsidR="00A47246" w:rsidRPr="00954547">
        <w:rPr>
          <w:rFonts w:ascii="Verdana" w:hAnsi="Verdana"/>
          <w:sz w:val="16"/>
          <w:szCs w:val="16"/>
        </w:rPr>
        <w:t xml:space="preserve"> International</w:t>
      </w:r>
      <w:r w:rsidRPr="00954547">
        <w:rPr>
          <w:rFonts w:ascii="Verdana" w:hAnsi="Verdana"/>
          <w:sz w:val="16"/>
          <w:szCs w:val="16"/>
        </w:rPr>
        <w:t xml:space="preserve"> </w:t>
      </w:r>
      <w:r w:rsidR="002A148F" w:rsidRPr="00954547">
        <w:rPr>
          <w:rFonts w:ascii="Verdana" w:hAnsi="Verdana"/>
          <w:sz w:val="16"/>
          <w:szCs w:val="16"/>
        </w:rPr>
        <w:t>Conference on Population and Development held in Cairo, as “a state of complete physical, mental and social well-being</w:t>
      </w:r>
      <w:r w:rsidR="00B9759A" w:rsidRPr="00954547">
        <w:rPr>
          <w:rFonts w:ascii="Verdana" w:hAnsi="Verdana"/>
          <w:sz w:val="16"/>
          <w:szCs w:val="16"/>
        </w:rPr>
        <w:t xml:space="preserve"> and not merely the absence of disease or infirmity, in all matters relating to the reproductive system and to its functions and processes.” Consequently, [r]eproductive health therefore implies that people are able to have a satisfying and safe sex life and that they have the capability to reproduce and the freedom to decide if, when and how often to do so. Implicit in this last condition is the right of men and women to be informed and to have access to safe, effective, affordable and acceptable methods of family planning of their choice, as well as other methods of their choice for regulation of fertility which are not against the law, and the right of access to appropriate health-care services that will enable women to go safely through pregnancy and childbirth and provide couples with the best chance of having a healthy infant.” </w:t>
      </w:r>
      <w:r w:rsidRPr="00954547">
        <w:rPr>
          <w:rFonts w:ascii="Verdana" w:hAnsi="Verdana"/>
          <w:sz w:val="16"/>
          <w:szCs w:val="16"/>
        </w:rPr>
        <w:t>Program</w:t>
      </w:r>
      <w:r w:rsidR="00B9759A" w:rsidRPr="00954547">
        <w:rPr>
          <w:rFonts w:ascii="Verdana" w:hAnsi="Verdana"/>
          <w:sz w:val="16"/>
          <w:szCs w:val="16"/>
        </w:rPr>
        <w:t>me of Action of the International Conference on Population and Development</w:t>
      </w:r>
      <w:r w:rsidRPr="00954547">
        <w:rPr>
          <w:rFonts w:ascii="Verdana" w:hAnsi="Verdana"/>
          <w:sz w:val="16"/>
          <w:szCs w:val="16"/>
        </w:rPr>
        <w:t xml:space="preserve">, Cairo, </w:t>
      </w:r>
      <w:r w:rsidR="00B9759A" w:rsidRPr="00954547">
        <w:rPr>
          <w:rFonts w:ascii="Verdana" w:hAnsi="Verdana"/>
          <w:sz w:val="16"/>
          <w:szCs w:val="16"/>
        </w:rPr>
        <w:t>UN Doc.</w:t>
      </w:r>
      <w:r w:rsidRPr="00954547">
        <w:rPr>
          <w:rFonts w:ascii="Verdana" w:hAnsi="Verdana"/>
          <w:sz w:val="16"/>
          <w:szCs w:val="16"/>
        </w:rPr>
        <w:t xml:space="preserve"> </w:t>
      </w:r>
      <w:r w:rsidRPr="00954547">
        <w:rPr>
          <w:rFonts w:ascii="Verdana" w:hAnsi="Verdana"/>
          <w:sz w:val="16"/>
          <w:szCs w:val="16"/>
          <w:lang w:val="es-CR"/>
        </w:rPr>
        <w:t xml:space="preserve">A/CONF.171/13/Rev.1, 1994, </w:t>
      </w:r>
      <w:r w:rsidR="00B10E5A" w:rsidRPr="00954547">
        <w:rPr>
          <w:rFonts w:ascii="Verdana" w:hAnsi="Verdana"/>
          <w:sz w:val="16"/>
          <w:szCs w:val="16"/>
          <w:lang w:val="es-CR"/>
        </w:rPr>
        <w:t>para.</w:t>
      </w:r>
      <w:r w:rsidRPr="00954547">
        <w:rPr>
          <w:rFonts w:ascii="Verdana" w:hAnsi="Verdana"/>
          <w:sz w:val="16"/>
          <w:szCs w:val="16"/>
          <w:lang w:val="es-CR"/>
        </w:rPr>
        <w:t xml:space="preserve"> </w:t>
      </w:r>
      <w:r w:rsidR="00A17F8C" w:rsidRPr="00954547">
        <w:rPr>
          <w:rFonts w:ascii="Verdana" w:hAnsi="Verdana"/>
          <w:sz w:val="16"/>
          <w:szCs w:val="16"/>
          <w:lang w:val="es-CR"/>
        </w:rPr>
        <w:t>7(2)</w:t>
      </w:r>
      <w:r w:rsidRPr="00954547">
        <w:rPr>
          <w:rFonts w:ascii="Verdana" w:hAnsi="Verdana"/>
          <w:sz w:val="16"/>
          <w:szCs w:val="16"/>
          <w:lang w:val="es-CR"/>
        </w:rPr>
        <w:t xml:space="preserve">. </w:t>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Artavia </w:t>
      </w:r>
      <w:r w:rsidR="00A47246" w:rsidRPr="00954547">
        <w:rPr>
          <w:rFonts w:ascii="Verdana" w:hAnsi="Verdana"/>
          <w:i/>
          <w:sz w:val="16"/>
          <w:szCs w:val="16"/>
          <w:lang w:val="es-CR"/>
        </w:rPr>
        <w:t>Murillo et al. (“In vitro fertilization”)</w:t>
      </w:r>
      <w:r w:rsidRPr="00954547">
        <w:rPr>
          <w:rFonts w:ascii="Verdana" w:hAnsi="Verdana"/>
          <w:i/>
          <w:sz w:val="16"/>
          <w:szCs w:val="16"/>
          <w:lang w:val="es-CR"/>
        </w:rPr>
        <w:t xml:space="preserve"> </w:t>
      </w:r>
      <w:r w:rsidR="009C16A1" w:rsidRPr="00954547">
        <w:rPr>
          <w:rFonts w:ascii="Verdana" w:hAnsi="Verdana"/>
          <w:i/>
          <w:sz w:val="16"/>
          <w:szCs w:val="16"/>
          <w:lang w:val="es-CR"/>
        </w:rPr>
        <w:t>v.</w:t>
      </w:r>
      <w:r w:rsidRPr="00954547">
        <w:rPr>
          <w:rFonts w:ascii="Verdana" w:hAnsi="Verdana"/>
          <w:i/>
          <w:sz w:val="16"/>
          <w:szCs w:val="16"/>
          <w:lang w:val="es-CR"/>
        </w:rPr>
        <w:t xml:space="preserve"> Costa Rica</w:t>
      </w:r>
      <w:r w:rsidRPr="00954547">
        <w:rPr>
          <w:rFonts w:ascii="Verdana" w:hAnsi="Verdana"/>
          <w:sz w:val="16"/>
          <w:szCs w:val="16"/>
          <w:lang w:val="es-CR"/>
        </w:rPr>
        <w:t xml:space="preserve">, </w:t>
      </w:r>
      <w:r w:rsidRPr="00954547">
        <w:rPr>
          <w:rFonts w:ascii="Verdana" w:hAnsi="Verdana"/>
          <w:i/>
          <w:sz w:val="16"/>
          <w:szCs w:val="16"/>
          <w:lang w:val="es-CR"/>
        </w:rPr>
        <w:t>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Fonts w:ascii="Verdana" w:hAnsi="Verdana"/>
          <w:sz w:val="16"/>
          <w:szCs w:val="16"/>
        </w:rPr>
        <w:t xml:space="preserve">148. </w:t>
      </w:r>
      <w:r w:rsidR="00B9759A" w:rsidRPr="00954547">
        <w:rPr>
          <w:rFonts w:ascii="Verdana" w:hAnsi="Verdana"/>
          <w:sz w:val="16"/>
          <w:szCs w:val="16"/>
        </w:rPr>
        <w:t>Similarly,</w:t>
      </w:r>
      <w:r w:rsidRPr="00954547">
        <w:rPr>
          <w:rFonts w:ascii="Verdana" w:hAnsi="Verdana"/>
          <w:sz w:val="16"/>
          <w:szCs w:val="16"/>
        </w:rPr>
        <w:t xml:space="preserve"> </w:t>
      </w:r>
      <w:r w:rsidR="00E76B1A" w:rsidRPr="00954547">
        <w:rPr>
          <w:rFonts w:ascii="Verdana" w:hAnsi="Verdana"/>
          <w:sz w:val="16"/>
          <w:szCs w:val="16"/>
        </w:rPr>
        <w:t>the Court</w:t>
      </w:r>
      <w:r w:rsidRPr="00954547">
        <w:rPr>
          <w:rFonts w:ascii="Verdana" w:hAnsi="Verdana"/>
          <w:sz w:val="16"/>
          <w:szCs w:val="16"/>
        </w:rPr>
        <w:t xml:space="preserve"> ha</w:t>
      </w:r>
      <w:r w:rsidR="00B9759A" w:rsidRPr="00954547">
        <w:rPr>
          <w:rFonts w:ascii="Verdana" w:hAnsi="Verdana"/>
          <w:sz w:val="16"/>
          <w:szCs w:val="16"/>
        </w:rPr>
        <w:t>s considered, in keeping with the Pan-American Health Organization (PAHO)</w:t>
      </w:r>
      <w:r w:rsidR="001F75E5" w:rsidRPr="00954547">
        <w:rPr>
          <w:rFonts w:ascii="Verdana" w:hAnsi="Verdana"/>
          <w:sz w:val="16"/>
          <w:szCs w:val="16"/>
        </w:rPr>
        <w:t>,</w:t>
      </w:r>
      <w:r w:rsidR="00B9759A" w:rsidRPr="00954547">
        <w:rPr>
          <w:rFonts w:ascii="Verdana" w:hAnsi="Verdana"/>
          <w:sz w:val="16"/>
          <w:szCs w:val="16"/>
        </w:rPr>
        <w:t xml:space="preserve"> </w:t>
      </w:r>
      <w:r w:rsidR="00C54313" w:rsidRPr="00954547">
        <w:rPr>
          <w:rFonts w:ascii="Verdana" w:hAnsi="Verdana"/>
          <w:sz w:val="16"/>
          <w:szCs w:val="16"/>
        </w:rPr>
        <w:t xml:space="preserve">that </w:t>
      </w:r>
      <w:r w:rsidR="00674DA3" w:rsidRPr="00954547">
        <w:rPr>
          <w:rFonts w:ascii="Verdana" w:hAnsi="Verdana"/>
          <w:sz w:val="16"/>
          <w:szCs w:val="16"/>
        </w:rPr>
        <w:t>sexual and reproductive health</w:t>
      </w:r>
      <w:r w:rsidRPr="00954547">
        <w:rPr>
          <w:rFonts w:ascii="Verdana" w:hAnsi="Verdana"/>
          <w:sz w:val="16"/>
          <w:szCs w:val="16"/>
        </w:rPr>
        <w:t xml:space="preserve"> </w:t>
      </w:r>
      <w:r w:rsidR="00C54313" w:rsidRPr="00954547">
        <w:rPr>
          <w:rFonts w:ascii="Verdana" w:hAnsi="Verdana"/>
          <w:sz w:val="16"/>
          <w:szCs w:val="16"/>
        </w:rPr>
        <w:t>“implies that people are able to have a satisfying and safe sex life and have the capability to reproduce as well as the freedom to decide if, when, and how often to do so.</w:t>
      </w:r>
      <w:r w:rsidRPr="00954547">
        <w:rPr>
          <w:rFonts w:ascii="Verdana" w:hAnsi="Verdana"/>
          <w:sz w:val="16"/>
          <w:szCs w:val="16"/>
        </w:rPr>
        <w:t xml:space="preserve">” </w:t>
      </w:r>
      <w:r w:rsidR="00C54313" w:rsidRPr="00954547">
        <w:rPr>
          <w:rFonts w:ascii="Verdana" w:hAnsi="Verdana"/>
          <w:sz w:val="16"/>
          <w:szCs w:val="16"/>
        </w:rPr>
        <w:t xml:space="preserve">Pan-American Health Organization, </w:t>
      </w:r>
      <w:r w:rsidR="00BC7072" w:rsidRPr="00954547">
        <w:rPr>
          <w:rFonts w:ascii="Verdana" w:hAnsi="Verdana"/>
          <w:sz w:val="16"/>
          <w:szCs w:val="16"/>
        </w:rPr>
        <w:t>Health</w:t>
      </w:r>
      <w:r w:rsidRPr="00954547">
        <w:rPr>
          <w:rFonts w:ascii="Verdana" w:hAnsi="Verdana"/>
          <w:sz w:val="16"/>
          <w:szCs w:val="16"/>
        </w:rPr>
        <w:t xml:space="preserve"> </w:t>
      </w:r>
      <w:r w:rsidR="00C54313" w:rsidRPr="00954547">
        <w:rPr>
          <w:rFonts w:ascii="Verdana" w:hAnsi="Verdana"/>
          <w:sz w:val="16"/>
          <w:szCs w:val="16"/>
        </w:rPr>
        <w:t>in the Americas</w:t>
      </w:r>
      <w:r w:rsidRPr="00954547">
        <w:rPr>
          <w:rFonts w:ascii="Verdana" w:hAnsi="Verdana"/>
          <w:sz w:val="16"/>
          <w:szCs w:val="16"/>
        </w:rPr>
        <w:t xml:space="preserve"> 2007, Volume I - Regional, Washington D.C, 2007, p. 1</w:t>
      </w:r>
      <w:r w:rsidR="00C54313" w:rsidRPr="00954547">
        <w:rPr>
          <w:rFonts w:ascii="Verdana" w:hAnsi="Verdana"/>
          <w:sz w:val="16"/>
          <w:szCs w:val="16"/>
        </w:rPr>
        <w:t>43</w:t>
      </w:r>
      <w:r w:rsidRPr="00954547">
        <w:rPr>
          <w:rFonts w:ascii="Verdana" w:hAnsi="Verdana"/>
          <w:sz w:val="16"/>
          <w:szCs w:val="16"/>
        </w:rPr>
        <w:t>.</w:t>
      </w:r>
    </w:p>
  </w:footnote>
  <w:footnote w:id="312">
    <w:p w14:paraId="67802653" w14:textId="420E7D9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157. </w:t>
      </w:r>
      <w:r w:rsidR="002A45FD" w:rsidRPr="00954547">
        <w:rPr>
          <w:rFonts w:ascii="Verdana" w:hAnsi="Verdana"/>
          <w:i/>
          <w:sz w:val="16"/>
          <w:szCs w:val="16"/>
        </w:rPr>
        <w:t>See also,</w:t>
      </w:r>
      <w:r w:rsidRPr="00954547">
        <w:rPr>
          <w:rFonts w:ascii="Verdana" w:hAnsi="Verdana"/>
          <w:i/>
          <w:sz w:val="16"/>
          <w:szCs w:val="16"/>
        </w:rPr>
        <w:t xml:space="preserve"> </w:t>
      </w:r>
      <w:r w:rsidR="000F0C04" w:rsidRPr="00954547">
        <w:rPr>
          <w:rFonts w:ascii="Verdana" w:hAnsi="Verdana"/>
          <w:sz w:val="16"/>
          <w:szCs w:val="16"/>
        </w:rPr>
        <w:t xml:space="preserve">UN, </w:t>
      </w:r>
      <w:r w:rsidR="00715A4B" w:rsidRPr="00954547">
        <w:rPr>
          <w:rFonts w:ascii="Verdana" w:hAnsi="Verdana"/>
          <w:sz w:val="16"/>
          <w:szCs w:val="16"/>
        </w:rPr>
        <w:t>Committee on Economic, Social and Cultural Rights</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No. 22, </w:t>
      </w:r>
      <w:r w:rsidR="00A47246" w:rsidRPr="00954547">
        <w:rPr>
          <w:rFonts w:ascii="Verdana" w:hAnsi="Verdana"/>
          <w:sz w:val="16"/>
          <w:szCs w:val="16"/>
        </w:rPr>
        <w:t>The right to sexual and reproductive health</w:t>
      </w:r>
      <w:r w:rsidRPr="00954547">
        <w:rPr>
          <w:rFonts w:ascii="Verdana" w:hAnsi="Verdana"/>
          <w:sz w:val="16"/>
          <w:szCs w:val="16"/>
        </w:rPr>
        <w:t xml:space="preserve">, </w:t>
      </w:r>
      <w:r w:rsidR="00C54313" w:rsidRPr="00954547">
        <w:rPr>
          <w:rFonts w:ascii="Verdana" w:hAnsi="Verdana"/>
          <w:sz w:val="16"/>
          <w:szCs w:val="16"/>
        </w:rPr>
        <w:t>May 2,</w:t>
      </w:r>
      <w:r w:rsidRPr="00954547">
        <w:rPr>
          <w:rFonts w:ascii="Verdana" w:hAnsi="Verdana"/>
          <w:sz w:val="16"/>
          <w:szCs w:val="16"/>
        </w:rPr>
        <w:t xml:space="preserve"> 2016, </w:t>
      </w:r>
      <w:r w:rsidR="00B10E5A" w:rsidRPr="00954547">
        <w:rPr>
          <w:rFonts w:ascii="Verdana" w:hAnsi="Verdana"/>
          <w:sz w:val="16"/>
          <w:szCs w:val="16"/>
        </w:rPr>
        <w:t>para.</w:t>
      </w:r>
      <w:r w:rsidRPr="00954547">
        <w:rPr>
          <w:rFonts w:ascii="Verdana" w:hAnsi="Verdana"/>
          <w:sz w:val="16"/>
          <w:szCs w:val="16"/>
        </w:rPr>
        <w:t xml:space="preserve"> 5.</w:t>
      </w:r>
    </w:p>
  </w:footnote>
  <w:footnote w:id="313">
    <w:p w14:paraId="3A4B28A0" w14:textId="60ECE6C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157. </w:t>
      </w:r>
      <w:r w:rsidR="002A45FD" w:rsidRPr="00954547">
        <w:rPr>
          <w:rFonts w:ascii="Verdana" w:hAnsi="Verdana"/>
          <w:i/>
          <w:sz w:val="16"/>
          <w:szCs w:val="16"/>
        </w:rPr>
        <w:t>See also,</w:t>
      </w:r>
      <w:r w:rsidRPr="00954547">
        <w:rPr>
          <w:rFonts w:ascii="Verdana" w:hAnsi="Verdana"/>
          <w:i/>
          <w:sz w:val="16"/>
          <w:szCs w:val="16"/>
        </w:rPr>
        <w:t xml:space="preserve"> </w:t>
      </w:r>
      <w:r w:rsidR="00A17F8C" w:rsidRPr="00954547">
        <w:rPr>
          <w:rFonts w:ascii="Verdana" w:hAnsi="Verdana"/>
          <w:sz w:val="16"/>
          <w:szCs w:val="16"/>
        </w:rPr>
        <w:t>Article</w:t>
      </w:r>
      <w:r w:rsidRPr="00954547">
        <w:rPr>
          <w:rFonts w:ascii="Verdana" w:hAnsi="Verdana"/>
          <w:sz w:val="16"/>
          <w:szCs w:val="16"/>
        </w:rPr>
        <w:t xml:space="preserve"> 16(e) </w:t>
      </w:r>
      <w:r w:rsidR="005E0FD1" w:rsidRPr="00954547">
        <w:rPr>
          <w:rFonts w:ascii="Verdana" w:hAnsi="Verdana"/>
          <w:sz w:val="16"/>
          <w:szCs w:val="16"/>
        </w:rPr>
        <w:t>of the Convention</w:t>
      </w:r>
      <w:r w:rsidRPr="00954547">
        <w:rPr>
          <w:rFonts w:ascii="Verdana" w:hAnsi="Verdana"/>
          <w:sz w:val="16"/>
          <w:szCs w:val="16"/>
        </w:rPr>
        <w:t xml:space="preserve"> </w:t>
      </w:r>
      <w:r w:rsidR="00DB6CCC" w:rsidRPr="00954547">
        <w:rPr>
          <w:rFonts w:ascii="Verdana" w:hAnsi="Verdana"/>
          <w:sz w:val="16"/>
          <w:szCs w:val="16"/>
        </w:rPr>
        <w:t>for the Elimination of All Forms of Discrimination against Women.</w:t>
      </w:r>
    </w:p>
  </w:footnote>
  <w:footnote w:id="314">
    <w:p w14:paraId="7062603B" w14:textId="03153EC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157. </w:t>
      </w:r>
    </w:p>
  </w:footnote>
  <w:footnote w:id="315">
    <w:p w14:paraId="0912BD09" w14:textId="199BEAE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0F0C04" w:rsidRPr="00954547">
        <w:rPr>
          <w:rFonts w:ascii="Verdana" w:hAnsi="Verdana"/>
          <w:sz w:val="16"/>
          <w:szCs w:val="16"/>
        </w:rPr>
        <w:t xml:space="preserve">UN, </w:t>
      </w:r>
      <w:r w:rsidR="00715A4B" w:rsidRPr="00954547">
        <w:rPr>
          <w:rFonts w:ascii="Verdana" w:hAnsi="Verdana"/>
          <w:sz w:val="16"/>
          <w:szCs w:val="16"/>
        </w:rPr>
        <w:t>Committee on Economic, Social and Cultural Rights</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No. 14: </w:t>
      </w:r>
      <w:r w:rsidR="001B6251" w:rsidRPr="00954547">
        <w:rPr>
          <w:rFonts w:ascii="Verdana" w:hAnsi="Verdana"/>
          <w:sz w:val="16"/>
          <w:szCs w:val="16"/>
        </w:rPr>
        <w:t>The right to the highest attainable standard of health</w:t>
      </w:r>
      <w:r w:rsidRPr="00954547">
        <w:rPr>
          <w:rFonts w:ascii="Verdana" w:hAnsi="Verdana"/>
          <w:sz w:val="16"/>
          <w:szCs w:val="16"/>
        </w:rPr>
        <w:t xml:space="preserve">, </w:t>
      </w:r>
      <w:r w:rsidR="003212CD" w:rsidRPr="00954547">
        <w:rPr>
          <w:rFonts w:ascii="Verdana" w:hAnsi="Verdana"/>
          <w:sz w:val="16"/>
          <w:szCs w:val="16"/>
        </w:rPr>
        <w:t>August 11,</w:t>
      </w:r>
      <w:r w:rsidRPr="00954547">
        <w:rPr>
          <w:rFonts w:ascii="Verdana" w:hAnsi="Verdana"/>
          <w:sz w:val="16"/>
          <w:szCs w:val="16"/>
        </w:rPr>
        <w:t xml:space="preserve"> 2000, </w:t>
      </w:r>
      <w:r w:rsidR="003561F1" w:rsidRPr="00954547">
        <w:rPr>
          <w:rFonts w:ascii="Verdana" w:hAnsi="Verdana"/>
          <w:sz w:val="16"/>
          <w:szCs w:val="16"/>
        </w:rPr>
        <w:t>UN Doc.</w:t>
      </w:r>
      <w:r w:rsidRPr="00954547">
        <w:rPr>
          <w:rFonts w:ascii="Verdana" w:hAnsi="Verdana"/>
          <w:sz w:val="16"/>
          <w:szCs w:val="16"/>
        </w:rPr>
        <w:t xml:space="preserve"> E/C.12/2000/4, </w:t>
      </w:r>
      <w:r w:rsidR="00B10E5A" w:rsidRPr="00954547">
        <w:rPr>
          <w:rFonts w:ascii="Verdana" w:hAnsi="Verdana"/>
          <w:sz w:val="16"/>
          <w:szCs w:val="16"/>
        </w:rPr>
        <w:t>para.</w:t>
      </w:r>
      <w:r w:rsidRPr="00954547">
        <w:rPr>
          <w:rFonts w:ascii="Verdana" w:hAnsi="Verdana"/>
          <w:sz w:val="16"/>
          <w:szCs w:val="16"/>
        </w:rPr>
        <w:t xml:space="preserve"> 12,</w:t>
      </w:r>
      <w:r w:rsidR="0078694F" w:rsidRPr="00954547">
        <w:rPr>
          <w:rFonts w:ascii="Verdana" w:hAnsi="Verdana"/>
          <w:sz w:val="16"/>
          <w:szCs w:val="16"/>
        </w:rPr>
        <w:t xml:space="preserve"> and </w:t>
      </w:r>
      <w:r w:rsidR="000F0C04" w:rsidRPr="00954547">
        <w:rPr>
          <w:rFonts w:ascii="Verdana" w:hAnsi="Verdana"/>
          <w:sz w:val="16"/>
          <w:szCs w:val="16"/>
        </w:rPr>
        <w:t>UN,</w:t>
      </w:r>
      <w:r w:rsidR="003561F1" w:rsidRPr="00954547">
        <w:rPr>
          <w:rFonts w:ascii="Verdana" w:hAnsi="Verdana"/>
          <w:sz w:val="16"/>
          <w:szCs w:val="16"/>
        </w:rPr>
        <w:t xml:space="preserve"> </w:t>
      </w:r>
      <w:r w:rsidR="00715A4B" w:rsidRPr="00954547">
        <w:rPr>
          <w:rFonts w:ascii="Verdana" w:hAnsi="Verdana"/>
          <w:sz w:val="16"/>
          <w:szCs w:val="16"/>
        </w:rPr>
        <w:t>Committee on Economic, Social and Cultural Rights</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No. 22, </w:t>
      </w:r>
      <w:r w:rsidR="00A47246" w:rsidRPr="00954547">
        <w:rPr>
          <w:rFonts w:ascii="Verdana" w:hAnsi="Verdana"/>
          <w:sz w:val="16"/>
          <w:szCs w:val="16"/>
        </w:rPr>
        <w:t>The right to sexual and reproductive health</w:t>
      </w:r>
      <w:r w:rsidRPr="00954547">
        <w:rPr>
          <w:rFonts w:ascii="Verdana" w:hAnsi="Verdana"/>
          <w:sz w:val="16"/>
          <w:szCs w:val="16"/>
        </w:rPr>
        <w:t xml:space="preserve">, </w:t>
      </w:r>
      <w:r w:rsidR="00C54313" w:rsidRPr="00954547">
        <w:rPr>
          <w:rFonts w:ascii="Verdana" w:hAnsi="Verdana"/>
          <w:sz w:val="16"/>
          <w:szCs w:val="16"/>
        </w:rPr>
        <w:t>May 2,</w:t>
      </w:r>
      <w:r w:rsidRPr="00954547">
        <w:rPr>
          <w:rFonts w:ascii="Verdana" w:hAnsi="Verdana"/>
          <w:sz w:val="16"/>
          <w:szCs w:val="16"/>
        </w:rPr>
        <w:t xml:space="preserve"> 2016, </w:t>
      </w:r>
      <w:r w:rsidR="003561F1" w:rsidRPr="00954547">
        <w:rPr>
          <w:rFonts w:ascii="Verdana" w:hAnsi="Verdana"/>
          <w:sz w:val="16"/>
          <w:szCs w:val="16"/>
        </w:rPr>
        <w:t>UN Doc.</w:t>
      </w:r>
      <w:r w:rsidRPr="00954547">
        <w:rPr>
          <w:rFonts w:ascii="Verdana" w:hAnsi="Verdana"/>
          <w:sz w:val="16"/>
          <w:szCs w:val="16"/>
        </w:rPr>
        <w:t xml:space="preserve"> E/C.12/GC/22, </w:t>
      </w:r>
      <w:r w:rsidR="00B10E5A" w:rsidRPr="00954547">
        <w:rPr>
          <w:rFonts w:ascii="Verdana" w:hAnsi="Verdana"/>
          <w:sz w:val="16"/>
          <w:szCs w:val="16"/>
        </w:rPr>
        <w:t>para.</w:t>
      </w:r>
      <w:r w:rsidRPr="00954547">
        <w:rPr>
          <w:rFonts w:ascii="Verdana" w:hAnsi="Verdana"/>
          <w:sz w:val="16"/>
          <w:szCs w:val="16"/>
        </w:rPr>
        <w:t xml:space="preserve"> 25.</w:t>
      </w:r>
    </w:p>
  </w:footnote>
  <w:footnote w:id="316">
    <w:p w14:paraId="673BA5C8" w14:textId="1649957C" w:rsidR="005F001B" w:rsidRPr="00954547" w:rsidRDefault="005F001B" w:rsidP="007619E6">
      <w:pPr>
        <w:pStyle w:val="FootnoteText"/>
        <w:tabs>
          <w:tab w:val="left" w:pos="567"/>
        </w:tabs>
        <w:spacing w:after="120"/>
        <w:jc w:val="both"/>
        <w:rPr>
          <w:rFonts w:ascii="Verdana" w:eastAsiaTheme="minorHAnsi" w:hAnsi="Verdana" w:cs="Garamond"/>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0F0C04" w:rsidRPr="00954547">
        <w:rPr>
          <w:rFonts w:ascii="Verdana" w:hAnsi="Verdana"/>
          <w:sz w:val="16"/>
          <w:szCs w:val="16"/>
        </w:rPr>
        <w:t xml:space="preserve">See, similarly: UN, </w:t>
      </w:r>
      <w:r w:rsidR="00715A4B" w:rsidRPr="00954547">
        <w:rPr>
          <w:rFonts w:ascii="Verdana" w:hAnsi="Verdana"/>
          <w:sz w:val="16"/>
          <w:szCs w:val="16"/>
        </w:rPr>
        <w:t>Committee on Economic, Social and Cultural Rights</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No. 14: </w:t>
      </w:r>
      <w:r w:rsidR="001B6251" w:rsidRPr="00954547">
        <w:rPr>
          <w:rFonts w:ascii="Verdana" w:hAnsi="Verdana"/>
          <w:sz w:val="16"/>
          <w:szCs w:val="16"/>
        </w:rPr>
        <w:t>The right to the highest attainable standard of health</w:t>
      </w:r>
      <w:r w:rsidRPr="00954547">
        <w:rPr>
          <w:rFonts w:ascii="Verdana" w:hAnsi="Verdana"/>
          <w:sz w:val="16"/>
          <w:szCs w:val="16"/>
        </w:rPr>
        <w:t xml:space="preserve">, </w:t>
      </w:r>
      <w:r w:rsidR="003212CD" w:rsidRPr="00954547">
        <w:rPr>
          <w:rFonts w:ascii="Verdana" w:hAnsi="Verdana"/>
          <w:sz w:val="16"/>
          <w:szCs w:val="16"/>
        </w:rPr>
        <w:t>August 11,</w:t>
      </w:r>
      <w:r w:rsidRPr="00954547">
        <w:rPr>
          <w:rFonts w:ascii="Verdana" w:hAnsi="Verdana"/>
          <w:sz w:val="16"/>
          <w:szCs w:val="16"/>
        </w:rPr>
        <w:t xml:space="preserve"> 2000, </w:t>
      </w:r>
      <w:r w:rsidR="003561F1" w:rsidRPr="00954547">
        <w:rPr>
          <w:rFonts w:ascii="Verdana" w:hAnsi="Verdana"/>
          <w:sz w:val="16"/>
          <w:szCs w:val="16"/>
        </w:rPr>
        <w:t>UN Doc.</w:t>
      </w:r>
      <w:r w:rsidRPr="00954547">
        <w:rPr>
          <w:rFonts w:ascii="Verdana" w:hAnsi="Verdana"/>
          <w:sz w:val="16"/>
          <w:szCs w:val="16"/>
        </w:rPr>
        <w:t xml:space="preserve"> E/C.12/2000/4, </w:t>
      </w:r>
      <w:r w:rsidR="00B10E5A" w:rsidRPr="00954547">
        <w:rPr>
          <w:rFonts w:ascii="Verdana" w:hAnsi="Verdana"/>
          <w:sz w:val="16"/>
          <w:szCs w:val="16"/>
        </w:rPr>
        <w:t>para.</w:t>
      </w:r>
      <w:r w:rsidRPr="00954547">
        <w:rPr>
          <w:rFonts w:ascii="Verdana" w:hAnsi="Verdana"/>
          <w:sz w:val="16"/>
          <w:szCs w:val="16"/>
        </w:rPr>
        <w:t xml:space="preserve"> 12;</w:t>
      </w:r>
      <w:r w:rsidR="007323A9" w:rsidRPr="00954547">
        <w:rPr>
          <w:rFonts w:ascii="Verdana" w:hAnsi="Verdana"/>
          <w:sz w:val="16"/>
          <w:szCs w:val="16"/>
        </w:rPr>
        <w:t xml:space="preserve"> United Nations Committee against Torture, Conclusions and recommendation with regard to </w:t>
      </w:r>
      <w:r w:rsidRPr="00954547">
        <w:rPr>
          <w:rFonts w:ascii="Verdana" w:eastAsiaTheme="minorHAnsi" w:hAnsi="Verdana" w:cs="Garamond"/>
          <w:sz w:val="16"/>
          <w:szCs w:val="16"/>
          <w:bdr w:val="none" w:sz="0" w:space="0" w:color="auto"/>
        </w:rPr>
        <w:t xml:space="preserve">Chile, </w:t>
      </w:r>
      <w:r w:rsidR="007323A9" w:rsidRPr="00954547">
        <w:rPr>
          <w:rFonts w:ascii="Verdana" w:eastAsiaTheme="minorHAnsi" w:hAnsi="Verdana" w:cs="Garamond"/>
          <w:sz w:val="16"/>
          <w:szCs w:val="16"/>
          <w:bdr w:val="none" w:sz="0" w:space="0" w:color="auto"/>
        </w:rPr>
        <w:t>June 14,</w:t>
      </w:r>
      <w:r w:rsidRPr="00954547">
        <w:rPr>
          <w:rFonts w:ascii="Verdana" w:eastAsiaTheme="minorHAnsi" w:hAnsi="Verdana" w:cs="Garamond"/>
          <w:sz w:val="16"/>
          <w:szCs w:val="16"/>
          <w:bdr w:val="none" w:sz="0" w:space="0" w:color="auto"/>
        </w:rPr>
        <w:t xml:space="preserve"> 2004, </w:t>
      </w:r>
      <w:r w:rsidR="003561F1" w:rsidRPr="00954547">
        <w:rPr>
          <w:rFonts w:ascii="Verdana" w:eastAsiaTheme="minorHAnsi" w:hAnsi="Verdana" w:cs="Garamond"/>
          <w:sz w:val="16"/>
          <w:szCs w:val="16"/>
          <w:bdr w:val="none" w:sz="0" w:space="0" w:color="auto"/>
        </w:rPr>
        <w:t>UN Doc.</w:t>
      </w:r>
      <w:r w:rsidRPr="00954547">
        <w:rPr>
          <w:rFonts w:ascii="Verdana" w:eastAsiaTheme="minorHAnsi" w:hAnsi="Verdana" w:cs="Garamond"/>
          <w:sz w:val="16"/>
          <w:szCs w:val="16"/>
          <w:bdr w:val="none" w:sz="0" w:space="0" w:color="auto"/>
        </w:rPr>
        <w:t xml:space="preserve"> CAT/C/CR/32/5</w:t>
      </w:r>
      <w:r w:rsidRPr="00954547">
        <w:rPr>
          <w:rFonts w:ascii="Verdana" w:eastAsiaTheme="minorHAnsi" w:hAnsi="Verdana" w:cs="Garamond-Italic"/>
          <w:i/>
          <w:iCs/>
          <w:sz w:val="16"/>
          <w:szCs w:val="16"/>
          <w:bdr w:val="none" w:sz="0" w:space="0" w:color="auto"/>
        </w:rPr>
        <w:t xml:space="preserve">, </w:t>
      </w:r>
      <w:r w:rsidR="00B10E5A" w:rsidRPr="00954547">
        <w:rPr>
          <w:rFonts w:ascii="Verdana" w:eastAsiaTheme="minorHAnsi" w:hAnsi="Verdana" w:cs="Garamond-Italic"/>
          <w:iCs/>
          <w:sz w:val="16"/>
          <w:szCs w:val="16"/>
          <w:bdr w:val="none" w:sz="0" w:space="0" w:color="auto"/>
        </w:rPr>
        <w:t>para.</w:t>
      </w:r>
      <w:r w:rsidRPr="00954547">
        <w:rPr>
          <w:rFonts w:ascii="Verdana" w:eastAsiaTheme="minorHAnsi" w:hAnsi="Verdana" w:cs="Garamond"/>
          <w:sz w:val="16"/>
          <w:szCs w:val="16"/>
          <w:bdr w:val="none" w:sz="0" w:space="0" w:color="auto"/>
        </w:rPr>
        <w:t xml:space="preserve"> 7</w:t>
      </w:r>
      <w:r w:rsidR="007323A9" w:rsidRPr="00954547">
        <w:rPr>
          <w:rFonts w:ascii="Verdana" w:eastAsiaTheme="minorHAnsi" w:hAnsi="Verdana" w:cs="Garamond"/>
          <w:sz w:val="16"/>
          <w:szCs w:val="16"/>
          <w:bdr w:val="none" w:sz="0" w:space="0" w:color="auto"/>
        </w:rPr>
        <w:t>(</w:t>
      </w:r>
      <w:r w:rsidRPr="00954547">
        <w:rPr>
          <w:rFonts w:ascii="Verdana" w:eastAsiaTheme="minorHAnsi" w:hAnsi="Verdana" w:cs="Garamond"/>
          <w:sz w:val="16"/>
          <w:szCs w:val="16"/>
          <w:bdr w:val="none" w:sz="0" w:space="0" w:color="auto"/>
        </w:rPr>
        <w:t>m</w:t>
      </w:r>
      <w:r w:rsidR="007323A9" w:rsidRPr="00954547">
        <w:rPr>
          <w:rFonts w:ascii="Verdana" w:eastAsiaTheme="minorHAnsi" w:hAnsi="Verdana" w:cs="Garamond"/>
          <w:sz w:val="16"/>
          <w:szCs w:val="16"/>
          <w:bdr w:val="none" w:sz="0" w:space="0" w:color="auto"/>
        </w:rPr>
        <w:t>)</w:t>
      </w:r>
      <w:r w:rsidRPr="00954547">
        <w:rPr>
          <w:rFonts w:ascii="Verdana" w:eastAsiaTheme="minorHAnsi" w:hAnsi="Verdana" w:cs="Garamond"/>
          <w:sz w:val="16"/>
          <w:szCs w:val="16"/>
          <w:bdr w:val="none" w:sz="0" w:space="0" w:color="auto"/>
        </w:rPr>
        <w:t xml:space="preserve">, </w:t>
      </w:r>
      <w:r w:rsidR="007323A9" w:rsidRPr="00954547">
        <w:rPr>
          <w:rFonts w:ascii="Verdana" w:eastAsiaTheme="minorHAnsi" w:hAnsi="Verdana" w:cs="Garamond"/>
          <w:sz w:val="16"/>
          <w:szCs w:val="16"/>
          <w:bdr w:val="none" w:sz="0" w:space="0" w:color="auto"/>
        </w:rPr>
        <w:t xml:space="preserve">and </w:t>
      </w:r>
      <w:r w:rsidR="007532FC" w:rsidRPr="00954547">
        <w:rPr>
          <w:rFonts w:ascii="Verdana" w:eastAsiaTheme="minorHAnsi" w:hAnsi="Verdana" w:cs="Garamond"/>
          <w:sz w:val="16"/>
          <w:szCs w:val="16"/>
          <w:bdr w:val="none" w:sz="0" w:space="0" w:color="auto"/>
        </w:rPr>
        <w:t>Report of the</w:t>
      </w:r>
      <w:r w:rsidR="007532FC" w:rsidRPr="00954547">
        <w:rPr>
          <w:rFonts w:ascii="Verdana" w:hAnsi="Verdana"/>
          <w:sz w:val="16"/>
          <w:szCs w:val="16"/>
        </w:rPr>
        <w:t xml:space="preserve"> Special Rapporteur on the right of everyone to the enjoyment of the highest attainable standard of physical and mental health</w:t>
      </w:r>
      <w:r w:rsidRPr="00954547">
        <w:rPr>
          <w:rFonts w:ascii="Verdana" w:hAnsi="Verdana"/>
          <w:sz w:val="16"/>
          <w:szCs w:val="16"/>
        </w:rPr>
        <w:t xml:space="preserve">, </w:t>
      </w:r>
      <w:r w:rsidR="007532FC" w:rsidRPr="00954547">
        <w:rPr>
          <w:rFonts w:ascii="Verdana" w:hAnsi="Verdana"/>
          <w:sz w:val="16"/>
          <w:szCs w:val="16"/>
        </w:rPr>
        <w:t xml:space="preserve">Anand Grover, </w:t>
      </w:r>
      <w:r w:rsidR="003561F1" w:rsidRPr="00954547">
        <w:rPr>
          <w:rFonts w:ascii="Verdana" w:hAnsi="Verdana"/>
          <w:sz w:val="16"/>
          <w:szCs w:val="16"/>
        </w:rPr>
        <w:t>UN Doc.</w:t>
      </w:r>
      <w:r w:rsidRPr="00954547">
        <w:rPr>
          <w:rFonts w:ascii="Verdana" w:hAnsi="Verdana"/>
          <w:sz w:val="16"/>
          <w:szCs w:val="16"/>
        </w:rPr>
        <w:t xml:space="preserve"> A/66/254, </w:t>
      </w:r>
      <w:r w:rsidR="000F0C04" w:rsidRPr="00954547">
        <w:rPr>
          <w:rFonts w:ascii="Verdana" w:hAnsi="Verdana"/>
          <w:sz w:val="16"/>
          <w:szCs w:val="16"/>
        </w:rPr>
        <w:t>August 3,</w:t>
      </w:r>
      <w:r w:rsidRPr="00954547">
        <w:rPr>
          <w:rFonts w:ascii="Verdana" w:hAnsi="Verdana"/>
          <w:sz w:val="16"/>
          <w:szCs w:val="16"/>
        </w:rPr>
        <w:t xml:space="preserve"> 2011, </w:t>
      </w:r>
      <w:r w:rsidR="00B10E5A" w:rsidRPr="00954547">
        <w:rPr>
          <w:rFonts w:ascii="Verdana" w:hAnsi="Verdana"/>
          <w:sz w:val="16"/>
          <w:szCs w:val="16"/>
        </w:rPr>
        <w:t>para.</w:t>
      </w:r>
      <w:r w:rsidRPr="00954547">
        <w:rPr>
          <w:rFonts w:ascii="Verdana" w:hAnsi="Verdana"/>
          <w:sz w:val="16"/>
          <w:szCs w:val="16"/>
        </w:rPr>
        <w:t xml:space="preserve"> 30</w:t>
      </w:r>
      <w:r w:rsidRPr="00954547">
        <w:rPr>
          <w:rFonts w:ascii="Verdana" w:eastAsiaTheme="minorHAnsi" w:hAnsi="Verdana" w:cs="Garamond"/>
          <w:sz w:val="16"/>
          <w:szCs w:val="16"/>
          <w:bdr w:val="none" w:sz="0" w:space="0" w:color="auto"/>
        </w:rPr>
        <w:t>.</w:t>
      </w:r>
    </w:p>
  </w:footnote>
  <w:footnote w:id="317">
    <w:p w14:paraId="7E182245" w14:textId="64D9B7D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7532FC" w:rsidRPr="00954547">
        <w:rPr>
          <w:rFonts w:ascii="Verdana" w:hAnsi="Verdana"/>
          <w:sz w:val="16"/>
          <w:szCs w:val="16"/>
        </w:rPr>
        <w:t>Emergency form,</w:t>
      </w:r>
      <w:r w:rsidR="003D24A2" w:rsidRPr="00954547">
        <w:rPr>
          <w:rStyle w:val="FootnoteReference"/>
          <w:rFonts w:ascii="Verdana" w:hAnsi="Verdana"/>
          <w:sz w:val="16"/>
          <w:szCs w:val="16"/>
          <w:vertAlign w:val="baseline"/>
        </w:rPr>
        <w:t xml:space="preserve"> February 27,</w:t>
      </w:r>
      <w:r w:rsidRPr="00954547">
        <w:rPr>
          <w:rStyle w:val="FootnoteReference"/>
          <w:rFonts w:ascii="Verdana" w:hAnsi="Verdana"/>
          <w:sz w:val="16"/>
          <w:szCs w:val="16"/>
          <w:vertAlign w:val="baseline"/>
        </w:rPr>
        <w:t xml:space="preserve"> 2008</w:t>
      </w:r>
      <w:r w:rsidRPr="00954547">
        <w:rPr>
          <w:rFonts w:ascii="Verdana" w:hAnsi="Verdana"/>
          <w:sz w:val="16"/>
          <w:szCs w:val="16"/>
        </w:rPr>
        <w:t xml:space="preserve"> (</w:t>
      </w:r>
      <w:r w:rsidR="001C328F" w:rsidRPr="00954547">
        <w:rPr>
          <w:rFonts w:ascii="Verdana" w:hAnsi="Verdana"/>
          <w:sz w:val="16"/>
          <w:szCs w:val="16"/>
        </w:rPr>
        <w:t>evidence file</w:t>
      </w:r>
      <w:r w:rsidRPr="00954547">
        <w:rPr>
          <w:rFonts w:ascii="Verdana" w:hAnsi="Verdana"/>
          <w:sz w:val="16"/>
          <w:szCs w:val="16"/>
        </w:rPr>
        <w:t>, folio 16);</w:t>
      </w:r>
      <w:r w:rsidR="007532FC" w:rsidRPr="00954547">
        <w:rPr>
          <w:rFonts w:ascii="Verdana" w:hAnsi="Verdana"/>
          <w:sz w:val="16"/>
          <w:szCs w:val="16"/>
        </w:rPr>
        <w:t xml:space="preserve"> Record of evolution following anesthesia of the San</w:t>
      </w:r>
      <w:r w:rsidRPr="00954547">
        <w:rPr>
          <w:rFonts w:ascii="Verdana" w:hAnsi="Verdana"/>
          <w:sz w:val="16"/>
          <w:szCs w:val="16"/>
        </w:rPr>
        <w:t xml:space="preserve"> Francisco Gotera</w:t>
      </w:r>
      <w:r w:rsidR="000F0C04" w:rsidRPr="00954547">
        <w:rPr>
          <w:rFonts w:ascii="Verdana" w:hAnsi="Verdana"/>
          <w:sz w:val="16"/>
          <w:szCs w:val="16"/>
        </w:rPr>
        <w:t xml:space="preserve"> National Hospital</w:t>
      </w:r>
      <w:r w:rsidRPr="00954547">
        <w:rPr>
          <w:rFonts w:ascii="Verdana" w:hAnsi="Verdana"/>
          <w:sz w:val="16"/>
          <w:szCs w:val="16"/>
        </w:rPr>
        <w:t xml:space="preserve"> (</w:t>
      </w:r>
      <w:r w:rsidR="001C328F" w:rsidRPr="00954547">
        <w:rPr>
          <w:rFonts w:ascii="Verdana" w:hAnsi="Verdana"/>
          <w:sz w:val="16"/>
          <w:szCs w:val="16"/>
        </w:rPr>
        <w:t>evidence file</w:t>
      </w:r>
      <w:r w:rsidRPr="00954547">
        <w:rPr>
          <w:rFonts w:ascii="Verdana" w:hAnsi="Verdana"/>
          <w:sz w:val="16"/>
          <w:szCs w:val="16"/>
        </w:rPr>
        <w:t xml:space="preserve">, folio 2); </w:t>
      </w:r>
      <w:r w:rsidR="007532FC" w:rsidRPr="00954547">
        <w:rPr>
          <w:rFonts w:ascii="Verdana" w:hAnsi="Verdana"/>
          <w:sz w:val="16"/>
          <w:szCs w:val="16"/>
        </w:rPr>
        <w:t xml:space="preserve">record of admittance and departure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 17),</w:t>
      </w:r>
      <w:r w:rsidR="0078694F" w:rsidRPr="00954547">
        <w:rPr>
          <w:rFonts w:ascii="Verdana" w:hAnsi="Verdana"/>
          <w:sz w:val="16"/>
          <w:szCs w:val="16"/>
        </w:rPr>
        <w:t xml:space="preserve"> and </w:t>
      </w:r>
      <w:r w:rsidR="00807D09" w:rsidRPr="00954547">
        <w:rPr>
          <w:rFonts w:ascii="Verdana" w:hAnsi="Verdana"/>
          <w:sz w:val="16"/>
          <w:szCs w:val="16"/>
        </w:rPr>
        <w:t xml:space="preserve">Communication issued by </w:t>
      </w:r>
      <w:r w:rsidR="006D5A9B" w:rsidRPr="00954547">
        <w:rPr>
          <w:rFonts w:ascii="Verdana" w:hAnsi="Verdana"/>
          <w:sz w:val="16"/>
          <w:szCs w:val="16"/>
        </w:rPr>
        <w:t>the director of the</w:t>
      </w:r>
      <w:r w:rsidR="00807D09" w:rsidRPr="00954547">
        <w:rPr>
          <w:rFonts w:ascii="Verdana" w:hAnsi="Verdana"/>
          <w:sz w:val="16"/>
          <w:szCs w:val="16"/>
        </w:rPr>
        <w:t xml:space="preserve"> San Francisco Gotera National Hospital of February 29,</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58).</w:t>
      </w:r>
    </w:p>
  </w:footnote>
  <w:footnote w:id="318">
    <w:p w14:paraId="7EE7B29D" w14:textId="19D78B5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hAnsi="Verdana"/>
          <w:sz w:val="16"/>
          <w:szCs w:val="16"/>
        </w:rPr>
        <w:t>Expert opinion provided by Guillermo Antonio Ortiz Avendaño during the public hearing held</w:t>
      </w:r>
      <w:r w:rsidRPr="00954547">
        <w:rPr>
          <w:rFonts w:ascii="Verdana" w:hAnsi="Verdana"/>
          <w:sz w:val="16"/>
          <w:szCs w:val="16"/>
        </w:rPr>
        <w:t xml:space="preserve"> </w:t>
      </w:r>
      <w:r w:rsidR="00FC72C0" w:rsidRPr="00954547">
        <w:rPr>
          <w:rFonts w:ascii="Verdana" w:hAnsi="Verdana"/>
          <w:sz w:val="16"/>
          <w:szCs w:val="16"/>
        </w:rPr>
        <w:t>in this case</w:t>
      </w:r>
      <w:r w:rsidRPr="00954547">
        <w:rPr>
          <w:rFonts w:ascii="Verdana" w:hAnsi="Verdana"/>
          <w:sz w:val="16"/>
          <w:szCs w:val="16"/>
        </w:rPr>
        <w:t xml:space="preserve">. </w:t>
      </w:r>
    </w:p>
  </w:footnote>
  <w:footnote w:id="319">
    <w:p w14:paraId="2DD9F0D5" w14:textId="4CCA4DB6"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Style w:val="FootnoteReference"/>
          <w:rFonts w:ascii="Verdana" w:hAnsi="Verdana"/>
          <w:sz w:val="16"/>
          <w:szCs w:val="16"/>
          <w:vertAlign w:val="baseline"/>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Pr="00954547">
        <w:rPr>
          <w:rStyle w:val="FootnoteReference"/>
          <w:rFonts w:ascii="Verdana" w:hAnsi="Verdana"/>
          <w:sz w:val="16"/>
          <w:szCs w:val="16"/>
        </w:rPr>
        <w:t xml:space="preserve"> </w:t>
      </w:r>
      <w:r w:rsidRPr="00954547">
        <w:rPr>
          <w:rFonts w:ascii="Verdana" w:hAnsi="Verdana"/>
          <w:sz w:val="16"/>
          <w:szCs w:val="16"/>
        </w:rPr>
        <w:tab/>
      </w:r>
      <w:r w:rsidR="00B8393C" w:rsidRPr="00954547">
        <w:rPr>
          <w:rStyle w:val="FootnoteReference"/>
          <w:rFonts w:ascii="Verdana" w:hAnsi="Verdana"/>
          <w:i/>
          <w:sz w:val="16"/>
          <w:szCs w:val="16"/>
          <w:vertAlign w:val="baseline"/>
        </w:rPr>
        <w:t>Cf.</w:t>
      </w:r>
      <w:r w:rsidRPr="00954547">
        <w:rPr>
          <w:rStyle w:val="FootnoteReference"/>
          <w:rFonts w:ascii="Verdana" w:hAnsi="Verdana"/>
          <w:sz w:val="16"/>
          <w:szCs w:val="16"/>
          <w:vertAlign w:val="baseline"/>
        </w:rPr>
        <w:t xml:space="preserve"> </w:t>
      </w:r>
      <w:r w:rsidR="00354B24" w:rsidRPr="00954547">
        <w:rPr>
          <w:rStyle w:val="FootnoteReference"/>
          <w:rFonts w:ascii="Verdana" w:hAnsi="Verdana"/>
          <w:sz w:val="16"/>
          <w:szCs w:val="16"/>
          <w:vertAlign w:val="baseline"/>
        </w:rPr>
        <w:t>Record of the interview of</w:t>
      </w:r>
      <w:r w:rsidRPr="00954547">
        <w:rPr>
          <w:rFonts w:ascii="Verdana" w:hAnsi="Verdana"/>
          <w:sz w:val="16"/>
          <w:szCs w:val="16"/>
        </w:rPr>
        <w:t xml:space="preserve"> </w:t>
      </w:r>
      <w:r w:rsidR="00354B24" w:rsidRPr="00954547">
        <w:rPr>
          <w:rFonts w:ascii="Verdana" w:hAnsi="Verdana"/>
          <w:sz w:val="16"/>
          <w:szCs w:val="16"/>
        </w:rPr>
        <w:t>the treating physician</w:t>
      </w:r>
      <w:r w:rsidRPr="00954547">
        <w:rPr>
          <w:rStyle w:val="FootnoteReference"/>
          <w:rFonts w:ascii="Verdana" w:hAnsi="Verdana"/>
          <w:sz w:val="16"/>
          <w:szCs w:val="16"/>
          <w:vertAlign w:val="baseline"/>
        </w:rPr>
        <w:t xml:space="preserve"> (</w:t>
      </w:r>
      <w:r w:rsidR="001C328F" w:rsidRPr="00954547">
        <w:rPr>
          <w:rStyle w:val="FootnoteReference"/>
          <w:rFonts w:ascii="Verdana" w:hAnsi="Verdana"/>
          <w:sz w:val="16"/>
          <w:szCs w:val="16"/>
          <w:vertAlign w:val="baseline"/>
        </w:rPr>
        <w:t>evidence file</w:t>
      </w:r>
      <w:r w:rsidRPr="00954547">
        <w:rPr>
          <w:rStyle w:val="FootnoteReference"/>
          <w:rFonts w:ascii="Verdana" w:hAnsi="Verdana"/>
          <w:sz w:val="16"/>
          <w:szCs w:val="16"/>
          <w:vertAlign w:val="baseline"/>
        </w:rPr>
        <w:t>, folio 16)</w:t>
      </w:r>
      <w:r w:rsidRPr="00954547">
        <w:rPr>
          <w:rFonts w:ascii="Verdana" w:hAnsi="Verdana"/>
          <w:sz w:val="16"/>
          <w:szCs w:val="16"/>
        </w:rPr>
        <w:t>.</w:t>
      </w:r>
    </w:p>
  </w:footnote>
  <w:footnote w:id="320">
    <w:p w14:paraId="1CF8E795" w14:textId="66886C1B"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Style w:val="FootnoteReference"/>
          <w:rFonts w:ascii="Verdana" w:hAnsi="Verdana"/>
          <w:sz w:val="16"/>
          <w:szCs w:val="16"/>
          <w:vertAlign w:val="baseline"/>
        </w:rPr>
      </w:pPr>
      <w:r w:rsidRPr="00954547">
        <w:rPr>
          <w:rStyle w:val="FootnoteReference"/>
          <w:rFonts w:ascii="Verdana" w:hAnsi="Verdana"/>
          <w:sz w:val="16"/>
          <w:szCs w:val="16"/>
        </w:rPr>
        <w:footnoteRef/>
      </w:r>
      <w:r w:rsidRPr="00954547">
        <w:rPr>
          <w:rStyle w:val="FootnoteReference"/>
          <w:rFonts w:ascii="Verdana" w:hAnsi="Verdana"/>
          <w:sz w:val="16"/>
          <w:szCs w:val="16"/>
          <w:vertAlign w:val="baseline"/>
        </w:rPr>
        <w:t xml:space="preserve">  </w:t>
      </w:r>
      <w:r w:rsidRPr="00954547">
        <w:rPr>
          <w:rStyle w:val="FootnoteReference"/>
          <w:rFonts w:ascii="Verdana" w:hAnsi="Verdana"/>
          <w:sz w:val="16"/>
          <w:szCs w:val="16"/>
          <w:vertAlign w:val="baseline"/>
        </w:rPr>
        <w:tab/>
      </w:r>
      <w:r w:rsidR="00807D09" w:rsidRPr="00954547">
        <w:rPr>
          <w:rFonts w:ascii="Verdana" w:hAnsi="Verdana"/>
          <w:sz w:val="16"/>
          <w:szCs w:val="16"/>
        </w:rPr>
        <w:t>Note addressed to the prosecution service dated</w:t>
      </w:r>
      <w:r w:rsidR="003D24A2" w:rsidRPr="00954547">
        <w:rPr>
          <w:rFonts w:ascii="Verdana" w:hAnsi="Verdana"/>
          <w:sz w:val="16"/>
          <w:szCs w:val="16"/>
        </w:rPr>
        <w:t xml:space="preserve"> February 27,</w:t>
      </w:r>
      <w:r w:rsidRPr="00954547">
        <w:rPr>
          <w:rFonts w:ascii="Verdana" w:hAnsi="Verdana"/>
          <w:sz w:val="16"/>
          <w:szCs w:val="16"/>
        </w:rPr>
        <w:t xml:space="preserve"> 2008 </w:t>
      </w:r>
      <w:r w:rsidRPr="00954547">
        <w:rPr>
          <w:rStyle w:val="FootnoteReference"/>
          <w:rFonts w:ascii="Verdana" w:hAnsi="Verdana"/>
          <w:sz w:val="16"/>
          <w:szCs w:val="16"/>
          <w:vertAlign w:val="baseline"/>
        </w:rPr>
        <w:t>(</w:t>
      </w:r>
      <w:r w:rsidR="001C328F" w:rsidRPr="00954547">
        <w:rPr>
          <w:rStyle w:val="FootnoteReference"/>
          <w:rFonts w:ascii="Verdana" w:hAnsi="Verdana"/>
          <w:sz w:val="16"/>
          <w:szCs w:val="16"/>
          <w:vertAlign w:val="baseline"/>
        </w:rPr>
        <w:t>evidence file</w:t>
      </w:r>
      <w:r w:rsidRPr="00954547">
        <w:rPr>
          <w:rStyle w:val="FootnoteReference"/>
          <w:rFonts w:ascii="Verdana" w:hAnsi="Verdana"/>
          <w:sz w:val="16"/>
          <w:szCs w:val="16"/>
          <w:vertAlign w:val="baseline"/>
        </w:rPr>
        <w:t>, folio 22).</w:t>
      </w:r>
    </w:p>
  </w:footnote>
  <w:footnote w:id="321">
    <w:p w14:paraId="13D90E8E" w14:textId="4B2036E3"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Style w:val="FootnoteReference"/>
          <w:rFonts w:ascii="Verdana" w:hAnsi="Verdana"/>
          <w:sz w:val="16"/>
          <w:szCs w:val="16"/>
        </w:rPr>
      </w:pPr>
      <w:r w:rsidRPr="00954547">
        <w:rPr>
          <w:rStyle w:val="FootnoteReference"/>
          <w:rFonts w:ascii="Verdana" w:hAnsi="Verdana"/>
          <w:sz w:val="16"/>
          <w:szCs w:val="16"/>
        </w:rPr>
        <w:footnoteRef/>
      </w:r>
      <w:r w:rsidRPr="00954547">
        <w:rPr>
          <w:rStyle w:val="FootnoteReference"/>
          <w:rFonts w:ascii="Verdana" w:hAnsi="Verdana"/>
          <w:sz w:val="16"/>
          <w:szCs w:val="16"/>
          <w:vertAlign w:val="baseline"/>
        </w:rPr>
        <w:t xml:space="preserve"> </w:t>
      </w:r>
      <w:r w:rsidRPr="00954547">
        <w:rPr>
          <w:rStyle w:val="FootnoteReference"/>
          <w:rFonts w:ascii="Verdana" w:hAnsi="Verdana"/>
          <w:sz w:val="16"/>
          <w:szCs w:val="16"/>
          <w:vertAlign w:val="baseline"/>
        </w:rPr>
        <w:tab/>
      </w:r>
      <w:r w:rsidR="00807D09" w:rsidRPr="00954547">
        <w:rPr>
          <w:rStyle w:val="FootnoteReference"/>
          <w:rFonts w:ascii="Verdana" w:hAnsi="Verdana"/>
          <w:sz w:val="16"/>
          <w:szCs w:val="16"/>
          <w:vertAlign w:val="baseline"/>
        </w:rPr>
        <w:t xml:space="preserve">Communication issued by </w:t>
      </w:r>
      <w:r w:rsidR="006D5A9B" w:rsidRPr="00954547">
        <w:rPr>
          <w:rStyle w:val="FootnoteReference"/>
          <w:rFonts w:ascii="Verdana" w:hAnsi="Verdana"/>
          <w:sz w:val="16"/>
          <w:szCs w:val="16"/>
          <w:vertAlign w:val="baseline"/>
        </w:rPr>
        <w:t>the director of the</w:t>
      </w:r>
      <w:r w:rsidR="00807D09" w:rsidRPr="00954547">
        <w:rPr>
          <w:rStyle w:val="FootnoteReference"/>
          <w:rFonts w:ascii="Verdana" w:hAnsi="Verdana"/>
          <w:sz w:val="16"/>
          <w:szCs w:val="16"/>
          <w:vertAlign w:val="baseline"/>
        </w:rPr>
        <w:t xml:space="preserve"> San Francisco Gotera National Hospital of February 29,</w:t>
      </w:r>
      <w:r w:rsidRPr="00954547">
        <w:rPr>
          <w:rStyle w:val="FootnoteReference"/>
          <w:rFonts w:ascii="Verdana" w:hAnsi="Verdana"/>
          <w:sz w:val="16"/>
          <w:szCs w:val="16"/>
          <w:vertAlign w:val="baseline"/>
        </w:rPr>
        <w:t xml:space="preserve"> 2008 (</w:t>
      </w:r>
      <w:r w:rsidR="001C328F" w:rsidRPr="00954547">
        <w:rPr>
          <w:rStyle w:val="FootnoteReference"/>
          <w:rFonts w:ascii="Verdana" w:hAnsi="Verdana"/>
          <w:sz w:val="16"/>
          <w:szCs w:val="16"/>
          <w:vertAlign w:val="baseline"/>
        </w:rPr>
        <w:t>evidence file</w:t>
      </w:r>
      <w:r w:rsidRPr="00954547">
        <w:rPr>
          <w:rStyle w:val="FootnoteReference"/>
          <w:rFonts w:ascii="Verdana" w:hAnsi="Verdana"/>
          <w:sz w:val="16"/>
          <w:szCs w:val="16"/>
          <w:vertAlign w:val="baseline"/>
        </w:rPr>
        <w:t>, folio 58).</w:t>
      </w:r>
    </w:p>
  </w:footnote>
  <w:footnote w:id="322">
    <w:p w14:paraId="54B7875C" w14:textId="423BEB2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sz w:val="16"/>
          <w:szCs w:val="16"/>
        </w:rPr>
        <w:t>Note addressed to the prosecution service dated</w:t>
      </w:r>
      <w:r w:rsidR="003D24A2" w:rsidRPr="00954547">
        <w:rPr>
          <w:rFonts w:ascii="Verdana" w:hAnsi="Verdana"/>
          <w:sz w:val="16"/>
          <w:szCs w:val="16"/>
        </w:rPr>
        <w:t xml:space="preserve"> February 27,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22). </w:t>
      </w:r>
    </w:p>
  </w:footnote>
  <w:footnote w:id="323">
    <w:p w14:paraId="1FD0A9C4" w14:textId="0201D4B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folios 186</w:t>
      </w:r>
      <w:r w:rsidR="0078694F" w:rsidRPr="00954547">
        <w:rPr>
          <w:rFonts w:ascii="Verdana" w:hAnsi="Verdana"/>
          <w:sz w:val="16"/>
          <w:szCs w:val="16"/>
        </w:rPr>
        <w:t xml:space="preserve"> and </w:t>
      </w:r>
      <w:r w:rsidRPr="00954547">
        <w:rPr>
          <w:rFonts w:ascii="Verdana" w:hAnsi="Verdana"/>
          <w:sz w:val="16"/>
          <w:szCs w:val="16"/>
        </w:rPr>
        <w:t xml:space="preserve">187); </w:t>
      </w:r>
      <w:r w:rsidR="0032123B" w:rsidRPr="00954547">
        <w:rPr>
          <w:rFonts w:ascii="Verdana" w:hAnsi="Verdana"/>
          <w:sz w:val="16"/>
          <w:szCs w:val="16"/>
        </w:rPr>
        <w:t>Sworn statement of</w:t>
      </w:r>
      <w:r w:rsidRPr="00954547">
        <w:rPr>
          <w:rFonts w:ascii="Verdana" w:hAnsi="Verdana"/>
          <w:sz w:val="16"/>
          <w:szCs w:val="16"/>
        </w:rPr>
        <w:t xml:space="preserve"> </w:t>
      </w:r>
      <w:r w:rsidR="00FF2DDD" w:rsidRPr="00954547">
        <w:rPr>
          <w:rFonts w:ascii="Verdana" w:hAnsi="Verdana"/>
          <w:sz w:val="16"/>
          <w:szCs w:val="16"/>
        </w:rPr>
        <w:t>Manuela’s mother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2281),</w:t>
      </w:r>
      <w:r w:rsidR="0078694F" w:rsidRPr="00954547">
        <w:rPr>
          <w:rFonts w:ascii="Verdana" w:hAnsi="Verdana"/>
          <w:sz w:val="16"/>
          <w:szCs w:val="16"/>
        </w:rPr>
        <w:t xml:space="preserve"> and </w:t>
      </w:r>
      <w:r w:rsidR="0032123B" w:rsidRPr="00954547">
        <w:rPr>
          <w:rFonts w:ascii="Verdana" w:hAnsi="Verdana"/>
          <w:sz w:val="16"/>
          <w:szCs w:val="16"/>
        </w:rPr>
        <w:t>Sworn statement of M</w:t>
      </w:r>
      <w:r w:rsidR="00FF2DDD" w:rsidRPr="00954547">
        <w:rPr>
          <w:rFonts w:ascii="Verdana" w:hAnsi="Verdana"/>
          <w:sz w:val="16"/>
          <w:szCs w:val="16"/>
        </w:rPr>
        <w:t>anuela’s father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2288).</w:t>
      </w:r>
    </w:p>
  </w:footnote>
  <w:footnote w:id="324">
    <w:p w14:paraId="230D99C6" w14:textId="031CDDB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sz w:val="16"/>
          <w:szCs w:val="16"/>
        </w:rPr>
        <w:t xml:space="preserve">Communication issued by </w:t>
      </w:r>
      <w:r w:rsidR="006D5A9B" w:rsidRPr="00954547">
        <w:rPr>
          <w:rFonts w:ascii="Verdana" w:hAnsi="Verdana"/>
          <w:sz w:val="16"/>
          <w:szCs w:val="16"/>
        </w:rPr>
        <w:t>the director of the</w:t>
      </w:r>
      <w:r w:rsidR="00807D09" w:rsidRPr="00954547">
        <w:rPr>
          <w:rFonts w:ascii="Verdana" w:hAnsi="Verdana"/>
          <w:sz w:val="16"/>
          <w:szCs w:val="16"/>
        </w:rPr>
        <w:t xml:space="preserve"> San Francisco Gotera National Hospital of February 29,</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58).</w:t>
      </w:r>
    </w:p>
  </w:footnote>
  <w:footnote w:id="325">
    <w:p w14:paraId="5BD1050A" w14:textId="018D69B1"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hAnsi="Verdana"/>
          <w:sz w:val="16"/>
          <w:szCs w:val="16"/>
        </w:rPr>
        <w:t>Expert opinion provided by Guillermo Antonio Ortiz Avendaño during the public hearing held</w:t>
      </w:r>
      <w:r w:rsidRPr="00954547">
        <w:rPr>
          <w:rFonts w:ascii="Verdana" w:hAnsi="Verdana"/>
          <w:sz w:val="16"/>
          <w:szCs w:val="16"/>
        </w:rPr>
        <w:t xml:space="preserve"> </w:t>
      </w:r>
      <w:r w:rsidR="00FC72C0" w:rsidRPr="00954547">
        <w:rPr>
          <w:rFonts w:ascii="Verdana" w:hAnsi="Verdana"/>
          <w:sz w:val="16"/>
          <w:szCs w:val="16"/>
        </w:rPr>
        <w:t>in this case</w:t>
      </w:r>
      <w:r w:rsidRPr="00954547">
        <w:rPr>
          <w:rFonts w:ascii="Verdana" w:hAnsi="Verdana"/>
          <w:sz w:val="16"/>
          <w:szCs w:val="16"/>
        </w:rPr>
        <w:t xml:space="preserve">. </w:t>
      </w:r>
    </w:p>
  </w:footnote>
  <w:footnote w:id="326">
    <w:p w14:paraId="4D091792" w14:textId="042778A4" w:rsidR="005F001B" w:rsidRPr="00954547" w:rsidRDefault="005F001B" w:rsidP="007619E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rPr>
          <w:rFonts w:ascii="Verdana" w:eastAsiaTheme="minorHAnsi" w:hAnsi="Verdana" w:cs="Arial"/>
          <w:sz w:val="16"/>
          <w:szCs w:val="16"/>
          <w:bdr w:val="none" w:sz="0" w:space="0" w:color="auto"/>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32123B" w:rsidRPr="00954547">
        <w:rPr>
          <w:rFonts w:ascii="Verdana" w:hAnsi="Verdana"/>
          <w:sz w:val="16"/>
          <w:szCs w:val="16"/>
        </w:rPr>
        <w:t>Sworn statement of M</w:t>
      </w:r>
      <w:r w:rsidR="00FF2DDD" w:rsidRPr="00954547">
        <w:rPr>
          <w:rFonts w:ascii="Verdana" w:hAnsi="Verdana"/>
          <w:sz w:val="16"/>
          <w:szCs w:val="16"/>
        </w:rPr>
        <w:t>anuela’s father</w:t>
      </w:r>
      <w:r w:rsidRPr="00954547">
        <w:rPr>
          <w:rFonts w:ascii="Verdana" w:hAnsi="Verdana"/>
          <w:sz w:val="16"/>
          <w:szCs w:val="16"/>
        </w:rPr>
        <w:t xml:space="preserve"> </w:t>
      </w:r>
      <w:r w:rsidR="00E60BF1" w:rsidRPr="00954547">
        <w:rPr>
          <w:rFonts w:ascii="Verdana" w:hAnsi="Verdana"/>
          <w:sz w:val="16"/>
          <w:szCs w:val="16"/>
        </w:rPr>
        <w:t>on September 3,</w:t>
      </w:r>
      <w:r w:rsidRPr="00954547">
        <w:rPr>
          <w:rFonts w:ascii="Verdana" w:hAnsi="Verdana"/>
          <w:sz w:val="16"/>
          <w:szCs w:val="16"/>
        </w:rPr>
        <w:t xml:space="preserve"> 2017 (</w:t>
      </w:r>
      <w:r w:rsidR="001C328F" w:rsidRPr="00954547">
        <w:rPr>
          <w:rFonts w:ascii="Verdana" w:hAnsi="Verdana"/>
          <w:sz w:val="16"/>
          <w:szCs w:val="16"/>
        </w:rPr>
        <w:t>evidence file</w:t>
      </w:r>
      <w:r w:rsidRPr="00954547">
        <w:rPr>
          <w:rFonts w:ascii="Verdana" w:hAnsi="Verdana"/>
          <w:sz w:val="16"/>
          <w:szCs w:val="16"/>
        </w:rPr>
        <w:t>, folio 2288).</w:t>
      </w:r>
    </w:p>
  </w:footnote>
  <w:footnote w:id="327">
    <w:p w14:paraId="47AC3DF8" w14:textId="47523A95" w:rsidR="005F001B" w:rsidRPr="00954547" w:rsidRDefault="005F001B" w:rsidP="0010411E">
      <w:pPr>
        <w:pStyle w:val="Numberedparagraphs"/>
        <w:numPr>
          <w:ilvl w:val="0"/>
          <w:numId w:val="0"/>
        </w:numPr>
        <w:tabs>
          <w:tab w:val="left" w:pos="567"/>
        </w:tabs>
        <w:spacing w:before="0"/>
        <w:rPr>
          <w:sz w:val="16"/>
          <w:szCs w:val="16"/>
          <w:lang w:val="en-US"/>
        </w:rPr>
      </w:pPr>
      <w:r w:rsidRPr="00954547">
        <w:rPr>
          <w:rStyle w:val="FootnoteReference"/>
          <w:rFonts w:eastAsia="Verdana" w:cs="Verdana"/>
          <w:sz w:val="16"/>
          <w:szCs w:val="16"/>
          <w:lang w:val="en-US"/>
        </w:rPr>
        <w:footnoteRef/>
      </w:r>
      <w:r w:rsidRPr="00954547">
        <w:rPr>
          <w:sz w:val="16"/>
          <w:szCs w:val="16"/>
          <w:lang w:val="es-CR"/>
        </w:rPr>
        <w:t xml:space="preserve"> </w:t>
      </w:r>
      <w:r w:rsidRPr="00954547">
        <w:rPr>
          <w:sz w:val="16"/>
          <w:szCs w:val="16"/>
          <w:lang w:val="es-CR"/>
        </w:rPr>
        <w:tab/>
      </w:r>
      <w:r w:rsidR="00B8393C" w:rsidRPr="00954547">
        <w:rPr>
          <w:i/>
          <w:sz w:val="16"/>
          <w:szCs w:val="16"/>
          <w:lang w:val="es-CR"/>
        </w:rPr>
        <w:t>Cf.</w:t>
      </w:r>
      <w:r w:rsidRPr="00954547">
        <w:rPr>
          <w:i/>
          <w:sz w:val="16"/>
          <w:szCs w:val="16"/>
          <w:lang w:val="es-CR"/>
        </w:rPr>
        <w:t xml:space="preserve"> </w:t>
      </w:r>
      <w:r w:rsidR="002F4617" w:rsidRPr="00954547">
        <w:rPr>
          <w:i/>
          <w:sz w:val="16"/>
          <w:szCs w:val="16"/>
          <w:lang w:val="es-CR"/>
        </w:rPr>
        <w:t>Case of</w:t>
      </w:r>
      <w:r w:rsidRPr="00954547">
        <w:rPr>
          <w:i/>
          <w:sz w:val="16"/>
          <w:szCs w:val="16"/>
          <w:lang w:val="es-CR"/>
        </w:rPr>
        <w:t xml:space="preserve"> Velásquez Rodríguez </w:t>
      </w:r>
      <w:r w:rsidR="009C16A1" w:rsidRPr="00954547">
        <w:rPr>
          <w:i/>
          <w:sz w:val="16"/>
          <w:szCs w:val="16"/>
          <w:lang w:val="es-CR"/>
        </w:rPr>
        <w:t>v.</w:t>
      </w:r>
      <w:r w:rsidRPr="00954547">
        <w:rPr>
          <w:i/>
          <w:sz w:val="16"/>
          <w:szCs w:val="16"/>
          <w:lang w:val="es-CR"/>
        </w:rPr>
        <w:t xml:space="preserve"> Honduras. </w:t>
      </w:r>
      <w:r w:rsidR="000F0C04" w:rsidRPr="00954547">
        <w:rPr>
          <w:i/>
          <w:sz w:val="16"/>
          <w:szCs w:val="16"/>
          <w:lang w:val="en-US"/>
        </w:rPr>
        <w:t>Merits,</w:t>
      </w:r>
      <w:r w:rsidRPr="00954547">
        <w:rPr>
          <w:i/>
          <w:sz w:val="16"/>
          <w:szCs w:val="16"/>
          <w:lang w:val="en-US"/>
        </w:rPr>
        <w:t xml:space="preserve"> supra</w:t>
      </w:r>
      <w:r w:rsidRPr="00954547">
        <w:rPr>
          <w:sz w:val="16"/>
          <w:szCs w:val="16"/>
          <w:lang w:val="en-US"/>
        </w:rPr>
        <w:t xml:space="preserve">, </w:t>
      </w:r>
      <w:r w:rsidR="0052231D" w:rsidRPr="00954547">
        <w:rPr>
          <w:sz w:val="16"/>
          <w:szCs w:val="16"/>
          <w:lang w:val="en-US"/>
        </w:rPr>
        <w:t>paras.</w:t>
      </w:r>
      <w:r w:rsidRPr="00954547">
        <w:rPr>
          <w:sz w:val="16"/>
          <w:szCs w:val="16"/>
          <w:lang w:val="en-US"/>
        </w:rPr>
        <w:t xml:space="preserve"> 130</w:t>
      </w:r>
      <w:r w:rsidR="0078694F" w:rsidRPr="00954547">
        <w:rPr>
          <w:sz w:val="16"/>
          <w:szCs w:val="16"/>
          <w:lang w:val="en-US"/>
        </w:rPr>
        <w:t xml:space="preserve"> and </w:t>
      </w:r>
      <w:r w:rsidRPr="00954547">
        <w:rPr>
          <w:sz w:val="16"/>
          <w:szCs w:val="16"/>
          <w:lang w:val="en-US"/>
        </w:rPr>
        <w:t>131,</w:t>
      </w:r>
      <w:r w:rsidR="0078694F" w:rsidRPr="00954547">
        <w:rPr>
          <w:sz w:val="16"/>
          <w:szCs w:val="16"/>
          <w:lang w:val="en-US"/>
        </w:rPr>
        <w:t xml:space="preserve"> and </w:t>
      </w:r>
      <w:r w:rsidR="002F4617" w:rsidRPr="00954547">
        <w:rPr>
          <w:i/>
          <w:sz w:val="16"/>
          <w:szCs w:val="16"/>
          <w:lang w:val="en-US"/>
        </w:rPr>
        <w:t>Case of</w:t>
      </w:r>
      <w:r w:rsidRPr="00954547">
        <w:rPr>
          <w:i/>
          <w:sz w:val="16"/>
          <w:szCs w:val="16"/>
          <w:lang w:val="en-US"/>
        </w:rPr>
        <w:t xml:space="preserve"> Valenzuela Ávila </w:t>
      </w:r>
      <w:r w:rsidR="009C16A1" w:rsidRPr="00954547">
        <w:rPr>
          <w:i/>
          <w:sz w:val="16"/>
          <w:szCs w:val="16"/>
          <w:lang w:val="en-US"/>
        </w:rPr>
        <w:t>v.</w:t>
      </w:r>
      <w:r w:rsidRPr="00954547">
        <w:rPr>
          <w:i/>
          <w:sz w:val="16"/>
          <w:szCs w:val="16"/>
          <w:lang w:val="en-US"/>
        </w:rPr>
        <w:t xml:space="preserve"> Guatemala, supra</w:t>
      </w:r>
      <w:r w:rsidRPr="00954547">
        <w:rPr>
          <w:sz w:val="16"/>
          <w:szCs w:val="16"/>
          <w:lang w:val="en-US"/>
        </w:rPr>
        <w:t xml:space="preserve">, </w:t>
      </w:r>
      <w:r w:rsidR="00B10E5A" w:rsidRPr="00954547">
        <w:rPr>
          <w:sz w:val="16"/>
          <w:szCs w:val="16"/>
          <w:lang w:val="en-US"/>
        </w:rPr>
        <w:t>para.</w:t>
      </w:r>
      <w:r w:rsidRPr="00954547">
        <w:rPr>
          <w:i/>
          <w:sz w:val="16"/>
          <w:szCs w:val="16"/>
          <w:lang w:val="en-US"/>
        </w:rPr>
        <w:t xml:space="preserve"> </w:t>
      </w:r>
      <w:r w:rsidRPr="00954547">
        <w:rPr>
          <w:sz w:val="16"/>
          <w:szCs w:val="16"/>
          <w:lang w:val="en-US"/>
        </w:rPr>
        <w:t>163.</w:t>
      </w:r>
    </w:p>
  </w:footnote>
  <w:footnote w:id="328">
    <w:p w14:paraId="6BF8FF22" w14:textId="5E2CBC7B" w:rsidR="005F001B" w:rsidRPr="00954547" w:rsidRDefault="005F001B" w:rsidP="0010411E">
      <w:pPr>
        <w:pStyle w:val="Numberedparagraphs"/>
        <w:numPr>
          <w:ilvl w:val="0"/>
          <w:numId w:val="0"/>
        </w:numPr>
        <w:tabs>
          <w:tab w:val="left" w:pos="567"/>
        </w:tabs>
        <w:spacing w:before="0"/>
        <w:rPr>
          <w:sz w:val="16"/>
          <w:szCs w:val="16"/>
          <w:lang w:val="en-US" w:eastAsia="es-E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B8393C" w:rsidRPr="00954547">
        <w:rPr>
          <w:i/>
          <w:sz w:val="16"/>
          <w:szCs w:val="16"/>
          <w:lang w:val="en-US" w:eastAsia="es-ES"/>
        </w:rPr>
        <w:t>Cf.</w:t>
      </w:r>
      <w:r w:rsidRPr="00954547">
        <w:rPr>
          <w:sz w:val="16"/>
          <w:szCs w:val="16"/>
          <w:lang w:val="en-US" w:eastAsia="es-ES"/>
        </w:rPr>
        <w:t xml:space="preserve"> </w:t>
      </w:r>
      <w:r w:rsidR="002F4617" w:rsidRPr="00954547">
        <w:rPr>
          <w:i/>
          <w:sz w:val="16"/>
          <w:szCs w:val="16"/>
          <w:lang w:val="en-US" w:eastAsia="es-ES"/>
        </w:rPr>
        <w:t>Case of</w:t>
      </w:r>
      <w:r w:rsidRPr="00954547">
        <w:rPr>
          <w:i/>
          <w:sz w:val="16"/>
          <w:szCs w:val="16"/>
          <w:lang w:val="en-US" w:eastAsia="es-ES"/>
        </w:rPr>
        <w:t xml:space="preserve"> Loayza Tamayo </w:t>
      </w:r>
      <w:r w:rsidR="009C16A1" w:rsidRPr="00954547">
        <w:rPr>
          <w:i/>
          <w:sz w:val="16"/>
          <w:szCs w:val="16"/>
          <w:lang w:val="en-US" w:eastAsia="es-ES"/>
        </w:rPr>
        <w:t>v.</w:t>
      </w:r>
      <w:r w:rsidRPr="00954547">
        <w:rPr>
          <w:i/>
          <w:sz w:val="16"/>
          <w:szCs w:val="16"/>
          <w:lang w:val="en-US" w:eastAsia="es-ES"/>
        </w:rPr>
        <w:t xml:space="preserve"> </w:t>
      </w:r>
      <w:r w:rsidR="00C26F0B" w:rsidRPr="00954547">
        <w:rPr>
          <w:i/>
          <w:sz w:val="16"/>
          <w:szCs w:val="16"/>
          <w:lang w:val="en-US" w:eastAsia="es-ES"/>
        </w:rPr>
        <w:t>Peru</w:t>
      </w:r>
      <w:r w:rsidRPr="00954547">
        <w:rPr>
          <w:i/>
          <w:sz w:val="16"/>
          <w:szCs w:val="16"/>
          <w:lang w:val="en-US" w:eastAsia="es-ES"/>
        </w:rPr>
        <w:t xml:space="preserve">. </w:t>
      </w:r>
      <w:r w:rsidR="000F0C04" w:rsidRPr="00954547">
        <w:rPr>
          <w:i/>
          <w:sz w:val="16"/>
          <w:szCs w:val="16"/>
          <w:lang w:val="en-US" w:eastAsia="es-ES"/>
        </w:rPr>
        <w:t>Merits</w:t>
      </w:r>
      <w:r w:rsidRPr="00954547">
        <w:rPr>
          <w:i/>
          <w:sz w:val="16"/>
          <w:szCs w:val="16"/>
          <w:lang w:val="en-US" w:eastAsia="es-ES"/>
        </w:rPr>
        <w:t xml:space="preserve">. </w:t>
      </w:r>
      <w:r w:rsidR="00B8393C" w:rsidRPr="00954547">
        <w:rPr>
          <w:sz w:val="16"/>
          <w:szCs w:val="16"/>
          <w:lang w:val="en-US" w:eastAsia="es-ES"/>
        </w:rPr>
        <w:t>Judgment of</w:t>
      </w:r>
      <w:r w:rsidRPr="00954547">
        <w:rPr>
          <w:sz w:val="16"/>
          <w:szCs w:val="16"/>
          <w:lang w:val="en-US" w:eastAsia="es-ES"/>
        </w:rPr>
        <w:t xml:space="preserve"> </w:t>
      </w:r>
      <w:r w:rsidR="000F0C04" w:rsidRPr="00954547">
        <w:rPr>
          <w:sz w:val="16"/>
          <w:szCs w:val="16"/>
          <w:lang w:val="en-US" w:eastAsia="es-ES"/>
        </w:rPr>
        <w:t>September 17,</w:t>
      </w:r>
      <w:r w:rsidRPr="00954547">
        <w:rPr>
          <w:sz w:val="16"/>
          <w:szCs w:val="16"/>
          <w:lang w:val="en-US" w:eastAsia="es-ES"/>
        </w:rPr>
        <w:t xml:space="preserve"> 1997. </w:t>
      </w:r>
      <w:r w:rsidR="00B8393C" w:rsidRPr="00954547">
        <w:rPr>
          <w:sz w:val="16"/>
          <w:szCs w:val="16"/>
          <w:lang w:val="en-US" w:eastAsia="es-ES"/>
        </w:rPr>
        <w:t xml:space="preserve">Series </w:t>
      </w:r>
      <w:r w:rsidRPr="00954547">
        <w:rPr>
          <w:sz w:val="16"/>
          <w:szCs w:val="16"/>
          <w:lang w:val="en-US" w:eastAsia="es-ES"/>
        </w:rPr>
        <w:t xml:space="preserve">C No. 33, </w:t>
      </w:r>
      <w:r w:rsidR="00B10E5A" w:rsidRPr="00954547">
        <w:rPr>
          <w:sz w:val="16"/>
          <w:szCs w:val="16"/>
          <w:lang w:val="en-US" w:eastAsia="es-ES"/>
        </w:rPr>
        <w:t>para.</w:t>
      </w:r>
      <w:r w:rsidRPr="00954547">
        <w:rPr>
          <w:sz w:val="16"/>
          <w:szCs w:val="16"/>
          <w:lang w:val="en-US" w:eastAsia="es-ES"/>
        </w:rPr>
        <w:t xml:space="preserve"> 57</w:t>
      </w:r>
      <w:r w:rsidRPr="00954547">
        <w:rPr>
          <w:sz w:val="16"/>
          <w:szCs w:val="16"/>
          <w:lang w:val="en-US"/>
        </w:rPr>
        <w:t>,</w:t>
      </w:r>
      <w:r w:rsidR="0078694F" w:rsidRPr="00954547">
        <w:rPr>
          <w:sz w:val="16"/>
          <w:szCs w:val="16"/>
          <w:lang w:val="en-US"/>
        </w:rPr>
        <w:t xml:space="preserve"> and </w:t>
      </w:r>
      <w:r w:rsidR="002F4617" w:rsidRPr="00954547">
        <w:rPr>
          <w:i/>
          <w:sz w:val="16"/>
          <w:szCs w:val="16"/>
          <w:lang w:val="en-US"/>
        </w:rPr>
        <w:t>Case of</w:t>
      </w:r>
      <w:r w:rsidRPr="00954547">
        <w:rPr>
          <w:i/>
          <w:sz w:val="16"/>
          <w:szCs w:val="16"/>
          <w:lang w:val="en-US"/>
        </w:rPr>
        <w:t xml:space="preserve"> Azul Rojas Marín</w:t>
      </w:r>
      <w:r w:rsidR="0078694F" w:rsidRPr="00954547">
        <w:rPr>
          <w:i/>
          <w:sz w:val="16"/>
          <w:szCs w:val="16"/>
          <w:lang w:val="en-US"/>
        </w:rPr>
        <w:t xml:space="preserve"> </w:t>
      </w:r>
      <w:r w:rsidR="000F0C04" w:rsidRPr="00954547">
        <w:rPr>
          <w:i/>
          <w:sz w:val="16"/>
          <w:szCs w:val="16"/>
          <w:lang w:val="en-US"/>
        </w:rPr>
        <w:t>et al.</w:t>
      </w:r>
      <w:r w:rsidRPr="00954547">
        <w:rPr>
          <w:i/>
          <w:sz w:val="16"/>
          <w:szCs w:val="16"/>
          <w:lang w:val="en-US"/>
        </w:rPr>
        <w:t xml:space="preserve"> </w:t>
      </w:r>
      <w:r w:rsidR="009C16A1" w:rsidRPr="00954547">
        <w:rPr>
          <w:i/>
          <w:sz w:val="16"/>
          <w:szCs w:val="16"/>
          <w:lang w:val="en-US"/>
        </w:rPr>
        <w:t>v.</w:t>
      </w:r>
      <w:r w:rsidRPr="00954547">
        <w:rPr>
          <w:i/>
          <w:sz w:val="16"/>
          <w:szCs w:val="16"/>
          <w:lang w:val="en-US"/>
        </w:rPr>
        <w:t xml:space="preserve"> </w:t>
      </w:r>
      <w:r w:rsidR="00C26F0B" w:rsidRPr="00954547">
        <w:rPr>
          <w:i/>
          <w:sz w:val="16"/>
          <w:szCs w:val="16"/>
          <w:lang w:val="en-US"/>
        </w:rPr>
        <w:t>Peru</w:t>
      </w:r>
      <w:r w:rsidRPr="00954547">
        <w:rPr>
          <w:i/>
          <w:sz w:val="16"/>
          <w:szCs w:val="16"/>
          <w:lang w:val="en-US"/>
        </w:rPr>
        <w:t xml:space="preserve">. </w:t>
      </w:r>
      <w:r w:rsidR="004C640C" w:rsidRPr="00954547">
        <w:rPr>
          <w:i/>
          <w:sz w:val="16"/>
          <w:szCs w:val="16"/>
          <w:lang w:val="en-US"/>
        </w:rPr>
        <w:t>Preliminary objections, merits</w:t>
      </w:r>
      <w:r w:rsidR="00A70DC4" w:rsidRPr="00954547">
        <w:rPr>
          <w:i/>
          <w:sz w:val="16"/>
          <w:szCs w:val="16"/>
          <w:lang w:val="en-US"/>
        </w:rPr>
        <w:t>, reparations and costs</w:t>
      </w:r>
      <w:r w:rsidRPr="00954547">
        <w:rPr>
          <w:i/>
          <w:sz w:val="16"/>
          <w:szCs w:val="16"/>
          <w:lang w:val="en-US"/>
        </w:rPr>
        <w:t xml:space="preserve">. </w:t>
      </w:r>
      <w:r w:rsidR="00B8393C" w:rsidRPr="00954547">
        <w:rPr>
          <w:sz w:val="16"/>
          <w:szCs w:val="16"/>
          <w:lang w:val="en-US"/>
        </w:rPr>
        <w:t>Judgment of</w:t>
      </w:r>
      <w:r w:rsidRPr="00954547">
        <w:rPr>
          <w:sz w:val="16"/>
          <w:szCs w:val="16"/>
          <w:lang w:val="en-US"/>
        </w:rPr>
        <w:t xml:space="preserve"> </w:t>
      </w:r>
      <w:r w:rsidR="006771AD" w:rsidRPr="00954547">
        <w:rPr>
          <w:sz w:val="16"/>
          <w:szCs w:val="16"/>
          <w:lang w:val="en-US"/>
        </w:rPr>
        <w:t xml:space="preserve">March </w:t>
      </w:r>
      <w:r w:rsidR="000F0C04" w:rsidRPr="00954547">
        <w:rPr>
          <w:sz w:val="16"/>
          <w:szCs w:val="16"/>
          <w:lang w:val="en-US"/>
        </w:rPr>
        <w:t>1</w:t>
      </w:r>
      <w:r w:rsidR="006771AD" w:rsidRPr="00954547">
        <w:rPr>
          <w:sz w:val="16"/>
          <w:szCs w:val="16"/>
          <w:lang w:val="en-US"/>
        </w:rPr>
        <w:t>2,</w:t>
      </w:r>
      <w:r w:rsidRPr="00954547">
        <w:rPr>
          <w:sz w:val="16"/>
          <w:szCs w:val="16"/>
          <w:lang w:val="en-US"/>
        </w:rPr>
        <w:t xml:space="preserve"> 2020. </w:t>
      </w:r>
      <w:r w:rsidR="00B8393C" w:rsidRPr="00954547">
        <w:rPr>
          <w:sz w:val="16"/>
          <w:szCs w:val="16"/>
          <w:lang w:val="en-US"/>
        </w:rPr>
        <w:t xml:space="preserve">Series </w:t>
      </w:r>
      <w:r w:rsidRPr="00954547">
        <w:rPr>
          <w:sz w:val="16"/>
          <w:szCs w:val="16"/>
          <w:lang w:val="en-US"/>
        </w:rPr>
        <w:t xml:space="preserve">C No. 402, </w:t>
      </w:r>
      <w:r w:rsidR="00B10E5A" w:rsidRPr="00954547">
        <w:rPr>
          <w:sz w:val="16"/>
          <w:szCs w:val="16"/>
          <w:lang w:val="en-US"/>
        </w:rPr>
        <w:t>para.</w:t>
      </w:r>
      <w:r w:rsidRPr="00954547">
        <w:rPr>
          <w:sz w:val="16"/>
          <w:szCs w:val="16"/>
          <w:lang w:val="en-US"/>
        </w:rPr>
        <w:t xml:space="preserve"> 158.</w:t>
      </w:r>
    </w:p>
  </w:footnote>
  <w:footnote w:id="329">
    <w:p w14:paraId="43D23553" w14:textId="41E4D30E" w:rsidR="005F001B" w:rsidRPr="00954547" w:rsidRDefault="005F001B" w:rsidP="0010411E">
      <w:pPr>
        <w:pStyle w:val="Heading3"/>
        <w:shd w:val="clear" w:color="auto" w:fill="FFFFFF"/>
        <w:tabs>
          <w:tab w:val="left" w:pos="567"/>
        </w:tabs>
        <w:spacing w:before="0" w:after="120"/>
        <w:ind w:left="0"/>
        <w:jc w:val="both"/>
        <w:rPr>
          <w:b w:val="0"/>
          <w:bCs w:val="0"/>
          <w:color w:val="262626"/>
          <w:sz w:val="16"/>
          <w:szCs w:val="16"/>
        </w:rPr>
      </w:pPr>
      <w:r w:rsidRPr="00954547">
        <w:rPr>
          <w:rStyle w:val="FootnoteReference"/>
          <w:sz w:val="16"/>
          <w:szCs w:val="16"/>
        </w:rPr>
        <w:footnoteRef/>
      </w:r>
      <w:r w:rsidRPr="00954547">
        <w:rPr>
          <w:sz w:val="16"/>
          <w:szCs w:val="16"/>
        </w:rPr>
        <w:t xml:space="preserve"> </w:t>
      </w:r>
      <w:r w:rsidRPr="00954547">
        <w:rPr>
          <w:sz w:val="16"/>
          <w:szCs w:val="16"/>
        </w:rPr>
        <w:tab/>
      </w:r>
      <w:r w:rsidR="00946DCB" w:rsidRPr="00954547">
        <w:rPr>
          <w:b w:val="0"/>
          <w:bCs w:val="0"/>
          <w:sz w:val="16"/>
          <w:szCs w:val="16"/>
        </w:rPr>
        <w:t xml:space="preserve">United Nations </w:t>
      </w:r>
      <w:r w:rsidR="0010411E" w:rsidRPr="00954547">
        <w:rPr>
          <w:b w:val="0"/>
          <w:bCs w:val="0"/>
          <w:sz w:val="16"/>
          <w:szCs w:val="16"/>
        </w:rPr>
        <w:t>Standard Minimum Rules for the Treatment</w:t>
      </w:r>
      <w:r w:rsidR="00946DCB" w:rsidRPr="00954547">
        <w:rPr>
          <w:b w:val="0"/>
          <w:bCs w:val="0"/>
          <w:sz w:val="16"/>
          <w:szCs w:val="16"/>
        </w:rPr>
        <w:t xml:space="preserve"> of Prisoners</w:t>
      </w:r>
      <w:r w:rsidRPr="00954547">
        <w:rPr>
          <w:b w:val="0"/>
          <w:bCs w:val="0"/>
          <w:sz w:val="16"/>
          <w:szCs w:val="16"/>
        </w:rPr>
        <w:t>, adopt</w:t>
      </w:r>
      <w:r w:rsidR="00946DCB" w:rsidRPr="00954547">
        <w:rPr>
          <w:b w:val="0"/>
          <w:bCs w:val="0"/>
          <w:sz w:val="16"/>
          <w:szCs w:val="16"/>
        </w:rPr>
        <w:t xml:space="preserve">ed by the First United Nations Congress </w:t>
      </w:r>
      <w:r w:rsidR="0010411E" w:rsidRPr="00954547">
        <w:rPr>
          <w:b w:val="0"/>
          <w:bCs w:val="0"/>
          <w:sz w:val="16"/>
          <w:szCs w:val="16"/>
        </w:rPr>
        <w:t>on the</w:t>
      </w:r>
      <w:r w:rsidR="0010411E" w:rsidRPr="00954547">
        <w:rPr>
          <w:sz w:val="16"/>
          <w:szCs w:val="16"/>
        </w:rPr>
        <w:t xml:space="preserve"> </w:t>
      </w:r>
      <w:r w:rsidR="0010411E" w:rsidRPr="00954547">
        <w:rPr>
          <w:b w:val="0"/>
          <w:bCs w:val="0"/>
          <w:color w:val="262626"/>
          <w:sz w:val="16"/>
          <w:szCs w:val="16"/>
        </w:rPr>
        <w:t>Prevention of Crime and the Treatment of Offenders, held at Geneva in 1955, and approved by the Economic and Social Council by its resolutions 663 C (XXIV) of 31 July 1957 and 2076 (LXII) of May 13, 1977.</w:t>
      </w:r>
    </w:p>
  </w:footnote>
  <w:footnote w:id="330">
    <w:p w14:paraId="3FC5A360" w14:textId="57940D23" w:rsidR="005F001B" w:rsidRPr="00954547" w:rsidRDefault="005F001B" w:rsidP="007619E6">
      <w:pPr>
        <w:widowControl w:val="0"/>
        <w:tabs>
          <w:tab w:val="left" w:pos="567"/>
        </w:tabs>
        <w:spacing w:after="120"/>
        <w:jc w:val="both"/>
        <w:rPr>
          <w:rFonts w:ascii="Verdana" w:hAnsi="Verdana"/>
          <w:sz w:val="16"/>
          <w:szCs w:val="16"/>
        </w:rPr>
      </w:pPr>
      <w:r w:rsidRPr="00954547">
        <w:rPr>
          <w:rStyle w:val="FootnoteReference"/>
          <w:rFonts w:ascii="Verdana" w:eastAsia="Times" w:hAnsi="Verdana"/>
          <w:sz w:val="16"/>
          <w:szCs w:val="16"/>
          <w:lang w:eastAsia="x-none"/>
        </w:rPr>
        <w:footnoteRef/>
      </w:r>
      <w:r w:rsidRPr="00954547">
        <w:rPr>
          <w:rFonts w:ascii="Verdana" w:hAnsi="Verdana"/>
          <w:i/>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bCs/>
          <w:i/>
          <w:sz w:val="16"/>
          <w:szCs w:val="16"/>
        </w:rPr>
        <w:t>Case of</w:t>
      </w:r>
      <w:r w:rsidRPr="00954547">
        <w:rPr>
          <w:rFonts w:ascii="Verdana" w:hAnsi="Verdana"/>
          <w:bCs/>
          <w:i/>
          <w:sz w:val="16"/>
          <w:szCs w:val="16"/>
        </w:rPr>
        <w:t xml:space="preserve"> Raxcacó Reyes </w:t>
      </w:r>
      <w:r w:rsidR="009C16A1" w:rsidRPr="00954547">
        <w:rPr>
          <w:rFonts w:ascii="Verdana" w:hAnsi="Verdana"/>
          <w:bCs/>
          <w:i/>
          <w:sz w:val="16"/>
          <w:szCs w:val="16"/>
        </w:rPr>
        <w:t>v.</w:t>
      </w:r>
      <w:r w:rsidRPr="00954547">
        <w:rPr>
          <w:rFonts w:ascii="Verdana" w:hAnsi="Verdana"/>
          <w:bCs/>
          <w:i/>
          <w:sz w:val="16"/>
          <w:szCs w:val="16"/>
        </w:rPr>
        <w:t xml:space="preserve"> Guatemala.</w:t>
      </w:r>
      <w:r w:rsidRPr="00954547">
        <w:rPr>
          <w:rFonts w:ascii="Verdana" w:hAnsi="Verdana"/>
          <w:b/>
          <w:bCs/>
          <w:i/>
          <w:sz w:val="16"/>
          <w:szCs w:val="16"/>
        </w:rPr>
        <w:t xml:space="preserve">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0F0C04" w:rsidRPr="00954547">
        <w:rPr>
          <w:rFonts w:ascii="Verdana" w:hAnsi="Verdana"/>
          <w:sz w:val="16"/>
          <w:szCs w:val="16"/>
        </w:rPr>
        <w:t>September 15,</w:t>
      </w:r>
      <w:r w:rsidRPr="00954547">
        <w:rPr>
          <w:rFonts w:ascii="Verdana" w:hAnsi="Verdana"/>
          <w:sz w:val="16"/>
          <w:szCs w:val="16"/>
        </w:rPr>
        <w:t xml:space="preserve"> 2005. </w:t>
      </w:r>
      <w:r w:rsidR="00B8393C" w:rsidRPr="00954547">
        <w:rPr>
          <w:rFonts w:ascii="Verdana" w:hAnsi="Verdana"/>
          <w:sz w:val="16"/>
          <w:szCs w:val="16"/>
        </w:rPr>
        <w:t xml:space="preserve">Series </w:t>
      </w:r>
      <w:r w:rsidRPr="00954547">
        <w:rPr>
          <w:rFonts w:ascii="Verdana" w:hAnsi="Verdana"/>
          <w:sz w:val="16"/>
          <w:szCs w:val="16"/>
        </w:rPr>
        <w:t xml:space="preserve">C No. 133, </w:t>
      </w:r>
      <w:r w:rsidR="00B10E5A" w:rsidRPr="00954547">
        <w:rPr>
          <w:rFonts w:ascii="Verdana" w:hAnsi="Verdana"/>
          <w:sz w:val="16"/>
          <w:szCs w:val="16"/>
        </w:rPr>
        <w:t>para.</w:t>
      </w:r>
      <w:r w:rsidRPr="00954547">
        <w:rPr>
          <w:rFonts w:ascii="Verdana" w:hAnsi="Verdana"/>
          <w:sz w:val="16"/>
          <w:szCs w:val="16"/>
        </w:rPr>
        <w:t xml:space="preserve"> 99,</w:t>
      </w:r>
      <w:r w:rsidR="0078694F" w:rsidRPr="00954547">
        <w:rPr>
          <w:rFonts w:ascii="Verdana" w:hAnsi="Verdana"/>
          <w:sz w:val="16"/>
          <w:szCs w:val="16"/>
        </w:rPr>
        <w:t xml:space="preserve"> and </w:t>
      </w:r>
      <w:r w:rsidR="002F4617" w:rsidRPr="00954547">
        <w:rPr>
          <w:rFonts w:ascii="Verdana" w:hAnsi="Verdana"/>
          <w:bCs/>
          <w:i/>
          <w:color w:val="000000"/>
          <w:sz w:val="16"/>
          <w:szCs w:val="16"/>
          <w:lang w:eastAsia="es-ES_tradnl"/>
        </w:rPr>
        <w:t>Case of</w:t>
      </w:r>
      <w:r w:rsidRPr="00954547">
        <w:rPr>
          <w:rFonts w:ascii="Verdana" w:hAnsi="Verdana"/>
          <w:bCs/>
          <w:i/>
          <w:color w:val="000000"/>
          <w:sz w:val="16"/>
          <w:szCs w:val="16"/>
          <w:lang w:eastAsia="es-ES_tradnl"/>
        </w:rPr>
        <w:t xml:space="preserve"> Hernández </w:t>
      </w:r>
      <w:r w:rsidR="009C16A1" w:rsidRPr="00954547">
        <w:rPr>
          <w:rFonts w:ascii="Verdana" w:hAnsi="Verdana"/>
          <w:bCs/>
          <w:i/>
          <w:color w:val="000000"/>
          <w:sz w:val="16"/>
          <w:szCs w:val="16"/>
          <w:lang w:eastAsia="es-ES_tradnl"/>
        </w:rPr>
        <w:t>v.</w:t>
      </w:r>
      <w:r w:rsidRPr="00954547">
        <w:rPr>
          <w:rFonts w:ascii="Verdana" w:hAnsi="Verdana"/>
          <w:bCs/>
          <w:i/>
          <w:color w:val="000000"/>
          <w:sz w:val="16"/>
          <w:szCs w:val="16"/>
          <w:lang w:eastAsia="es-ES_tradnl"/>
        </w:rPr>
        <w:t xml:space="preserve"> Argentina, supra</w:t>
      </w:r>
      <w:r w:rsidRPr="00954547">
        <w:rPr>
          <w:rFonts w:ascii="Verdana" w:hAnsi="Verdana"/>
          <w:bCs/>
          <w:color w:val="000000"/>
          <w:sz w:val="16"/>
          <w:szCs w:val="16"/>
          <w:lang w:eastAsia="es-ES_tradnl"/>
        </w:rPr>
        <w:t xml:space="preserve">, </w:t>
      </w:r>
      <w:r w:rsidR="00B10E5A" w:rsidRPr="00954547">
        <w:rPr>
          <w:rFonts w:ascii="Verdana" w:hAnsi="Verdana"/>
          <w:bCs/>
          <w:color w:val="000000"/>
          <w:sz w:val="16"/>
          <w:szCs w:val="16"/>
          <w:lang w:eastAsia="es-ES_tradnl"/>
        </w:rPr>
        <w:t>para.</w:t>
      </w:r>
      <w:r w:rsidRPr="00954547">
        <w:rPr>
          <w:rFonts w:ascii="Verdana" w:hAnsi="Verdana"/>
          <w:bCs/>
          <w:color w:val="000000"/>
          <w:sz w:val="16"/>
          <w:szCs w:val="16"/>
          <w:lang w:eastAsia="es-ES_tradnl"/>
        </w:rPr>
        <w:t xml:space="preserve"> 87</w:t>
      </w:r>
      <w:r w:rsidRPr="00954547">
        <w:rPr>
          <w:rFonts w:ascii="Verdana" w:hAnsi="Verdana"/>
          <w:sz w:val="16"/>
          <w:szCs w:val="16"/>
        </w:rPr>
        <w:t xml:space="preserve">. </w:t>
      </w:r>
    </w:p>
  </w:footnote>
  <w:footnote w:id="331">
    <w:p w14:paraId="4A60B8DB" w14:textId="2D08376A" w:rsidR="005F001B" w:rsidRPr="00954547" w:rsidRDefault="005F001B" w:rsidP="007619E6">
      <w:pPr>
        <w:pStyle w:val="Numberedparagraphs"/>
        <w:numPr>
          <w:ilvl w:val="0"/>
          <w:numId w:val="0"/>
        </w:numPr>
        <w:tabs>
          <w:tab w:val="left" w:pos="567"/>
        </w:tabs>
        <w:spacing w:before="0"/>
        <w:rPr>
          <w:color w:val="333333"/>
          <w:sz w:val="16"/>
          <w:szCs w:val="16"/>
          <w:shd w:val="clear" w:color="auto" w:fill="FFFFFF"/>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3F04C6" w:rsidRPr="00954547">
        <w:rPr>
          <w:sz w:val="16"/>
          <w:szCs w:val="16"/>
          <w:lang w:val="en-US"/>
        </w:rPr>
        <w:t xml:space="preserve">United Nations Standard Minimum Rules for the Treatment of Prisoners, adopted by the First United Nations Congress on the </w:t>
      </w:r>
      <w:r w:rsidR="003F04C6" w:rsidRPr="00954547">
        <w:rPr>
          <w:color w:val="262626"/>
          <w:sz w:val="16"/>
          <w:szCs w:val="16"/>
          <w:lang w:val="en-US"/>
        </w:rPr>
        <w:t>Prevention of Crime and the Treatment of Offenders, held at Geneva in 1955, and approved by the Economic and Social Council by its resolutions 663 C (XXIV) of 31 July 1957 and 2076 (LXII) of May 13, 1977</w:t>
      </w:r>
      <w:r w:rsidRPr="00954547">
        <w:rPr>
          <w:sz w:val="16"/>
          <w:szCs w:val="16"/>
          <w:lang w:val="en-US"/>
        </w:rPr>
        <w:t xml:space="preserve">, </w:t>
      </w:r>
      <w:r w:rsidR="00B10E5A" w:rsidRPr="00954547">
        <w:rPr>
          <w:sz w:val="16"/>
          <w:szCs w:val="16"/>
          <w:lang w:val="en-US"/>
        </w:rPr>
        <w:t>para.</w:t>
      </w:r>
      <w:r w:rsidRPr="00954547">
        <w:rPr>
          <w:sz w:val="16"/>
          <w:szCs w:val="16"/>
          <w:lang w:val="en-US"/>
        </w:rPr>
        <w:t xml:space="preserve"> 33. </w:t>
      </w:r>
      <w:r w:rsidR="00665E2D" w:rsidRPr="00954547">
        <w:rPr>
          <w:sz w:val="16"/>
          <w:szCs w:val="16"/>
          <w:lang w:val="en-US"/>
        </w:rPr>
        <w:t xml:space="preserve">In </w:t>
      </w:r>
      <w:r w:rsidRPr="00954547">
        <w:rPr>
          <w:sz w:val="16"/>
          <w:szCs w:val="16"/>
          <w:lang w:val="en-US"/>
        </w:rPr>
        <w:t>2015</w:t>
      </w:r>
      <w:r w:rsidR="00665E2D" w:rsidRPr="00954547">
        <w:rPr>
          <w:sz w:val="16"/>
          <w:szCs w:val="16"/>
          <w:lang w:val="en-US"/>
        </w:rPr>
        <w:t>, the United Nations General Assembly adopted the revised</w:t>
      </w:r>
      <w:r w:rsidR="00665E2D" w:rsidRPr="00954547">
        <w:rPr>
          <w:color w:val="333333"/>
          <w:sz w:val="16"/>
          <w:szCs w:val="16"/>
          <w:shd w:val="clear" w:color="auto" w:fill="FFFFFF"/>
          <w:lang w:val="en-US"/>
        </w:rPr>
        <w:t> United Nations Standard Minimum Rules for the Treatment of Prisoners (the</w:t>
      </w:r>
      <w:r w:rsidR="00C62A12" w:rsidRPr="00954547">
        <w:rPr>
          <w:color w:val="333333"/>
          <w:sz w:val="16"/>
          <w:szCs w:val="16"/>
          <w:shd w:val="clear" w:color="auto" w:fill="FFFFFF"/>
          <w:lang w:val="en-US"/>
        </w:rPr>
        <w:t xml:space="preserve"> Nelson</w:t>
      </w:r>
      <w:r w:rsidR="00665E2D" w:rsidRPr="00954547">
        <w:rPr>
          <w:color w:val="333333"/>
          <w:sz w:val="16"/>
          <w:szCs w:val="16"/>
          <w:shd w:val="clear" w:color="auto" w:fill="FFFFFF"/>
          <w:lang w:val="en-US"/>
        </w:rPr>
        <w:t xml:space="preserve"> Mandela Rules). </w:t>
      </w:r>
      <w:r w:rsidR="00D21C05" w:rsidRPr="00954547">
        <w:rPr>
          <w:color w:val="333333"/>
          <w:sz w:val="16"/>
          <w:szCs w:val="16"/>
          <w:shd w:val="clear" w:color="auto" w:fill="FFFFFF"/>
          <w:lang w:val="en-US"/>
        </w:rPr>
        <w:t>They also</w:t>
      </w:r>
      <w:r w:rsidR="00C62A12" w:rsidRPr="00954547">
        <w:rPr>
          <w:color w:val="333333"/>
          <w:sz w:val="16"/>
          <w:szCs w:val="16"/>
          <w:shd w:val="clear" w:color="auto" w:fill="FFFFFF"/>
          <w:lang w:val="en-US"/>
        </w:rPr>
        <w:t xml:space="preserve"> stipulate that “</w:t>
      </w:r>
      <w:r w:rsidR="00665E2D" w:rsidRPr="00954547">
        <w:rPr>
          <w:sz w:val="16"/>
          <w:szCs w:val="16"/>
          <w:lang w:val="en-US"/>
        </w:rPr>
        <w:t>Other instruments of restraint shall only be used when authorized by law and in the following circumstances: (a) As a precaution against escape during a transfer, provided that they are removed when the prisoner appears before a judicial or administrative authority; (b) By order of the prison director, if other methods of control fail, in order to prevent a prisoner from injuring himself or herself or others or from damaging property; in such instances, the director shall immediately alert the physician or other qualified health-care professionals and report to the higher administrative authority</w:t>
      </w:r>
      <w:r w:rsidR="00665E2D" w:rsidRPr="00954547">
        <w:rPr>
          <w:sz w:val="16"/>
          <w:szCs w:val="16"/>
          <w:shd w:val="clear" w:color="auto" w:fill="FFFFFF"/>
          <w:lang w:val="en-US"/>
        </w:rPr>
        <w:t>.”</w:t>
      </w:r>
      <w:r w:rsidR="00C62A12" w:rsidRPr="00954547">
        <w:rPr>
          <w:color w:val="333333"/>
          <w:sz w:val="16"/>
          <w:szCs w:val="16"/>
          <w:shd w:val="clear" w:color="auto" w:fill="FFFFFF"/>
          <w:lang w:val="en-US"/>
        </w:rPr>
        <w:t xml:space="preserve"> </w:t>
      </w:r>
      <w:r w:rsidR="00B8393C" w:rsidRPr="00954547">
        <w:rPr>
          <w:i/>
          <w:sz w:val="16"/>
          <w:szCs w:val="16"/>
          <w:lang w:val="en-US"/>
        </w:rPr>
        <w:t>Cf.</w:t>
      </w:r>
      <w:r w:rsidRPr="00954547">
        <w:rPr>
          <w:sz w:val="16"/>
          <w:szCs w:val="16"/>
          <w:lang w:val="en-US"/>
        </w:rPr>
        <w:t xml:space="preserve"> </w:t>
      </w:r>
      <w:r w:rsidR="00C62A12" w:rsidRPr="00954547">
        <w:rPr>
          <w:sz w:val="16"/>
          <w:szCs w:val="16"/>
          <w:lang w:val="en-US"/>
        </w:rPr>
        <w:t>UN</w:t>
      </w:r>
      <w:r w:rsidRPr="00954547">
        <w:rPr>
          <w:sz w:val="16"/>
          <w:szCs w:val="16"/>
          <w:lang w:val="en-US"/>
        </w:rPr>
        <w:t xml:space="preserve">. </w:t>
      </w:r>
      <w:r w:rsidR="00C62A12" w:rsidRPr="00954547">
        <w:rPr>
          <w:sz w:val="16"/>
          <w:szCs w:val="16"/>
          <w:lang w:val="en-US"/>
        </w:rPr>
        <w:t>United Nations Standard Minimum Rules for the Treatment of Prisoners</w:t>
      </w:r>
      <w:r w:rsidRPr="00954547">
        <w:rPr>
          <w:sz w:val="16"/>
          <w:szCs w:val="16"/>
          <w:lang w:val="en-US"/>
        </w:rPr>
        <w:t xml:space="preserve"> (</w:t>
      </w:r>
      <w:r w:rsidR="00C62A12" w:rsidRPr="00954547">
        <w:rPr>
          <w:color w:val="333333"/>
          <w:sz w:val="16"/>
          <w:szCs w:val="16"/>
          <w:shd w:val="clear" w:color="auto" w:fill="FFFFFF"/>
          <w:lang w:val="en-US"/>
        </w:rPr>
        <w:t>the Nelson Mandela Rules).</w:t>
      </w:r>
      <w:r w:rsidR="00C62A12" w:rsidRPr="00954547">
        <w:rPr>
          <w:sz w:val="16"/>
          <w:szCs w:val="16"/>
          <w:lang w:val="en-US"/>
        </w:rPr>
        <w:t xml:space="preserve"> General Assembly </w:t>
      </w:r>
      <w:r w:rsidRPr="00954547">
        <w:rPr>
          <w:sz w:val="16"/>
          <w:szCs w:val="16"/>
          <w:lang w:val="en-US"/>
        </w:rPr>
        <w:t>Resolu</w:t>
      </w:r>
      <w:r w:rsidR="00C62A12" w:rsidRPr="00954547">
        <w:rPr>
          <w:sz w:val="16"/>
          <w:szCs w:val="16"/>
          <w:lang w:val="en-US"/>
        </w:rPr>
        <w:t>tio</w:t>
      </w:r>
      <w:r w:rsidRPr="00954547">
        <w:rPr>
          <w:sz w:val="16"/>
          <w:szCs w:val="16"/>
          <w:lang w:val="en-US"/>
        </w:rPr>
        <w:t xml:space="preserve">n A/RES/70/175, </w:t>
      </w:r>
      <w:r w:rsidR="00C62A12" w:rsidRPr="00954547">
        <w:rPr>
          <w:sz w:val="16"/>
          <w:szCs w:val="16"/>
          <w:lang w:val="en-US"/>
        </w:rPr>
        <w:t>of December</w:t>
      </w:r>
      <w:r w:rsidRPr="00954547">
        <w:rPr>
          <w:sz w:val="16"/>
          <w:szCs w:val="16"/>
          <w:lang w:val="en-US"/>
        </w:rPr>
        <w:t xml:space="preserve"> 17</w:t>
      </w:r>
      <w:r w:rsidR="00C62A12" w:rsidRPr="00954547">
        <w:rPr>
          <w:sz w:val="16"/>
          <w:szCs w:val="16"/>
          <w:lang w:val="en-US"/>
        </w:rPr>
        <w:t xml:space="preserve">, </w:t>
      </w:r>
      <w:r w:rsidRPr="00954547">
        <w:rPr>
          <w:sz w:val="16"/>
          <w:szCs w:val="16"/>
          <w:lang w:val="en-US"/>
        </w:rPr>
        <w:t>201</w:t>
      </w:r>
      <w:r w:rsidR="00C62A12" w:rsidRPr="00954547">
        <w:rPr>
          <w:sz w:val="16"/>
          <w:szCs w:val="16"/>
          <w:lang w:val="en-US"/>
        </w:rPr>
        <w:t>5, rule</w:t>
      </w:r>
      <w:r w:rsidRPr="00954547">
        <w:rPr>
          <w:sz w:val="16"/>
          <w:szCs w:val="16"/>
          <w:lang w:val="en-US"/>
        </w:rPr>
        <w:t xml:space="preserve"> 4</w:t>
      </w:r>
      <w:r w:rsidR="00A17F8C" w:rsidRPr="00954547">
        <w:rPr>
          <w:sz w:val="16"/>
          <w:szCs w:val="16"/>
          <w:lang w:val="en-US"/>
        </w:rPr>
        <w:t>7(2)</w:t>
      </w:r>
    </w:p>
  </w:footnote>
  <w:footnote w:id="332">
    <w:p w14:paraId="6D9EAB28" w14:textId="232B2A1E" w:rsidR="005F001B" w:rsidRPr="00954547" w:rsidRDefault="005F001B" w:rsidP="007619E6">
      <w:pPr>
        <w:pStyle w:val="Numberedparagraphs"/>
        <w:numPr>
          <w:ilvl w:val="0"/>
          <w:numId w:val="0"/>
        </w:numPr>
        <w:tabs>
          <w:tab w:val="left" w:pos="567"/>
        </w:tabs>
        <w:spacing w:before="0"/>
        <w:rPr>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C62A12" w:rsidRPr="00954547">
        <w:rPr>
          <w:sz w:val="16"/>
          <w:szCs w:val="16"/>
          <w:lang w:val="en-US"/>
        </w:rPr>
        <w:t>United Nations Rules for the Treatment of Women Prisoners and Non-custodial Measures for Women Offenders (the Bangkok Rules), General Assembly Resolution A/RES/65/229 of March 16, 2011, rule 24. Similarly, see,</w:t>
      </w:r>
      <w:r w:rsidR="00C62A12" w:rsidRPr="00954547">
        <w:rPr>
          <w:lang w:val="en-US"/>
        </w:rPr>
        <w:t xml:space="preserve"> </w:t>
      </w:r>
      <w:r w:rsidR="00FE35B1" w:rsidRPr="00954547">
        <w:rPr>
          <w:color w:val="333333"/>
          <w:sz w:val="16"/>
          <w:szCs w:val="16"/>
          <w:shd w:val="clear" w:color="auto" w:fill="FFFFFF"/>
          <w:lang w:val="en-US"/>
        </w:rPr>
        <w:t xml:space="preserve">United Nations Standard Minimum Rules for the Treatment of Prisoners (the Nelson Mandela Rules). </w:t>
      </w:r>
      <w:r w:rsidR="00FE35B1" w:rsidRPr="00954547">
        <w:rPr>
          <w:sz w:val="16"/>
          <w:szCs w:val="16"/>
          <w:lang w:val="en-US"/>
        </w:rPr>
        <w:t>General Assembly Resolution A/RES/70/175, of December 17, 2015, rule 48(2)</w:t>
      </w:r>
    </w:p>
  </w:footnote>
  <w:footnote w:id="333">
    <w:p w14:paraId="7B191BC8" w14:textId="37C73ED8"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FE35B1" w:rsidRPr="00954547">
        <w:rPr>
          <w:sz w:val="16"/>
          <w:szCs w:val="16"/>
          <w:lang w:val="en-US"/>
        </w:rPr>
        <w:t>The Special Rapporteur on torture and other cruel, inhuman or degrading treatment or puni</w:t>
      </w:r>
      <w:r w:rsidR="000D1AD8" w:rsidRPr="00954547">
        <w:rPr>
          <w:sz w:val="16"/>
          <w:szCs w:val="16"/>
          <w:lang w:val="en-US"/>
        </w:rPr>
        <w:t>s</w:t>
      </w:r>
      <w:r w:rsidR="00FE35B1" w:rsidRPr="00954547">
        <w:rPr>
          <w:sz w:val="16"/>
          <w:szCs w:val="16"/>
          <w:lang w:val="en-US"/>
        </w:rPr>
        <w:t>hment</w:t>
      </w:r>
      <w:r w:rsidRPr="00954547">
        <w:rPr>
          <w:sz w:val="16"/>
          <w:szCs w:val="16"/>
          <w:lang w:val="en-US"/>
        </w:rPr>
        <w:t xml:space="preserve"> ha</w:t>
      </w:r>
      <w:r w:rsidR="000D1AD8" w:rsidRPr="00954547">
        <w:rPr>
          <w:sz w:val="16"/>
          <w:szCs w:val="16"/>
          <w:lang w:val="en-US"/>
        </w:rPr>
        <w:t>s indicated that “[t]he</w:t>
      </w:r>
      <w:r w:rsidRPr="00954547">
        <w:rPr>
          <w:sz w:val="16"/>
          <w:szCs w:val="16"/>
          <w:lang w:val="en-US"/>
        </w:rPr>
        <w:t xml:space="preserve"> </w:t>
      </w:r>
      <w:r w:rsidR="000D1AD8" w:rsidRPr="00954547">
        <w:rPr>
          <w:sz w:val="16"/>
          <w:szCs w:val="16"/>
          <w:lang w:val="en-US"/>
        </w:rPr>
        <w:t>use of shackles and handcuffs on pregnant women during labour and immediately after childbirth is absolutely prohibited and representative of the failure of the prison system to adapt protocols to unique situations faced by women.</w:t>
      </w:r>
      <w:r w:rsidRPr="00954547">
        <w:rPr>
          <w:sz w:val="16"/>
          <w:szCs w:val="16"/>
          <w:lang w:val="en-US"/>
        </w:rPr>
        <w:t xml:space="preserve">” </w:t>
      </w:r>
      <w:r w:rsidR="000D1AD8" w:rsidRPr="00954547">
        <w:rPr>
          <w:sz w:val="16"/>
          <w:szCs w:val="16"/>
          <w:lang w:val="en-US"/>
        </w:rPr>
        <w:t xml:space="preserve">In addition, </w:t>
      </w:r>
      <w:r w:rsidR="005D58D6" w:rsidRPr="00954547">
        <w:rPr>
          <w:sz w:val="16"/>
          <w:szCs w:val="16"/>
          <w:lang w:val="en-US"/>
        </w:rPr>
        <w:t xml:space="preserve">in her report on a human rights-based approach to mistreatment and violence against women in reproductive health services with a focus on childbirth and obstetric violence, </w:t>
      </w:r>
      <w:r w:rsidR="000D1AD8" w:rsidRPr="00954547">
        <w:rPr>
          <w:sz w:val="16"/>
          <w:szCs w:val="16"/>
          <w:lang w:val="en-US"/>
        </w:rPr>
        <w:t>the Special Rapporteur on violence against women, it causes and consequences</w:t>
      </w:r>
      <w:r w:rsidR="005D58D6" w:rsidRPr="00954547">
        <w:rPr>
          <w:sz w:val="16"/>
          <w:szCs w:val="16"/>
          <w:lang w:val="en-US"/>
        </w:rPr>
        <w:t xml:space="preserve"> indicated that such measures may amount to violence against women and other human rights violations</w:t>
      </w:r>
      <w:r w:rsidRPr="00954547">
        <w:rPr>
          <w:sz w:val="16"/>
          <w:szCs w:val="16"/>
          <w:lang w:val="en-US"/>
        </w:rPr>
        <w:t xml:space="preserve">. </w:t>
      </w:r>
      <w:r w:rsidR="00B8393C" w:rsidRPr="00954547">
        <w:rPr>
          <w:i/>
          <w:sz w:val="16"/>
          <w:szCs w:val="16"/>
          <w:lang w:val="en-US"/>
        </w:rPr>
        <w:t>Cf.</w:t>
      </w:r>
      <w:r w:rsidRPr="00954547">
        <w:rPr>
          <w:sz w:val="16"/>
          <w:szCs w:val="16"/>
          <w:lang w:val="en-US"/>
        </w:rPr>
        <w:t xml:space="preserve"> </w:t>
      </w:r>
      <w:r w:rsidR="000D1AD8" w:rsidRPr="00954547">
        <w:rPr>
          <w:sz w:val="16"/>
          <w:szCs w:val="16"/>
          <w:lang w:val="en-US"/>
        </w:rPr>
        <w:t>Report of</w:t>
      </w:r>
      <w:r w:rsidRPr="00954547">
        <w:rPr>
          <w:sz w:val="16"/>
          <w:szCs w:val="16"/>
          <w:lang w:val="en-US"/>
        </w:rPr>
        <w:t xml:space="preserve"> </w:t>
      </w:r>
      <w:r w:rsidR="00FE35B1" w:rsidRPr="00954547">
        <w:rPr>
          <w:sz w:val="16"/>
          <w:szCs w:val="16"/>
          <w:lang w:val="en-US"/>
        </w:rPr>
        <w:t>the Special Rapporteur on torture and other cruel, inhuman or degrading  treatment or punishment</w:t>
      </w:r>
      <w:r w:rsidRPr="00954547">
        <w:rPr>
          <w:sz w:val="16"/>
          <w:szCs w:val="16"/>
          <w:lang w:val="en-US"/>
        </w:rPr>
        <w:t>,</w:t>
      </w:r>
      <w:r w:rsidR="00FE35B1" w:rsidRPr="00954547">
        <w:rPr>
          <w:sz w:val="16"/>
          <w:szCs w:val="16"/>
          <w:lang w:val="en-US"/>
        </w:rPr>
        <w:t xml:space="preserve"> </w:t>
      </w:r>
      <w:r w:rsidRPr="00954547">
        <w:rPr>
          <w:sz w:val="16"/>
          <w:szCs w:val="16"/>
          <w:lang w:val="en-US"/>
        </w:rPr>
        <w:t xml:space="preserve">A/HRC/31/57 </w:t>
      </w:r>
      <w:r w:rsidR="00FE35B1" w:rsidRPr="00954547">
        <w:rPr>
          <w:sz w:val="16"/>
          <w:szCs w:val="16"/>
          <w:lang w:val="en-US"/>
        </w:rPr>
        <w:t>of January 5,</w:t>
      </w:r>
      <w:r w:rsidRPr="00954547">
        <w:rPr>
          <w:sz w:val="16"/>
          <w:szCs w:val="16"/>
          <w:lang w:val="en-US"/>
        </w:rPr>
        <w:t xml:space="preserve"> 2016, </w:t>
      </w:r>
      <w:r w:rsidR="00B10E5A" w:rsidRPr="00954547">
        <w:rPr>
          <w:sz w:val="16"/>
          <w:szCs w:val="16"/>
          <w:lang w:val="en-US"/>
        </w:rPr>
        <w:t>para.</w:t>
      </w:r>
      <w:r w:rsidRPr="00954547">
        <w:rPr>
          <w:sz w:val="16"/>
          <w:szCs w:val="16"/>
          <w:lang w:val="en-US"/>
        </w:rPr>
        <w:t xml:space="preserve"> 21, </w:t>
      </w:r>
      <w:r w:rsidR="000D1AD8" w:rsidRPr="00954547">
        <w:rPr>
          <w:sz w:val="16"/>
          <w:szCs w:val="16"/>
          <w:lang w:val="en-US"/>
        </w:rPr>
        <w:t>and</w:t>
      </w:r>
      <w:r w:rsidRPr="00954547">
        <w:rPr>
          <w:sz w:val="16"/>
          <w:szCs w:val="16"/>
          <w:lang w:val="en-US"/>
        </w:rPr>
        <w:t xml:space="preserve"> </w:t>
      </w:r>
      <w:r w:rsidR="002A45FD" w:rsidRPr="00954547">
        <w:rPr>
          <w:sz w:val="16"/>
          <w:szCs w:val="16"/>
          <w:lang w:val="en-US"/>
        </w:rPr>
        <w:t>Report of the Special Rapporteur on violence against women, its causes and consequences</w:t>
      </w:r>
      <w:r w:rsidRPr="00954547">
        <w:rPr>
          <w:sz w:val="16"/>
          <w:szCs w:val="16"/>
          <w:lang w:val="en-US"/>
        </w:rPr>
        <w:t xml:space="preserve"> </w:t>
      </w:r>
      <w:r w:rsidR="000D1AD8" w:rsidRPr="00954547">
        <w:rPr>
          <w:sz w:val="16"/>
          <w:szCs w:val="16"/>
          <w:lang w:val="en-US"/>
        </w:rPr>
        <w:t>on a human rights-based approach to mistreatment and violence against women in reproductive health services with a focus on childbirth and obstetric violence</w:t>
      </w:r>
      <w:r w:rsidRPr="00954547">
        <w:rPr>
          <w:sz w:val="16"/>
          <w:szCs w:val="16"/>
          <w:lang w:val="en-US"/>
        </w:rPr>
        <w:t xml:space="preserve">, A/74/137 </w:t>
      </w:r>
      <w:r w:rsidR="000D1AD8" w:rsidRPr="00954547">
        <w:rPr>
          <w:sz w:val="16"/>
          <w:szCs w:val="16"/>
          <w:lang w:val="en-US"/>
        </w:rPr>
        <w:t>of July 11,</w:t>
      </w:r>
      <w:r w:rsidRPr="00954547">
        <w:rPr>
          <w:sz w:val="16"/>
          <w:szCs w:val="16"/>
          <w:lang w:val="en-US"/>
        </w:rPr>
        <w:t xml:space="preserve"> 2019, </w:t>
      </w:r>
      <w:r w:rsidR="00B10E5A" w:rsidRPr="00954547">
        <w:rPr>
          <w:sz w:val="16"/>
          <w:szCs w:val="16"/>
          <w:lang w:val="en-US"/>
        </w:rPr>
        <w:t>para.</w:t>
      </w:r>
      <w:r w:rsidRPr="00954547">
        <w:rPr>
          <w:sz w:val="16"/>
          <w:szCs w:val="16"/>
          <w:lang w:val="en-US"/>
        </w:rPr>
        <w:t xml:space="preserve"> 22.</w:t>
      </w:r>
    </w:p>
  </w:footnote>
  <w:footnote w:id="334">
    <w:p w14:paraId="0D4BCA69" w14:textId="7D40DA7B"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B8393C" w:rsidRPr="00954547">
        <w:rPr>
          <w:i/>
          <w:sz w:val="16"/>
          <w:szCs w:val="16"/>
          <w:lang w:val="en-US"/>
        </w:rPr>
        <w:t>Cf.</w:t>
      </w:r>
      <w:r w:rsidRPr="00954547">
        <w:rPr>
          <w:sz w:val="16"/>
          <w:szCs w:val="16"/>
          <w:lang w:val="en-US"/>
        </w:rPr>
        <w:t xml:space="preserve"> </w:t>
      </w:r>
      <w:r w:rsidR="007619E6" w:rsidRPr="00954547">
        <w:rPr>
          <w:sz w:val="16"/>
          <w:szCs w:val="16"/>
          <w:lang w:val="en-US"/>
        </w:rPr>
        <w:t>ECHR</w:t>
      </w:r>
      <w:r w:rsidRPr="00954547">
        <w:rPr>
          <w:sz w:val="16"/>
          <w:szCs w:val="16"/>
          <w:lang w:val="en-US"/>
        </w:rPr>
        <w:t xml:space="preserve"> [</w:t>
      </w:r>
      <w:r w:rsidR="000F0C04" w:rsidRPr="00954547">
        <w:rPr>
          <w:sz w:val="16"/>
          <w:szCs w:val="16"/>
          <w:lang w:val="en-US"/>
        </w:rPr>
        <w:t>Fifth section</w:t>
      </w:r>
      <w:r w:rsidRPr="00954547">
        <w:rPr>
          <w:sz w:val="16"/>
          <w:szCs w:val="16"/>
          <w:lang w:val="en-US"/>
        </w:rPr>
        <w:t xml:space="preserve">]. </w:t>
      </w:r>
      <w:r w:rsidR="002F4617" w:rsidRPr="00954547">
        <w:rPr>
          <w:sz w:val="16"/>
          <w:szCs w:val="16"/>
          <w:lang w:val="en-US"/>
        </w:rPr>
        <w:t>Case of</w:t>
      </w:r>
      <w:r w:rsidRPr="00954547">
        <w:rPr>
          <w:sz w:val="16"/>
          <w:szCs w:val="16"/>
          <w:lang w:val="en-US"/>
        </w:rPr>
        <w:t xml:space="preserve"> </w:t>
      </w:r>
      <w:r w:rsidRPr="00954547">
        <w:rPr>
          <w:i/>
          <w:sz w:val="16"/>
          <w:szCs w:val="16"/>
          <w:lang w:val="en-US"/>
        </w:rPr>
        <w:t>Korneykova and Korneykov v. U</w:t>
      </w:r>
      <w:r w:rsidR="000F0C04" w:rsidRPr="00954547">
        <w:rPr>
          <w:i/>
          <w:sz w:val="16"/>
          <w:szCs w:val="16"/>
          <w:lang w:val="en-US"/>
        </w:rPr>
        <w:t>kraine</w:t>
      </w:r>
      <w:r w:rsidRPr="00954547">
        <w:rPr>
          <w:sz w:val="16"/>
          <w:szCs w:val="16"/>
          <w:lang w:val="en-US"/>
        </w:rPr>
        <w:t xml:space="preserve">, No. 56660/12 </w:t>
      </w:r>
      <w:r w:rsidR="000F0C04" w:rsidRPr="00954547">
        <w:rPr>
          <w:sz w:val="16"/>
          <w:szCs w:val="16"/>
          <w:lang w:val="en-US"/>
        </w:rPr>
        <w:t>of March 24,</w:t>
      </w:r>
      <w:r w:rsidRPr="00954547">
        <w:rPr>
          <w:sz w:val="16"/>
          <w:szCs w:val="16"/>
          <w:lang w:val="en-US"/>
        </w:rPr>
        <w:t xml:space="preserve"> 2016, </w:t>
      </w:r>
      <w:r w:rsidR="0052231D" w:rsidRPr="00954547">
        <w:rPr>
          <w:sz w:val="16"/>
          <w:szCs w:val="16"/>
          <w:lang w:val="en-US"/>
        </w:rPr>
        <w:t>paras.</w:t>
      </w:r>
      <w:r w:rsidRPr="00954547">
        <w:rPr>
          <w:sz w:val="16"/>
          <w:szCs w:val="16"/>
          <w:lang w:val="en-US"/>
        </w:rPr>
        <w:t xml:space="preserve"> 111</w:t>
      </w:r>
      <w:r w:rsidR="0078694F" w:rsidRPr="00954547">
        <w:rPr>
          <w:sz w:val="16"/>
          <w:szCs w:val="16"/>
          <w:lang w:val="en-US"/>
        </w:rPr>
        <w:t xml:space="preserve"> and </w:t>
      </w:r>
      <w:r w:rsidRPr="00954547">
        <w:rPr>
          <w:sz w:val="16"/>
          <w:szCs w:val="16"/>
          <w:lang w:val="en-US"/>
        </w:rPr>
        <w:t xml:space="preserve">115.  </w:t>
      </w:r>
    </w:p>
  </w:footnote>
  <w:footnote w:id="335">
    <w:p w14:paraId="0E18CEB9" w14:textId="72DA271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Ximenes Lopes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0F0C04" w:rsidRPr="00954547">
        <w:rPr>
          <w:rFonts w:ascii="Verdana" w:hAnsi="Verdana"/>
          <w:sz w:val="16"/>
          <w:szCs w:val="16"/>
        </w:rPr>
        <w:t>July 4,</w:t>
      </w:r>
      <w:r w:rsidRPr="00954547">
        <w:rPr>
          <w:rFonts w:ascii="Verdana" w:hAnsi="Verdana"/>
          <w:sz w:val="16"/>
          <w:szCs w:val="16"/>
        </w:rPr>
        <w:t xml:space="preserve"> 2006. </w:t>
      </w:r>
      <w:r w:rsidR="00B8393C" w:rsidRPr="00954547">
        <w:rPr>
          <w:rFonts w:ascii="Verdana" w:hAnsi="Verdana"/>
          <w:sz w:val="16"/>
          <w:szCs w:val="16"/>
        </w:rPr>
        <w:t xml:space="preserve">Series </w:t>
      </w:r>
      <w:r w:rsidRPr="00954547">
        <w:rPr>
          <w:rFonts w:ascii="Verdana" w:hAnsi="Verdana"/>
          <w:sz w:val="16"/>
          <w:szCs w:val="16"/>
        </w:rPr>
        <w:t>C No. 149,</w:t>
      </w:r>
      <w:r w:rsidRPr="00954547">
        <w:rPr>
          <w:rFonts w:ascii="Verdana" w:hAnsi="Verdana"/>
          <w:i/>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139,</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151.</w:t>
      </w:r>
    </w:p>
  </w:footnote>
  <w:footnote w:id="336">
    <w:p w14:paraId="68BF5364" w14:textId="1A0A0BB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9274B9" w:rsidRPr="00954547">
        <w:rPr>
          <w:rFonts w:ascii="Verdana" w:hAnsi="Verdana"/>
          <w:sz w:val="16"/>
          <w:szCs w:val="16"/>
        </w:rPr>
        <w:t>Declaration</w:t>
      </w:r>
      <w:r w:rsidR="001A2146" w:rsidRPr="00954547">
        <w:rPr>
          <w:rFonts w:ascii="Verdana" w:hAnsi="Verdana"/>
          <w:sz w:val="16"/>
          <w:szCs w:val="16"/>
        </w:rPr>
        <w:t xml:space="preserve"> of Geneva</w:t>
      </w:r>
      <w:r w:rsidRPr="00954547">
        <w:rPr>
          <w:rFonts w:ascii="Verdana" w:hAnsi="Verdana"/>
          <w:sz w:val="16"/>
          <w:szCs w:val="16"/>
        </w:rPr>
        <w:t>,</w:t>
      </w:r>
      <w:r w:rsidR="001A2146" w:rsidRPr="00954547">
        <w:rPr>
          <w:rFonts w:ascii="Verdana" w:hAnsi="Verdana"/>
          <w:sz w:val="16"/>
          <w:szCs w:val="16"/>
        </w:rPr>
        <w:t xml:space="preserve"> adopted by the 2nd General Assembly </w:t>
      </w:r>
      <w:r w:rsidR="00053A7C" w:rsidRPr="00954547">
        <w:rPr>
          <w:rFonts w:ascii="Verdana" w:hAnsi="Verdana"/>
          <w:sz w:val="16"/>
          <w:szCs w:val="16"/>
        </w:rPr>
        <w:t xml:space="preserve">of the </w:t>
      </w:r>
      <w:r w:rsidR="001A2146" w:rsidRPr="00954547">
        <w:rPr>
          <w:rFonts w:ascii="Verdana" w:hAnsi="Verdana"/>
          <w:sz w:val="16"/>
          <w:szCs w:val="16"/>
        </w:rPr>
        <w:t>World Medical Association</w:t>
      </w:r>
      <w:r w:rsidRPr="00954547">
        <w:rPr>
          <w:rFonts w:ascii="Verdana" w:hAnsi="Verdana"/>
          <w:sz w:val="16"/>
          <w:szCs w:val="16"/>
        </w:rPr>
        <w:t>,  Sept</w:t>
      </w:r>
      <w:r w:rsidR="001A2146" w:rsidRPr="00954547">
        <w:rPr>
          <w:rFonts w:ascii="Verdana" w:hAnsi="Verdana"/>
          <w:sz w:val="16"/>
          <w:szCs w:val="16"/>
        </w:rPr>
        <w:t>ember</w:t>
      </w:r>
      <w:r w:rsidRPr="00954547">
        <w:rPr>
          <w:rFonts w:ascii="Verdana" w:hAnsi="Verdana"/>
          <w:sz w:val="16"/>
          <w:szCs w:val="16"/>
        </w:rPr>
        <w:t xml:space="preserve"> 1948</w:t>
      </w:r>
      <w:r w:rsidR="0078694F" w:rsidRPr="00954547">
        <w:rPr>
          <w:rFonts w:ascii="Verdana" w:hAnsi="Verdana"/>
          <w:sz w:val="16"/>
          <w:szCs w:val="16"/>
        </w:rPr>
        <w:t xml:space="preserve"> </w:t>
      </w:r>
      <w:r w:rsidR="001A2146" w:rsidRPr="00954547">
        <w:rPr>
          <w:rStyle w:val="Emphasis"/>
          <w:rFonts w:ascii="Verdana" w:hAnsi="Verdana" w:cs="Open Sans"/>
          <w:i w:val="0"/>
          <w:iCs w:val="0"/>
          <w:sz w:val="16"/>
          <w:szCs w:val="16"/>
          <w:shd w:val="clear" w:color="auto" w:fill="FFFFFF"/>
        </w:rPr>
        <w:t>and amended by the 22</w:t>
      </w:r>
      <w:r w:rsidR="001A2146" w:rsidRPr="00954547">
        <w:rPr>
          <w:rStyle w:val="Emphasis"/>
          <w:rFonts w:ascii="Verdana" w:hAnsi="Verdana" w:cs="Open Sans"/>
          <w:i w:val="0"/>
          <w:iCs w:val="0"/>
          <w:sz w:val="16"/>
          <w:szCs w:val="16"/>
          <w:shd w:val="clear" w:color="auto" w:fill="FFFFFF"/>
          <w:vertAlign w:val="superscript"/>
        </w:rPr>
        <w:t>nd</w:t>
      </w:r>
      <w:r w:rsidR="001A2146" w:rsidRPr="00954547">
        <w:rPr>
          <w:rStyle w:val="Emphasis"/>
          <w:rFonts w:ascii="Verdana" w:hAnsi="Verdana" w:cs="Open Sans"/>
          <w:i w:val="0"/>
          <w:iCs w:val="0"/>
          <w:sz w:val="16"/>
          <w:szCs w:val="16"/>
          <w:shd w:val="clear" w:color="auto" w:fill="FFFFFF"/>
        </w:rPr>
        <w:t> World Medical Assembly, Sydney, Australia, August 1968</w:t>
      </w:r>
      <w:r w:rsidR="00AB759E" w:rsidRPr="00954547">
        <w:rPr>
          <w:rFonts w:ascii="Verdana" w:hAnsi="Verdana" w:cs="Open Sans"/>
          <w:i/>
          <w:iCs/>
          <w:sz w:val="16"/>
          <w:szCs w:val="16"/>
          <w:shd w:val="clear" w:color="auto" w:fill="FFFFFF"/>
        </w:rPr>
        <w:t xml:space="preserve">, </w:t>
      </w:r>
      <w:r w:rsidR="001A2146" w:rsidRPr="00954547">
        <w:rPr>
          <w:rStyle w:val="Emphasis"/>
          <w:rFonts w:ascii="Verdana" w:hAnsi="Verdana" w:cs="Open Sans"/>
          <w:i w:val="0"/>
          <w:iCs w:val="0"/>
          <w:sz w:val="16"/>
          <w:szCs w:val="16"/>
          <w:shd w:val="clear" w:color="auto" w:fill="FFFFFF"/>
        </w:rPr>
        <w:t>and the 35</w:t>
      </w:r>
      <w:r w:rsidR="001A2146" w:rsidRPr="00954547">
        <w:rPr>
          <w:rStyle w:val="Emphasis"/>
          <w:rFonts w:ascii="Verdana" w:hAnsi="Verdana" w:cs="Open Sans"/>
          <w:i w:val="0"/>
          <w:iCs w:val="0"/>
          <w:sz w:val="16"/>
          <w:szCs w:val="16"/>
          <w:shd w:val="clear" w:color="auto" w:fill="FFFFFF"/>
          <w:vertAlign w:val="superscript"/>
        </w:rPr>
        <w:t>th</w:t>
      </w:r>
      <w:r w:rsidR="001A2146" w:rsidRPr="00954547">
        <w:rPr>
          <w:rStyle w:val="Emphasis"/>
          <w:rFonts w:ascii="Verdana" w:hAnsi="Verdana" w:cs="Open Sans"/>
          <w:i w:val="0"/>
          <w:iCs w:val="0"/>
          <w:sz w:val="16"/>
          <w:szCs w:val="16"/>
          <w:shd w:val="clear" w:color="auto" w:fill="FFFFFF"/>
        </w:rPr>
        <w:t> World Medical Assembly, Venice, Italy, October 1983</w:t>
      </w:r>
      <w:r w:rsidR="00AB759E" w:rsidRPr="00954547">
        <w:rPr>
          <w:rFonts w:ascii="Verdana" w:hAnsi="Verdana" w:cs="Open Sans"/>
          <w:i/>
          <w:iCs/>
          <w:sz w:val="16"/>
          <w:szCs w:val="16"/>
          <w:shd w:val="clear" w:color="auto" w:fill="FFFFFF"/>
        </w:rPr>
        <w:t xml:space="preserve">, </w:t>
      </w:r>
      <w:r w:rsidR="001A2146" w:rsidRPr="00954547">
        <w:rPr>
          <w:rStyle w:val="Emphasis"/>
          <w:rFonts w:ascii="Verdana" w:hAnsi="Verdana" w:cs="Open Sans"/>
          <w:i w:val="0"/>
          <w:iCs w:val="0"/>
          <w:sz w:val="16"/>
          <w:szCs w:val="16"/>
          <w:shd w:val="clear" w:color="auto" w:fill="FFFFFF"/>
        </w:rPr>
        <w:t>and the 46</w:t>
      </w:r>
      <w:r w:rsidR="001A2146" w:rsidRPr="00954547">
        <w:rPr>
          <w:rStyle w:val="Emphasis"/>
          <w:rFonts w:ascii="Verdana" w:hAnsi="Verdana" w:cs="Open Sans"/>
          <w:i w:val="0"/>
          <w:iCs w:val="0"/>
          <w:sz w:val="16"/>
          <w:szCs w:val="16"/>
          <w:shd w:val="clear" w:color="auto" w:fill="FFFFFF"/>
          <w:vertAlign w:val="superscript"/>
        </w:rPr>
        <w:t>th</w:t>
      </w:r>
      <w:r w:rsidR="001A2146" w:rsidRPr="00954547">
        <w:rPr>
          <w:rStyle w:val="Emphasis"/>
          <w:rFonts w:ascii="Verdana" w:hAnsi="Verdana" w:cs="Open Sans"/>
          <w:i w:val="0"/>
          <w:iCs w:val="0"/>
          <w:sz w:val="16"/>
          <w:szCs w:val="16"/>
          <w:shd w:val="clear" w:color="auto" w:fill="FFFFFF"/>
        </w:rPr>
        <w:t> WMA General Assembly, Stockholm, Sweden, September 1994</w:t>
      </w:r>
      <w:r w:rsidR="00AB759E" w:rsidRPr="00954547">
        <w:rPr>
          <w:rStyle w:val="Emphasis"/>
          <w:rFonts w:ascii="Verdana" w:hAnsi="Verdana" w:cs="Open Sans"/>
          <w:i w:val="0"/>
          <w:iCs w:val="0"/>
          <w:sz w:val="16"/>
          <w:szCs w:val="16"/>
          <w:shd w:val="clear" w:color="auto" w:fill="FFFFFF"/>
        </w:rPr>
        <w:t>,</w:t>
      </w:r>
      <w:r w:rsidR="001A2146" w:rsidRPr="00954547">
        <w:rPr>
          <w:rFonts w:ascii="Verdana" w:hAnsi="Verdana" w:cs="Open Sans"/>
          <w:i/>
          <w:iCs/>
          <w:sz w:val="16"/>
          <w:szCs w:val="16"/>
          <w:shd w:val="clear" w:color="auto" w:fill="FFFFFF"/>
        </w:rPr>
        <w:br/>
      </w:r>
      <w:r w:rsidR="001A2146" w:rsidRPr="00954547">
        <w:rPr>
          <w:rStyle w:val="Emphasis"/>
          <w:rFonts w:ascii="Verdana" w:hAnsi="Verdana" w:cs="Open Sans"/>
          <w:i w:val="0"/>
          <w:iCs w:val="0"/>
          <w:sz w:val="16"/>
          <w:szCs w:val="16"/>
          <w:shd w:val="clear" w:color="auto" w:fill="FFFFFF"/>
        </w:rPr>
        <w:t>and editorially revised by the 170</w:t>
      </w:r>
      <w:r w:rsidR="001A2146" w:rsidRPr="00954547">
        <w:rPr>
          <w:rStyle w:val="Emphasis"/>
          <w:rFonts w:ascii="Verdana" w:hAnsi="Verdana" w:cs="Open Sans"/>
          <w:i w:val="0"/>
          <w:iCs w:val="0"/>
          <w:sz w:val="16"/>
          <w:szCs w:val="16"/>
          <w:shd w:val="clear" w:color="auto" w:fill="FFFFFF"/>
          <w:vertAlign w:val="superscript"/>
        </w:rPr>
        <w:t>th</w:t>
      </w:r>
      <w:r w:rsidR="001A2146" w:rsidRPr="00954547">
        <w:rPr>
          <w:rStyle w:val="Emphasis"/>
          <w:rFonts w:ascii="Verdana" w:hAnsi="Verdana" w:cs="Open Sans"/>
          <w:i w:val="0"/>
          <w:iCs w:val="0"/>
          <w:sz w:val="16"/>
          <w:szCs w:val="16"/>
          <w:shd w:val="clear" w:color="auto" w:fill="FFFFFF"/>
        </w:rPr>
        <w:t> WMA Council Session, Divonne-les-Bains, France, May 2005</w:t>
      </w:r>
      <w:r w:rsidR="00AB759E" w:rsidRPr="00954547">
        <w:rPr>
          <w:rStyle w:val="Emphasis"/>
          <w:rFonts w:ascii="Verdana" w:hAnsi="Verdana" w:cs="Open Sans"/>
          <w:i w:val="0"/>
          <w:iCs w:val="0"/>
          <w:sz w:val="16"/>
          <w:szCs w:val="16"/>
          <w:shd w:val="clear" w:color="auto" w:fill="FFFFFF"/>
        </w:rPr>
        <w:t>,</w:t>
      </w:r>
      <w:r w:rsidR="00AB759E" w:rsidRPr="00954547">
        <w:rPr>
          <w:rFonts w:ascii="Verdana" w:hAnsi="Verdana" w:cs="Open Sans"/>
          <w:i/>
          <w:iCs/>
          <w:sz w:val="16"/>
          <w:szCs w:val="16"/>
          <w:shd w:val="clear" w:color="auto" w:fill="FFFFFF"/>
        </w:rPr>
        <w:t xml:space="preserve"> </w:t>
      </w:r>
      <w:r w:rsidR="001A2146" w:rsidRPr="00954547">
        <w:rPr>
          <w:rStyle w:val="Emphasis"/>
          <w:rFonts w:ascii="Verdana" w:hAnsi="Verdana" w:cs="Open Sans"/>
          <w:i w:val="0"/>
          <w:iCs w:val="0"/>
          <w:sz w:val="16"/>
          <w:szCs w:val="16"/>
          <w:shd w:val="clear" w:color="auto" w:fill="FFFFFF"/>
        </w:rPr>
        <w:t>and the 173</w:t>
      </w:r>
      <w:r w:rsidR="001A2146" w:rsidRPr="00954547">
        <w:rPr>
          <w:rStyle w:val="Emphasis"/>
          <w:rFonts w:ascii="Verdana" w:hAnsi="Verdana" w:cs="Open Sans"/>
          <w:i w:val="0"/>
          <w:iCs w:val="0"/>
          <w:sz w:val="16"/>
          <w:szCs w:val="16"/>
          <w:shd w:val="clear" w:color="auto" w:fill="FFFFFF"/>
          <w:vertAlign w:val="superscript"/>
        </w:rPr>
        <w:t>rd</w:t>
      </w:r>
      <w:r w:rsidR="001A2146" w:rsidRPr="00954547">
        <w:rPr>
          <w:rStyle w:val="Emphasis"/>
          <w:rFonts w:ascii="Verdana" w:hAnsi="Verdana" w:cs="Open Sans"/>
          <w:i w:val="0"/>
          <w:iCs w:val="0"/>
          <w:sz w:val="16"/>
          <w:szCs w:val="16"/>
          <w:shd w:val="clear" w:color="auto" w:fill="FFFFFF"/>
        </w:rPr>
        <w:t> WMA Council Session, Divonne-les-Bains, France, May 2006</w:t>
      </w:r>
      <w:r w:rsidR="00AB759E" w:rsidRPr="00954547">
        <w:rPr>
          <w:rStyle w:val="Emphasis"/>
          <w:rFonts w:ascii="Verdana" w:hAnsi="Verdana" w:cs="Open Sans"/>
          <w:i w:val="0"/>
          <w:iCs w:val="0"/>
          <w:sz w:val="16"/>
          <w:szCs w:val="16"/>
          <w:shd w:val="clear" w:color="auto" w:fill="FFFFFF"/>
        </w:rPr>
        <w:t>,</w:t>
      </w:r>
      <w:r w:rsidR="001A2146" w:rsidRPr="00954547">
        <w:rPr>
          <w:rStyle w:val="Emphasis"/>
          <w:rFonts w:ascii="Verdana" w:hAnsi="Verdana" w:cs="Open Sans"/>
          <w:i w:val="0"/>
          <w:iCs w:val="0"/>
          <w:sz w:val="16"/>
          <w:szCs w:val="16"/>
          <w:shd w:val="clear" w:color="auto" w:fill="FFFFFF"/>
        </w:rPr>
        <w:t>and amended by the 68</w:t>
      </w:r>
      <w:r w:rsidR="001A2146" w:rsidRPr="00954547">
        <w:rPr>
          <w:rStyle w:val="Emphasis"/>
          <w:rFonts w:ascii="Verdana" w:hAnsi="Verdana" w:cs="Open Sans"/>
          <w:i w:val="0"/>
          <w:iCs w:val="0"/>
          <w:sz w:val="16"/>
          <w:szCs w:val="16"/>
          <w:shd w:val="clear" w:color="auto" w:fill="FFFFFF"/>
          <w:vertAlign w:val="superscript"/>
        </w:rPr>
        <w:t>th</w:t>
      </w:r>
      <w:r w:rsidR="001A2146" w:rsidRPr="00954547">
        <w:rPr>
          <w:rStyle w:val="Emphasis"/>
          <w:rFonts w:ascii="Verdana" w:hAnsi="Verdana" w:cs="Open Sans"/>
          <w:i w:val="0"/>
          <w:iCs w:val="0"/>
          <w:sz w:val="16"/>
          <w:szCs w:val="16"/>
          <w:shd w:val="clear" w:color="auto" w:fill="FFFFFF"/>
        </w:rPr>
        <w:t> WMA General Assembly, Chicago, United States, October 2017</w:t>
      </w:r>
      <w:r w:rsidR="00AB759E" w:rsidRPr="00954547">
        <w:rPr>
          <w:rFonts w:ascii="Verdana" w:hAnsi="Verdana"/>
          <w:sz w:val="16"/>
          <w:szCs w:val="16"/>
        </w:rPr>
        <w:t>.</w:t>
      </w:r>
    </w:p>
  </w:footnote>
  <w:footnote w:id="337">
    <w:p w14:paraId="0EEF0869" w14:textId="367F4891"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1B3C0B" w:rsidRPr="00954547">
        <w:rPr>
          <w:rFonts w:ascii="Verdana" w:hAnsi="Verdana"/>
          <w:sz w:val="16"/>
          <w:szCs w:val="16"/>
        </w:rPr>
        <w:t>International Code of Medical Ethics</w:t>
      </w:r>
      <w:r w:rsidR="00053A7C" w:rsidRPr="00954547">
        <w:rPr>
          <w:rFonts w:ascii="Verdana" w:hAnsi="Verdana"/>
          <w:sz w:val="16"/>
          <w:szCs w:val="16"/>
        </w:rPr>
        <w:t xml:space="preserve"> of the </w:t>
      </w:r>
      <w:r w:rsidR="001B3C0B" w:rsidRPr="00954547">
        <w:rPr>
          <w:rFonts w:ascii="Verdana" w:hAnsi="Verdana"/>
          <w:sz w:val="16"/>
          <w:szCs w:val="16"/>
        </w:rPr>
        <w:t>World Medical Association</w:t>
      </w:r>
      <w:r w:rsidRPr="00954547">
        <w:rPr>
          <w:rFonts w:ascii="Verdana" w:hAnsi="Verdana"/>
          <w:sz w:val="16"/>
          <w:szCs w:val="16"/>
        </w:rPr>
        <w:t xml:space="preserve">, </w:t>
      </w:r>
      <w:r w:rsidR="001B3C0B" w:rsidRPr="00954547">
        <w:rPr>
          <w:rFonts w:ascii="Verdana" w:hAnsi="Verdana"/>
          <w:sz w:val="16"/>
          <w:szCs w:val="16"/>
        </w:rPr>
        <w:t>adopted by the 3rd General Assembly of the World Medical Association, London, England, October 1949, and amended by the 22nd World Medical Assembly, Sydney, Australia, August 1968, the 35th World Medical Assembly, Venice, Italy, October 1983, and the WMA General Assembly, Pilanesberg, South Africa, October 2006.</w:t>
      </w:r>
    </w:p>
  </w:footnote>
  <w:footnote w:id="338">
    <w:p w14:paraId="032258E6" w14:textId="4B17BF0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F2DDD" w:rsidRPr="00954547">
        <w:rPr>
          <w:rFonts w:ascii="Verdana" w:hAnsi="Verdana"/>
          <w:sz w:val="16"/>
          <w:szCs w:val="16"/>
        </w:rPr>
        <w:t>Affidavit made by</w:t>
      </w:r>
      <w:r w:rsidRPr="00954547">
        <w:rPr>
          <w:rFonts w:ascii="Verdana" w:hAnsi="Verdana"/>
          <w:sz w:val="16"/>
          <w:szCs w:val="16"/>
        </w:rPr>
        <w:t xml:space="preserve"> Oscar A. Cabrera </w:t>
      </w:r>
      <w:r w:rsidR="007D7721" w:rsidRPr="00954547">
        <w:rPr>
          <w:rFonts w:ascii="Verdana" w:hAnsi="Verdana"/>
          <w:sz w:val="16"/>
          <w:szCs w:val="16"/>
        </w:rPr>
        <w:t>on March 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4017).</w:t>
      </w:r>
    </w:p>
  </w:footnote>
  <w:footnote w:id="339">
    <w:p w14:paraId="57B91E3C" w14:textId="452E4B3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619E6" w:rsidRPr="00954547">
        <w:rPr>
          <w:rFonts w:ascii="Verdana" w:hAnsi="Verdana"/>
          <w:sz w:val="16"/>
          <w:szCs w:val="16"/>
        </w:rPr>
        <w:t>ECHR</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L.H. </w:t>
      </w:r>
      <w:r w:rsidR="009C16A1" w:rsidRPr="00954547">
        <w:rPr>
          <w:rFonts w:ascii="Verdana" w:hAnsi="Verdana"/>
          <w:i/>
          <w:sz w:val="16"/>
          <w:szCs w:val="16"/>
        </w:rPr>
        <w:t>v.</w:t>
      </w:r>
      <w:r w:rsidRPr="00954547">
        <w:rPr>
          <w:rFonts w:ascii="Verdana" w:hAnsi="Verdana"/>
          <w:i/>
          <w:sz w:val="16"/>
          <w:szCs w:val="16"/>
        </w:rPr>
        <w:t xml:space="preserve"> Latvia, </w:t>
      </w:r>
      <w:r w:rsidRPr="00954547">
        <w:rPr>
          <w:rFonts w:ascii="Verdana" w:hAnsi="Verdana"/>
          <w:sz w:val="16"/>
          <w:szCs w:val="16"/>
        </w:rPr>
        <w:t xml:space="preserve">No. 52019/07. </w:t>
      </w:r>
      <w:r w:rsidR="00B8393C" w:rsidRPr="00954547">
        <w:rPr>
          <w:rFonts w:ascii="Verdana" w:hAnsi="Verdana"/>
          <w:sz w:val="16"/>
          <w:szCs w:val="16"/>
        </w:rPr>
        <w:t>Judgment of</w:t>
      </w:r>
      <w:r w:rsidRPr="00954547">
        <w:rPr>
          <w:rFonts w:ascii="Verdana" w:hAnsi="Verdana"/>
          <w:sz w:val="16"/>
          <w:szCs w:val="16"/>
        </w:rPr>
        <w:t xml:space="preserve"> </w:t>
      </w:r>
      <w:r w:rsidR="000F0C04" w:rsidRPr="00954547">
        <w:rPr>
          <w:rFonts w:ascii="Verdana" w:hAnsi="Verdana"/>
          <w:sz w:val="16"/>
          <w:szCs w:val="16"/>
        </w:rPr>
        <w:t>April 29,</w:t>
      </w:r>
      <w:r w:rsidRPr="00954547">
        <w:rPr>
          <w:rFonts w:ascii="Verdana" w:hAnsi="Verdana"/>
          <w:sz w:val="16"/>
          <w:szCs w:val="16"/>
        </w:rPr>
        <w:t xml:space="preserve"> 2017, </w:t>
      </w:r>
      <w:r w:rsidR="00B10E5A" w:rsidRPr="00954547">
        <w:rPr>
          <w:rFonts w:ascii="Verdana" w:hAnsi="Verdana"/>
          <w:sz w:val="16"/>
          <w:szCs w:val="16"/>
        </w:rPr>
        <w:t>para.</w:t>
      </w:r>
      <w:r w:rsidRPr="00954547">
        <w:rPr>
          <w:rFonts w:ascii="Verdana" w:hAnsi="Verdana"/>
          <w:sz w:val="16"/>
          <w:szCs w:val="16"/>
        </w:rPr>
        <w:t xml:space="preserve"> 56,</w:t>
      </w:r>
      <w:r w:rsidR="0078694F" w:rsidRPr="00954547">
        <w:rPr>
          <w:rFonts w:ascii="Verdana" w:hAnsi="Verdana"/>
          <w:sz w:val="16"/>
          <w:szCs w:val="16"/>
        </w:rPr>
        <w:t xml:space="preserve"> and </w:t>
      </w:r>
      <w:r w:rsidR="00FF2DDD" w:rsidRPr="00954547">
        <w:rPr>
          <w:rFonts w:ascii="Verdana" w:hAnsi="Verdana"/>
          <w:sz w:val="16"/>
          <w:szCs w:val="16"/>
        </w:rPr>
        <w:t>Affidavit made by</w:t>
      </w:r>
      <w:r w:rsidRPr="00954547">
        <w:rPr>
          <w:rFonts w:ascii="Verdana" w:hAnsi="Verdana"/>
          <w:sz w:val="16"/>
          <w:szCs w:val="16"/>
        </w:rPr>
        <w:t xml:space="preserve"> Oscar A. Cabrera </w:t>
      </w:r>
      <w:r w:rsidR="007D7721" w:rsidRPr="00954547">
        <w:rPr>
          <w:rFonts w:ascii="Verdana" w:hAnsi="Verdana"/>
          <w:sz w:val="16"/>
          <w:szCs w:val="16"/>
        </w:rPr>
        <w:t>on March 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xml:space="preserve">, folio 4017). </w:t>
      </w:r>
    </w:p>
  </w:footnote>
  <w:footnote w:id="340">
    <w:p w14:paraId="73C9C3DB" w14:textId="1E3D7D7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15A4B" w:rsidRPr="00954547">
        <w:rPr>
          <w:rFonts w:ascii="Verdana" w:hAnsi="Verdana"/>
          <w:sz w:val="16"/>
          <w:szCs w:val="16"/>
        </w:rPr>
        <w:t>Committee on Economic, Social and Cultural Rights</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No. 14: </w:t>
      </w:r>
      <w:r w:rsidR="001B6251" w:rsidRPr="00954547">
        <w:rPr>
          <w:rFonts w:ascii="Verdana" w:hAnsi="Verdana"/>
          <w:sz w:val="16"/>
          <w:szCs w:val="16"/>
        </w:rPr>
        <w:t>The right to the highest attainable standard of health</w:t>
      </w:r>
      <w:r w:rsidRPr="00954547">
        <w:rPr>
          <w:rFonts w:ascii="Verdana" w:hAnsi="Verdana"/>
          <w:sz w:val="16"/>
          <w:szCs w:val="16"/>
        </w:rPr>
        <w:t xml:space="preserve">, </w:t>
      </w:r>
      <w:r w:rsidR="003212CD" w:rsidRPr="00954547">
        <w:rPr>
          <w:rFonts w:ascii="Verdana" w:hAnsi="Verdana"/>
          <w:sz w:val="16"/>
          <w:szCs w:val="16"/>
        </w:rPr>
        <w:t>August 11,</w:t>
      </w:r>
      <w:r w:rsidRPr="00954547">
        <w:rPr>
          <w:rFonts w:ascii="Verdana" w:hAnsi="Verdana"/>
          <w:sz w:val="16"/>
          <w:szCs w:val="16"/>
        </w:rPr>
        <w:t xml:space="preserve"> 2000, </w:t>
      </w:r>
      <w:r w:rsidR="003561F1" w:rsidRPr="00954547">
        <w:rPr>
          <w:rFonts w:ascii="Verdana" w:hAnsi="Verdana"/>
          <w:sz w:val="16"/>
          <w:szCs w:val="16"/>
        </w:rPr>
        <w:t>UN Doc.</w:t>
      </w:r>
      <w:r w:rsidRPr="00954547">
        <w:rPr>
          <w:rFonts w:ascii="Verdana" w:hAnsi="Verdana"/>
          <w:sz w:val="16"/>
          <w:szCs w:val="16"/>
        </w:rPr>
        <w:t xml:space="preserve"> E/C.12/2000/4, </w:t>
      </w:r>
      <w:r w:rsidR="00B10E5A" w:rsidRPr="00954547">
        <w:rPr>
          <w:rFonts w:ascii="Verdana" w:hAnsi="Verdana"/>
          <w:sz w:val="16"/>
          <w:szCs w:val="16"/>
        </w:rPr>
        <w:t>para.</w:t>
      </w:r>
      <w:r w:rsidRPr="00954547">
        <w:rPr>
          <w:rFonts w:ascii="Verdana" w:hAnsi="Verdana"/>
          <w:sz w:val="16"/>
          <w:szCs w:val="16"/>
        </w:rPr>
        <w:t xml:space="preserve"> 12. </w:t>
      </w:r>
      <w:r w:rsidR="002A45FD" w:rsidRPr="00954547">
        <w:rPr>
          <w:rFonts w:ascii="Verdana" w:hAnsi="Verdana"/>
          <w:iCs/>
          <w:sz w:val="16"/>
          <w:szCs w:val="16"/>
        </w:rPr>
        <w:t>See also,</w:t>
      </w:r>
      <w:r w:rsidRPr="00954547">
        <w:rPr>
          <w:rFonts w:ascii="Verdana" w:hAnsi="Verdana"/>
          <w:sz w:val="16"/>
          <w:szCs w:val="16"/>
        </w:rPr>
        <w:t xml:space="preserve"> CEDAW, </w:t>
      </w:r>
      <w:r w:rsidR="00A30817" w:rsidRPr="00954547">
        <w:rPr>
          <w:rFonts w:ascii="Verdana" w:hAnsi="Verdana"/>
          <w:sz w:val="16"/>
          <w:szCs w:val="16"/>
        </w:rPr>
        <w:t>General recommendation</w:t>
      </w:r>
      <w:r w:rsidRPr="00954547">
        <w:rPr>
          <w:rFonts w:ascii="Verdana" w:hAnsi="Verdana"/>
          <w:sz w:val="16"/>
          <w:szCs w:val="16"/>
        </w:rPr>
        <w:t xml:space="preserve"> No. 24: </w:t>
      </w:r>
      <w:r w:rsidR="0064671A" w:rsidRPr="00954547">
        <w:rPr>
          <w:rFonts w:ascii="Verdana" w:hAnsi="Verdana"/>
          <w:sz w:val="16"/>
          <w:szCs w:val="16"/>
        </w:rPr>
        <w:t>Women and health</w:t>
      </w:r>
      <w:r w:rsidRPr="00954547">
        <w:rPr>
          <w:rFonts w:ascii="Verdana" w:hAnsi="Verdana"/>
          <w:sz w:val="16"/>
          <w:szCs w:val="16"/>
        </w:rPr>
        <w:t xml:space="preserve">, </w:t>
      </w:r>
      <w:r w:rsidR="000F0C04" w:rsidRPr="00954547">
        <w:rPr>
          <w:rFonts w:ascii="Verdana" w:hAnsi="Verdana"/>
          <w:sz w:val="16"/>
          <w:szCs w:val="16"/>
        </w:rPr>
        <w:t>February 2,</w:t>
      </w:r>
      <w:r w:rsidRPr="00954547">
        <w:rPr>
          <w:rFonts w:ascii="Verdana" w:hAnsi="Verdana"/>
          <w:sz w:val="16"/>
          <w:szCs w:val="16"/>
        </w:rPr>
        <w:t xml:space="preserve"> 1999, </w:t>
      </w:r>
      <w:r w:rsidR="00B10E5A" w:rsidRPr="00954547">
        <w:rPr>
          <w:rFonts w:ascii="Verdana" w:hAnsi="Verdana"/>
          <w:sz w:val="16"/>
          <w:szCs w:val="16"/>
        </w:rPr>
        <w:t>para.</w:t>
      </w:r>
      <w:r w:rsidRPr="00954547">
        <w:rPr>
          <w:rFonts w:ascii="Verdana" w:hAnsi="Verdana"/>
          <w:sz w:val="16"/>
          <w:szCs w:val="16"/>
        </w:rPr>
        <w:t xml:space="preserve"> 22.</w:t>
      </w:r>
    </w:p>
  </w:footnote>
  <w:footnote w:id="341">
    <w:p w14:paraId="1E6B9428" w14:textId="1BFADEDA" w:rsidR="005F001B" w:rsidRPr="00954547" w:rsidRDefault="005F001B" w:rsidP="007619E6">
      <w:pPr>
        <w:pStyle w:val="FootnoteText"/>
        <w:tabs>
          <w:tab w:val="left" w:pos="567"/>
          <w:tab w:val="left" w:pos="720"/>
        </w:tabs>
        <w:spacing w:after="120"/>
        <w:jc w:val="both"/>
        <w:rPr>
          <w:rFonts w:ascii="Verdana" w:hAnsi="Verdana" w:cs="Verdana"/>
          <w:sz w:val="16"/>
          <w:szCs w:val="16"/>
          <w:lang w:bidi="en-US"/>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sz w:val="16"/>
          <w:szCs w:val="16"/>
        </w:rPr>
        <w:t xml:space="preserve"> </w:t>
      </w:r>
      <w:r w:rsidRPr="00954547">
        <w:rPr>
          <w:rFonts w:ascii="Verdana" w:hAnsi="Verdana"/>
          <w:i/>
          <w:sz w:val="16"/>
          <w:szCs w:val="16"/>
        </w:rPr>
        <w:t>Rosendo Cantú</w:t>
      </w:r>
      <w:r w:rsidR="0078694F" w:rsidRPr="00954547">
        <w:rPr>
          <w:rFonts w:ascii="Verdana" w:hAnsi="Verdana"/>
          <w:i/>
          <w:sz w:val="16"/>
          <w:szCs w:val="16"/>
        </w:rPr>
        <w:t xml:space="preserve"> </w:t>
      </w:r>
      <w:r w:rsidR="000F0C04"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w:t>
      </w:r>
      <w:r w:rsidR="000A2350" w:rsidRPr="00954547">
        <w:rPr>
          <w:rFonts w:ascii="Verdana" w:hAnsi="Verdana"/>
          <w:i/>
          <w:sz w:val="16"/>
          <w:szCs w:val="16"/>
        </w:rPr>
        <w:t>Mexico</w:t>
      </w:r>
      <w:r w:rsidRPr="00954547">
        <w:rPr>
          <w:rFonts w:ascii="Verdana" w:hAnsi="Verdana"/>
          <w:i/>
          <w:sz w:val="16"/>
          <w:szCs w:val="16"/>
        </w:rPr>
        <w:t xml:space="preserve">.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August 31,</w:t>
      </w:r>
      <w:r w:rsidRPr="00954547">
        <w:rPr>
          <w:rFonts w:ascii="Verdana" w:hAnsi="Verdana"/>
          <w:sz w:val="16"/>
          <w:szCs w:val="16"/>
        </w:rPr>
        <w:t xml:space="preserve"> 2010. </w:t>
      </w:r>
      <w:r w:rsidR="00B8393C" w:rsidRPr="00954547">
        <w:rPr>
          <w:rFonts w:ascii="Verdana" w:hAnsi="Verdana"/>
          <w:sz w:val="16"/>
          <w:szCs w:val="16"/>
        </w:rPr>
        <w:t xml:space="preserve">Series </w:t>
      </w:r>
      <w:r w:rsidRPr="00954547">
        <w:rPr>
          <w:rFonts w:ascii="Verdana" w:hAnsi="Verdana"/>
          <w:sz w:val="16"/>
          <w:szCs w:val="16"/>
        </w:rPr>
        <w:t xml:space="preserve">C No. 216, </w:t>
      </w:r>
      <w:r w:rsidR="00B10E5A" w:rsidRPr="00954547">
        <w:rPr>
          <w:rFonts w:ascii="Verdana" w:hAnsi="Verdana"/>
          <w:sz w:val="16"/>
          <w:szCs w:val="16"/>
        </w:rPr>
        <w:t>para.</w:t>
      </w:r>
      <w:r w:rsidRPr="00954547">
        <w:rPr>
          <w:rFonts w:ascii="Verdana" w:hAnsi="Verdana"/>
          <w:sz w:val="16"/>
          <w:szCs w:val="16"/>
        </w:rPr>
        <w:t xml:space="preserve"> 119,</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bCs/>
          <w:sz w:val="16"/>
          <w:szCs w:val="16"/>
        </w:rPr>
        <w:t xml:space="preserve">, </w:t>
      </w:r>
      <w:r w:rsidR="00B10E5A" w:rsidRPr="00954547">
        <w:rPr>
          <w:rFonts w:ascii="Verdana" w:hAnsi="Verdana"/>
          <w:bCs/>
          <w:sz w:val="16"/>
          <w:szCs w:val="16"/>
        </w:rPr>
        <w:t>para.</w:t>
      </w:r>
      <w:r w:rsidRPr="00954547">
        <w:rPr>
          <w:rFonts w:ascii="Verdana" w:hAnsi="Verdana"/>
          <w:bCs/>
          <w:sz w:val="16"/>
          <w:szCs w:val="16"/>
        </w:rPr>
        <w:t xml:space="preserve"> 152.</w:t>
      </w:r>
    </w:p>
  </w:footnote>
  <w:footnote w:id="342">
    <w:p w14:paraId="201F9614" w14:textId="11083962" w:rsidR="005F001B" w:rsidRPr="00954547" w:rsidRDefault="005F001B" w:rsidP="007619E6">
      <w:pPr>
        <w:pStyle w:val="FootnoteText"/>
        <w:tabs>
          <w:tab w:val="left" w:pos="567"/>
        </w:tabs>
        <w:spacing w:after="120"/>
        <w:jc w:val="both"/>
        <w:rPr>
          <w:rFonts w:ascii="Verdana" w:hAnsi="Verdana"/>
          <w:sz w:val="16"/>
          <w:szCs w:val="16"/>
          <w:lang w:val="es-CR"/>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Mutatis mutandis,</w:t>
      </w:r>
      <w:r w:rsidRPr="00954547">
        <w:rPr>
          <w:rFonts w:ascii="Verdana" w:hAnsi="Verdana"/>
          <w:sz w:val="16"/>
          <w:szCs w:val="16"/>
        </w:rPr>
        <w:t xml:space="preserve"> </w:t>
      </w:r>
      <w:r w:rsidR="002F4617" w:rsidRPr="00954547">
        <w:rPr>
          <w:rFonts w:ascii="Verdana" w:hAnsi="Verdana"/>
          <w:bCs/>
          <w:i/>
          <w:sz w:val="16"/>
          <w:szCs w:val="16"/>
        </w:rPr>
        <w:t>Case of</w:t>
      </w:r>
      <w:r w:rsidRPr="00954547">
        <w:rPr>
          <w:rFonts w:ascii="Verdana" w:hAnsi="Verdana"/>
          <w:bCs/>
          <w:i/>
          <w:sz w:val="16"/>
          <w:szCs w:val="16"/>
        </w:rPr>
        <w:t xml:space="preserve"> Gelman </w:t>
      </w:r>
      <w:r w:rsidR="009C16A1" w:rsidRPr="00954547">
        <w:rPr>
          <w:rFonts w:ascii="Verdana" w:hAnsi="Verdana"/>
          <w:bCs/>
          <w:i/>
          <w:sz w:val="16"/>
          <w:szCs w:val="16"/>
        </w:rPr>
        <w:t>v.</w:t>
      </w:r>
      <w:r w:rsidRPr="00954547">
        <w:rPr>
          <w:rFonts w:ascii="Verdana" w:hAnsi="Verdana"/>
          <w:bCs/>
          <w:i/>
          <w:sz w:val="16"/>
          <w:szCs w:val="16"/>
        </w:rPr>
        <w:t xml:space="preserve"> Uruguay. </w:t>
      </w:r>
      <w:r w:rsidR="000F0C04" w:rsidRPr="00954547">
        <w:rPr>
          <w:rFonts w:ascii="Verdana" w:hAnsi="Verdana"/>
          <w:i/>
          <w:sz w:val="16"/>
          <w:szCs w:val="16"/>
        </w:rPr>
        <w:t>Merits and reparations.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0F0C04" w:rsidRPr="00954547">
        <w:rPr>
          <w:rFonts w:ascii="Verdana" w:hAnsi="Verdana"/>
          <w:sz w:val="16"/>
          <w:szCs w:val="16"/>
        </w:rPr>
        <w:t>February 24,</w:t>
      </w:r>
      <w:r w:rsidRPr="00954547">
        <w:rPr>
          <w:rFonts w:ascii="Verdana" w:hAnsi="Verdana"/>
          <w:sz w:val="16"/>
          <w:szCs w:val="16"/>
        </w:rPr>
        <w:t xml:space="preserve"> 2011. </w:t>
      </w:r>
      <w:r w:rsidR="00B8393C" w:rsidRPr="00954547">
        <w:rPr>
          <w:rFonts w:ascii="Verdana" w:hAnsi="Verdana"/>
          <w:sz w:val="16"/>
          <w:szCs w:val="16"/>
        </w:rPr>
        <w:t xml:space="preserve">Series </w:t>
      </w:r>
      <w:r w:rsidRPr="00954547">
        <w:rPr>
          <w:rFonts w:ascii="Verdana" w:hAnsi="Verdana"/>
          <w:sz w:val="16"/>
          <w:szCs w:val="16"/>
        </w:rPr>
        <w:t xml:space="preserve">C No. 221, </w:t>
      </w:r>
      <w:r w:rsidR="00B10E5A" w:rsidRPr="00954547">
        <w:rPr>
          <w:rFonts w:ascii="Verdana" w:hAnsi="Verdana"/>
          <w:sz w:val="16"/>
          <w:szCs w:val="16"/>
        </w:rPr>
        <w:t>para.</w:t>
      </w:r>
      <w:r w:rsidRPr="00954547">
        <w:rPr>
          <w:rFonts w:ascii="Verdana" w:hAnsi="Verdana"/>
          <w:sz w:val="16"/>
          <w:szCs w:val="16"/>
        </w:rPr>
        <w:t xml:space="preserve"> 97,</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bCs/>
          <w:sz w:val="16"/>
          <w:szCs w:val="16"/>
        </w:rPr>
        <w:t>para.</w:t>
      </w:r>
      <w:r w:rsidRPr="00954547">
        <w:rPr>
          <w:rFonts w:ascii="Verdana" w:hAnsi="Verdana"/>
          <w:bCs/>
          <w:sz w:val="16"/>
          <w:szCs w:val="16"/>
        </w:rPr>
        <w:t xml:space="preserve"> </w:t>
      </w:r>
      <w:r w:rsidRPr="00954547">
        <w:rPr>
          <w:rFonts w:ascii="Verdana" w:hAnsi="Verdana"/>
          <w:bCs/>
          <w:sz w:val="16"/>
          <w:szCs w:val="16"/>
          <w:lang w:val="es-CR"/>
        </w:rPr>
        <w:t>152.</w:t>
      </w:r>
    </w:p>
  </w:footnote>
  <w:footnote w:id="343">
    <w:p w14:paraId="6DF6CD01" w14:textId="2CAD1CE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2F4617" w:rsidRPr="00954547">
        <w:rPr>
          <w:rFonts w:ascii="Verdana" w:hAnsi="Verdana"/>
          <w:i/>
          <w:sz w:val="16"/>
          <w:szCs w:val="16"/>
          <w:lang w:val="es-CR"/>
        </w:rPr>
        <w:t>Case of</w:t>
      </w:r>
      <w:r w:rsidRPr="00954547">
        <w:rPr>
          <w:rFonts w:ascii="Verdana" w:hAnsi="Verdana"/>
          <w:i/>
          <w:sz w:val="16"/>
          <w:szCs w:val="16"/>
          <w:lang w:val="es-CR"/>
        </w:rPr>
        <w:t xml:space="preserve"> Artavia Murillo</w:t>
      </w:r>
      <w:r w:rsidR="0078694F" w:rsidRPr="00954547">
        <w:rPr>
          <w:rFonts w:ascii="Verdana" w:hAnsi="Verdana"/>
          <w:i/>
          <w:sz w:val="16"/>
          <w:szCs w:val="16"/>
          <w:lang w:val="es-CR"/>
        </w:rPr>
        <w:t xml:space="preserve"> </w:t>
      </w:r>
      <w:r w:rsidR="00521777" w:rsidRPr="00954547">
        <w:rPr>
          <w:rFonts w:ascii="Verdana" w:hAnsi="Verdana"/>
          <w:i/>
          <w:sz w:val="16"/>
          <w:szCs w:val="16"/>
          <w:lang w:val="es-CR"/>
        </w:rPr>
        <w:t>et al. (In vitro fertilization)</w:t>
      </w:r>
      <w:r w:rsidR="009274B9" w:rsidRPr="00954547">
        <w:rPr>
          <w:rFonts w:ascii="Verdana" w:hAnsi="Verdana"/>
          <w:i/>
          <w:sz w:val="16"/>
          <w:szCs w:val="16"/>
          <w:lang w:val="es-CR"/>
        </w:rPr>
        <w:t xml:space="preserve"> </w:t>
      </w:r>
      <w:r w:rsidR="009C16A1" w:rsidRPr="00954547">
        <w:rPr>
          <w:rFonts w:ascii="Verdana" w:hAnsi="Verdana"/>
          <w:i/>
          <w:sz w:val="16"/>
          <w:szCs w:val="16"/>
          <w:lang w:val="es-CR"/>
        </w:rPr>
        <w:t>v.</w:t>
      </w:r>
      <w:r w:rsidRPr="00954547">
        <w:rPr>
          <w:rFonts w:ascii="Verdana" w:hAnsi="Verdana"/>
          <w:i/>
          <w:sz w:val="16"/>
          <w:szCs w:val="16"/>
          <w:lang w:val="es-CR"/>
        </w:rPr>
        <w:t xml:space="preserve"> Costa Rica,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Fonts w:ascii="Verdana" w:hAnsi="Verdana"/>
          <w:sz w:val="16"/>
          <w:szCs w:val="16"/>
        </w:rPr>
        <w:t>146.</w:t>
      </w:r>
    </w:p>
  </w:footnote>
  <w:footnote w:id="344">
    <w:p w14:paraId="76CD450B" w14:textId="48FD326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619E6" w:rsidRPr="00954547">
        <w:rPr>
          <w:rFonts w:ascii="Verdana" w:hAnsi="Verdana"/>
          <w:sz w:val="16"/>
          <w:szCs w:val="16"/>
        </w:rPr>
        <w:t>ECHR</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L.H. </w:t>
      </w:r>
      <w:r w:rsidR="009C16A1" w:rsidRPr="00954547">
        <w:rPr>
          <w:rFonts w:ascii="Verdana" w:hAnsi="Verdana"/>
          <w:i/>
          <w:sz w:val="16"/>
          <w:szCs w:val="16"/>
        </w:rPr>
        <w:t>v.</w:t>
      </w:r>
      <w:r w:rsidRPr="00954547">
        <w:rPr>
          <w:rFonts w:ascii="Verdana" w:hAnsi="Verdana"/>
          <w:i/>
          <w:sz w:val="16"/>
          <w:szCs w:val="16"/>
        </w:rPr>
        <w:t xml:space="preserve"> Latvia, </w:t>
      </w:r>
      <w:r w:rsidRPr="00954547">
        <w:rPr>
          <w:rFonts w:ascii="Verdana" w:hAnsi="Verdana"/>
          <w:sz w:val="16"/>
          <w:szCs w:val="16"/>
        </w:rPr>
        <w:t xml:space="preserve">No. 52019/07. </w:t>
      </w:r>
      <w:r w:rsidR="00B8393C" w:rsidRPr="00954547">
        <w:rPr>
          <w:rFonts w:ascii="Verdana" w:hAnsi="Verdana"/>
          <w:sz w:val="16"/>
          <w:szCs w:val="16"/>
        </w:rPr>
        <w:t>Judgment of</w:t>
      </w:r>
      <w:r w:rsidRPr="00954547">
        <w:rPr>
          <w:rFonts w:ascii="Verdana" w:hAnsi="Verdana"/>
          <w:sz w:val="16"/>
          <w:szCs w:val="16"/>
        </w:rPr>
        <w:t xml:space="preserve"> </w:t>
      </w:r>
      <w:r w:rsidR="009274B9" w:rsidRPr="00954547">
        <w:rPr>
          <w:rFonts w:ascii="Verdana" w:hAnsi="Verdana"/>
          <w:sz w:val="16"/>
          <w:szCs w:val="16"/>
        </w:rPr>
        <w:t>April 29,</w:t>
      </w:r>
      <w:r w:rsidRPr="00954547">
        <w:rPr>
          <w:rFonts w:ascii="Verdana" w:hAnsi="Verdana"/>
          <w:sz w:val="16"/>
          <w:szCs w:val="16"/>
        </w:rPr>
        <w:t xml:space="preserve"> 2017, </w:t>
      </w:r>
      <w:r w:rsidR="00B10E5A" w:rsidRPr="00954547">
        <w:rPr>
          <w:rFonts w:ascii="Verdana" w:hAnsi="Verdana"/>
          <w:sz w:val="16"/>
          <w:szCs w:val="16"/>
        </w:rPr>
        <w:t>para.</w:t>
      </w:r>
      <w:r w:rsidRPr="00954547">
        <w:rPr>
          <w:rFonts w:ascii="Verdana" w:hAnsi="Verdana"/>
          <w:sz w:val="16"/>
          <w:szCs w:val="16"/>
        </w:rPr>
        <w:t xml:space="preserve"> 56; </w:t>
      </w:r>
      <w:r w:rsidR="007619E6" w:rsidRPr="00954547">
        <w:rPr>
          <w:rFonts w:ascii="Verdana" w:hAnsi="Verdana"/>
          <w:sz w:val="16"/>
          <w:szCs w:val="16"/>
        </w:rPr>
        <w:t>ECHR</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Y.Y. </w:t>
      </w:r>
      <w:r w:rsidR="009C16A1" w:rsidRPr="00954547">
        <w:rPr>
          <w:rFonts w:ascii="Verdana" w:hAnsi="Verdana"/>
          <w:i/>
          <w:sz w:val="16"/>
          <w:szCs w:val="16"/>
        </w:rPr>
        <w:t>v.</w:t>
      </w:r>
      <w:r w:rsidRPr="00954547">
        <w:rPr>
          <w:rFonts w:ascii="Verdana" w:hAnsi="Verdana"/>
          <w:i/>
          <w:sz w:val="16"/>
          <w:szCs w:val="16"/>
        </w:rPr>
        <w:t xml:space="preserve"> Ru</w:t>
      </w:r>
      <w:r w:rsidR="009274B9" w:rsidRPr="00954547">
        <w:rPr>
          <w:rFonts w:ascii="Verdana" w:hAnsi="Verdana"/>
          <w:i/>
          <w:sz w:val="16"/>
          <w:szCs w:val="16"/>
        </w:rPr>
        <w:t>s</w:t>
      </w:r>
      <w:r w:rsidRPr="00954547">
        <w:rPr>
          <w:rFonts w:ascii="Verdana" w:hAnsi="Verdana"/>
          <w:i/>
          <w:sz w:val="16"/>
          <w:szCs w:val="16"/>
        </w:rPr>
        <w:t xml:space="preserve">sia, </w:t>
      </w:r>
      <w:r w:rsidRPr="00954547">
        <w:rPr>
          <w:rFonts w:ascii="Verdana" w:hAnsi="Verdana"/>
          <w:sz w:val="16"/>
          <w:szCs w:val="16"/>
        </w:rPr>
        <w:t xml:space="preserve">No. 40388/06. </w:t>
      </w:r>
      <w:r w:rsidR="00B8393C" w:rsidRPr="00954547">
        <w:rPr>
          <w:rFonts w:ascii="Verdana" w:hAnsi="Verdana"/>
          <w:sz w:val="16"/>
          <w:szCs w:val="16"/>
        </w:rPr>
        <w:t>Judgment of</w:t>
      </w:r>
      <w:r w:rsidRPr="00954547">
        <w:rPr>
          <w:rFonts w:ascii="Verdana" w:hAnsi="Verdana"/>
          <w:sz w:val="16"/>
          <w:szCs w:val="16"/>
        </w:rPr>
        <w:t xml:space="preserve"> </w:t>
      </w:r>
      <w:r w:rsidR="009274B9" w:rsidRPr="00954547">
        <w:rPr>
          <w:rFonts w:ascii="Verdana" w:hAnsi="Verdana"/>
          <w:sz w:val="16"/>
          <w:szCs w:val="16"/>
        </w:rPr>
        <w:t>February 23,</w:t>
      </w:r>
      <w:r w:rsidRPr="00954547">
        <w:rPr>
          <w:rFonts w:ascii="Verdana" w:hAnsi="Verdana"/>
          <w:sz w:val="16"/>
          <w:szCs w:val="16"/>
        </w:rPr>
        <w:t xml:space="preserve"> 2016, </w:t>
      </w:r>
      <w:r w:rsidR="00B10E5A" w:rsidRPr="00954547">
        <w:rPr>
          <w:rFonts w:ascii="Verdana" w:hAnsi="Verdana"/>
          <w:sz w:val="16"/>
          <w:szCs w:val="16"/>
        </w:rPr>
        <w:t>para.</w:t>
      </w:r>
      <w:r w:rsidRPr="00954547">
        <w:rPr>
          <w:rFonts w:ascii="Verdana" w:hAnsi="Verdana"/>
          <w:sz w:val="16"/>
          <w:szCs w:val="16"/>
        </w:rPr>
        <w:t xml:space="preserve"> 38,</w:t>
      </w:r>
      <w:r w:rsidR="0078694F" w:rsidRPr="00954547">
        <w:rPr>
          <w:rFonts w:ascii="Verdana" w:hAnsi="Verdana"/>
          <w:sz w:val="16"/>
          <w:szCs w:val="16"/>
        </w:rPr>
        <w:t xml:space="preserve"> and </w:t>
      </w:r>
      <w:r w:rsidR="007619E6" w:rsidRPr="00954547">
        <w:rPr>
          <w:rFonts w:ascii="Verdana" w:hAnsi="Verdana"/>
          <w:sz w:val="16"/>
          <w:szCs w:val="16"/>
        </w:rPr>
        <w:t>ECHR</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Radu </w:t>
      </w:r>
      <w:r w:rsidR="009C16A1" w:rsidRPr="00954547">
        <w:rPr>
          <w:rFonts w:ascii="Verdana" w:hAnsi="Verdana"/>
          <w:i/>
          <w:sz w:val="16"/>
          <w:szCs w:val="16"/>
        </w:rPr>
        <w:t>v.</w:t>
      </w:r>
      <w:r w:rsidRPr="00954547">
        <w:rPr>
          <w:rFonts w:ascii="Verdana" w:hAnsi="Verdana"/>
          <w:i/>
          <w:sz w:val="16"/>
          <w:szCs w:val="16"/>
        </w:rPr>
        <w:t xml:space="preserve"> </w:t>
      </w:r>
      <w:r w:rsidR="00B8393C" w:rsidRPr="00954547">
        <w:rPr>
          <w:rFonts w:ascii="Verdana" w:hAnsi="Verdana"/>
          <w:i/>
          <w:sz w:val="16"/>
          <w:szCs w:val="16"/>
        </w:rPr>
        <w:t>The Republic of</w:t>
      </w:r>
      <w:r w:rsidRPr="00954547">
        <w:rPr>
          <w:rFonts w:ascii="Verdana" w:hAnsi="Verdana"/>
          <w:i/>
          <w:sz w:val="16"/>
          <w:szCs w:val="16"/>
        </w:rPr>
        <w:t xml:space="preserve"> Moldova. </w:t>
      </w:r>
      <w:r w:rsidRPr="00954547">
        <w:rPr>
          <w:rFonts w:ascii="Verdana" w:hAnsi="Verdana"/>
          <w:sz w:val="16"/>
          <w:szCs w:val="16"/>
        </w:rPr>
        <w:t xml:space="preserve">No. 50073/07. </w:t>
      </w:r>
      <w:r w:rsidR="00B8393C" w:rsidRPr="00954547">
        <w:rPr>
          <w:rFonts w:ascii="Verdana" w:hAnsi="Verdana"/>
          <w:sz w:val="16"/>
          <w:szCs w:val="16"/>
        </w:rPr>
        <w:t>Judgment of</w:t>
      </w:r>
      <w:r w:rsidRPr="00954547">
        <w:rPr>
          <w:rFonts w:ascii="Verdana" w:hAnsi="Verdana"/>
          <w:sz w:val="16"/>
          <w:szCs w:val="16"/>
        </w:rPr>
        <w:t xml:space="preserve"> </w:t>
      </w:r>
      <w:r w:rsidR="009274B9" w:rsidRPr="00954547">
        <w:rPr>
          <w:rFonts w:ascii="Verdana" w:hAnsi="Verdana"/>
          <w:sz w:val="16"/>
          <w:szCs w:val="16"/>
        </w:rPr>
        <w:t>April 15,</w:t>
      </w:r>
      <w:r w:rsidRPr="00954547">
        <w:rPr>
          <w:rFonts w:ascii="Verdana" w:hAnsi="Verdana"/>
          <w:sz w:val="16"/>
          <w:szCs w:val="16"/>
        </w:rPr>
        <w:t xml:space="preserve"> 2014, </w:t>
      </w:r>
      <w:r w:rsidR="00B10E5A" w:rsidRPr="00954547">
        <w:rPr>
          <w:rFonts w:ascii="Verdana" w:hAnsi="Verdana"/>
          <w:sz w:val="16"/>
          <w:szCs w:val="16"/>
        </w:rPr>
        <w:t>para.</w:t>
      </w:r>
      <w:r w:rsidRPr="00954547">
        <w:rPr>
          <w:rFonts w:ascii="Verdana" w:hAnsi="Verdana"/>
          <w:sz w:val="16"/>
          <w:szCs w:val="16"/>
        </w:rPr>
        <w:t xml:space="preserve"> 27.</w:t>
      </w:r>
    </w:p>
  </w:footnote>
  <w:footnote w:id="345">
    <w:p w14:paraId="441D3FA5" w14:textId="24CBE75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619E6" w:rsidRPr="00954547">
        <w:rPr>
          <w:rFonts w:ascii="Verdana" w:hAnsi="Verdana"/>
          <w:sz w:val="16"/>
          <w:szCs w:val="16"/>
        </w:rPr>
        <w:t>ECHR</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Mockuté </w:t>
      </w:r>
      <w:r w:rsidR="009C16A1" w:rsidRPr="00954547">
        <w:rPr>
          <w:rFonts w:ascii="Verdana" w:hAnsi="Verdana"/>
          <w:i/>
          <w:sz w:val="16"/>
          <w:szCs w:val="16"/>
        </w:rPr>
        <w:t>v.</w:t>
      </w:r>
      <w:r w:rsidRPr="00954547">
        <w:rPr>
          <w:rFonts w:ascii="Verdana" w:hAnsi="Verdana"/>
          <w:i/>
          <w:sz w:val="16"/>
          <w:szCs w:val="16"/>
        </w:rPr>
        <w:t xml:space="preserve"> </w:t>
      </w:r>
      <w:r w:rsidR="009274B9" w:rsidRPr="00954547">
        <w:rPr>
          <w:rFonts w:ascii="Verdana" w:hAnsi="Verdana"/>
          <w:i/>
          <w:sz w:val="16"/>
          <w:szCs w:val="16"/>
        </w:rPr>
        <w:t>Lithuania,</w:t>
      </w:r>
      <w:r w:rsidRPr="00954547">
        <w:rPr>
          <w:rFonts w:ascii="Verdana" w:hAnsi="Verdana"/>
          <w:i/>
          <w:sz w:val="16"/>
          <w:szCs w:val="16"/>
        </w:rPr>
        <w:t xml:space="preserve"> </w:t>
      </w:r>
      <w:r w:rsidRPr="00954547">
        <w:rPr>
          <w:rFonts w:ascii="Verdana" w:hAnsi="Verdana"/>
          <w:sz w:val="16"/>
          <w:szCs w:val="16"/>
        </w:rPr>
        <w:t xml:space="preserve">No. 66490/09. </w:t>
      </w:r>
      <w:r w:rsidR="00B8393C" w:rsidRPr="00954547">
        <w:rPr>
          <w:rFonts w:ascii="Verdana" w:hAnsi="Verdana"/>
          <w:sz w:val="16"/>
          <w:szCs w:val="16"/>
        </w:rPr>
        <w:t>Judgment of</w:t>
      </w:r>
      <w:r w:rsidRPr="00954547">
        <w:rPr>
          <w:rFonts w:ascii="Verdana" w:hAnsi="Verdana"/>
          <w:sz w:val="16"/>
          <w:szCs w:val="16"/>
        </w:rPr>
        <w:t xml:space="preserve"> </w:t>
      </w:r>
      <w:r w:rsidR="003D24A2" w:rsidRPr="00954547">
        <w:rPr>
          <w:rFonts w:ascii="Verdana" w:hAnsi="Verdana"/>
          <w:sz w:val="16"/>
          <w:szCs w:val="16"/>
        </w:rPr>
        <w:t>February 27,</w:t>
      </w:r>
      <w:r w:rsidRPr="00954547">
        <w:rPr>
          <w:rFonts w:ascii="Verdana" w:hAnsi="Verdana"/>
          <w:sz w:val="16"/>
          <w:szCs w:val="16"/>
        </w:rPr>
        <w:t xml:space="preserve"> 2018, </w:t>
      </w:r>
      <w:r w:rsidR="00B10E5A" w:rsidRPr="00954547">
        <w:rPr>
          <w:rFonts w:ascii="Verdana" w:hAnsi="Verdana"/>
          <w:sz w:val="16"/>
          <w:szCs w:val="16"/>
        </w:rPr>
        <w:t>para.</w:t>
      </w:r>
      <w:r w:rsidRPr="00954547">
        <w:rPr>
          <w:rFonts w:ascii="Verdana" w:hAnsi="Verdana"/>
          <w:sz w:val="16"/>
          <w:szCs w:val="16"/>
        </w:rPr>
        <w:t xml:space="preserve"> 95.</w:t>
      </w:r>
    </w:p>
  </w:footnote>
  <w:footnote w:id="346">
    <w:p w14:paraId="6A38307F" w14:textId="4E89FD7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De La Cruz Flores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A70DC4" w:rsidRPr="00954547">
        <w:rPr>
          <w:rFonts w:ascii="Verdana" w:hAnsi="Verdana"/>
          <w:i/>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9274B9" w:rsidRPr="00954547">
        <w:rPr>
          <w:rFonts w:ascii="Verdana" w:hAnsi="Verdana"/>
          <w:sz w:val="16"/>
          <w:szCs w:val="16"/>
        </w:rPr>
        <w:t>November 18,</w:t>
      </w:r>
      <w:r w:rsidRPr="00954547">
        <w:rPr>
          <w:rFonts w:ascii="Verdana" w:hAnsi="Verdana"/>
          <w:sz w:val="16"/>
          <w:szCs w:val="16"/>
        </w:rPr>
        <w:t xml:space="preserve"> 2004. </w:t>
      </w:r>
      <w:r w:rsidR="00B8393C" w:rsidRPr="00954547">
        <w:rPr>
          <w:rFonts w:ascii="Verdana" w:hAnsi="Verdana"/>
          <w:sz w:val="16"/>
          <w:szCs w:val="16"/>
        </w:rPr>
        <w:t xml:space="preserve">Series </w:t>
      </w:r>
      <w:r w:rsidRPr="00954547">
        <w:rPr>
          <w:rFonts w:ascii="Verdana" w:hAnsi="Verdana"/>
          <w:sz w:val="16"/>
          <w:szCs w:val="16"/>
        </w:rPr>
        <w:t xml:space="preserve">C No. 115, </w:t>
      </w:r>
      <w:r w:rsidR="00B10E5A" w:rsidRPr="00954547">
        <w:rPr>
          <w:rFonts w:ascii="Verdana" w:hAnsi="Verdana"/>
          <w:sz w:val="16"/>
          <w:szCs w:val="16"/>
        </w:rPr>
        <w:t>para.</w:t>
      </w:r>
      <w:r w:rsidRPr="00954547">
        <w:rPr>
          <w:rFonts w:ascii="Verdana" w:hAnsi="Verdana"/>
          <w:sz w:val="16"/>
          <w:szCs w:val="16"/>
        </w:rPr>
        <w:t xml:space="preserve"> 97,</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Pollo Rivera </w:t>
      </w:r>
      <w:r w:rsidR="00B8393C" w:rsidRPr="00954547">
        <w:rPr>
          <w:rFonts w:ascii="Verdana" w:hAnsi="Verdana"/>
          <w:i/>
          <w:sz w:val="16"/>
          <w:szCs w:val="16"/>
        </w:rPr>
        <w:t>et al. 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A70DC4" w:rsidRPr="00954547">
        <w:rPr>
          <w:rFonts w:ascii="Verdana" w:hAnsi="Verdana"/>
          <w:i/>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9274B9" w:rsidRPr="00954547">
        <w:rPr>
          <w:rFonts w:ascii="Verdana" w:hAnsi="Verdana"/>
          <w:sz w:val="16"/>
          <w:szCs w:val="16"/>
        </w:rPr>
        <w:t>October 21,</w:t>
      </w:r>
      <w:r w:rsidRPr="00954547">
        <w:rPr>
          <w:rFonts w:ascii="Verdana" w:hAnsi="Verdana"/>
          <w:sz w:val="16"/>
          <w:szCs w:val="16"/>
        </w:rPr>
        <w:t xml:space="preserve"> 2016. </w:t>
      </w:r>
      <w:r w:rsidR="00B8393C" w:rsidRPr="00954547">
        <w:rPr>
          <w:rFonts w:ascii="Verdana" w:hAnsi="Verdana"/>
          <w:sz w:val="16"/>
          <w:szCs w:val="16"/>
        </w:rPr>
        <w:t xml:space="preserve">Series </w:t>
      </w:r>
      <w:r w:rsidRPr="00954547">
        <w:rPr>
          <w:rFonts w:ascii="Verdana" w:hAnsi="Verdana"/>
          <w:sz w:val="16"/>
          <w:szCs w:val="16"/>
        </w:rPr>
        <w:t xml:space="preserve">C No. 319, </w:t>
      </w:r>
      <w:r w:rsidR="00B10E5A" w:rsidRPr="00954547">
        <w:rPr>
          <w:rFonts w:ascii="Verdana" w:hAnsi="Verdana"/>
          <w:sz w:val="16"/>
          <w:szCs w:val="16"/>
        </w:rPr>
        <w:t>para.</w:t>
      </w:r>
      <w:r w:rsidRPr="00954547">
        <w:rPr>
          <w:rFonts w:ascii="Verdana" w:hAnsi="Verdana"/>
          <w:sz w:val="16"/>
          <w:szCs w:val="16"/>
        </w:rPr>
        <w:t xml:space="preserve"> 237.</w:t>
      </w:r>
    </w:p>
  </w:footnote>
  <w:footnote w:id="347">
    <w:p w14:paraId="08A96623" w14:textId="172EC1A0" w:rsidR="005F001B" w:rsidRPr="00954547" w:rsidRDefault="005F001B" w:rsidP="007619E6">
      <w:pPr>
        <w:pStyle w:val="FootnoteText"/>
        <w:tabs>
          <w:tab w:val="left" w:pos="567"/>
        </w:tabs>
        <w:spacing w:after="120"/>
        <w:jc w:val="both"/>
        <w:rPr>
          <w:rFonts w:ascii="Verdana" w:hAnsi="Verdana" w:cs="Times New Roman"/>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t xml:space="preserve"> </w:t>
      </w:r>
      <w:r w:rsidR="002F4617" w:rsidRPr="00954547">
        <w:rPr>
          <w:rFonts w:ascii="Verdana" w:hAnsi="Verdana"/>
          <w:i/>
          <w:sz w:val="16"/>
          <w:szCs w:val="16"/>
        </w:rPr>
        <w:t>Case of</w:t>
      </w:r>
      <w:r w:rsidRPr="00954547">
        <w:rPr>
          <w:rFonts w:ascii="Verdana" w:hAnsi="Verdana"/>
          <w:i/>
          <w:sz w:val="16"/>
          <w:szCs w:val="16"/>
        </w:rPr>
        <w:t xml:space="preserve"> De La Cruz Flores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101,</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Pollo Rivera </w:t>
      </w:r>
      <w:r w:rsidR="00B8393C" w:rsidRPr="00954547">
        <w:rPr>
          <w:rFonts w:ascii="Verdana" w:hAnsi="Verdana"/>
          <w:i/>
          <w:sz w:val="16"/>
          <w:szCs w:val="16"/>
        </w:rPr>
        <w:t>et al. 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supra</w:t>
      </w:r>
      <w:r w:rsidRPr="00954547">
        <w:rPr>
          <w:rFonts w:ascii="Verdana" w:hAnsi="Verdana" w:cs="Times New Roman"/>
          <w:sz w:val="16"/>
          <w:szCs w:val="16"/>
        </w:rPr>
        <w:t xml:space="preserve">, </w:t>
      </w:r>
      <w:r w:rsidR="00B10E5A" w:rsidRPr="00954547">
        <w:rPr>
          <w:rFonts w:ascii="Verdana" w:hAnsi="Verdana" w:cs="Times New Roman"/>
          <w:sz w:val="16"/>
          <w:szCs w:val="16"/>
        </w:rPr>
        <w:t>para.</w:t>
      </w:r>
      <w:r w:rsidRPr="00954547">
        <w:rPr>
          <w:rFonts w:ascii="Verdana" w:hAnsi="Verdana" w:cs="Times New Roman"/>
          <w:sz w:val="16"/>
          <w:szCs w:val="16"/>
        </w:rPr>
        <w:t xml:space="preserve"> 237.</w:t>
      </w:r>
    </w:p>
  </w:footnote>
  <w:footnote w:id="348">
    <w:p w14:paraId="65BFF2B4" w14:textId="47B65DC1" w:rsidR="005F001B" w:rsidRPr="00954547" w:rsidRDefault="005F001B" w:rsidP="007619E6">
      <w:pPr>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432C" w:rsidRPr="00954547">
        <w:rPr>
          <w:rFonts w:ascii="Verdana" w:hAnsi="Verdana"/>
          <w:sz w:val="16"/>
          <w:szCs w:val="16"/>
        </w:rPr>
        <w:t>Expert opinion provided by affidavit by</w:t>
      </w:r>
      <w:r w:rsidRPr="00954547">
        <w:rPr>
          <w:rFonts w:ascii="Verdana" w:hAnsi="Verdana"/>
          <w:sz w:val="16"/>
          <w:szCs w:val="16"/>
        </w:rPr>
        <w:t xml:space="preserve"> Oscar A. Cabrera </w:t>
      </w:r>
      <w:r w:rsidR="007D7721" w:rsidRPr="00954547">
        <w:rPr>
          <w:rFonts w:ascii="Verdana" w:hAnsi="Verdana"/>
          <w:sz w:val="16"/>
          <w:szCs w:val="16"/>
        </w:rPr>
        <w:t>on March 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4017).</w:t>
      </w:r>
    </w:p>
  </w:footnote>
  <w:footnote w:id="349">
    <w:p w14:paraId="20A85C54" w14:textId="5AFAF28B" w:rsidR="005F001B" w:rsidRPr="00954547" w:rsidRDefault="005F001B" w:rsidP="007619E6">
      <w:pPr>
        <w:pStyle w:val="FootnoteText"/>
        <w:tabs>
          <w:tab w:val="left" w:pos="567"/>
        </w:tabs>
        <w:spacing w:after="120"/>
        <w:jc w:val="both"/>
        <w:rPr>
          <w:rFonts w:ascii="Verdana" w:hAnsi="Verdana" w:cs="Times New Roman"/>
          <w:sz w:val="16"/>
          <w:szCs w:val="16"/>
        </w:rPr>
      </w:pPr>
      <w:r w:rsidRPr="00954547">
        <w:rPr>
          <w:rStyle w:val="FootnoteReference"/>
          <w:rFonts w:ascii="Verdana" w:hAnsi="Verdana" w:cs="Times New Roman"/>
          <w:sz w:val="16"/>
          <w:szCs w:val="16"/>
        </w:rPr>
        <w:footnoteRef/>
      </w:r>
      <w:r w:rsidRPr="00954547">
        <w:rPr>
          <w:rFonts w:ascii="Verdana" w:hAnsi="Verdana" w:cs="Times New Roman"/>
          <w:sz w:val="16"/>
          <w:szCs w:val="16"/>
        </w:rPr>
        <w:t xml:space="preserve">  </w:t>
      </w:r>
      <w:r w:rsidRPr="00954547">
        <w:rPr>
          <w:rFonts w:ascii="Verdana" w:hAnsi="Verdana" w:cs="Times New Roman"/>
          <w:sz w:val="16"/>
          <w:szCs w:val="16"/>
        </w:rPr>
        <w:tab/>
      </w:r>
      <w:r w:rsidR="00B8393C" w:rsidRPr="00954547">
        <w:rPr>
          <w:rFonts w:ascii="Verdana" w:hAnsi="Verdana" w:cs="Times New Roman"/>
          <w:i/>
          <w:sz w:val="16"/>
          <w:szCs w:val="16"/>
        </w:rPr>
        <w:t>Cf.</w:t>
      </w:r>
      <w:r w:rsidRPr="00954547">
        <w:rPr>
          <w:rFonts w:ascii="Verdana" w:hAnsi="Verdana" w:cs="Times New Roman"/>
          <w:i/>
          <w:sz w:val="16"/>
          <w:szCs w:val="16"/>
        </w:rPr>
        <w:t xml:space="preserve"> </w:t>
      </w:r>
      <w:r w:rsidRPr="00954547">
        <w:rPr>
          <w:rFonts w:ascii="Verdana" w:hAnsi="Verdana" w:cs="Times New Roman"/>
          <w:sz w:val="16"/>
          <w:szCs w:val="16"/>
        </w:rPr>
        <w:t>UNESCO</w:t>
      </w:r>
      <w:r w:rsidR="003F4004" w:rsidRPr="00954547">
        <w:rPr>
          <w:rFonts w:ascii="Verdana" w:hAnsi="Verdana" w:cs="Times New Roman"/>
          <w:sz w:val="16"/>
          <w:szCs w:val="16"/>
        </w:rPr>
        <w:t xml:space="preserve"> General Conference</w:t>
      </w:r>
      <w:r w:rsidRPr="00954547">
        <w:rPr>
          <w:rFonts w:ascii="Verdana" w:hAnsi="Verdana" w:cs="Times New Roman"/>
          <w:sz w:val="16"/>
          <w:szCs w:val="16"/>
        </w:rPr>
        <w:t xml:space="preserve">, </w:t>
      </w:r>
      <w:r w:rsidR="003F4004" w:rsidRPr="00954547">
        <w:rPr>
          <w:rFonts w:ascii="Verdana" w:hAnsi="Verdana" w:cs="Times New Roman"/>
          <w:sz w:val="16"/>
          <w:szCs w:val="16"/>
        </w:rPr>
        <w:t xml:space="preserve">Universal </w:t>
      </w:r>
      <w:r w:rsidRPr="00954547">
        <w:rPr>
          <w:rFonts w:ascii="Verdana" w:hAnsi="Verdana" w:cs="Times New Roman"/>
          <w:sz w:val="16"/>
          <w:szCs w:val="16"/>
        </w:rPr>
        <w:t>Declara</w:t>
      </w:r>
      <w:r w:rsidR="003F4004" w:rsidRPr="00954547">
        <w:rPr>
          <w:rFonts w:ascii="Verdana" w:hAnsi="Verdana" w:cs="Times New Roman"/>
          <w:sz w:val="16"/>
          <w:szCs w:val="16"/>
        </w:rPr>
        <w:t>tion on Bioethics and Human Rights</w:t>
      </w:r>
      <w:r w:rsidRPr="00954547">
        <w:rPr>
          <w:rFonts w:ascii="Verdana" w:hAnsi="Verdana" w:cs="Times New Roman"/>
          <w:sz w:val="16"/>
          <w:szCs w:val="16"/>
        </w:rPr>
        <w:t xml:space="preserve">, </w:t>
      </w:r>
      <w:r w:rsidR="009274B9" w:rsidRPr="00954547">
        <w:rPr>
          <w:rFonts w:ascii="Verdana" w:hAnsi="Verdana" w:cs="Times New Roman"/>
          <w:sz w:val="16"/>
          <w:szCs w:val="16"/>
        </w:rPr>
        <w:t xml:space="preserve">October </w:t>
      </w:r>
      <w:r w:rsidRPr="00954547">
        <w:rPr>
          <w:rFonts w:ascii="Verdana" w:hAnsi="Verdana" w:cs="Times New Roman"/>
          <w:sz w:val="16"/>
          <w:szCs w:val="16"/>
        </w:rPr>
        <w:t>19</w:t>
      </w:r>
      <w:r w:rsidR="009274B9" w:rsidRPr="00954547">
        <w:rPr>
          <w:rFonts w:ascii="Verdana" w:hAnsi="Verdana" w:cs="Times New Roman"/>
          <w:sz w:val="16"/>
          <w:szCs w:val="16"/>
        </w:rPr>
        <w:t xml:space="preserve">, </w:t>
      </w:r>
      <w:r w:rsidRPr="00954547">
        <w:rPr>
          <w:rFonts w:ascii="Verdana" w:hAnsi="Verdana" w:cs="Times New Roman"/>
          <w:sz w:val="16"/>
          <w:szCs w:val="16"/>
        </w:rPr>
        <w:t xml:space="preserve">2005, </w:t>
      </w:r>
      <w:r w:rsidR="00A17F8C" w:rsidRPr="00954547">
        <w:rPr>
          <w:rFonts w:ascii="Verdana" w:hAnsi="Verdana" w:cs="Times New Roman"/>
          <w:sz w:val="16"/>
          <w:szCs w:val="16"/>
        </w:rPr>
        <w:t>Article</w:t>
      </w:r>
      <w:r w:rsidRPr="00954547">
        <w:rPr>
          <w:rFonts w:ascii="Verdana" w:hAnsi="Verdana" w:cs="Times New Roman"/>
          <w:sz w:val="16"/>
          <w:szCs w:val="16"/>
        </w:rPr>
        <w:t xml:space="preserve"> 9.</w:t>
      </w:r>
    </w:p>
  </w:footnote>
  <w:footnote w:id="350">
    <w:p w14:paraId="0FCEC0C1" w14:textId="54479984"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cs="Times New Roman"/>
          <w:sz w:val="16"/>
          <w:szCs w:val="16"/>
        </w:rPr>
        <w:footnoteRef/>
      </w:r>
      <w:r w:rsidRPr="00954547">
        <w:rPr>
          <w:rFonts w:ascii="Verdana" w:hAnsi="Verdana" w:cs="Times New Roman"/>
          <w:sz w:val="16"/>
          <w:szCs w:val="16"/>
        </w:rPr>
        <w:t xml:space="preserve"> </w:t>
      </w:r>
      <w:r w:rsidRPr="00954547">
        <w:rPr>
          <w:rFonts w:ascii="Verdana" w:hAnsi="Verdana" w:cs="Times New Roman"/>
          <w:sz w:val="16"/>
          <w:szCs w:val="16"/>
        </w:rPr>
        <w:tab/>
      </w:r>
      <w:r w:rsidR="00B8393C" w:rsidRPr="00954547">
        <w:rPr>
          <w:rFonts w:ascii="Verdana" w:hAnsi="Verdana" w:cs="Times New Roman"/>
          <w:i/>
          <w:sz w:val="16"/>
          <w:szCs w:val="16"/>
        </w:rPr>
        <w:t>Cf.</w:t>
      </w:r>
      <w:r w:rsidRPr="00954547">
        <w:rPr>
          <w:rFonts w:ascii="Verdana" w:hAnsi="Verdana" w:cs="Times New Roman"/>
          <w:i/>
          <w:sz w:val="16"/>
          <w:szCs w:val="16"/>
        </w:rPr>
        <w:t xml:space="preserve"> </w:t>
      </w:r>
      <w:r w:rsidR="009274B9" w:rsidRPr="00954547">
        <w:rPr>
          <w:rFonts w:ascii="Verdana" w:hAnsi="Verdana" w:cs="Times New Roman"/>
          <w:sz w:val="16"/>
          <w:szCs w:val="16"/>
        </w:rPr>
        <w:t>Geneva Declaration</w:t>
      </w:r>
      <w:r w:rsidRPr="00954547">
        <w:rPr>
          <w:rFonts w:ascii="Verdana" w:hAnsi="Verdana" w:cs="Times New Roman"/>
          <w:sz w:val="16"/>
          <w:szCs w:val="16"/>
        </w:rPr>
        <w:t>,</w:t>
      </w:r>
      <w:r w:rsidRPr="00954547">
        <w:rPr>
          <w:rFonts w:ascii="Verdana" w:hAnsi="Verdana"/>
          <w:i/>
          <w:sz w:val="16"/>
          <w:szCs w:val="16"/>
        </w:rPr>
        <w:t xml:space="preserve"> supra</w:t>
      </w:r>
      <w:r w:rsidRPr="00954547">
        <w:rPr>
          <w:rFonts w:ascii="Verdana" w:hAnsi="Verdana"/>
          <w:sz w:val="16"/>
          <w:szCs w:val="16"/>
        </w:rPr>
        <w:t>.</w:t>
      </w:r>
    </w:p>
  </w:footnote>
  <w:footnote w:id="351">
    <w:p w14:paraId="09C56C08" w14:textId="2EECEAC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1B3C0B" w:rsidRPr="00954547">
        <w:rPr>
          <w:rFonts w:ascii="Verdana" w:hAnsi="Verdana"/>
          <w:sz w:val="16"/>
          <w:szCs w:val="16"/>
        </w:rPr>
        <w:t>International Code of Medical Ethics</w:t>
      </w:r>
      <w:r w:rsidR="00053A7C" w:rsidRPr="00954547">
        <w:rPr>
          <w:rFonts w:ascii="Verdana" w:hAnsi="Verdana"/>
          <w:sz w:val="16"/>
          <w:szCs w:val="16"/>
        </w:rPr>
        <w:t xml:space="preserve"> of the </w:t>
      </w:r>
      <w:r w:rsidR="001B3C0B" w:rsidRPr="00954547">
        <w:rPr>
          <w:rFonts w:ascii="Verdana" w:hAnsi="Verdana"/>
          <w:sz w:val="16"/>
          <w:szCs w:val="16"/>
        </w:rPr>
        <w:t>World Medical Association</w:t>
      </w:r>
      <w:r w:rsidRPr="00954547">
        <w:rPr>
          <w:rFonts w:ascii="Verdana" w:hAnsi="Verdana"/>
          <w:sz w:val="16"/>
          <w:szCs w:val="16"/>
        </w:rPr>
        <w:t xml:space="preserve">, </w:t>
      </w:r>
      <w:r w:rsidRPr="00954547">
        <w:rPr>
          <w:rFonts w:ascii="Verdana" w:hAnsi="Verdana"/>
          <w:i/>
          <w:sz w:val="16"/>
          <w:szCs w:val="16"/>
        </w:rPr>
        <w:t>supra.</w:t>
      </w:r>
    </w:p>
  </w:footnote>
  <w:footnote w:id="352">
    <w:p w14:paraId="75CE200E" w14:textId="6A87C55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t>Declara</w:t>
      </w:r>
      <w:r w:rsidR="00EE0FC2" w:rsidRPr="00954547">
        <w:rPr>
          <w:rFonts w:ascii="Verdana" w:hAnsi="Verdana"/>
          <w:sz w:val="16"/>
          <w:szCs w:val="16"/>
        </w:rPr>
        <w:t xml:space="preserve">tion of Lisbon on the Rights of the Patient </w:t>
      </w:r>
      <w:r w:rsidR="00053A7C" w:rsidRPr="00954547">
        <w:rPr>
          <w:rFonts w:ascii="Verdana" w:hAnsi="Verdana"/>
          <w:sz w:val="16"/>
          <w:szCs w:val="16"/>
        </w:rPr>
        <w:t xml:space="preserve">of the </w:t>
      </w:r>
      <w:r w:rsidR="001B3C0B" w:rsidRPr="00954547">
        <w:rPr>
          <w:rFonts w:ascii="Verdana" w:hAnsi="Verdana"/>
          <w:sz w:val="16"/>
          <w:szCs w:val="16"/>
        </w:rPr>
        <w:t>World Medical Association</w:t>
      </w:r>
      <w:r w:rsidR="00E276B6" w:rsidRPr="00954547">
        <w:rPr>
          <w:rFonts w:ascii="Verdana" w:hAnsi="Verdana"/>
          <w:sz w:val="16"/>
          <w:szCs w:val="16"/>
        </w:rPr>
        <w:t>, a</w:t>
      </w:r>
      <w:r w:rsidR="00EE0FC2" w:rsidRPr="00954547">
        <w:rPr>
          <w:rStyle w:val="Emphasis"/>
          <w:rFonts w:ascii="Verdana" w:hAnsi="Verdana" w:cs="Open Sans"/>
          <w:i w:val="0"/>
          <w:iCs w:val="0"/>
          <w:sz w:val="16"/>
          <w:szCs w:val="16"/>
          <w:shd w:val="clear" w:color="auto" w:fill="FFFFFF"/>
        </w:rPr>
        <w:t>dopted by the 34</w:t>
      </w:r>
      <w:r w:rsidR="00EE0FC2" w:rsidRPr="00954547">
        <w:rPr>
          <w:rStyle w:val="Emphasis"/>
          <w:rFonts w:ascii="Verdana" w:hAnsi="Verdana" w:cs="Open Sans"/>
          <w:i w:val="0"/>
          <w:iCs w:val="0"/>
          <w:sz w:val="16"/>
          <w:szCs w:val="16"/>
          <w:shd w:val="clear" w:color="auto" w:fill="FFFFFF"/>
          <w:vertAlign w:val="superscript"/>
        </w:rPr>
        <w:t>th</w:t>
      </w:r>
      <w:r w:rsidR="00EE0FC2" w:rsidRPr="00954547">
        <w:rPr>
          <w:rStyle w:val="Emphasis"/>
          <w:rFonts w:ascii="Verdana" w:hAnsi="Verdana" w:cs="Open Sans"/>
          <w:i w:val="0"/>
          <w:iCs w:val="0"/>
          <w:sz w:val="16"/>
          <w:szCs w:val="16"/>
          <w:shd w:val="clear" w:color="auto" w:fill="FFFFFF"/>
        </w:rPr>
        <w:t> World Medical Assembly, Lisbon, Portugal, September/October 1981</w:t>
      </w:r>
      <w:r w:rsidR="00EE0FC2" w:rsidRPr="00954547">
        <w:rPr>
          <w:rFonts w:ascii="Verdana" w:hAnsi="Verdana" w:cs="Open Sans"/>
          <w:i/>
          <w:iCs/>
          <w:sz w:val="16"/>
          <w:szCs w:val="16"/>
          <w:shd w:val="clear" w:color="auto" w:fill="FFFFFF"/>
        </w:rPr>
        <w:t xml:space="preserve">, </w:t>
      </w:r>
      <w:r w:rsidR="00EE0FC2" w:rsidRPr="00954547">
        <w:rPr>
          <w:rStyle w:val="Emphasis"/>
          <w:rFonts w:ascii="Verdana" w:hAnsi="Verdana" w:cs="Open Sans"/>
          <w:i w:val="0"/>
          <w:iCs w:val="0"/>
          <w:sz w:val="16"/>
          <w:szCs w:val="16"/>
          <w:shd w:val="clear" w:color="auto" w:fill="FFFFFF"/>
        </w:rPr>
        <w:t>and amended by the 47</w:t>
      </w:r>
      <w:r w:rsidR="00EE0FC2" w:rsidRPr="00954547">
        <w:rPr>
          <w:rStyle w:val="Emphasis"/>
          <w:rFonts w:ascii="Verdana" w:hAnsi="Verdana" w:cs="Open Sans"/>
          <w:i w:val="0"/>
          <w:iCs w:val="0"/>
          <w:sz w:val="16"/>
          <w:szCs w:val="16"/>
          <w:shd w:val="clear" w:color="auto" w:fill="FFFFFF"/>
          <w:vertAlign w:val="superscript"/>
        </w:rPr>
        <w:t>th</w:t>
      </w:r>
      <w:r w:rsidR="00EE0FC2" w:rsidRPr="00954547">
        <w:rPr>
          <w:rStyle w:val="Emphasis"/>
          <w:rFonts w:ascii="Verdana" w:hAnsi="Verdana" w:cs="Open Sans"/>
          <w:i w:val="0"/>
          <w:iCs w:val="0"/>
          <w:sz w:val="16"/>
          <w:szCs w:val="16"/>
          <w:shd w:val="clear" w:color="auto" w:fill="FFFFFF"/>
        </w:rPr>
        <w:t> WMA General Assembly, Bali, Indonesia, September 1995</w:t>
      </w:r>
      <w:r w:rsidR="008642A3" w:rsidRPr="00954547">
        <w:rPr>
          <w:rFonts w:ascii="Verdana" w:hAnsi="Verdana" w:cs="Open Sans"/>
          <w:i/>
          <w:iCs/>
          <w:sz w:val="16"/>
          <w:szCs w:val="16"/>
          <w:shd w:val="clear" w:color="auto" w:fill="FFFFFF"/>
        </w:rPr>
        <w:t xml:space="preserve">, </w:t>
      </w:r>
      <w:r w:rsidR="00EE0FC2" w:rsidRPr="00954547">
        <w:rPr>
          <w:rStyle w:val="Emphasis"/>
          <w:rFonts w:ascii="Verdana" w:hAnsi="Verdana" w:cs="Open Sans"/>
          <w:i w:val="0"/>
          <w:iCs w:val="0"/>
          <w:sz w:val="16"/>
          <w:szCs w:val="16"/>
          <w:shd w:val="clear" w:color="auto" w:fill="FFFFFF"/>
        </w:rPr>
        <w:t>and editorially revised by the 171</w:t>
      </w:r>
      <w:r w:rsidR="00EE0FC2" w:rsidRPr="00954547">
        <w:rPr>
          <w:rStyle w:val="Emphasis"/>
          <w:rFonts w:ascii="Verdana" w:hAnsi="Verdana" w:cs="Open Sans"/>
          <w:i w:val="0"/>
          <w:iCs w:val="0"/>
          <w:sz w:val="16"/>
          <w:szCs w:val="16"/>
          <w:shd w:val="clear" w:color="auto" w:fill="FFFFFF"/>
          <w:vertAlign w:val="superscript"/>
        </w:rPr>
        <w:t>st</w:t>
      </w:r>
      <w:r w:rsidR="00EE0FC2" w:rsidRPr="00954547">
        <w:rPr>
          <w:rStyle w:val="Emphasis"/>
          <w:rFonts w:ascii="Verdana" w:hAnsi="Verdana" w:cs="Open Sans"/>
          <w:i w:val="0"/>
          <w:iCs w:val="0"/>
          <w:sz w:val="16"/>
          <w:szCs w:val="16"/>
          <w:shd w:val="clear" w:color="auto" w:fill="FFFFFF"/>
        </w:rPr>
        <w:t> WMA Council Session, Santiago, Chile, October 2005</w:t>
      </w:r>
      <w:r w:rsidR="008642A3" w:rsidRPr="00954547">
        <w:rPr>
          <w:rFonts w:ascii="Verdana" w:hAnsi="Verdana" w:cs="Open Sans"/>
          <w:i/>
          <w:iCs/>
          <w:sz w:val="16"/>
          <w:szCs w:val="16"/>
          <w:shd w:val="clear" w:color="auto" w:fill="FFFFFF"/>
        </w:rPr>
        <w:t xml:space="preserve">, </w:t>
      </w:r>
      <w:r w:rsidR="00EE0FC2" w:rsidRPr="00954547">
        <w:rPr>
          <w:rStyle w:val="Emphasis"/>
          <w:rFonts w:ascii="Verdana" w:hAnsi="Verdana" w:cs="Open Sans"/>
          <w:i w:val="0"/>
          <w:iCs w:val="0"/>
          <w:sz w:val="16"/>
          <w:szCs w:val="16"/>
          <w:shd w:val="clear" w:color="auto" w:fill="FFFFFF"/>
        </w:rPr>
        <w:t>and reaffirmed by the 200</w:t>
      </w:r>
      <w:r w:rsidR="00EE0FC2" w:rsidRPr="00954547">
        <w:rPr>
          <w:rStyle w:val="Emphasis"/>
          <w:rFonts w:ascii="Verdana" w:hAnsi="Verdana" w:cs="Open Sans"/>
          <w:i w:val="0"/>
          <w:iCs w:val="0"/>
          <w:sz w:val="16"/>
          <w:szCs w:val="16"/>
          <w:shd w:val="clear" w:color="auto" w:fill="FFFFFF"/>
          <w:vertAlign w:val="superscript"/>
        </w:rPr>
        <w:t>th</w:t>
      </w:r>
      <w:r w:rsidR="00EE0FC2" w:rsidRPr="00954547">
        <w:rPr>
          <w:rStyle w:val="Emphasis"/>
          <w:rFonts w:ascii="Verdana" w:hAnsi="Verdana" w:cs="Open Sans"/>
          <w:i w:val="0"/>
          <w:iCs w:val="0"/>
          <w:sz w:val="16"/>
          <w:szCs w:val="16"/>
          <w:shd w:val="clear" w:color="auto" w:fill="FFFFFF"/>
        </w:rPr>
        <w:t> WMA Council Session, Oslo, Norway, April 2015</w:t>
      </w:r>
      <w:r w:rsidRPr="00954547">
        <w:rPr>
          <w:rFonts w:ascii="Verdana" w:hAnsi="Verdana"/>
          <w:sz w:val="16"/>
          <w:szCs w:val="16"/>
        </w:rPr>
        <w:t xml:space="preserve">, </w:t>
      </w:r>
      <w:r w:rsidR="008642A3" w:rsidRPr="00954547">
        <w:rPr>
          <w:rFonts w:ascii="Verdana" w:hAnsi="Verdana"/>
          <w:sz w:val="16"/>
          <w:szCs w:val="16"/>
        </w:rPr>
        <w:t>Principle</w:t>
      </w:r>
      <w:r w:rsidRPr="00954547">
        <w:rPr>
          <w:rFonts w:ascii="Verdana" w:hAnsi="Verdana"/>
          <w:sz w:val="16"/>
          <w:szCs w:val="16"/>
        </w:rPr>
        <w:t xml:space="preserve"> 8.</w:t>
      </w:r>
    </w:p>
  </w:footnote>
  <w:footnote w:id="353">
    <w:p w14:paraId="7FB0BF47" w14:textId="1940642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Pr="00954547">
        <w:rPr>
          <w:rFonts w:ascii="Verdana" w:hAnsi="Verdana"/>
          <w:i/>
          <w:sz w:val="16"/>
          <w:szCs w:val="16"/>
        </w:rPr>
        <w:t xml:space="preserve">Mutatis mutandis, </w:t>
      </w:r>
      <w:r w:rsidR="002F4617" w:rsidRPr="00954547">
        <w:rPr>
          <w:rFonts w:ascii="Verdana" w:hAnsi="Verdana"/>
          <w:i/>
          <w:sz w:val="16"/>
          <w:szCs w:val="16"/>
        </w:rPr>
        <w:t>Case of</w:t>
      </w:r>
      <w:r w:rsidRPr="00954547">
        <w:rPr>
          <w:rFonts w:ascii="Verdana" w:hAnsi="Verdana"/>
          <w:i/>
          <w:sz w:val="16"/>
          <w:szCs w:val="16"/>
        </w:rPr>
        <w:t xml:space="preserve"> Tristán Donoso </w:t>
      </w:r>
      <w:r w:rsidR="009C16A1" w:rsidRPr="00954547">
        <w:rPr>
          <w:rFonts w:ascii="Verdana" w:hAnsi="Verdana"/>
          <w:i/>
          <w:sz w:val="16"/>
          <w:szCs w:val="16"/>
        </w:rPr>
        <w:t>v.</w:t>
      </w:r>
      <w:r w:rsidRPr="00954547">
        <w:rPr>
          <w:rFonts w:ascii="Verdana" w:hAnsi="Verdana"/>
          <w:i/>
          <w:sz w:val="16"/>
          <w:szCs w:val="16"/>
        </w:rPr>
        <w:t xml:space="preserve"> </w:t>
      </w:r>
      <w:r w:rsidR="0067513A" w:rsidRPr="00954547">
        <w:rPr>
          <w:rFonts w:ascii="Verdana" w:hAnsi="Verdana"/>
          <w:i/>
          <w:sz w:val="16"/>
          <w:szCs w:val="16"/>
        </w:rPr>
        <w:t>Panama</w:t>
      </w:r>
      <w:r w:rsidRPr="00954547">
        <w:rPr>
          <w:rFonts w:ascii="Verdana" w:hAnsi="Verdana"/>
          <w:i/>
          <w:sz w:val="16"/>
          <w:szCs w:val="16"/>
        </w:rPr>
        <w:t xml:space="preserve">.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9274B9" w:rsidRPr="00954547">
        <w:rPr>
          <w:rFonts w:ascii="Verdana" w:hAnsi="Verdana"/>
          <w:sz w:val="16"/>
          <w:szCs w:val="16"/>
        </w:rPr>
        <w:t>January 27,</w:t>
      </w:r>
      <w:r w:rsidRPr="00954547">
        <w:rPr>
          <w:rFonts w:ascii="Verdana" w:hAnsi="Verdana"/>
          <w:sz w:val="16"/>
          <w:szCs w:val="16"/>
        </w:rPr>
        <w:t xml:space="preserve"> 2009. </w:t>
      </w:r>
      <w:r w:rsidR="00B8393C" w:rsidRPr="00954547">
        <w:rPr>
          <w:rFonts w:ascii="Verdana" w:hAnsi="Verdana"/>
          <w:sz w:val="16"/>
          <w:szCs w:val="16"/>
        </w:rPr>
        <w:t xml:space="preserve">Series </w:t>
      </w:r>
      <w:r w:rsidRPr="00954547">
        <w:rPr>
          <w:rFonts w:ascii="Verdana" w:hAnsi="Verdana"/>
          <w:sz w:val="16"/>
          <w:szCs w:val="16"/>
        </w:rPr>
        <w:t xml:space="preserve">C No. 193, </w:t>
      </w:r>
      <w:r w:rsidR="00B10E5A" w:rsidRPr="00954547">
        <w:rPr>
          <w:rFonts w:ascii="Verdana" w:hAnsi="Verdana"/>
          <w:sz w:val="16"/>
          <w:szCs w:val="16"/>
        </w:rPr>
        <w:t>para.</w:t>
      </w:r>
      <w:r w:rsidRPr="00954547">
        <w:rPr>
          <w:rFonts w:ascii="Verdana" w:hAnsi="Verdana"/>
          <w:sz w:val="16"/>
          <w:szCs w:val="16"/>
        </w:rPr>
        <w:t xml:space="preserve"> 56,</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Escher </w:t>
      </w:r>
      <w:r w:rsidR="00B8393C" w:rsidRPr="00954547">
        <w:rPr>
          <w:rFonts w:ascii="Verdana" w:hAnsi="Verdana"/>
          <w:i/>
          <w:sz w:val="16"/>
          <w:szCs w:val="16"/>
        </w:rPr>
        <w:t>et al. 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9274B9" w:rsidRPr="00954547">
        <w:rPr>
          <w:rFonts w:ascii="Verdana" w:hAnsi="Verdana"/>
          <w:sz w:val="16"/>
          <w:szCs w:val="16"/>
        </w:rPr>
        <w:t>July 6,</w:t>
      </w:r>
      <w:r w:rsidRPr="00954547">
        <w:rPr>
          <w:rFonts w:ascii="Verdana" w:hAnsi="Verdana"/>
          <w:sz w:val="16"/>
          <w:szCs w:val="16"/>
        </w:rPr>
        <w:t xml:space="preserve"> 2009. </w:t>
      </w:r>
      <w:r w:rsidR="00B8393C" w:rsidRPr="00954547">
        <w:rPr>
          <w:rFonts w:ascii="Verdana" w:hAnsi="Verdana"/>
          <w:sz w:val="16"/>
          <w:szCs w:val="16"/>
        </w:rPr>
        <w:t xml:space="preserve">Series </w:t>
      </w:r>
      <w:r w:rsidRPr="00954547">
        <w:rPr>
          <w:rFonts w:ascii="Verdana" w:hAnsi="Verdana"/>
          <w:sz w:val="16"/>
          <w:szCs w:val="16"/>
        </w:rPr>
        <w:t xml:space="preserve">C No. 200, </w:t>
      </w:r>
      <w:r w:rsidR="00B10E5A" w:rsidRPr="00954547">
        <w:rPr>
          <w:rFonts w:ascii="Verdana" w:hAnsi="Verdana"/>
          <w:sz w:val="16"/>
          <w:szCs w:val="16"/>
        </w:rPr>
        <w:t>para.</w:t>
      </w:r>
      <w:r w:rsidRPr="00954547">
        <w:rPr>
          <w:rFonts w:ascii="Verdana" w:hAnsi="Verdana"/>
          <w:sz w:val="16"/>
          <w:szCs w:val="16"/>
        </w:rPr>
        <w:t xml:space="preserve"> 116.</w:t>
      </w:r>
    </w:p>
  </w:footnote>
  <w:footnote w:id="354">
    <w:p w14:paraId="3AA71349" w14:textId="0F25256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15A4B" w:rsidRPr="00954547">
        <w:rPr>
          <w:rFonts w:ascii="Verdana" w:hAnsi="Verdana"/>
          <w:iCs/>
          <w:sz w:val="16"/>
          <w:szCs w:val="16"/>
        </w:rPr>
        <w:t>See, for example</w:t>
      </w:r>
      <w:r w:rsidRPr="00954547">
        <w:rPr>
          <w:rFonts w:ascii="Verdana" w:hAnsi="Verdana"/>
          <w:iCs/>
          <w:sz w:val="16"/>
          <w:szCs w:val="16"/>
        </w:rPr>
        <w:t>,</w:t>
      </w:r>
      <w:r w:rsidRPr="00954547">
        <w:rPr>
          <w:rFonts w:ascii="Verdana" w:hAnsi="Verdana"/>
          <w:i/>
          <w:sz w:val="16"/>
          <w:szCs w:val="16"/>
        </w:rPr>
        <w:t xml:space="preserve"> </w:t>
      </w:r>
      <w:r w:rsidR="001B3C0B" w:rsidRPr="00954547">
        <w:rPr>
          <w:rFonts w:ascii="Verdana" w:hAnsi="Verdana"/>
          <w:sz w:val="16"/>
          <w:szCs w:val="16"/>
        </w:rPr>
        <w:t>International Code of Medical Ethics</w:t>
      </w:r>
      <w:r w:rsidR="00053A7C" w:rsidRPr="00954547">
        <w:rPr>
          <w:rFonts w:ascii="Verdana" w:hAnsi="Verdana"/>
          <w:sz w:val="16"/>
          <w:szCs w:val="16"/>
        </w:rPr>
        <w:t xml:space="preserve"> of the </w:t>
      </w:r>
      <w:r w:rsidR="001B3C0B" w:rsidRPr="00954547">
        <w:rPr>
          <w:rFonts w:ascii="Verdana" w:hAnsi="Verdana"/>
          <w:sz w:val="16"/>
          <w:szCs w:val="16"/>
        </w:rPr>
        <w:t>World Medical Association</w:t>
      </w:r>
      <w:r w:rsidRPr="00954547">
        <w:rPr>
          <w:rFonts w:ascii="Verdana" w:hAnsi="Verdana"/>
          <w:sz w:val="16"/>
          <w:szCs w:val="16"/>
        </w:rPr>
        <w:t xml:space="preserve">, </w:t>
      </w:r>
      <w:r w:rsidRPr="00954547">
        <w:rPr>
          <w:rFonts w:ascii="Verdana" w:hAnsi="Verdana"/>
          <w:i/>
          <w:sz w:val="16"/>
          <w:szCs w:val="16"/>
        </w:rPr>
        <w:t>supra</w:t>
      </w:r>
      <w:r w:rsidRPr="00954547">
        <w:rPr>
          <w:rFonts w:ascii="Verdana" w:hAnsi="Verdana"/>
          <w:sz w:val="16"/>
          <w:szCs w:val="16"/>
        </w:rPr>
        <w:t>,</w:t>
      </w:r>
      <w:r w:rsidR="0078694F" w:rsidRPr="00954547">
        <w:rPr>
          <w:rFonts w:ascii="Verdana" w:hAnsi="Verdana"/>
          <w:sz w:val="16"/>
          <w:szCs w:val="16"/>
        </w:rPr>
        <w:t xml:space="preserve"> and </w:t>
      </w:r>
      <w:r w:rsidR="00E276B6" w:rsidRPr="00954547">
        <w:rPr>
          <w:rFonts w:ascii="Verdana" w:hAnsi="Verdana"/>
          <w:sz w:val="16"/>
          <w:szCs w:val="16"/>
        </w:rPr>
        <w:t>Declaration of Lisbon on the Rights of the Patient of the World Medical Association</w:t>
      </w:r>
      <w:r w:rsidRPr="00954547">
        <w:rPr>
          <w:rFonts w:ascii="Verdana" w:hAnsi="Verdana"/>
          <w:sz w:val="16"/>
          <w:szCs w:val="16"/>
        </w:rPr>
        <w:t xml:space="preserve">, </w:t>
      </w:r>
      <w:r w:rsidRPr="00954547">
        <w:rPr>
          <w:rFonts w:ascii="Verdana" w:hAnsi="Verdana"/>
          <w:i/>
          <w:sz w:val="16"/>
          <w:szCs w:val="16"/>
        </w:rPr>
        <w:t>supra</w:t>
      </w:r>
      <w:r w:rsidRPr="00954547">
        <w:rPr>
          <w:rFonts w:ascii="Verdana" w:hAnsi="Verdana"/>
          <w:sz w:val="16"/>
          <w:szCs w:val="16"/>
        </w:rPr>
        <w:t>,</w:t>
      </w:r>
      <w:r w:rsidR="00E276B6" w:rsidRPr="00954547">
        <w:rPr>
          <w:rFonts w:ascii="Verdana" w:hAnsi="Verdana"/>
          <w:sz w:val="16"/>
          <w:szCs w:val="16"/>
        </w:rPr>
        <w:t xml:space="preserve"> Principle</w:t>
      </w:r>
      <w:r w:rsidRPr="00954547">
        <w:rPr>
          <w:rFonts w:ascii="Verdana" w:hAnsi="Verdana"/>
          <w:sz w:val="16"/>
          <w:szCs w:val="16"/>
        </w:rPr>
        <w:t xml:space="preserve"> 8.</w:t>
      </w:r>
    </w:p>
  </w:footnote>
  <w:footnote w:id="355">
    <w:p w14:paraId="4A66EA60" w14:textId="4B245C0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sz w:val="16"/>
          <w:szCs w:val="16"/>
        </w:rPr>
        <w:t>Note addressed to the prosecution service dated</w:t>
      </w:r>
      <w:r w:rsidR="003D24A2" w:rsidRPr="00954547">
        <w:rPr>
          <w:rFonts w:ascii="Verdana" w:hAnsi="Verdana"/>
          <w:sz w:val="16"/>
          <w:szCs w:val="16"/>
        </w:rPr>
        <w:t xml:space="preserve"> February 27,</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xml:space="preserve">, folio 22). </w:t>
      </w:r>
    </w:p>
  </w:footnote>
  <w:footnote w:id="356">
    <w:p w14:paraId="3C3E61BA" w14:textId="0B8BF0A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30</w:t>
      </w:r>
      <w:r w:rsidR="005E0FD1" w:rsidRPr="00954547">
        <w:rPr>
          <w:rFonts w:ascii="Verdana" w:hAnsi="Verdana"/>
          <w:sz w:val="16"/>
          <w:szCs w:val="16"/>
        </w:rPr>
        <w:t xml:space="preserve"> of the American Convention</w:t>
      </w:r>
      <w:r w:rsidRPr="00954547">
        <w:rPr>
          <w:rFonts w:ascii="Verdana" w:hAnsi="Verdana"/>
          <w:sz w:val="16"/>
          <w:szCs w:val="16"/>
        </w:rPr>
        <w:t xml:space="preserve"> </w:t>
      </w:r>
      <w:r w:rsidR="009274B9" w:rsidRPr="00954547">
        <w:rPr>
          <w:rFonts w:ascii="Verdana" w:hAnsi="Verdana"/>
          <w:sz w:val="16"/>
          <w:szCs w:val="16"/>
        </w:rPr>
        <w:t>establishes that</w:t>
      </w:r>
      <w:r w:rsidRPr="00954547">
        <w:rPr>
          <w:rFonts w:ascii="Verdana" w:hAnsi="Verdana"/>
          <w:sz w:val="16"/>
          <w:szCs w:val="16"/>
        </w:rPr>
        <w:t xml:space="preserve"> “</w:t>
      </w:r>
      <w:r w:rsidR="009274B9" w:rsidRPr="00954547">
        <w:rPr>
          <w:rFonts w:ascii="Verdana" w:hAnsi="Verdana"/>
          <w:spacing w:val="-3"/>
          <w:sz w:val="16"/>
          <w:szCs w:val="16"/>
        </w:rPr>
        <w:t>The restrictions that, pursuant to this Convention, may be placed on the enjoyment or exercise of the rights or freedoms recognized herein may not be applied except in accordance with laws enacted for reasons of general interest and in accordance with the purpose for which such restrictions have been established</w:t>
      </w:r>
      <w:r w:rsidR="009274B9" w:rsidRPr="00954547">
        <w:rPr>
          <w:rFonts w:ascii="Verdana" w:hAnsi="Verdana"/>
          <w:sz w:val="16"/>
          <w:szCs w:val="16"/>
        </w:rPr>
        <w:t>.</w:t>
      </w:r>
      <w:r w:rsidRPr="00954547">
        <w:rPr>
          <w:rFonts w:ascii="Verdana" w:hAnsi="Verdana"/>
          <w:sz w:val="16"/>
          <w:szCs w:val="16"/>
        </w:rPr>
        <w:t>”</w:t>
      </w:r>
    </w:p>
  </w:footnote>
  <w:footnote w:id="357">
    <w:p w14:paraId="4037E69A" w14:textId="40BC0506" w:rsidR="005F001B" w:rsidRPr="00954547" w:rsidRDefault="005F001B" w:rsidP="00B01245">
      <w:pPr>
        <w:spacing w:after="120"/>
        <w:jc w:val="both"/>
        <w:rPr>
          <w:rFonts w:ascii="Verdana" w:hAnsi="Verdana" w:cstheme="minorBidi"/>
          <w:i/>
          <w:iCs/>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hyperlink r:id="rId26" w:history="1">
        <w:r w:rsidR="009274B9" w:rsidRPr="00954547">
          <w:rPr>
            <w:rFonts w:ascii="Verdana" w:eastAsia="Times New Roman" w:hAnsi="Verdana"/>
            <w:i/>
            <w:sz w:val="16"/>
            <w:szCs w:val="16"/>
          </w:rPr>
          <w:t>The Word "Laws " in Article 30 of the American Convention on Human Rights</w:t>
        </w:r>
      </w:hyperlink>
      <w:r w:rsidR="009274B9" w:rsidRPr="00954547">
        <w:rPr>
          <w:rFonts w:ascii="Verdana" w:eastAsia="Times New Roman" w:hAnsi="Verdana"/>
          <w:i/>
          <w:sz w:val="16"/>
          <w:szCs w:val="16"/>
        </w:rPr>
        <w:t xml:space="preserve">, </w:t>
      </w:r>
      <w:r w:rsidR="009274B9" w:rsidRPr="00954547">
        <w:rPr>
          <w:rFonts w:ascii="Verdana" w:eastAsia="Times New Roman" w:hAnsi="Verdana"/>
          <w:sz w:val="16"/>
          <w:szCs w:val="16"/>
        </w:rPr>
        <w:t>Advisory Opinion OC-6/86, May 9, 1986. Series A No. 6</w:t>
      </w:r>
      <w:r w:rsidRPr="00954547">
        <w:rPr>
          <w:rFonts w:ascii="Verdana" w:hAnsi="Verdana"/>
          <w:sz w:val="16"/>
          <w:szCs w:val="16"/>
        </w:rPr>
        <w:t xml:space="preserve">, </w:t>
      </w:r>
      <w:r w:rsidR="0052231D" w:rsidRPr="00954547">
        <w:rPr>
          <w:rFonts w:ascii="Verdana" w:hAnsi="Verdana"/>
          <w:sz w:val="16"/>
          <w:szCs w:val="16"/>
        </w:rPr>
        <w:t>paras.</w:t>
      </w:r>
      <w:r w:rsidRPr="00954547">
        <w:rPr>
          <w:rFonts w:ascii="Verdana" w:hAnsi="Verdana"/>
          <w:sz w:val="16"/>
          <w:szCs w:val="16"/>
        </w:rPr>
        <w:t xml:space="preserve"> 27</w:t>
      </w:r>
      <w:r w:rsidR="0078694F" w:rsidRPr="00954547">
        <w:rPr>
          <w:rFonts w:ascii="Verdana" w:hAnsi="Verdana"/>
          <w:sz w:val="16"/>
          <w:szCs w:val="16"/>
        </w:rPr>
        <w:t xml:space="preserve"> and </w:t>
      </w:r>
      <w:r w:rsidRPr="00954547">
        <w:rPr>
          <w:rFonts w:ascii="Verdana" w:hAnsi="Verdana"/>
          <w:sz w:val="16"/>
          <w:szCs w:val="16"/>
        </w:rPr>
        <w:t>32,</w:t>
      </w:r>
      <w:r w:rsidR="0078694F" w:rsidRPr="00954547">
        <w:rPr>
          <w:rFonts w:ascii="Verdana" w:hAnsi="Verdana"/>
          <w:sz w:val="16"/>
          <w:szCs w:val="16"/>
        </w:rPr>
        <w:t xml:space="preserve"> and </w:t>
      </w:r>
      <w:r w:rsidR="00B01245" w:rsidRPr="00954547">
        <w:rPr>
          <w:rFonts w:ascii="Verdana" w:hAnsi="Verdana" w:cstheme="minorBidi"/>
          <w:i/>
          <w:iCs/>
          <w:sz w:val="16"/>
          <w:szCs w:val="16"/>
        </w:rPr>
        <w:t xml:space="preserve">Indefinite Presidential Re-election in Presidential Systems in the context of the Inter-American System of Human Rights (Interpretation and scope of Articles </w:t>
      </w:r>
      <w:r w:rsidR="00B01245" w:rsidRPr="00954547">
        <w:rPr>
          <w:rFonts w:ascii="Verdana" w:hAnsi="Verdana"/>
          <w:i/>
          <w:iCs/>
          <w:sz w:val="16"/>
          <w:szCs w:val="16"/>
        </w:rPr>
        <w:t>1, 23, 24 and 32 of the American Convention on Human Rights, XX of the American Declaration of the Rights and Duties of Man, 3(d) of the Charter of the Organization of American States and of the Inter-American Democratic Charter). Advisory Opinion OC-28/21 of June 7, 2021. Series A No 28</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115.</w:t>
      </w:r>
    </w:p>
  </w:footnote>
  <w:footnote w:id="358">
    <w:p w14:paraId="3B96671B" w14:textId="7A5AAFE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Escher </w:t>
      </w:r>
      <w:r w:rsidR="00B8393C" w:rsidRPr="00954547">
        <w:rPr>
          <w:rFonts w:ascii="Verdana" w:hAnsi="Verdana"/>
          <w:i/>
          <w:sz w:val="16"/>
          <w:szCs w:val="16"/>
        </w:rPr>
        <w:t>et al. 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131.</w:t>
      </w:r>
    </w:p>
  </w:footnote>
  <w:footnote w:id="359">
    <w:p w14:paraId="53ED27F7" w14:textId="11B5B57F"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Baena Ricardo </w:t>
      </w:r>
      <w:r w:rsidR="00B8393C" w:rsidRPr="00954547">
        <w:rPr>
          <w:rFonts w:ascii="Verdana" w:hAnsi="Verdana"/>
          <w:i/>
          <w:sz w:val="16"/>
          <w:szCs w:val="16"/>
        </w:rPr>
        <w:t>et al. v.</w:t>
      </w:r>
      <w:r w:rsidRPr="00954547">
        <w:rPr>
          <w:rFonts w:ascii="Verdana" w:hAnsi="Verdana"/>
          <w:i/>
          <w:sz w:val="16"/>
          <w:szCs w:val="16"/>
        </w:rPr>
        <w:t xml:space="preserve"> </w:t>
      </w:r>
      <w:r w:rsidR="0067513A" w:rsidRPr="00954547">
        <w:rPr>
          <w:rFonts w:ascii="Verdana" w:hAnsi="Verdana"/>
          <w:i/>
          <w:sz w:val="16"/>
          <w:szCs w:val="16"/>
        </w:rPr>
        <w:t>Panama</w:t>
      </w:r>
      <w:r w:rsidRPr="00954547">
        <w:rPr>
          <w:rFonts w:ascii="Verdana" w:hAnsi="Verdana"/>
          <w:i/>
          <w:sz w:val="16"/>
          <w:szCs w:val="16"/>
        </w:rPr>
        <w:t xml:space="preserve">. </w:t>
      </w:r>
      <w:r w:rsidR="00A70DC4" w:rsidRPr="00954547">
        <w:rPr>
          <w:rFonts w:ascii="Verdana" w:hAnsi="Verdana"/>
          <w:i/>
          <w:sz w:val="16"/>
          <w:szCs w:val="16"/>
        </w:rPr>
        <w:t>Merits,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9274B9" w:rsidRPr="00954547">
        <w:rPr>
          <w:rFonts w:ascii="Verdana" w:hAnsi="Verdana"/>
          <w:sz w:val="16"/>
          <w:szCs w:val="16"/>
        </w:rPr>
        <w:t>February 2,</w:t>
      </w:r>
      <w:r w:rsidRPr="00954547">
        <w:rPr>
          <w:rFonts w:ascii="Verdana" w:hAnsi="Verdana"/>
          <w:sz w:val="16"/>
          <w:szCs w:val="16"/>
        </w:rPr>
        <w:t xml:space="preserve"> 2001. </w:t>
      </w:r>
      <w:r w:rsidR="00B8393C" w:rsidRPr="00954547">
        <w:rPr>
          <w:rFonts w:ascii="Verdana" w:hAnsi="Verdana"/>
          <w:sz w:val="16"/>
          <w:szCs w:val="16"/>
        </w:rPr>
        <w:t xml:space="preserve">Series </w:t>
      </w:r>
      <w:r w:rsidRPr="00954547">
        <w:rPr>
          <w:rFonts w:ascii="Verdana" w:hAnsi="Verdana"/>
          <w:sz w:val="16"/>
          <w:szCs w:val="16"/>
        </w:rPr>
        <w:t xml:space="preserve">C No. 72, </w:t>
      </w:r>
      <w:r w:rsidR="00B10E5A" w:rsidRPr="00954547">
        <w:rPr>
          <w:rFonts w:ascii="Verdana" w:hAnsi="Verdana"/>
          <w:sz w:val="16"/>
          <w:szCs w:val="16"/>
        </w:rPr>
        <w:t>para.</w:t>
      </w:r>
      <w:r w:rsidRPr="00954547">
        <w:rPr>
          <w:rFonts w:ascii="Verdana" w:hAnsi="Verdana"/>
          <w:sz w:val="16"/>
          <w:szCs w:val="16"/>
        </w:rPr>
        <w:t xml:space="preserve"> 108,</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Ricardo Canese </w:t>
      </w:r>
      <w:r w:rsidR="009C16A1" w:rsidRPr="00954547">
        <w:rPr>
          <w:rFonts w:ascii="Verdana" w:hAnsi="Verdana"/>
          <w:i/>
          <w:sz w:val="16"/>
          <w:szCs w:val="16"/>
        </w:rPr>
        <w:t>v.</w:t>
      </w:r>
      <w:r w:rsidRPr="00954547">
        <w:rPr>
          <w:rFonts w:ascii="Verdana" w:hAnsi="Verdana"/>
          <w:i/>
          <w:sz w:val="16"/>
          <w:szCs w:val="16"/>
        </w:rPr>
        <w:t xml:space="preserve"> Paraguay,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125.</w:t>
      </w:r>
    </w:p>
  </w:footnote>
  <w:footnote w:id="360">
    <w:p w14:paraId="13FE4363" w14:textId="2D2AC06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7619E6" w:rsidRPr="00954547">
        <w:rPr>
          <w:rFonts w:ascii="Verdana" w:hAnsi="Verdana"/>
          <w:sz w:val="16"/>
          <w:szCs w:val="16"/>
        </w:rPr>
        <w:t>ECHR</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S.</w:t>
      </w:r>
      <w:r w:rsidR="0078694F" w:rsidRPr="00954547">
        <w:rPr>
          <w:rFonts w:ascii="Verdana" w:hAnsi="Verdana"/>
          <w:i/>
          <w:sz w:val="16"/>
          <w:szCs w:val="16"/>
        </w:rPr>
        <w:t xml:space="preserve"> and </w:t>
      </w:r>
      <w:r w:rsidRPr="00954547">
        <w:rPr>
          <w:rFonts w:ascii="Verdana" w:hAnsi="Verdana"/>
          <w:i/>
          <w:sz w:val="16"/>
          <w:szCs w:val="16"/>
        </w:rPr>
        <w:t xml:space="preserve">Marper </w:t>
      </w:r>
      <w:r w:rsidR="009C16A1" w:rsidRPr="00954547">
        <w:rPr>
          <w:rFonts w:ascii="Verdana" w:hAnsi="Verdana"/>
          <w:i/>
          <w:sz w:val="16"/>
          <w:szCs w:val="16"/>
        </w:rPr>
        <w:t>v.</w:t>
      </w:r>
      <w:r w:rsidRPr="00954547">
        <w:rPr>
          <w:rFonts w:ascii="Verdana" w:hAnsi="Verdana"/>
          <w:i/>
          <w:sz w:val="16"/>
          <w:szCs w:val="16"/>
        </w:rPr>
        <w:t xml:space="preserve"> </w:t>
      </w:r>
      <w:r w:rsidR="00B01245" w:rsidRPr="00954547">
        <w:rPr>
          <w:rFonts w:ascii="Verdana" w:hAnsi="Verdana"/>
          <w:i/>
          <w:sz w:val="16"/>
          <w:szCs w:val="16"/>
        </w:rPr>
        <w:t>The United Kingdom</w:t>
      </w:r>
      <w:r w:rsidRPr="00954547">
        <w:rPr>
          <w:rFonts w:ascii="Verdana" w:hAnsi="Verdana"/>
          <w:i/>
          <w:sz w:val="16"/>
          <w:szCs w:val="16"/>
        </w:rPr>
        <w:t xml:space="preserve"> </w:t>
      </w:r>
      <w:r w:rsidRPr="00954547">
        <w:rPr>
          <w:rFonts w:ascii="Verdana" w:hAnsi="Verdana"/>
          <w:sz w:val="16"/>
          <w:szCs w:val="16"/>
        </w:rPr>
        <w:t>[</w:t>
      </w:r>
      <w:r w:rsidR="00B01245" w:rsidRPr="00954547">
        <w:rPr>
          <w:rFonts w:ascii="Verdana" w:hAnsi="Verdana"/>
          <w:sz w:val="16"/>
          <w:szCs w:val="16"/>
        </w:rPr>
        <w:t>Grand Chamber</w:t>
      </w:r>
      <w:r w:rsidRPr="00954547">
        <w:rPr>
          <w:rFonts w:ascii="Verdana" w:hAnsi="Verdana"/>
          <w:sz w:val="16"/>
          <w:szCs w:val="16"/>
        </w:rPr>
        <w:t>]</w:t>
      </w:r>
      <w:r w:rsidRPr="00954547">
        <w:rPr>
          <w:rFonts w:ascii="Verdana" w:hAnsi="Verdana"/>
          <w:i/>
          <w:sz w:val="16"/>
          <w:szCs w:val="16"/>
        </w:rPr>
        <w:t xml:space="preserve">, </w:t>
      </w:r>
      <w:r w:rsidRPr="00954547">
        <w:rPr>
          <w:rFonts w:ascii="Verdana" w:hAnsi="Verdana"/>
          <w:sz w:val="16"/>
          <w:szCs w:val="16"/>
        </w:rPr>
        <w:t>No. 30562/04</w:t>
      </w:r>
      <w:r w:rsidR="0078694F" w:rsidRPr="00954547">
        <w:rPr>
          <w:rFonts w:ascii="Verdana" w:hAnsi="Verdana"/>
          <w:sz w:val="16"/>
          <w:szCs w:val="16"/>
        </w:rPr>
        <w:t xml:space="preserve"> and </w:t>
      </w:r>
      <w:r w:rsidRPr="00954547">
        <w:rPr>
          <w:rFonts w:ascii="Verdana" w:hAnsi="Verdana"/>
          <w:sz w:val="16"/>
          <w:szCs w:val="16"/>
        </w:rPr>
        <w:t xml:space="preserve">30566/04. </w:t>
      </w:r>
      <w:r w:rsidR="00B8393C" w:rsidRPr="00954547">
        <w:rPr>
          <w:rFonts w:ascii="Verdana" w:hAnsi="Verdana"/>
          <w:sz w:val="16"/>
          <w:szCs w:val="16"/>
        </w:rPr>
        <w:t>Judgment of</w:t>
      </w:r>
      <w:r w:rsidRPr="00954547">
        <w:rPr>
          <w:rFonts w:ascii="Verdana" w:hAnsi="Verdana"/>
          <w:sz w:val="16"/>
          <w:szCs w:val="16"/>
        </w:rPr>
        <w:t xml:space="preserve"> </w:t>
      </w:r>
      <w:r w:rsidR="00B01245" w:rsidRPr="00954547">
        <w:rPr>
          <w:rFonts w:ascii="Verdana" w:hAnsi="Verdana"/>
          <w:sz w:val="16"/>
          <w:szCs w:val="16"/>
        </w:rPr>
        <w:t>December 4,</w:t>
      </w:r>
      <w:r w:rsidRPr="00954547">
        <w:rPr>
          <w:rFonts w:ascii="Verdana" w:hAnsi="Verdana"/>
          <w:sz w:val="16"/>
          <w:szCs w:val="16"/>
        </w:rPr>
        <w:t xml:space="preserve"> 20</w:t>
      </w:r>
      <w:r w:rsidR="004C0811" w:rsidRPr="00954547">
        <w:rPr>
          <w:rFonts w:ascii="Verdana" w:hAnsi="Verdana"/>
          <w:sz w:val="16"/>
          <w:szCs w:val="16"/>
        </w:rPr>
        <w:t>0</w:t>
      </w:r>
      <w:r w:rsidRPr="00954547">
        <w:rPr>
          <w:rFonts w:ascii="Verdana" w:hAnsi="Verdana"/>
          <w:sz w:val="16"/>
          <w:szCs w:val="16"/>
        </w:rPr>
        <w:t xml:space="preserve">8, </w:t>
      </w:r>
      <w:r w:rsidR="00B10E5A" w:rsidRPr="00954547">
        <w:rPr>
          <w:rFonts w:ascii="Verdana" w:hAnsi="Verdana"/>
          <w:sz w:val="16"/>
          <w:szCs w:val="16"/>
        </w:rPr>
        <w:t>para.</w:t>
      </w:r>
      <w:r w:rsidRPr="00954547">
        <w:rPr>
          <w:rFonts w:ascii="Verdana" w:hAnsi="Verdana"/>
          <w:sz w:val="16"/>
          <w:szCs w:val="16"/>
        </w:rPr>
        <w:t xml:space="preserve"> 95,</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Avilkina </w:t>
      </w:r>
      <w:r w:rsidR="00B01245" w:rsidRPr="00954547">
        <w:rPr>
          <w:rFonts w:ascii="Verdana" w:hAnsi="Verdana"/>
          <w:i/>
          <w:sz w:val="16"/>
          <w:szCs w:val="16"/>
        </w:rPr>
        <w:t>and Others</w:t>
      </w:r>
      <w:r w:rsidR="00B8393C" w:rsidRPr="00954547">
        <w:rPr>
          <w:rFonts w:ascii="Verdana" w:hAnsi="Verdana"/>
          <w:i/>
          <w:sz w:val="16"/>
          <w:szCs w:val="16"/>
        </w:rPr>
        <w:t xml:space="preserve"> v.</w:t>
      </w:r>
      <w:r w:rsidRPr="00954547">
        <w:rPr>
          <w:rFonts w:ascii="Verdana" w:hAnsi="Verdana"/>
          <w:i/>
          <w:sz w:val="16"/>
          <w:szCs w:val="16"/>
        </w:rPr>
        <w:t xml:space="preserve"> Ru</w:t>
      </w:r>
      <w:r w:rsidR="00B01245" w:rsidRPr="00954547">
        <w:rPr>
          <w:rFonts w:ascii="Verdana" w:hAnsi="Verdana"/>
          <w:i/>
          <w:sz w:val="16"/>
          <w:szCs w:val="16"/>
        </w:rPr>
        <w:t>s</w:t>
      </w:r>
      <w:r w:rsidRPr="00954547">
        <w:rPr>
          <w:rFonts w:ascii="Verdana" w:hAnsi="Verdana"/>
          <w:i/>
          <w:sz w:val="16"/>
          <w:szCs w:val="16"/>
        </w:rPr>
        <w:t xml:space="preserve">sia, </w:t>
      </w:r>
      <w:r w:rsidRPr="00954547">
        <w:rPr>
          <w:rFonts w:ascii="Verdana" w:hAnsi="Verdana"/>
          <w:sz w:val="16"/>
          <w:szCs w:val="16"/>
        </w:rPr>
        <w:t xml:space="preserve">No. 1585/09. </w:t>
      </w:r>
      <w:r w:rsidR="00B8393C" w:rsidRPr="00954547">
        <w:rPr>
          <w:rFonts w:ascii="Verdana" w:hAnsi="Verdana"/>
          <w:sz w:val="16"/>
          <w:szCs w:val="16"/>
        </w:rPr>
        <w:t>Judgment of</w:t>
      </w:r>
      <w:r w:rsidRPr="00954547">
        <w:rPr>
          <w:rFonts w:ascii="Verdana" w:hAnsi="Verdana"/>
          <w:sz w:val="16"/>
          <w:szCs w:val="16"/>
        </w:rPr>
        <w:t xml:space="preserve"> </w:t>
      </w:r>
      <w:r w:rsidR="00B01245" w:rsidRPr="00954547">
        <w:rPr>
          <w:rFonts w:ascii="Verdana" w:hAnsi="Verdana"/>
          <w:sz w:val="16"/>
          <w:szCs w:val="16"/>
        </w:rPr>
        <w:t xml:space="preserve">June </w:t>
      </w:r>
      <w:r w:rsidRPr="00954547">
        <w:rPr>
          <w:rFonts w:ascii="Verdana" w:hAnsi="Verdana"/>
          <w:sz w:val="16"/>
          <w:szCs w:val="16"/>
        </w:rPr>
        <w:t>6</w:t>
      </w:r>
      <w:r w:rsidR="00B01245" w:rsidRPr="00954547">
        <w:rPr>
          <w:rFonts w:ascii="Verdana" w:hAnsi="Verdana"/>
          <w:sz w:val="16"/>
          <w:szCs w:val="16"/>
        </w:rPr>
        <w:t xml:space="preserve">, </w:t>
      </w:r>
      <w:r w:rsidRPr="00954547">
        <w:rPr>
          <w:rFonts w:ascii="Verdana" w:hAnsi="Verdana"/>
          <w:sz w:val="16"/>
          <w:szCs w:val="16"/>
        </w:rPr>
        <w:t xml:space="preserve">2013, </w:t>
      </w:r>
      <w:r w:rsidR="00B10E5A" w:rsidRPr="00954547">
        <w:rPr>
          <w:rFonts w:ascii="Verdana" w:hAnsi="Verdana"/>
          <w:sz w:val="16"/>
          <w:szCs w:val="16"/>
        </w:rPr>
        <w:t>para.</w:t>
      </w:r>
      <w:r w:rsidRPr="00954547">
        <w:rPr>
          <w:rFonts w:ascii="Verdana" w:hAnsi="Verdana"/>
          <w:sz w:val="16"/>
          <w:szCs w:val="16"/>
        </w:rPr>
        <w:t xml:space="preserve"> 35.</w:t>
      </w:r>
    </w:p>
  </w:footnote>
  <w:footnote w:id="361">
    <w:p w14:paraId="1C6BF8DF" w14:textId="1AB498F0" w:rsidR="005F001B" w:rsidRPr="00954547" w:rsidRDefault="005F001B" w:rsidP="007619E6">
      <w:pPr>
        <w:tabs>
          <w:tab w:val="left" w:pos="567"/>
        </w:tabs>
        <w:autoSpaceDE w:val="0"/>
        <w:autoSpaceDN w:val="0"/>
        <w:adjustRightInd w:val="0"/>
        <w:spacing w:after="120"/>
        <w:jc w:val="both"/>
        <w:rPr>
          <w:rFonts w:ascii="Verdana" w:hAnsi="Verdana" w:cs="Arial"/>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1101C0" w:rsidRPr="00954547">
        <w:rPr>
          <w:rFonts w:ascii="Verdana" w:hAnsi="Verdana" w:cs="Arial"/>
          <w:sz w:val="16"/>
          <w:szCs w:val="16"/>
        </w:rPr>
        <w:t>Health Code</w:t>
      </w:r>
      <w:r w:rsidR="009E6B43" w:rsidRPr="00954547">
        <w:rPr>
          <w:rFonts w:ascii="Verdana" w:hAnsi="Verdana" w:cs="Arial"/>
          <w:sz w:val="16"/>
          <w:szCs w:val="16"/>
        </w:rPr>
        <w:t xml:space="preserve"> of El </w:t>
      </w:r>
      <w:r w:rsidRPr="00954547">
        <w:rPr>
          <w:rFonts w:ascii="Verdana" w:hAnsi="Verdana" w:cs="Arial"/>
          <w:sz w:val="16"/>
          <w:szCs w:val="16"/>
        </w:rPr>
        <w:t xml:space="preserve">Salvador. </w:t>
      </w:r>
      <w:r w:rsidR="00C86FE5" w:rsidRPr="00954547">
        <w:rPr>
          <w:rFonts w:ascii="Verdana" w:hAnsi="Verdana" w:cs="Arial"/>
          <w:sz w:val="16"/>
          <w:szCs w:val="16"/>
        </w:rPr>
        <w:t>Legislative Decree</w:t>
      </w:r>
      <w:r w:rsidRPr="00954547">
        <w:rPr>
          <w:rFonts w:ascii="Verdana" w:hAnsi="Verdana" w:cs="Arial"/>
          <w:sz w:val="16"/>
          <w:szCs w:val="16"/>
        </w:rPr>
        <w:t xml:space="preserve"> No. 955 </w:t>
      </w:r>
      <w:r w:rsidR="00B01245" w:rsidRPr="00954547">
        <w:rPr>
          <w:rFonts w:ascii="Verdana" w:hAnsi="Verdana" w:cs="Arial"/>
          <w:sz w:val="16"/>
          <w:szCs w:val="16"/>
        </w:rPr>
        <w:t>of</w:t>
      </w:r>
      <w:r w:rsidRPr="00954547">
        <w:rPr>
          <w:rFonts w:ascii="Verdana" w:hAnsi="Verdana" w:cs="Arial"/>
          <w:sz w:val="16"/>
          <w:szCs w:val="16"/>
        </w:rPr>
        <w:t xml:space="preserve"> 1988, </w:t>
      </w:r>
      <w:r w:rsidR="00B01245" w:rsidRPr="00954547">
        <w:rPr>
          <w:rFonts w:ascii="Verdana" w:hAnsi="Verdana" w:cs="Arial"/>
          <w:sz w:val="16"/>
          <w:szCs w:val="16"/>
        </w:rPr>
        <w:t>a</w:t>
      </w:r>
      <w:r w:rsidR="00A17F8C" w:rsidRPr="00954547">
        <w:rPr>
          <w:rFonts w:ascii="Verdana" w:hAnsi="Verdana" w:cs="Arial"/>
          <w:sz w:val="16"/>
          <w:szCs w:val="16"/>
        </w:rPr>
        <w:t>rticle</w:t>
      </w:r>
      <w:r w:rsidR="00B01245" w:rsidRPr="00954547">
        <w:rPr>
          <w:rFonts w:ascii="Verdana" w:hAnsi="Verdana" w:cs="Arial"/>
          <w:sz w:val="16"/>
          <w:szCs w:val="16"/>
        </w:rPr>
        <w:t>s</w:t>
      </w:r>
      <w:r w:rsidRPr="00954547">
        <w:rPr>
          <w:rFonts w:ascii="Verdana" w:hAnsi="Verdana" w:cs="Arial"/>
          <w:sz w:val="16"/>
          <w:szCs w:val="16"/>
        </w:rPr>
        <w:t xml:space="preserve"> 37</w:t>
      </w:r>
      <w:r w:rsidR="0078694F" w:rsidRPr="00954547">
        <w:rPr>
          <w:rFonts w:ascii="Verdana" w:hAnsi="Verdana" w:cs="Arial"/>
          <w:sz w:val="16"/>
          <w:szCs w:val="16"/>
        </w:rPr>
        <w:t xml:space="preserve"> and </w:t>
      </w:r>
      <w:r w:rsidRPr="00954547">
        <w:rPr>
          <w:rFonts w:ascii="Verdana" w:hAnsi="Verdana" w:cs="Arial"/>
          <w:sz w:val="16"/>
          <w:szCs w:val="16"/>
        </w:rPr>
        <w:t xml:space="preserve">38. </w:t>
      </w:r>
      <w:r w:rsidR="002F4617" w:rsidRPr="00954547">
        <w:rPr>
          <w:rFonts w:ascii="Verdana" w:hAnsi="Verdana" w:cs="Arial"/>
          <w:sz w:val="16"/>
          <w:szCs w:val="16"/>
        </w:rPr>
        <w:t>Available at</w:t>
      </w:r>
      <w:r w:rsidRPr="00954547">
        <w:rPr>
          <w:rFonts w:ascii="Verdana" w:hAnsi="Verdana" w:cs="Arial"/>
          <w:sz w:val="16"/>
          <w:szCs w:val="16"/>
        </w:rPr>
        <w:t>: http://asp.</w:t>
      </w:r>
      <w:r w:rsidR="00BC7072" w:rsidRPr="00954547">
        <w:rPr>
          <w:rFonts w:ascii="Verdana" w:hAnsi="Verdana" w:cs="Arial"/>
          <w:sz w:val="16"/>
          <w:szCs w:val="16"/>
        </w:rPr>
        <w:t>health</w:t>
      </w:r>
      <w:r w:rsidRPr="00954547">
        <w:rPr>
          <w:rFonts w:ascii="Verdana" w:hAnsi="Verdana" w:cs="Arial"/>
          <w:sz w:val="16"/>
          <w:szCs w:val="16"/>
        </w:rPr>
        <w:t>.gob.sv/regulacion/pdf/ley/codigo_de_</w:t>
      </w:r>
      <w:r w:rsidR="00BC7072" w:rsidRPr="00954547">
        <w:rPr>
          <w:rFonts w:ascii="Verdana" w:hAnsi="Verdana" w:cs="Arial"/>
          <w:sz w:val="16"/>
          <w:szCs w:val="16"/>
        </w:rPr>
        <w:t>health</w:t>
      </w:r>
      <w:r w:rsidRPr="00954547">
        <w:rPr>
          <w:rFonts w:ascii="Verdana" w:hAnsi="Verdana" w:cs="Arial"/>
          <w:sz w:val="16"/>
          <w:szCs w:val="16"/>
        </w:rPr>
        <w:t>.pdf</w:t>
      </w:r>
      <w:r w:rsidRPr="00954547">
        <w:rPr>
          <w:rFonts w:ascii="Verdana" w:hAnsi="Verdana"/>
          <w:sz w:val="16"/>
          <w:szCs w:val="16"/>
        </w:rPr>
        <w:t xml:space="preserve"> </w:t>
      </w:r>
    </w:p>
  </w:footnote>
  <w:footnote w:id="362">
    <w:p w14:paraId="7537368F" w14:textId="6A7AB543"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BA4784" w:rsidRPr="00954547">
        <w:t>Code of Criminal Procedure</w:t>
      </w:r>
      <w:r w:rsidR="009E6B43" w:rsidRPr="00954547">
        <w:t xml:space="preserve"> of El </w:t>
      </w:r>
      <w:r w:rsidRPr="00954547">
        <w:t xml:space="preserve">Salvador, </w:t>
      </w:r>
      <w:r w:rsidR="00C86FE5" w:rsidRPr="00954547">
        <w:t>Legislative Decree</w:t>
      </w:r>
      <w:r w:rsidRPr="00954547">
        <w:t xml:space="preserve"> No. 776 </w:t>
      </w:r>
      <w:r w:rsidR="009C7854" w:rsidRPr="00954547">
        <w:t>of 1996</w:t>
      </w:r>
      <w:r w:rsidRPr="00954547">
        <w:t xml:space="preserve">, </w:t>
      </w:r>
      <w:r w:rsidR="00B01245" w:rsidRPr="00954547">
        <w:t>a</w:t>
      </w:r>
      <w:r w:rsidR="00A17F8C" w:rsidRPr="00954547">
        <w:t>rticle</w:t>
      </w:r>
      <w:r w:rsidRPr="00954547">
        <w:t xml:space="preserve"> 232.2 </w:t>
      </w:r>
      <w:r w:rsidR="002F4617" w:rsidRPr="00954547">
        <w:t>Available at</w:t>
      </w:r>
      <w:r w:rsidRPr="00954547">
        <w:t xml:space="preserve">: </w:t>
      </w:r>
      <w:hyperlink r:id="rId27" w:history="1">
        <w:r w:rsidRPr="00954547">
          <w:rPr>
            <w:rStyle w:val="Hyperlink"/>
          </w:rPr>
          <w:t>http://www.oas.org/juridico/spanish/mesicic3_slv_procesal.pdf</w:t>
        </w:r>
      </w:hyperlink>
      <w:r w:rsidRPr="00954547">
        <w:t xml:space="preserve"> </w:t>
      </w:r>
    </w:p>
  </w:footnote>
  <w:footnote w:id="363">
    <w:p w14:paraId="62350AF3" w14:textId="724D98E3"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1101C0" w:rsidRPr="00954547">
        <w:rPr>
          <w:rFonts w:eastAsiaTheme="minorHAnsi" w:cs="Arial"/>
          <w:bdr w:val="none" w:sz="0" w:space="0" w:color="auto"/>
        </w:rPr>
        <w:t>Criminal Code</w:t>
      </w:r>
      <w:r w:rsidR="009E6B43" w:rsidRPr="00954547">
        <w:rPr>
          <w:rFonts w:eastAsiaTheme="minorHAnsi" w:cs="Arial"/>
          <w:bdr w:val="none" w:sz="0" w:space="0" w:color="auto"/>
        </w:rPr>
        <w:t xml:space="preserve"> of El </w:t>
      </w:r>
      <w:r w:rsidRPr="00954547">
        <w:rPr>
          <w:rFonts w:eastAsiaTheme="minorHAnsi" w:cs="Arial"/>
          <w:bdr w:val="none" w:sz="0" w:space="0" w:color="auto"/>
        </w:rPr>
        <w:t xml:space="preserve">Salvador, </w:t>
      </w:r>
      <w:r w:rsidR="00C86FE5" w:rsidRPr="00954547">
        <w:rPr>
          <w:rFonts w:eastAsiaTheme="minorHAnsi" w:cs="Arial"/>
          <w:bdr w:val="none" w:sz="0" w:space="0" w:color="auto"/>
        </w:rPr>
        <w:t>Legislative Decree</w:t>
      </w:r>
      <w:r w:rsidRPr="00954547">
        <w:t xml:space="preserve"> No</w:t>
      </w:r>
      <w:r w:rsidRPr="00954547">
        <w:rPr>
          <w:rFonts w:eastAsiaTheme="minorHAnsi" w:cs="Arial"/>
          <w:bdr w:val="none" w:sz="0" w:space="0" w:color="auto"/>
        </w:rPr>
        <w:t xml:space="preserve"> 1030 </w:t>
      </w:r>
      <w:r w:rsidR="00B01245" w:rsidRPr="00954547">
        <w:rPr>
          <w:rFonts w:eastAsiaTheme="minorHAnsi" w:cs="Arial"/>
          <w:bdr w:val="none" w:sz="0" w:space="0" w:color="auto"/>
        </w:rPr>
        <w:t>of</w:t>
      </w:r>
      <w:r w:rsidRPr="00954547">
        <w:rPr>
          <w:rFonts w:eastAsiaTheme="minorHAnsi" w:cs="Arial"/>
          <w:bdr w:val="none" w:sz="0" w:space="0" w:color="auto"/>
        </w:rPr>
        <w:t xml:space="preserve"> 1997, </w:t>
      </w:r>
      <w:r w:rsidR="00B01245" w:rsidRPr="00954547">
        <w:rPr>
          <w:rFonts w:eastAsiaTheme="minorHAnsi" w:cs="Arial"/>
          <w:bdr w:val="none" w:sz="0" w:space="0" w:color="auto"/>
        </w:rPr>
        <w:t>a</w:t>
      </w:r>
      <w:r w:rsidR="00A17F8C" w:rsidRPr="00954547">
        <w:rPr>
          <w:rFonts w:eastAsiaTheme="minorHAnsi" w:cs="Arial"/>
          <w:bdr w:val="none" w:sz="0" w:space="0" w:color="auto"/>
        </w:rPr>
        <w:t>rticle</w:t>
      </w:r>
      <w:r w:rsidRPr="00954547">
        <w:rPr>
          <w:rFonts w:eastAsiaTheme="minorHAnsi" w:cs="Arial"/>
          <w:bdr w:val="none" w:sz="0" w:space="0" w:color="auto"/>
        </w:rPr>
        <w:t xml:space="preserve"> 312. </w:t>
      </w:r>
      <w:r w:rsidR="002F4617" w:rsidRPr="00954547">
        <w:rPr>
          <w:rFonts w:eastAsiaTheme="minorHAnsi" w:cs="Arial"/>
          <w:bdr w:val="none" w:sz="0" w:space="0" w:color="auto"/>
        </w:rPr>
        <w:t>Available at</w:t>
      </w:r>
      <w:r w:rsidRPr="00954547">
        <w:rPr>
          <w:rFonts w:eastAsiaTheme="minorHAnsi" w:cs="Arial"/>
          <w:bdr w:val="none" w:sz="0" w:space="0" w:color="auto"/>
        </w:rPr>
        <w:t>: https://www.oas.org/dil/esp/Codigo_Penal_El_Salvador.pdf</w:t>
      </w:r>
    </w:p>
  </w:footnote>
  <w:footnote w:id="364">
    <w:p w14:paraId="27F207FC" w14:textId="037655A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FF2DDD" w:rsidRPr="00954547">
        <w:rPr>
          <w:rFonts w:ascii="Verdana" w:hAnsi="Verdana"/>
          <w:sz w:val="16"/>
          <w:szCs w:val="16"/>
        </w:rPr>
        <w:t>Affidavit made by</w:t>
      </w:r>
      <w:r w:rsidRPr="00954547">
        <w:rPr>
          <w:rFonts w:ascii="Verdana" w:hAnsi="Verdana"/>
          <w:sz w:val="16"/>
          <w:szCs w:val="16"/>
        </w:rPr>
        <w:t xml:space="preserve"> Oscar A. Cabrera </w:t>
      </w:r>
      <w:r w:rsidR="007D7721" w:rsidRPr="00954547">
        <w:rPr>
          <w:rFonts w:ascii="Verdana" w:hAnsi="Verdana"/>
          <w:sz w:val="16"/>
          <w:szCs w:val="16"/>
        </w:rPr>
        <w:t>on March 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4029).</w:t>
      </w:r>
    </w:p>
  </w:footnote>
  <w:footnote w:id="365">
    <w:p w14:paraId="3D0AD7B0" w14:textId="240B22C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229</w:t>
      </w:r>
      <w:r w:rsidR="00053A7C" w:rsidRPr="00954547">
        <w:rPr>
          <w:rFonts w:ascii="Verdana" w:hAnsi="Verdana"/>
          <w:sz w:val="16"/>
          <w:szCs w:val="16"/>
        </w:rPr>
        <w:t xml:space="preserve"> of the </w:t>
      </w:r>
      <w:r w:rsidR="00BA4784" w:rsidRPr="00954547">
        <w:rPr>
          <w:rFonts w:ascii="Verdana" w:hAnsi="Verdana"/>
          <w:sz w:val="16"/>
          <w:szCs w:val="16"/>
        </w:rPr>
        <w:t>Code of Criminal Procedure</w:t>
      </w:r>
      <w:r w:rsidRPr="00954547">
        <w:rPr>
          <w:rFonts w:ascii="Verdana" w:hAnsi="Verdana"/>
          <w:sz w:val="16"/>
          <w:szCs w:val="16"/>
        </w:rPr>
        <w:t xml:space="preserve"> </w:t>
      </w:r>
      <w:r w:rsidR="00E91230" w:rsidRPr="00954547">
        <w:rPr>
          <w:rFonts w:ascii="Verdana" w:hAnsi="Verdana"/>
          <w:sz w:val="16"/>
          <w:szCs w:val="16"/>
        </w:rPr>
        <w:t>establishes that:</w:t>
      </w:r>
      <w:r w:rsidRPr="00954547">
        <w:rPr>
          <w:rFonts w:ascii="Verdana" w:hAnsi="Verdana"/>
          <w:sz w:val="16"/>
          <w:szCs w:val="16"/>
        </w:rPr>
        <w:t xml:space="preserve"> “</w:t>
      </w:r>
      <w:r w:rsidR="00E91230" w:rsidRPr="00954547">
        <w:rPr>
          <w:rFonts w:ascii="Verdana" w:hAnsi="Verdana"/>
          <w:sz w:val="16"/>
          <w:szCs w:val="16"/>
        </w:rPr>
        <w:t xml:space="preserve">Anyone who witnesses the perpetration of an offense subject to public prosecution is obliged to immediately inform the </w:t>
      </w:r>
      <w:r w:rsidR="009C3FD2" w:rsidRPr="00954547">
        <w:rPr>
          <w:rFonts w:ascii="Verdana" w:hAnsi="Verdana"/>
          <w:sz w:val="16"/>
          <w:szCs w:val="16"/>
        </w:rPr>
        <w:t>Prosecutor General</w:t>
      </w:r>
      <w:r w:rsidRPr="00954547">
        <w:rPr>
          <w:rFonts w:ascii="Verdana" w:hAnsi="Verdana"/>
          <w:sz w:val="16"/>
          <w:szCs w:val="16"/>
        </w:rPr>
        <w:t xml:space="preserve">, </w:t>
      </w:r>
      <w:r w:rsidR="00E91230" w:rsidRPr="00954547">
        <w:rPr>
          <w:rFonts w:ascii="Verdana" w:hAnsi="Verdana"/>
          <w:sz w:val="16"/>
          <w:szCs w:val="16"/>
        </w:rPr>
        <w:t xml:space="preserve">the police or the nearest magistrate. If the knowledge originates from news stories or reports, the </w:t>
      </w:r>
      <w:r w:rsidR="00DA2A82" w:rsidRPr="00954547">
        <w:rPr>
          <w:rFonts w:ascii="Verdana" w:hAnsi="Verdana"/>
          <w:sz w:val="16"/>
          <w:szCs w:val="16"/>
        </w:rPr>
        <w:t>complaint</w:t>
      </w:r>
      <w:r w:rsidR="00E91230" w:rsidRPr="00954547">
        <w:rPr>
          <w:rFonts w:ascii="Verdana" w:hAnsi="Verdana"/>
          <w:sz w:val="16"/>
          <w:szCs w:val="16"/>
        </w:rPr>
        <w:t xml:space="preserve"> is optional. </w:t>
      </w:r>
      <w:r w:rsidR="002B0138" w:rsidRPr="00954547">
        <w:rPr>
          <w:rFonts w:ascii="Verdana" w:hAnsi="Verdana"/>
          <w:sz w:val="16"/>
          <w:szCs w:val="16"/>
        </w:rPr>
        <w:t>If the offense</w:t>
      </w:r>
      <w:r w:rsidR="00190E26" w:rsidRPr="00954547">
        <w:rPr>
          <w:rFonts w:ascii="Verdana" w:hAnsi="Verdana"/>
          <w:sz w:val="16"/>
          <w:szCs w:val="16"/>
        </w:rPr>
        <w:t xml:space="preserve"> depends on an individual complaint</w:t>
      </w:r>
      <w:r w:rsidRPr="00954547">
        <w:rPr>
          <w:rFonts w:ascii="Verdana" w:hAnsi="Verdana"/>
          <w:sz w:val="16"/>
          <w:szCs w:val="16"/>
        </w:rPr>
        <w:t xml:space="preserve">, </w:t>
      </w:r>
      <w:r w:rsidR="002B0138" w:rsidRPr="00954547">
        <w:rPr>
          <w:rFonts w:ascii="Verdana" w:hAnsi="Verdana"/>
          <w:sz w:val="16"/>
          <w:szCs w:val="16"/>
        </w:rPr>
        <w:t xml:space="preserve">it is not possible to </w:t>
      </w:r>
      <w:r w:rsidR="00190E26" w:rsidRPr="00954547">
        <w:rPr>
          <w:rFonts w:ascii="Verdana" w:hAnsi="Verdana"/>
          <w:sz w:val="16"/>
          <w:szCs w:val="16"/>
        </w:rPr>
        <w:t>proceed</w:t>
      </w:r>
      <w:r w:rsidR="002B0138" w:rsidRPr="00954547">
        <w:rPr>
          <w:rFonts w:ascii="Verdana" w:hAnsi="Verdana"/>
          <w:sz w:val="16"/>
          <w:szCs w:val="16"/>
        </w:rPr>
        <w:t xml:space="preserve"> without this, except </w:t>
      </w:r>
      <w:r w:rsidR="00190E26" w:rsidRPr="00954547">
        <w:rPr>
          <w:rFonts w:ascii="Verdana" w:hAnsi="Verdana"/>
          <w:sz w:val="16"/>
          <w:szCs w:val="16"/>
        </w:rPr>
        <w:t xml:space="preserve">for </w:t>
      </w:r>
      <w:r w:rsidR="002B0138" w:rsidRPr="00954547">
        <w:rPr>
          <w:rFonts w:ascii="Verdana" w:hAnsi="Verdana"/>
          <w:sz w:val="16"/>
          <w:szCs w:val="16"/>
        </w:rPr>
        <w:t>acts that require urgent investigation.</w:t>
      </w:r>
      <w:r w:rsidRPr="00954547">
        <w:rPr>
          <w:rFonts w:ascii="Verdana" w:hAnsi="Verdana"/>
          <w:sz w:val="16"/>
          <w:szCs w:val="16"/>
        </w:rPr>
        <w:t xml:space="preserve">” </w:t>
      </w:r>
      <w:r w:rsidR="00BA4784" w:rsidRPr="00954547">
        <w:rPr>
          <w:rFonts w:ascii="Verdana" w:hAnsi="Verdana"/>
          <w:sz w:val="16"/>
          <w:szCs w:val="16"/>
        </w:rPr>
        <w:t>Code of Criminal Procedure</w:t>
      </w:r>
      <w:r w:rsidR="009E6B43" w:rsidRPr="00954547">
        <w:rPr>
          <w:rFonts w:ascii="Verdana" w:hAnsi="Verdana"/>
          <w:sz w:val="16"/>
          <w:szCs w:val="16"/>
        </w:rPr>
        <w:t xml:space="preserve"> of El </w:t>
      </w:r>
      <w:r w:rsidRPr="00954547">
        <w:rPr>
          <w:rFonts w:ascii="Verdana" w:hAnsi="Verdana"/>
          <w:sz w:val="16"/>
          <w:szCs w:val="16"/>
        </w:rPr>
        <w:t xml:space="preserve">Salvador, </w:t>
      </w:r>
      <w:r w:rsidR="00C86FE5" w:rsidRPr="00954547">
        <w:rPr>
          <w:rFonts w:ascii="Verdana" w:hAnsi="Verdana"/>
          <w:sz w:val="16"/>
          <w:szCs w:val="16"/>
        </w:rPr>
        <w:t>Legislative Decree</w:t>
      </w:r>
      <w:r w:rsidRPr="00954547">
        <w:rPr>
          <w:rFonts w:ascii="Verdana" w:hAnsi="Verdana"/>
          <w:sz w:val="16"/>
          <w:szCs w:val="16"/>
        </w:rPr>
        <w:t xml:space="preserve"> No. 776 </w:t>
      </w:r>
      <w:r w:rsidR="009C7854" w:rsidRPr="00954547">
        <w:rPr>
          <w:rFonts w:ascii="Verdana" w:hAnsi="Verdana"/>
          <w:sz w:val="16"/>
          <w:szCs w:val="16"/>
        </w:rPr>
        <w:t>of 1996</w:t>
      </w:r>
      <w:r w:rsidRPr="00954547">
        <w:rPr>
          <w:rFonts w:ascii="Verdana" w:hAnsi="Verdana"/>
          <w:sz w:val="16"/>
          <w:szCs w:val="16"/>
        </w:rPr>
        <w:t xml:space="preserve">, </w:t>
      </w:r>
      <w:r w:rsidR="002B0138" w:rsidRPr="00954547">
        <w:rPr>
          <w:rFonts w:ascii="Verdana" w:hAnsi="Verdana"/>
          <w:sz w:val="16"/>
          <w:szCs w:val="16"/>
        </w:rPr>
        <w:t>a</w:t>
      </w:r>
      <w:r w:rsidR="00A17F8C" w:rsidRPr="00954547">
        <w:rPr>
          <w:rFonts w:ascii="Verdana" w:hAnsi="Verdana"/>
          <w:sz w:val="16"/>
          <w:szCs w:val="16"/>
        </w:rPr>
        <w:t>rticle</w:t>
      </w:r>
      <w:r w:rsidRPr="00954547">
        <w:rPr>
          <w:rFonts w:ascii="Verdana" w:hAnsi="Verdana"/>
          <w:sz w:val="16"/>
          <w:szCs w:val="16"/>
        </w:rPr>
        <w:t xml:space="preserve"> </w:t>
      </w:r>
      <w:r w:rsidR="002B0138" w:rsidRPr="00954547">
        <w:rPr>
          <w:rFonts w:ascii="Verdana" w:hAnsi="Verdana"/>
          <w:sz w:val="16"/>
          <w:szCs w:val="16"/>
        </w:rPr>
        <w:t>229</w:t>
      </w:r>
      <w:r w:rsidRPr="00954547">
        <w:rPr>
          <w:rFonts w:ascii="Verdana" w:hAnsi="Verdana"/>
          <w:sz w:val="16"/>
          <w:szCs w:val="16"/>
        </w:rPr>
        <w:t xml:space="preserve">. </w:t>
      </w:r>
      <w:r w:rsidR="002F4617" w:rsidRPr="00954547">
        <w:rPr>
          <w:rFonts w:ascii="Verdana" w:hAnsi="Verdana"/>
          <w:sz w:val="16"/>
          <w:szCs w:val="16"/>
        </w:rPr>
        <w:t>Available at</w:t>
      </w:r>
      <w:r w:rsidRPr="00954547">
        <w:rPr>
          <w:rFonts w:ascii="Verdana" w:hAnsi="Verdana"/>
          <w:sz w:val="16"/>
          <w:szCs w:val="16"/>
        </w:rPr>
        <w:t xml:space="preserve">: </w:t>
      </w:r>
      <w:hyperlink r:id="rId28" w:history="1">
        <w:r w:rsidRPr="00954547">
          <w:rPr>
            <w:rStyle w:val="Hyperlink"/>
            <w:rFonts w:ascii="Verdana" w:hAnsi="Verdana"/>
            <w:sz w:val="16"/>
            <w:szCs w:val="16"/>
          </w:rPr>
          <w:t>http://www.oas.org/juridico/spanish/mesicic3_slv_procesal.pdf</w:t>
        </w:r>
      </w:hyperlink>
    </w:p>
  </w:footnote>
  <w:footnote w:id="366">
    <w:p w14:paraId="3B3B8BF4" w14:textId="79BF2CC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312 </w:t>
      </w:r>
      <w:r w:rsidR="00E41E0C" w:rsidRPr="00954547">
        <w:rPr>
          <w:rFonts w:ascii="Verdana" w:hAnsi="Verdana"/>
          <w:sz w:val="16"/>
          <w:szCs w:val="16"/>
        </w:rPr>
        <w:t xml:space="preserve">of the </w:t>
      </w:r>
      <w:r w:rsidR="001101C0" w:rsidRPr="00954547">
        <w:rPr>
          <w:rFonts w:ascii="Verdana" w:hAnsi="Verdana"/>
          <w:sz w:val="16"/>
          <w:szCs w:val="16"/>
        </w:rPr>
        <w:t>Criminal Code</w:t>
      </w:r>
      <w:r w:rsidRPr="00954547">
        <w:rPr>
          <w:rFonts w:ascii="Verdana" w:hAnsi="Verdana"/>
          <w:sz w:val="16"/>
          <w:szCs w:val="16"/>
        </w:rPr>
        <w:t xml:space="preserve"> establ</w:t>
      </w:r>
      <w:r w:rsidR="00E41E0C" w:rsidRPr="00954547">
        <w:rPr>
          <w:rFonts w:ascii="Verdana" w:hAnsi="Verdana"/>
          <w:sz w:val="16"/>
          <w:szCs w:val="16"/>
        </w:rPr>
        <w:t>ishes that</w:t>
      </w:r>
      <w:r w:rsidRPr="00954547">
        <w:rPr>
          <w:rFonts w:ascii="Verdana" w:hAnsi="Verdana"/>
          <w:sz w:val="16"/>
          <w:szCs w:val="16"/>
        </w:rPr>
        <w:t>: “</w:t>
      </w:r>
      <w:r w:rsidR="00E41E0C" w:rsidRPr="00954547">
        <w:rPr>
          <w:rFonts w:ascii="Verdana" w:hAnsi="Verdana"/>
          <w:sz w:val="16"/>
          <w:szCs w:val="16"/>
        </w:rPr>
        <w:t>The public official or employee, law enforcement agent or public authority who, in the exercise of his functions or due to them, becomes aware that a punishable act has been perpetrated and fails to report this to the competent official within twenty-four hours</w:t>
      </w:r>
      <w:r w:rsidR="00872944" w:rsidRPr="00954547">
        <w:rPr>
          <w:rFonts w:ascii="Verdana" w:hAnsi="Verdana"/>
          <w:sz w:val="16"/>
          <w:szCs w:val="16"/>
        </w:rPr>
        <w:t xml:space="preserve"> shall be sanctioned with a </w:t>
      </w:r>
      <w:r w:rsidR="00231F62" w:rsidRPr="00954547">
        <w:rPr>
          <w:rFonts w:ascii="Verdana" w:hAnsi="Verdana"/>
          <w:sz w:val="16"/>
          <w:szCs w:val="16"/>
        </w:rPr>
        <w:t>penalty</w:t>
      </w:r>
      <w:r w:rsidR="00872944" w:rsidRPr="00954547">
        <w:rPr>
          <w:rFonts w:ascii="Verdana" w:hAnsi="Verdana"/>
          <w:sz w:val="16"/>
          <w:szCs w:val="16"/>
        </w:rPr>
        <w:t xml:space="preserve"> of fifty to one hundred days</w:t>
      </w:r>
      <w:r w:rsidR="00231F62" w:rsidRPr="00954547">
        <w:rPr>
          <w:rFonts w:ascii="Verdana" w:hAnsi="Verdana"/>
          <w:sz w:val="16"/>
          <w:szCs w:val="16"/>
        </w:rPr>
        <w:t>-fine [Note: a fine based on the income of the person concerned]</w:t>
      </w:r>
      <w:r w:rsidR="00872944" w:rsidRPr="00954547">
        <w:rPr>
          <w:rFonts w:ascii="Verdana" w:hAnsi="Verdana"/>
          <w:sz w:val="16"/>
          <w:szCs w:val="16"/>
        </w:rPr>
        <w:t>.</w:t>
      </w:r>
      <w:r w:rsidR="00E41E0C" w:rsidRPr="00954547">
        <w:rPr>
          <w:rFonts w:ascii="Verdana" w:hAnsi="Verdana"/>
          <w:sz w:val="16"/>
          <w:szCs w:val="16"/>
        </w:rPr>
        <w:t xml:space="preserve"> The same punishment shall be imposed on the head or person in charge of a hospital, clinic or other similar public or private establishment, who fails to inform the competent official within eight hours that an injured person has been admitted, in cases in which it is reasonable to consider that the injuries originated from an offense</w:t>
      </w:r>
      <w:r w:rsidR="00872944" w:rsidRPr="00954547">
        <w:rPr>
          <w:rFonts w:ascii="Verdana" w:hAnsi="Verdana"/>
          <w:sz w:val="16"/>
          <w:szCs w:val="16"/>
        </w:rPr>
        <w:t xml:space="preserve">.” </w:t>
      </w:r>
      <w:r w:rsidR="001101C0" w:rsidRPr="00954547">
        <w:rPr>
          <w:rFonts w:ascii="Verdana" w:eastAsiaTheme="minorHAnsi" w:hAnsi="Verdana" w:cs="Arial"/>
          <w:sz w:val="16"/>
          <w:szCs w:val="16"/>
          <w:bdr w:val="none" w:sz="0" w:space="0" w:color="auto"/>
        </w:rPr>
        <w:t>Criminal Code</w:t>
      </w:r>
      <w:r w:rsidR="009E6B43" w:rsidRPr="00954547">
        <w:rPr>
          <w:rFonts w:ascii="Verdana" w:eastAsiaTheme="minorHAnsi" w:hAnsi="Verdana" w:cs="Arial"/>
          <w:sz w:val="16"/>
          <w:szCs w:val="16"/>
          <w:bdr w:val="none" w:sz="0" w:space="0" w:color="auto"/>
        </w:rPr>
        <w:t xml:space="preserve"> of El </w:t>
      </w:r>
      <w:r w:rsidRPr="00954547">
        <w:rPr>
          <w:rFonts w:ascii="Verdana" w:eastAsiaTheme="minorHAnsi" w:hAnsi="Verdana" w:cs="Arial"/>
          <w:sz w:val="16"/>
          <w:szCs w:val="16"/>
          <w:bdr w:val="none" w:sz="0" w:space="0" w:color="auto"/>
        </w:rPr>
        <w:t xml:space="preserve">Salvador, </w:t>
      </w:r>
      <w:r w:rsidR="00C86FE5" w:rsidRPr="00954547">
        <w:rPr>
          <w:rFonts w:ascii="Verdana" w:eastAsiaTheme="minorHAnsi" w:hAnsi="Verdana" w:cs="Arial"/>
          <w:sz w:val="16"/>
          <w:szCs w:val="16"/>
          <w:bdr w:val="none" w:sz="0" w:space="0" w:color="auto"/>
        </w:rPr>
        <w:t>Legislative Decree</w:t>
      </w:r>
      <w:r w:rsidRPr="00954547">
        <w:rPr>
          <w:rFonts w:ascii="Verdana" w:hAnsi="Verdana"/>
          <w:sz w:val="16"/>
          <w:szCs w:val="16"/>
        </w:rPr>
        <w:t xml:space="preserve"> No. </w:t>
      </w:r>
      <w:r w:rsidRPr="00954547">
        <w:rPr>
          <w:rFonts w:ascii="Verdana" w:eastAsiaTheme="minorHAnsi" w:hAnsi="Verdana" w:cs="Arial"/>
          <w:sz w:val="16"/>
          <w:szCs w:val="16"/>
          <w:bdr w:val="none" w:sz="0" w:space="0" w:color="auto"/>
        </w:rPr>
        <w:t xml:space="preserve">1030 </w:t>
      </w:r>
      <w:r w:rsidR="009A60F6" w:rsidRPr="00954547">
        <w:rPr>
          <w:rFonts w:ascii="Verdana" w:eastAsiaTheme="minorHAnsi" w:hAnsi="Verdana" w:cs="Arial"/>
          <w:sz w:val="16"/>
          <w:szCs w:val="16"/>
          <w:bdr w:val="none" w:sz="0" w:space="0" w:color="auto"/>
        </w:rPr>
        <w:t>of</w:t>
      </w:r>
      <w:r w:rsidRPr="00954547">
        <w:rPr>
          <w:rFonts w:ascii="Verdana" w:eastAsiaTheme="minorHAnsi" w:hAnsi="Verdana" w:cs="Arial"/>
          <w:sz w:val="16"/>
          <w:szCs w:val="16"/>
          <w:bdr w:val="none" w:sz="0" w:space="0" w:color="auto"/>
        </w:rPr>
        <w:t xml:space="preserve"> 1997, </w:t>
      </w:r>
      <w:r w:rsidR="00872944" w:rsidRPr="00954547">
        <w:rPr>
          <w:rFonts w:ascii="Verdana" w:eastAsiaTheme="minorHAnsi" w:hAnsi="Verdana" w:cs="Arial"/>
          <w:sz w:val="16"/>
          <w:szCs w:val="16"/>
          <w:bdr w:val="none" w:sz="0" w:space="0" w:color="auto"/>
        </w:rPr>
        <w:t>a</w:t>
      </w:r>
      <w:r w:rsidR="00A17F8C" w:rsidRPr="00954547">
        <w:rPr>
          <w:rFonts w:ascii="Verdana" w:eastAsiaTheme="minorHAnsi" w:hAnsi="Verdana" w:cs="Arial"/>
          <w:sz w:val="16"/>
          <w:szCs w:val="16"/>
          <w:bdr w:val="none" w:sz="0" w:space="0" w:color="auto"/>
        </w:rPr>
        <w:t>rticle</w:t>
      </w:r>
      <w:r w:rsidRPr="00954547">
        <w:rPr>
          <w:rFonts w:ascii="Verdana" w:eastAsiaTheme="minorHAnsi" w:hAnsi="Verdana" w:cs="Arial"/>
          <w:sz w:val="16"/>
          <w:szCs w:val="16"/>
          <w:bdr w:val="none" w:sz="0" w:space="0" w:color="auto"/>
        </w:rPr>
        <w:t xml:space="preserve"> 312. </w:t>
      </w:r>
      <w:r w:rsidR="002F4617" w:rsidRPr="00954547">
        <w:rPr>
          <w:rFonts w:ascii="Verdana" w:eastAsiaTheme="minorHAnsi" w:hAnsi="Verdana" w:cs="Arial"/>
          <w:sz w:val="16"/>
          <w:szCs w:val="16"/>
          <w:bdr w:val="none" w:sz="0" w:space="0" w:color="auto"/>
        </w:rPr>
        <w:t>Available at</w:t>
      </w:r>
      <w:r w:rsidRPr="00954547">
        <w:rPr>
          <w:rFonts w:ascii="Verdana" w:eastAsiaTheme="minorHAnsi" w:hAnsi="Verdana" w:cs="Arial"/>
          <w:sz w:val="16"/>
          <w:szCs w:val="16"/>
          <w:bdr w:val="none" w:sz="0" w:space="0" w:color="auto"/>
        </w:rPr>
        <w:t xml:space="preserve">: </w:t>
      </w:r>
      <w:hyperlink r:id="rId29" w:history="1">
        <w:r w:rsidR="00231F62" w:rsidRPr="00954547">
          <w:rPr>
            <w:rStyle w:val="Hyperlink"/>
            <w:rFonts w:ascii="Verdana" w:eastAsiaTheme="minorHAnsi" w:hAnsi="Verdana" w:cs="Arial"/>
            <w:sz w:val="16"/>
            <w:szCs w:val="16"/>
            <w:bdr w:val="none" w:sz="0" w:space="0" w:color="auto"/>
          </w:rPr>
          <w:t>https://www.oas.org/dil/esp/</w:t>
        </w:r>
      </w:hyperlink>
      <w:r w:rsidR="00231F62" w:rsidRPr="00954547">
        <w:rPr>
          <w:rFonts w:ascii="Verdana" w:eastAsiaTheme="minorHAnsi" w:hAnsi="Verdana" w:cs="Arial"/>
          <w:sz w:val="16"/>
          <w:szCs w:val="16"/>
          <w:bdr w:val="none" w:sz="0" w:space="0" w:color="auto"/>
        </w:rPr>
        <w:t xml:space="preserve"> </w:t>
      </w:r>
      <w:r w:rsidRPr="00954547">
        <w:rPr>
          <w:rFonts w:ascii="Verdana" w:eastAsiaTheme="minorHAnsi" w:hAnsi="Verdana" w:cs="Arial"/>
          <w:sz w:val="16"/>
          <w:szCs w:val="16"/>
          <w:bdr w:val="none" w:sz="0" w:space="0" w:color="auto"/>
        </w:rPr>
        <w:t>Codigo_Penal_El_Salvador.pdf</w:t>
      </w:r>
    </w:p>
  </w:footnote>
  <w:footnote w:id="367">
    <w:p w14:paraId="774DD277" w14:textId="76F2532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color w:val="auto"/>
          <w:sz w:val="16"/>
          <w:szCs w:val="16"/>
        </w:rPr>
        <w:tab/>
      </w:r>
      <w:r w:rsidR="00B8393C" w:rsidRPr="00954547">
        <w:rPr>
          <w:rFonts w:ascii="Verdana" w:hAnsi="Verdana"/>
          <w:i/>
          <w:color w:val="auto"/>
          <w:sz w:val="16"/>
          <w:szCs w:val="16"/>
        </w:rPr>
        <w:t>Cf.</w:t>
      </w:r>
      <w:r w:rsidRPr="00954547">
        <w:rPr>
          <w:rFonts w:ascii="Verdana" w:hAnsi="Verdana"/>
          <w:i/>
          <w:color w:val="auto"/>
          <w:sz w:val="16"/>
          <w:szCs w:val="16"/>
        </w:rPr>
        <w:t xml:space="preserve"> </w:t>
      </w:r>
      <w:r w:rsidR="0032123B" w:rsidRPr="00954547">
        <w:rPr>
          <w:rFonts w:ascii="Verdana" w:hAnsi="Verdana"/>
          <w:color w:val="auto"/>
          <w:sz w:val="16"/>
          <w:szCs w:val="16"/>
        </w:rPr>
        <w:t>Emergency record of</w:t>
      </w:r>
      <w:r w:rsidR="003D24A2" w:rsidRPr="00954547">
        <w:rPr>
          <w:rFonts w:ascii="Verdana" w:hAnsi="Verdana"/>
          <w:color w:val="auto"/>
          <w:sz w:val="16"/>
          <w:szCs w:val="16"/>
        </w:rPr>
        <w:t xml:space="preserve"> February 27,</w:t>
      </w:r>
      <w:r w:rsidRPr="00954547">
        <w:rPr>
          <w:rFonts w:ascii="Verdana" w:hAnsi="Verdana"/>
          <w:color w:val="auto"/>
          <w:sz w:val="16"/>
          <w:szCs w:val="16"/>
        </w:rPr>
        <w:t xml:space="preserve"> 2008 (</w:t>
      </w:r>
      <w:r w:rsidR="001C328F" w:rsidRPr="00954547">
        <w:rPr>
          <w:rFonts w:ascii="Verdana" w:hAnsi="Verdana"/>
          <w:color w:val="auto"/>
          <w:sz w:val="16"/>
          <w:szCs w:val="16"/>
        </w:rPr>
        <w:t>evidence file</w:t>
      </w:r>
      <w:r w:rsidRPr="00954547">
        <w:rPr>
          <w:rFonts w:ascii="Verdana" w:hAnsi="Verdana"/>
          <w:color w:val="auto"/>
          <w:sz w:val="16"/>
          <w:szCs w:val="16"/>
        </w:rPr>
        <w:t>, folio 16).</w:t>
      </w:r>
    </w:p>
  </w:footnote>
  <w:footnote w:id="368">
    <w:p w14:paraId="1C4F0F56" w14:textId="05F2D7F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D21CCD" w:rsidRPr="00954547">
        <w:rPr>
          <w:rFonts w:ascii="Verdana" w:hAnsi="Verdana"/>
          <w:sz w:val="16"/>
          <w:szCs w:val="16"/>
        </w:rPr>
        <w:t xml:space="preserve">In this regard, the Court underlines that, following the report, </w:t>
      </w:r>
      <w:r w:rsidR="000E4312" w:rsidRPr="00954547">
        <w:rPr>
          <w:rFonts w:ascii="Verdana" w:hAnsi="Verdana"/>
          <w:sz w:val="16"/>
          <w:szCs w:val="16"/>
        </w:rPr>
        <w:t xml:space="preserve">the person investigating the case wanted to go to </w:t>
      </w:r>
      <w:r w:rsidR="00CD2912" w:rsidRPr="00954547">
        <w:rPr>
          <w:rFonts w:ascii="Verdana" w:hAnsi="Verdana"/>
          <w:sz w:val="16"/>
          <w:szCs w:val="16"/>
        </w:rPr>
        <w:t>Manuela’s</w:t>
      </w:r>
      <w:r w:rsidR="000E4312" w:rsidRPr="00954547">
        <w:rPr>
          <w:rFonts w:ascii="Verdana" w:hAnsi="Verdana"/>
          <w:sz w:val="16"/>
          <w:szCs w:val="16"/>
        </w:rPr>
        <w:t xml:space="preserve"> house; however, the police indicated that “it was very far away” and, therefore, they went next morning. </w:t>
      </w:r>
      <w:r w:rsidR="00B8393C" w:rsidRPr="00954547">
        <w:rPr>
          <w:rFonts w:ascii="Verdana" w:hAnsi="Verdana"/>
          <w:i/>
          <w:sz w:val="16"/>
          <w:szCs w:val="16"/>
        </w:rPr>
        <w:t>Cf.</w:t>
      </w:r>
      <w:r w:rsidRPr="00954547">
        <w:rPr>
          <w:rFonts w:ascii="Verdana" w:hAnsi="Verdana"/>
          <w:i/>
          <w:sz w:val="16"/>
          <w:szCs w:val="16"/>
        </w:rPr>
        <w:t xml:space="preserve"> </w:t>
      </w:r>
      <w:r w:rsidR="000E4312" w:rsidRPr="00954547">
        <w:rPr>
          <w:rFonts w:ascii="Verdana" w:hAnsi="Verdana"/>
          <w:sz w:val="16"/>
          <w:szCs w:val="16"/>
        </w:rPr>
        <w:t>Statement by the person investigating the case transcribed in the</w:t>
      </w:r>
      <w:r w:rsidRPr="00954547">
        <w:rPr>
          <w:rFonts w:ascii="Verdana" w:hAnsi="Verdana"/>
          <w:sz w:val="16"/>
          <w:szCs w:val="16"/>
        </w:rPr>
        <w:t xml:space="preserve"> </w:t>
      </w:r>
      <w:r w:rsidR="000E4312" w:rsidRPr="00954547">
        <w:rPr>
          <w:rFonts w:ascii="Verdana" w:hAnsi="Verdana"/>
          <w:sz w:val="16"/>
          <w:szCs w:val="16"/>
        </w:rPr>
        <w:t>j</w:t>
      </w:r>
      <w:r w:rsidR="007E3A8B" w:rsidRPr="00954547">
        <w:rPr>
          <w:rFonts w:ascii="Verdana" w:hAnsi="Verdana"/>
          <w:sz w:val="16"/>
          <w:szCs w:val="16"/>
        </w:rPr>
        <w:t>udgment handed down by</w:t>
      </w:r>
      <w:r w:rsidRPr="00954547">
        <w:rPr>
          <w:rFonts w:ascii="Verdana" w:hAnsi="Verdana"/>
          <w:sz w:val="16"/>
          <w:szCs w:val="16"/>
        </w:rPr>
        <w:t xml:space="preserve"> </w:t>
      </w:r>
      <w:r w:rsidR="00E76B1A" w:rsidRPr="00954547">
        <w:rPr>
          <w:rFonts w:ascii="Verdana" w:hAnsi="Verdana"/>
          <w:sz w:val="16"/>
          <w:szCs w:val="16"/>
        </w:rPr>
        <w:t xml:space="preserve">the </w:t>
      </w:r>
      <w:r w:rsidR="003212CD" w:rsidRPr="00954547">
        <w:rPr>
          <w:rFonts w:ascii="Verdana" w:hAnsi="Verdana"/>
          <w:sz w:val="16"/>
          <w:szCs w:val="16"/>
        </w:rPr>
        <w:t>Trial Court</w:t>
      </w:r>
      <w:r w:rsidR="00B8393C" w:rsidRPr="00954547">
        <w:rPr>
          <w:rFonts w:ascii="Verdana" w:hAnsi="Verdana"/>
          <w:sz w:val="16"/>
          <w:szCs w:val="16"/>
        </w:rPr>
        <w:t xml:space="preserve"> of</w:t>
      </w:r>
      <w:r w:rsidRPr="00954547">
        <w:rPr>
          <w:rFonts w:ascii="Verdana" w:hAnsi="Verdana"/>
          <w:sz w:val="16"/>
          <w:szCs w:val="16"/>
        </w:rPr>
        <w:t xml:space="preserve"> San Francisco </w:t>
      </w:r>
      <w:r w:rsidR="009C7854" w:rsidRPr="00954547">
        <w:rPr>
          <w:rFonts w:ascii="Verdana" w:hAnsi="Verdana"/>
          <w:sz w:val="16"/>
          <w:szCs w:val="16"/>
        </w:rPr>
        <w:t>Gotera, department of</w:t>
      </w:r>
      <w:r w:rsidRPr="00954547">
        <w:rPr>
          <w:rFonts w:ascii="Verdana" w:hAnsi="Verdana"/>
          <w:sz w:val="16"/>
          <w:szCs w:val="16"/>
        </w:rPr>
        <w:t xml:space="preserve"> </w:t>
      </w:r>
      <w:r w:rsidR="009C7854" w:rsidRPr="00954547">
        <w:rPr>
          <w:rFonts w:ascii="Verdana" w:hAnsi="Verdana"/>
          <w:sz w:val="16"/>
          <w:szCs w:val="16"/>
        </w:rPr>
        <w:t>Morazán, on</w:t>
      </w:r>
      <w:r w:rsidR="007232D8" w:rsidRPr="00954547">
        <w:rPr>
          <w:rFonts w:ascii="Verdana" w:hAnsi="Verdana"/>
          <w:sz w:val="16"/>
          <w:szCs w:val="16"/>
        </w:rPr>
        <w:t xml:space="preserve"> August 11,</w:t>
      </w:r>
      <w:r w:rsidRPr="00954547">
        <w:rPr>
          <w:rFonts w:ascii="Verdana" w:hAnsi="Verdana"/>
          <w:sz w:val="16"/>
          <w:szCs w:val="16"/>
        </w:rPr>
        <w:t xml:space="preserve"> 2008 (</w:t>
      </w:r>
      <w:r w:rsidR="001C328F" w:rsidRPr="00954547">
        <w:rPr>
          <w:rFonts w:ascii="Verdana" w:hAnsi="Verdana"/>
          <w:sz w:val="16"/>
          <w:szCs w:val="16"/>
        </w:rPr>
        <w:t>evidence file</w:t>
      </w:r>
      <w:r w:rsidRPr="00954547">
        <w:rPr>
          <w:rFonts w:ascii="Verdana" w:hAnsi="Verdana"/>
          <w:sz w:val="16"/>
          <w:szCs w:val="16"/>
        </w:rPr>
        <w:t>, folio 158).</w:t>
      </w:r>
    </w:p>
  </w:footnote>
  <w:footnote w:id="369">
    <w:p w14:paraId="68253F15" w14:textId="0706E72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pt-BR"/>
        </w:rPr>
        <w:t xml:space="preserve"> </w:t>
      </w:r>
      <w:r w:rsidRPr="00954547">
        <w:rPr>
          <w:rFonts w:ascii="Verdana" w:hAnsi="Verdana"/>
          <w:sz w:val="16"/>
          <w:szCs w:val="16"/>
          <w:lang w:val="pt-BR"/>
        </w:rPr>
        <w:tab/>
      </w:r>
      <w:r w:rsidR="00B8393C" w:rsidRPr="00954547">
        <w:rPr>
          <w:rFonts w:ascii="Verdana" w:hAnsi="Verdana"/>
          <w:i/>
          <w:sz w:val="16"/>
          <w:szCs w:val="16"/>
          <w:lang w:val="pt-BR"/>
        </w:rPr>
        <w:t>Cf.</w:t>
      </w:r>
      <w:r w:rsidRPr="00954547">
        <w:rPr>
          <w:rFonts w:ascii="Verdana" w:hAnsi="Verdana"/>
          <w:i/>
          <w:sz w:val="16"/>
          <w:szCs w:val="16"/>
          <w:lang w:val="pt-BR"/>
        </w:rPr>
        <w:t xml:space="preserve"> </w:t>
      </w:r>
      <w:r w:rsidR="002F4617" w:rsidRPr="00954547">
        <w:rPr>
          <w:rFonts w:ascii="Verdana" w:hAnsi="Verdana"/>
          <w:i/>
          <w:sz w:val="16"/>
          <w:szCs w:val="16"/>
          <w:lang w:val="pt-BR"/>
        </w:rPr>
        <w:t>Case of</w:t>
      </w:r>
      <w:r w:rsidRPr="00954547">
        <w:rPr>
          <w:rFonts w:ascii="Verdana" w:hAnsi="Verdana"/>
          <w:i/>
          <w:sz w:val="16"/>
          <w:szCs w:val="16"/>
          <w:lang w:val="pt-BR"/>
        </w:rPr>
        <w:t xml:space="preserve"> Yatama </w:t>
      </w:r>
      <w:r w:rsidR="009C16A1" w:rsidRPr="00954547">
        <w:rPr>
          <w:rFonts w:ascii="Verdana" w:hAnsi="Verdana"/>
          <w:i/>
          <w:sz w:val="16"/>
          <w:szCs w:val="16"/>
          <w:lang w:val="pt-BR"/>
        </w:rPr>
        <w:t>v.</w:t>
      </w:r>
      <w:r w:rsidRPr="00954547">
        <w:rPr>
          <w:rFonts w:ascii="Verdana" w:hAnsi="Verdana"/>
          <w:i/>
          <w:sz w:val="16"/>
          <w:szCs w:val="16"/>
          <w:lang w:val="pt-BR"/>
        </w:rPr>
        <w:t xml:space="preserve"> Nicaragua, supra</w:t>
      </w:r>
      <w:r w:rsidRPr="00954547">
        <w:rPr>
          <w:rFonts w:ascii="Verdana" w:hAnsi="Verdana"/>
          <w:sz w:val="16"/>
          <w:szCs w:val="16"/>
          <w:lang w:val="pt-BR"/>
        </w:rPr>
        <w:t xml:space="preserve">, </w:t>
      </w:r>
      <w:r w:rsidR="00B10E5A" w:rsidRPr="00954547">
        <w:rPr>
          <w:rFonts w:ascii="Verdana" w:hAnsi="Verdana"/>
          <w:sz w:val="16"/>
          <w:szCs w:val="16"/>
          <w:lang w:val="pt-BR"/>
        </w:rPr>
        <w:t>para.</w:t>
      </w:r>
      <w:r w:rsidRPr="00954547">
        <w:rPr>
          <w:rFonts w:ascii="Verdana" w:hAnsi="Verdana"/>
          <w:sz w:val="16"/>
          <w:szCs w:val="16"/>
          <w:lang w:val="pt-BR"/>
        </w:rPr>
        <w:t xml:space="preserve"> </w:t>
      </w:r>
      <w:r w:rsidRPr="00954547">
        <w:rPr>
          <w:rFonts w:ascii="Verdana" w:hAnsi="Verdana"/>
          <w:sz w:val="16"/>
          <w:szCs w:val="16"/>
        </w:rPr>
        <w:t>206,</w:t>
      </w:r>
      <w:r w:rsidR="0078694F" w:rsidRPr="00954547">
        <w:rPr>
          <w:rFonts w:ascii="Verdana" w:hAnsi="Verdana"/>
          <w:sz w:val="16"/>
          <w:szCs w:val="16"/>
        </w:rPr>
        <w:t xml:space="preserve"> and </w:t>
      </w:r>
      <w:r w:rsidR="00B01245" w:rsidRPr="00954547">
        <w:rPr>
          <w:rFonts w:ascii="Verdana" w:hAnsi="Verdana"/>
          <w:sz w:val="16"/>
          <w:szCs w:val="16"/>
        </w:rPr>
        <w:t>Advisory Opinion</w:t>
      </w:r>
      <w:r w:rsidRPr="00954547">
        <w:rPr>
          <w:rFonts w:ascii="Verdana" w:hAnsi="Verdana"/>
          <w:sz w:val="16"/>
          <w:szCs w:val="16"/>
        </w:rPr>
        <w:t xml:space="preserve"> OC-28/21 </w:t>
      </w:r>
      <w:r w:rsidR="00B01245" w:rsidRPr="00954547">
        <w:rPr>
          <w:rFonts w:ascii="Verdana" w:hAnsi="Verdana"/>
          <w:sz w:val="16"/>
          <w:szCs w:val="16"/>
        </w:rPr>
        <w:t>of June 7,</w:t>
      </w:r>
      <w:r w:rsidRPr="00954547">
        <w:rPr>
          <w:rFonts w:ascii="Verdana" w:hAnsi="Verdana"/>
          <w:sz w:val="16"/>
          <w:szCs w:val="16"/>
        </w:rPr>
        <w:t xml:space="preserve"> 2021, </w:t>
      </w:r>
      <w:r w:rsidRPr="00954547">
        <w:rPr>
          <w:rFonts w:ascii="Verdana" w:hAnsi="Verdana"/>
          <w:i/>
          <w:sz w:val="16"/>
          <w:szCs w:val="16"/>
        </w:rPr>
        <w:t xml:space="preserve">supra, </w:t>
      </w:r>
      <w:r w:rsidR="00B10E5A" w:rsidRPr="00954547">
        <w:rPr>
          <w:rFonts w:ascii="Verdana" w:hAnsi="Verdana"/>
          <w:sz w:val="16"/>
          <w:szCs w:val="16"/>
        </w:rPr>
        <w:t>para.</w:t>
      </w:r>
      <w:r w:rsidRPr="00954547">
        <w:rPr>
          <w:rFonts w:ascii="Verdana" w:hAnsi="Verdana"/>
          <w:sz w:val="16"/>
          <w:szCs w:val="16"/>
        </w:rPr>
        <w:t xml:space="preserve"> 121.</w:t>
      </w:r>
    </w:p>
  </w:footnote>
  <w:footnote w:id="370">
    <w:p w14:paraId="37340DDE" w14:textId="7580F4C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Chaparro Álvarez</w:t>
      </w:r>
      <w:r w:rsidR="0078694F" w:rsidRPr="00954547">
        <w:rPr>
          <w:rFonts w:ascii="Verdana" w:hAnsi="Verdana"/>
          <w:i/>
          <w:iCs/>
          <w:sz w:val="16"/>
          <w:szCs w:val="16"/>
        </w:rPr>
        <w:t xml:space="preserve"> and </w:t>
      </w:r>
      <w:r w:rsidRPr="00954547">
        <w:rPr>
          <w:rFonts w:ascii="Verdana" w:hAnsi="Verdana"/>
          <w:i/>
          <w:iCs/>
          <w:sz w:val="16"/>
          <w:szCs w:val="16"/>
        </w:rPr>
        <w:t xml:space="preserve">Lapo Íñiguez </w:t>
      </w:r>
      <w:r w:rsidR="009C16A1" w:rsidRPr="00954547">
        <w:rPr>
          <w:rFonts w:ascii="Verdana" w:hAnsi="Verdana"/>
          <w:i/>
          <w:iCs/>
          <w:sz w:val="16"/>
          <w:szCs w:val="16"/>
        </w:rPr>
        <w:t>v.</w:t>
      </w:r>
      <w:r w:rsidRPr="00954547">
        <w:rPr>
          <w:rFonts w:ascii="Verdana" w:hAnsi="Verdana"/>
          <w:i/>
          <w:iCs/>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93,</w:t>
      </w:r>
      <w:r w:rsidR="0078694F" w:rsidRPr="00954547">
        <w:rPr>
          <w:rFonts w:ascii="Verdana" w:hAnsi="Verdana"/>
          <w:sz w:val="16"/>
          <w:szCs w:val="16"/>
        </w:rPr>
        <w:t xml:space="preserve"> and </w:t>
      </w:r>
      <w:r w:rsidR="00B01245" w:rsidRPr="00954547">
        <w:rPr>
          <w:rFonts w:ascii="Verdana" w:hAnsi="Verdana"/>
          <w:sz w:val="16"/>
          <w:szCs w:val="16"/>
        </w:rPr>
        <w:t>Advisory Opinion</w:t>
      </w:r>
      <w:r w:rsidRPr="00954547">
        <w:rPr>
          <w:rFonts w:ascii="Verdana" w:hAnsi="Verdana"/>
          <w:sz w:val="16"/>
          <w:szCs w:val="16"/>
        </w:rPr>
        <w:t xml:space="preserve"> OC-28/21 </w:t>
      </w:r>
      <w:r w:rsidR="00545A39" w:rsidRPr="00954547">
        <w:rPr>
          <w:rFonts w:ascii="Verdana" w:hAnsi="Verdana"/>
          <w:sz w:val="16"/>
          <w:szCs w:val="16"/>
        </w:rPr>
        <w:t>of June 7,</w:t>
      </w:r>
      <w:r w:rsidRPr="00954547">
        <w:rPr>
          <w:rFonts w:ascii="Verdana" w:hAnsi="Verdana"/>
          <w:sz w:val="16"/>
          <w:szCs w:val="16"/>
        </w:rPr>
        <w:t xml:space="preserve"> 2021, </w:t>
      </w:r>
      <w:r w:rsidRPr="00954547">
        <w:rPr>
          <w:rFonts w:ascii="Verdana" w:hAnsi="Verdana"/>
          <w:i/>
          <w:sz w:val="16"/>
          <w:szCs w:val="16"/>
        </w:rPr>
        <w:t xml:space="preserve">supra, </w:t>
      </w:r>
      <w:r w:rsidR="00B10E5A" w:rsidRPr="00954547">
        <w:rPr>
          <w:rFonts w:ascii="Verdana" w:hAnsi="Verdana"/>
          <w:sz w:val="16"/>
          <w:szCs w:val="16"/>
        </w:rPr>
        <w:t>para.</w:t>
      </w:r>
      <w:r w:rsidRPr="00954547">
        <w:rPr>
          <w:rFonts w:ascii="Verdana" w:hAnsi="Verdana"/>
          <w:sz w:val="16"/>
          <w:szCs w:val="16"/>
        </w:rPr>
        <w:t xml:space="preserve">  122.</w:t>
      </w:r>
    </w:p>
  </w:footnote>
  <w:footnote w:id="371">
    <w:p w14:paraId="664748FD" w14:textId="7CE4262E" w:rsidR="005F001B" w:rsidRPr="00954547" w:rsidRDefault="005F001B" w:rsidP="00B01245">
      <w:pPr>
        <w:tabs>
          <w:tab w:val="left" w:pos="567"/>
        </w:tabs>
        <w:spacing w:after="120"/>
        <w:jc w:val="both"/>
        <w:rPr>
          <w:rFonts w:ascii="Verdana" w:eastAsia="Times New Roman"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i/>
          <w:sz w:val="16"/>
          <w:szCs w:val="16"/>
        </w:rPr>
        <w:tab/>
      </w:r>
      <w:r w:rsidR="00B8393C" w:rsidRPr="00954547">
        <w:rPr>
          <w:rFonts w:ascii="Verdana" w:hAnsi="Verdana"/>
          <w:i/>
          <w:sz w:val="16"/>
          <w:szCs w:val="16"/>
        </w:rPr>
        <w:t>Cf.</w:t>
      </w:r>
      <w:r w:rsidRPr="00954547">
        <w:rPr>
          <w:rFonts w:ascii="Verdana" w:hAnsi="Verdana"/>
          <w:sz w:val="16"/>
          <w:szCs w:val="16"/>
        </w:rPr>
        <w:t xml:space="preserve"> </w:t>
      </w:r>
      <w:hyperlink r:id="rId30" w:history="1">
        <w:r w:rsidR="00B01245" w:rsidRPr="00954547">
          <w:rPr>
            <w:rFonts w:ascii="Verdana" w:eastAsia="Times New Roman" w:hAnsi="Verdana"/>
            <w:i/>
            <w:sz w:val="16"/>
            <w:szCs w:val="16"/>
          </w:rPr>
          <w:t>Compulsory Membership in an Association Prescribed by Law for the Practice of Journalism (Arts. 13 and 29 American Convention on Human Rights)</w:t>
        </w:r>
      </w:hyperlink>
      <w:r w:rsidR="00B01245" w:rsidRPr="00954547">
        <w:rPr>
          <w:rFonts w:ascii="Verdana" w:eastAsia="Times New Roman" w:hAnsi="Verdana"/>
          <w:i/>
          <w:sz w:val="16"/>
          <w:szCs w:val="16"/>
        </w:rPr>
        <w:t xml:space="preserve">, </w:t>
      </w:r>
      <w:r w:rsidR="00B01245" w:rsidRPr="00954547">
        <w:rPr>
          <w:rFonts w:ascii="Verdana" w:eastAsia="Times New Roman" w:hAnsi="Verdana"/>
          <w:sz w:val="16"/>
          <w:szCs w:val="16"/>
        </w:rPr>
        <w:t xml:space="preserve">Advisory Opinion OC-5/85, November 13, 1985. Series A No. 5, </w:t>
      </w:r>
      <w:r w:rsidR="00B10E5A" w:rsidRPr="00954547">
        <w:rPr>
          <w:rFonts w:ascii="Verdana" w:hAnsi="Verdana"/>
          <w:sz w:val="16"/>
          <w:szCs w:val="16"/>
        </w:rPr>
        <w:t>para.</w:t>
      </w:r>
      <w:r w:rsidRPr="00954547">
        <w:rPr>
          <w:rFonts w:ascii="Verdana" w:hAnsi="Verdana"/>
          <w:sz w:val="16"/>
          <w:szCs w:val="16"/>
        </w:rPr>
        <w:t xml:space="preserve"> 46,</w:t>
      </w:r>
      <w:r w:rsidR="0078694F" w:rsidRPr="00954547">
        <w:rPr>
          <w:rFonts w:ascii="Verdana" w:hAnsi="Verdana"/>
          <w:sz w:val="16"/>
          <w:szCs w:val="16"/>
        </w:rPr>
        <w:t xml:space="preserve"> and </w:t>
      </w:r>
      <w:r w:rsidR="00B01245" w:rsidRPr="00954547">
        <w:rPr>
          <w:rFonts w:ascii="Verdana" w:hAnsi="Verdana"/>
          <w:sz w:val="16"/>
          <w:szCs w:val="16"/>
        </w:rPr>
        <w:t>Advisory Opinion</w:t>
      </w:r>
      <w:r w:rsidRPr="00954547">
        <w:rPr>
          <w:rFonts w:ascii="Verdana" w:hAnsi="Verdana"/>
          <w:sz w:val="16"/>
          <w:szCs w:val="16"/>
        </w:rPr>
        <w:t xml:space="preserve"> OC-28/21 </w:t>
      </w:r>
      <w:r w:rsidR="00CD2912" w:rsidRPr="00954547">
        <w:rPr>
          <w:rFonts w:ascii="Verdana" w:hAnsi="Verdana"/>
          <w:sz w:val="16"/>
          <w:szCs w:val="16"/>
        </w:rPr>
        <w:t>of June 7,</w:t>
      </w:r>
      <w:r w:rsidRPr="00954547">
        <w:rPr>
          <w:rFonts w:ascii="Verdana" w:hAnsi="Verdana"/>
          <w:sz w:val="16"/>
          <w:szCs w:val="16"/>
        </w:rPr>
        <w:t xml:space="preserve"> 2021, </w:t>
      </w:r>
      <w:r w:rsidRPr="00954547">
        <w:rPr>
          <w:rFonts w:ascii="Verdana" w:hAnsi="Verdana"/>
          <w:i/>
          <w:sz w:val="16"/>
          <w:szCs w:val="16"/>
        </w:rPr>
        <w:t xml:space="preserve">supra, </w:t>
      </w:r>
      <w:r w:rsidR="00B10E5A" w:rsidRPr="00954547">
        <w:rPr>
          <w:rFonts w:ascii="Verdana" w:hAnsi="Verdana"/>
          <w:sz w:val="16"/>
          <w:szCs w:val="16"/>
        </w:rPr>
        <w:t>para.</w:t>
      </w:r>
      <w:r w:rsidRPr="00954547">
        <w:rPr>
          <w:rFonts w:ascii="Verdana" w:hAnsi="Verdana"/>
          <w:sz w:val="16"/>
          <w:szCs w:val="16"/>
        </w:rPr>
        <w:t xml:space="preserve"> 122.</w:t>
      </w:r>
    </w:p>
  </w:footnote>
  <w:footnote w:id="372">
    <w:p w14:paraId="2260DC02" w14:textId="1BB51E9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7619E6" w:rsidRPr="00954547">
        <w:rPr>
          <w:rFonts w:ascii="Verdana" w:hAnsi="Verdana"/>
          <w:sz w:val="16"/>
          <w:szCs w:val="16"/>
        </w:rPr>
        <w:t>ECHR</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Y.Y. </w:t>
      </w:r>
      <w:r w:rsidR="009C16A1" w:rsidRPr="00954547">
        <w:rPr>
          <w:rFonts w:ascii="Verdana" w:hAnsi="Verdana"/>
          <w:i/>
          <w:sz w:val="16"/>
          <w:szCs w:val="16"/>
        </w:rPr>
        <w:t>v.</w:t>
      </w:r>
      <w:r w:rsidRPr="00954547">
        <w:rPr>
          <w:rFonts w:ascii="Verdana" w:hAnsi="Verdana"/>
          <w:i/>
          <w:sz w:val="16"/>
          <w:szCs w:val="16"/>
        </w:rPr>
        <w:t xml:space="preserve"> Ru</w:t>
      </w:r>
      <w:r w:rsidR="00923903" w:rsidRPr="00954547">
        <w:rPr>
          <w:rFonts w:ascii="Verdana" w:hAnsi="Verdana"/>
          <w:i/>
          <w:sz w:val="16"/>
          <w:szCs w:val="16"/>
        </w:rPr>
        <w:t>s</w:t>
      </w:r>
      <w:r w:rsidRPr="00954547">
        <w:rPr>
          <w:rFonts w:ascii="Verdana" w:hAnsi="Verdana"/>
          <w:i/>
          <w:sz w:val="16"/>
          <w:szCs w:val="16"/>
        </w:rPr>
        <w:t xml:space="preserve">sia, </w:t>
      </w:r>
      <w:r w:rsidRPr="00954547">
        <w:rPr>
          <w:rFonts w:ascii="Verdana" w:hAnsi="Verdana"/>
          <w:sz w:val="16"/>
          <w:szCs w:val="16"/>
        </w:rPr>
        <w:t xml:space="preserve">No. 40388/06. </w:t>
      </w:r>
      <w:r w:rsidR="00B8393C" w:rsidRPr="00954547">
        <w:rPr>
          <w:rFonts w:ascii="Verdana" w:hAnsi="Verdana"/>
          <w:sz w:val="16"/>
          <w:szCs w:val="16"/>
        </w:rPr>
        <w:t>Judgment of</w:t>
      </w:r>
      <w:r w:rsidRPr="00954547">
        <w:rPr>
          <w:rFonts w:ascii="Verdana" w:hAnsi="Verdana"/>
          <w:sz w:val="16"/>
          <w:szCs w:val="16"/>
        </w:rPr>
        <w:t xml:space="preserve"> </w:t>
      </w:r>
      <w:r w:rsidR="00B01245" w:rsidRPr="00954547">
        <w:rPr>
          <w:rFonts w:ascii="Verdana" w:hAnsi="Verdana"/>
          <w:sz w:val="16"/>
          <w:szCs w:val="16"/>
        </w:rPr>
        <w:t>February 23,</w:t>
      </w:r>
      <w:r w:rsidRPr="00954547">
        <w:rPr>
          <w:rFonts w:ascii="Verdana" w:hAnsi="Verdana"/>
          <w:sz w:val="16"/>
          <w:szCs w:val="16"/>
        </w:rPr>
        <w:t xml:space="preserve"> 2016, </w:t>
      </w:r>
      <w:r w:rsidR="00B10E5A" w:rsidRPr="00954547">
        <w:rPr>
          <w:rFonts w:ascii="Verdana" w:hAnsi="Verdana"/>
          <w:sz w:val="16"/>
          <w:szCs w:val="16"/>
        </w:rPr>
        <w:t>para.</w:t>
      </w:r>
      <w:r w:rsidRPr="00954547">
        <w:rPr>
          <w:rFonts w:ascii="Verdana" w:hAnsi="Verdana"/>
          <w:sz w:val="16"/>
          <w:szCs w:val="16"/>
        </w:rPr>
        <w:t xml:space="preserve"> 38;</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Mockuté </w:t>
      </w:r>
      <w:r w:rsidR="009C16A1" w:rsidRPr="00954547">
        <w:rPr>
          <w:rFonts w:ascii="Verdana" w:hAnsi="Verdana"/>
          <w:i/>
          <w:sz w:val="16"/>
          <w:szCs w:val="16"/>
        </w:rPr>
        <w:t>v.</w:t>
      </w:r>
      <w:r w:rsidRPr="00954547">
        <w:rPr>
          <w:rFonts w:ascii="Verdana" w:hAnsi="Verdana"/>
          <w:i/>
          <w:sz w:val="16"/>
          <w:szCs w:val="16"/>
        </w:rPr>
        <w:t xml:space="preserve"> Lit</w:t>
      </w:r>
      <w:r w:rsidR="00923903" w:rsidRPr="00954547">
        <w:rPr>
          <w:rFonts w:ascii="Verdana" w:hAnsi="Verdana"/>
          <w:i/>
          <w:sz w:val="16"/>
          <w:szCs w:val="16"/>
        </w:rPr>
        <w:t>huania</w:t>
      </w:r>
      <w:r w:rsidRPr="00954547">
        <w:rPr>
          <w:rFonts w:ascii="Verdana" w:hAnsi="Verdana"/>
          <w:i/>
          <w:sz w:val="16"/>
          <w:szCs w:val="16"/>
        </w:rPr>
        <w:t xml:space="preserve">, </w:t>
      </w:r>
      <w:r w:rsidRPr="00954547">
        <w:rPr>
          <w:rFonts w:ascii="Verdana" w:hAnsi="Verdana"/>
          <w:sz w:val="16"/>
          <w:szCs w:val="16"/>
        </w:rPr>
        <w:t xml:space="preserve">No. 66490/09. </w:t>
      </w:r>
      <w:r w:rsidR="00B8393C" w:rsidRPr="00954547">
        <w:rPr>
          <w:rFonts w:ascii="Verdana" w:hAnsi="Verdana"/>
          <w:sz w:val="16"/>
          <w:szCs w:val="16"/>
        </w:rPr>
        <w:t>Judgment of</w:t>
      </w:r>
      <w:r w:rsidRPr="00954547">
        <w:rPr>
          <w:rFonts w:ascii="Verdana" w:hAnsi="Verdana"/>
          <w:sz w:val="16"/>
          <w:szCs w:val="16"/>
        </w:rPr>
        <w:t xml:space="preserve"> </w:t>
      </w:r>
      <w:r w:rsidR="003D24A2" w:rsidRPr="00954547">
        <w:rPr>
          <w:rFonts w:ascii="Verdana" w:hAnsi="Verdana"/>
          <w:sz w:val="16"/>
          <w:szCs w:val="16"/>
        </w:rPr>
        <w:t>February 27,</w:t>
      </w:r>
      <w:r w:rsidRPr="00954547">
        <w:rPr>
          <w:rFonts w:ascii="Verdana" w:hAnsi="Verdana"/>
          <w:sz w:val="16"/>
          <w:szCs w:val="16"/>
        </w:rPr>
        <w:t xml:space="preserve"> 2018, </w:t>
      </w:r>
      <w:r w:rsidR="00B10E5A" w:rsidRPr="00954547">
        <w:rPr>
          <w:rFonts w:ascii="Verdana" w:hAnsi="Verdana"/>
          <w:sz w:val="16"/>
          <w:szCs w:val="16"/>
        </w:rPr>
        <w:t>para.</w:t>
      </w:r>
      <w:r w:rsidRPr="00954547">
        <w:rPr>
          <w:rFonts w:ascii="Verdana" w:hAnsi="Verdana"/>
          <w:sz w:val="16"/>
          <w:szCs w:val="16"/>
        </w:rPr>
        <w:t xml:space="preserve"> 93,</w:t>
      </w:r>
      <w:r w:rsidR="0078694F" w:rsidRPr="00954547">
        <w:rPr>
          <w:rFonts w:ascii="Verdana" w:hAnsi="Verdana"/>
          <w:sz w:val="16"/>
          <w:szCs w:val="16"/>
        </w:rPr>
        <w:t xml:space="preserve"> and </w:t>
      </w:r>
      <w:r w:rsidR="00FF2DDD" w:rsidRPr="00954547">
        <w:rPr>
          <w:rFonts w:ascii="Verdana" w:hAnsi="Verdana"/>
          <w:sz w:val="16"/>
          <w:szCs w:val="16"/>
        </w:rPr>
        <w:t>Affidavit made by</w:t>
      </w:r>
      <w:r w:rsidRPr="00954547">
        <w:rPr>
          <w:rFonts w:ascii="Verdana" w:hAnsi="Verdana"/>
          <w:sz w:val="16"/>
          <w:szCs w:val="16"/>
        </w:rPr>
        <w:t xml:space="preserve"> Oscar A. Cabrera </w:t>
      </w:r>
      <w:r w:rsidR="007D7721" w:rsidRPr="00954547">
        <w:rPr>
          <w:rFonts w:ascii="Verdana" w:hAnsi="Verdana"/>
          <w:sz w:val="16"/>
          <w:szCs w:val="16"/>
        </w:rPr>
        <w:t>on March 6,</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4019).</w:t>
      </w:r>
    </w:p>
  </w:footnote>
  <w:footnote w:id="373">
    <w:p w14:paraId="632AB94E" w14:textId="64173AD3" w:rsidR="005F001B" w:rsidRPr="00954547" w:rsidRDefault="005F001B" w:rsidP="007619E6">
      <w:pPr>
        <w:pStyle w:val="FootnoteText"/>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t xml:space="preserve">CEDAW, </w:t>
      </w:r>
      <w:r w:rsidR="00A30817" w:rsidRPr="00954547">
        <w:rPr>
          <w:rFonts w:ascii="Verdana" w:hAnsi="Verdana"/>
          <w:sz w:val="16"/>
          <w:szCs w:val="16"/>
        </w:rPr>
        <w:t>General recommendation</w:t>
      </w:r>
      <w:r w:rsidRPr="00954547">
        <w:rPr>
          <w:rFonts w:ascii="Verdana" w:hAnsi="Verdana"/>
          <w:sz w:val="16"/>
          <w:szCs w:val="16"/>
        </w:rPr>
        <w:t xml:space="preserve"> No. 24: </w:t>
      </w:r>
      <w:r w:rsidR="0064671A" w:rsidRPr="00954547">
        <w:rPr>
          <w:rFonts w:ascii="Verdana" w:hAnsi="Verdana"/>
          <w:sz w:val="16"/>
          <w:szCs w:val="16"/>
        </w:rPr>
        <w:t>Women and health</w:t>
      </w:r>
      <w:r w:rsidRPr="00954547">
        <w:rPr>
          <w:rFonts w:ascii="Verdana" w:hAnsi="Verdana"/>
          <w:sz w:val="16"/>
          <w:szCs w:val="16"/>
        </w:rPr>
        <w:t xml:space="preserve">, </w:t>
      </w:r>
      <w:r w:rsidR="00923903" w:rsidRPr="00954547">
        <w:rPr>
          <w:rFonts w:ascii="Verdana" w:hAnsi="Verdana"/>
          <w:sz w:val="16"/>
          <w:szCs w:val="16"/>
        </w:rPr>
        <w:t xml:space="preserve">February 2, </w:t>
      </w:r>
      <w:r w:rsidRPr="00954547">
        <w:rPr>
          <w:rFonts w:ascii="Verdana" w:hAnsi="Verdana"/>
          <w:sz w:val="16"/>
          <w:szCs w:val="16"/>
        </w:rPr>
        <w:t xml:space="preserve">1999, </w:t>
      </w:r>
      <w:r w:rsidR="00B10E5A" w:rsidRPr="00954547">
        <w:rPr>
          <w:rFonts w:ascii="Verdana" w:hAnsi="Verdana"/>
          <w:sz w:val="16"/>
          <w:szCs w:val="16"/>
        </w:rPr>
        <w:t>para.</w:t>
      </w:r>
      <w:r w:rsidRPr="00954547">
        <w:rPr>
          <w:rFonts w:ascii="Verdana" w:hAnsi="Verdana"/>
          <w:sz w:val="16"/>
          <w:szCs w:val="16"/>
        </w:rPr>
        <w:t xml:space="preserve"> 12</w:t>
      </w:r>
      <w:r w:rsidR="006D569A" w:rsidRPr="00954547">
        <w:rPr>
          <w:rFonts w:ascii="Verdana" w:hAnsi="Verdana"/>
          <w:sz w:val="16"/>
          <w:szCs w:val="16"/>
        </w:rPr>
        <w:t>(</w:t>
      </w:r>
      <w:r w:rsidRPr="00954547">
        <w:rPr>
          <w:rFonts w:ascii="Verdana" w:hAnsi="Verdana"/>
          <w:sz w:val="16"/>
          <w:szCs w:val="16"/>
        </w:rPr>
        <w:t>d</w:t>
      </w:r>
      <w:r w:rsidR="006D569A" w:rsidRPr="00954547">
        <w:rPr>
          <w:rFonts w:ascii="Verdana" w:hAnsi="Verdana"/>
          <w:sz w:val="16"/>
          <w:szCs w:val="16"/>
        </w:rPr>
        <w:t>)</w:t>
      </w:r>
      <w:r w:rsidRPr="00954547">
        <w:rPr>
          <w:rFonts w:ascii="Verdana" w:hAnsi="Verdana"/>
          <w:sz w:val="16"/>
          <w:szCs w:val="16"/>
        </w:rPr>
        <w:t xml:space="preserve">. </w:t>
      </w:r>
      <w:r w:rsidR="002A45FD" w:rsidRPr="00954547">
        <w:rPr>
          <w:rFonts w:ascii="Verdana" w:hAnsi="Verdana"/>
          <w:iCs/>
          <w:sz w:val="16"/>
          <w:szCs w:val="16"/>
        </w:rPr>
        <w:t>See also,</w:t>
      </w:r>
      <w:r w:rsidRPr="00954547">
        <w:rPr>
          <w:rFonts w:ascii="Verdana" w:hAnsi="Verdana"/>
          <w:i/>
          <w:sz w:val="16"/>
          <w:szCs w:val="16"/>
        </w:rPr>
        <w:t xml:space="preserve"> </w:t>
      </w:r>
      <w:r w:rsidR="005117A1" w:rsidRPr="00954547">
        <w:rPr>
          <w:rFonts w:ascii="Verdana" w:hAnsi="Verdana"/>
          <w:sz w:val="16"/>
          <w:szCs w:val="16"/>
        </w:rPr>
        <w:t xml:space="preserve">Report of the </w:t>
      </w:r>
      <w:r w:rsidR="00FE35B1" w:rsidRPr="00954547">
        <w:rPr>
          <w:rFonts w:ascii="Verdana" w:hAnsi="Verdana"/>
          <w:sz w:val="16"/>
          <w:szCs w:val="16"/>
        </w:rPr>
        <w:t>Special Rapporteur on torture and other cruel, inhuman or degrading  treatment or puni</w:t>
      </w:r>
      <w:r w:rsidR="005117A1" w:rsidRPr="00954547">
        <w:rPr>
          <w:rFonts w:ascii="Verdana" w:hAnsi="Verdana"/>
          <w:sz w:val="16"/>
          <w:szCs w:val="16"/>
        </w:rPr>
        <w:t>s</w:t>
      </w:r>
      <w:r w:rsidR="00FE35B1" w:rsidRPr="00954547">
        <w:rPr>
          <w:rFonts w:ascii="Verdana" w:hAnsi="Verdana"/>
          <w:sz w:val="16"/>
          <w:szCs w:val="16"/>
        </w:rPr>
        <w:t>hment</w:t>
      </w:r>
      <w:r w:rsidRPr="00954547">
        <w:rPr>
          <w:rFonts w:ascii="Verdana" w:hAnsi="Verdana" w:cs="Times New Roman"/>
          <w:sz w:val="16"/>
          <w:szCs w:val="16"/>
        </w:rPr>
        <w:t xml:space="preserve">, UN Doc. A/HRC/22/53, </w:t>
      </w:r>
      <w:r w:rsidR="00923903" w:rsidRPr="00954547">
        <w:rPr>
          <w:rFonts w:ascii="Verdana" w:hAnsi="Verdana" w:cs="Times New Roman"/>
          <w:sz w:val="16"/>
          <w:szCs w:val="16"/>
        </w:rPr>
        <w:t>February 1,</w:t>
      </w:r>
      <w:r w:rsidRPr="00954547">
        <w:rPr>
          <w:rFonts w:ascii="Verdana" w:hAnsi="Verdana" w:cs="Times New Roman"/>
          <w:sz w:val="16"/>
          <w:szCs w:val="16"/>
        </w:rPr>
        <w:t xml:space="preserve"> 2013, </w:t>
      </w:r>
      <w:r w:rsidR="00B10E5A" w:rsidRPr="00954547">
        <w:rPr>
          <w:rFonts w:ascii="Verdana" w:hAnsi="Verdana" w:cs="Times New Roman"/>
          <w:sz w:val="16"/>
          <w:szCs w:val="16"/>
        </w:rPr>
        <w:t>para.</w:t>
      </w:r>
      <w:r w:rsidRPr="00954547">
        <w:rPr>
          <w:rFonts w:ascii="Verdana" w:hAnsi="Verdana" w:cs="Times New Roman"/>
          <w:sz w:val="16"/>
          <w:szCs w:val="16"/>
        </w:rPr>
        <w:t xml:space="preserve"> </w:t>
      </w:r>
      <w:r w:rsidRPr="00954547">
        <w:rPr>
          <w:rFonts w:ascii="Verdana" w:hAnsi="Verdana"/>
          <w:sz w:val="16"/>
          <w:szCs w:val="16"/>
        </w:rPr>
        <w:t>46.</w:t>
      </w:r>
    </w:p>
  </w:footnote>
  <w:footnote w:id="374">
    <w:p w14:paraId="2EB44622" w14:textId="3904E54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hAnsi="Verdana"/>
          <w:sz w:val="16"/>
          <w:szCs w:val="16"/>
        </w:rPr>
        <w:t>Human Rights Committee</w:t>
      </w:r>
      <w:r w:rsidRPr="00954547">
        <w:rPr>
          <w:rFonts w:ascii="Verdana" w:hAnsi="Verdana"/>
          <w:sz w:val="16"/>
          <w:szCs w:val="16"/>
        </w:rPr>
        <w:t xml:space="preserve">, </w:t>
      </w:r>
      <w:r w:rsidR="008C4B22" w:rsidRPr="00954547">
        <w:rPr>
          <w:rFonts w:ascii="Verdana" w:hAnsi="Verdana"/>
          <w:sz w:val="16"/>
          <w:szCs w:val="16"/>
        </w:rPr>
        <w:t>Concluding observations on</w:t>
      </w:r>
      <w:r w:rsidRPr="00954547">
        <w:rPr>
          <w:rFonts w:ascii="Verdana" w:hAnsi="Verdana"/>
          <w:sz w:val="16"/>
          <w:szCs w:val="16"/>
        </w:rPr>
        <w:t xml:space="preserve"> </w:t>
      </w:r>
      <w:r w:rsidR="00923903" w:rsidRPr="00954547">
        <w:rPr>
          <w:rFonts w:ascii="Verdana" w:hAnsi="Verdana"/>
          <w:sz w:val="16"/>
          <w:szCs w:val="16"/>
        </w:rPr>
        <w:t xml:space="preserve">the fourth periodic report of </w:t>
      </w:r>
      <w:r w:rsidRPr="00954547">
        <w:rPr>
          <w:rFonts w:ascii="Verdana" w:hAnsi="Verdana"/>
          <w:sz w:val="16"/>
          <w:szCs w:val="16"/>
        </w:rPr>
        <w:t xml:space="preserve">Chile, CCPR/C/79/Add.104, </w:t>
      </w:r>
      <w:r w:rsidR="00923903" w:rsidRPr="00954547">
        <w:rPr>
          <w:rFonts w:ascii="Verdana" w:hAnsi="Verdana"/>
          <w:sz w:val="16"/>
          <w:szCs w:val="16"/>
        </w:rPr>
        <w:t>March 30,</w:t>
      </w:r>
      <w:r w:rsidRPr="00954547">
        <w:rPr>
          <w:rFonts w:ascii="Verdana" w:hAnsi="Verdana"/>
          <w:sz w:val="16"/>
          <w:szCs w:val="16"/>
        </w:rPr>
        <w:t xml:space="preserve"> 1999, </w:t>
      </w:r>
      <w:r w:rsidR="00B10E5A" w:rsidRPr="00954547">
        <w:rPr>
          <w:rFonts w:ascii="Verdana" w:hAnsi="Verdana"/>
          <w:sz w:val="16"/>
          <w:szCs w:val="16"/>
        </w:rPr>
        <w:t>para.</w:t>
      </w:r>
      <w:r w:rsidRPr="00954547">
        <w:rPr>
          <w:rFonts w:ascii="Verdana" w:hAnsi="Verdana"/>
          <w:sz w:val="16"/>
          <w:szCs w:val="16"/>
        </w:rPr>
        <w:t xml:space="preserve"> 15; </w:t>
      </w:r>
      <w:r w:rsidR="008C4B22" w:rsidRPr="00954547">
        <w:rPr>
          <w:rFonts w:ascii="Verdana" w:hAnsi="Verdana"/>
          <w:sz w:val="16"/>
          <w:szCs w:val="16"/>
        </w:rPr>
        <w:t>Concluding observations on</w:t>
      </w:r>
      <w:r w:rsidRPr="00954547">
        <w:rPr>
          <w:rFonts w:ascii="Verdana" w:hAnsi="Verdana"/>
          <w:sz w:val="16"/>
          <w:szCs w:val="16"/>
        </w:rPr>
        <w:t xml:space="preserve"> </w:t>
      </w:r>
      <w:r w:rsidR="00923903" w:rsidRPr="00954547">
        <w:rPr>
          <w:rFonts w:ascii="Verdana" w:hAnsi="Verdana"/>
          <w:sz w:val="16"/>
          <w:szCs w:val="16"/>
        </w:rPr>
        <w:t>the third periodic report of</w:t>
      </w:r>
      <w:r w:rsidRPr="00954547">
        <w:rPr>
          <w:rFonts w:ascii="Verdana" w:hAnsi="Verdana"/>
          <w:sz w:val="16"/>
          <w:szCs w:val="16"/>
        </w:rPr>
        <w:t xml:space="preserve"> Venezuela, CCPR/CO/71/VEN, </w:t>
      </w:r>
      <w:r w:rsidR="00923903" w:rsidRPr="00954547">
        <w:rPr>
          <w:rFonts w:ascii="Verdana" w:hAnsi="Verdana"/>
          <w:sz w:val="16"/>
          <w:szCs w:val="16"/>
        </w:rPr>
        <w:t>August 17,</w:t>
      </w:r>
      <w:r w:rsidRPr="00954547">
        <w:rPr>
          <w:rFonts w:ascii="Verdana" w:hAnsi="Verdana"/>
          <w:sz w:val="16"/>
          <w:szCs w:val="16"/>
        </w:rPr>
        <w:t xml:space="preserve"> 2001, </w:t>
      </w:r>
      <w:r w:rsidR="00B10E5A" w:rsidRPr="00954547">
        <w:rPr>
          <w:rFonts w:ascii="Verdana" w:hAnsi="Verdana"/>
          <w:sz w:val="16"/>
          <w:szCs w:val="16"/>
        </w:rPr>
        <w:t>para.</w:t>
      </w:r>
      <w:r w:rsidRPr="00954547">
        <w:rPr>
          <w:rFonts w:ascii="Verdana" w:hAnsi="Verdana"/>
          <w:sz w:val="16"/>
          <w:szCs w:val="16"/>
        </w:rPr>
        <w:t xml:space="preserve"> 19,</w:t>
      </w:r>
      <w:r w:rsidR="0078694F" w:rsidRPr="00954547">
        <w:rPr>
          <w:rFonts w:ascii="Verdana" w:hAnsi="Verdana"/>
          <w:sz w:val="16"/>
          <w:szCs w:val="16"/>
        </w:rPr>
        <w:t xml:space="preserve"> and </w:t>
      </w:r>
      <w:r w:rsidR="008C4B22" w:rsidRPr="00954547">
        <w:rPr>
          <w:rFonts w:ascii="Verdana" w:hAnsi="Verdana"/>
          <w:sz w:val="16"/>
          <w:szCs w:val="16"/>
        </w:rPr>
        <w:t>Concluding observations on the seventh periodic report</w:t>
      </w:r>
      <w:r w:rsidR="009E6B43" w:rsidRPr="00954547">
        <w:rPr>
          <w:rFonts w:ascii="Verdana" w:hAnsi="Verdana"/>
          <w:sz w:val="16"/>
          <w:szCs w:val="16"/>
        </w:rPr>
        <w:t xml:space="preserve"> of El </w:t>
      </w:r>
      <w:r w:rsidRPr="00954547">
        <w:rPr>
          <w:rFonts w:ascii="Verdana" w:hAnsi="Verdana"/>
          <w:sz w:val="16"/>
          <w:szCs w:val="16"/>
        </w:rPr>
        <w:t xml:space="preserve">Salvador, CCPR/C/SLV/CO/7, </w:t>
      </w:r>
      <w:r w:rsidR="00923903" w:rsidRPr="00954547">
        <w:rPr>
          <w:rFonts w:ascii="Verdana" w:hAnsi="Verdana"/>
          <w:sz w:val="16"/>
          <w:szCs w:val="16"/>
        </w:rPr>
        <w:t>May 9,</w:t>
      </w:r>
      <w:r w:rsidRPr="00954547">
        <w:rPr>
          <w:rFonts w:ascii="Verdana" w:hAnsi="Verdana"/>
          <w:sz w:val="16"/>
          <w:szCs w:val="16"/>
        </w:rPr>
        <w:t xml:space="preserve"> 2018, </w:t>
      </w:r>
      <w:r w:rsidR="00B10E5A" w:rsidRPr="00954547">
        <w:rPr>
          <w:rFonts w:ascii="Verdana" w:hAnsi="Verdana"/>
          <w:sz w:val="16"/>
          <w:szCs w:val="16"/>
        </w:rPr>
        <w:t>para.</w:t>
      </w:r>
      <w:r w:rsidRPr="00954547">
        <w:rPr>
          <w:rFonts w:ascii="Verdana" w:hAnsi="Verdana"/>
          <w:sz w:val="16"/>
          <w:szCs w:val="16"/>
        </w:rPr>
        <w:t xml:space="preserve"> 16. </w:t>
      </w:r>
    </w:p>
  </w:footnote>
  <w:footnote w:id="375">
    <w:p w14:paraId="7FFB0C14" w14:textId="562EFE1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07D09" w:rsidRPr="00954547">
        <w:rPr>
          <w:rFonts w:ascii="Verdana" w:hAnsi="Verdana"/>
          <w:sz w:val="16"/>
          <w:szCs w:val="16"/>
        </w:rPr>
        <w:t>Record of interview</w:t>
      </w:r>
      <w:r w:rsidR="00E60BF1" w:rsidRPr="00954547">
        <w:rPr>
          <w:rFonts w:ascii="Verdana" w:hAnsi="Verdana"/>
          <w:sz w:val="16"/>
          <w:szCs w:val="16"/>
        </w:rPr>
        <w:t xml:space="preserve"> of</w:t>
      </w:r>
      <w:r w:rsidRPr="00954547">
        <w:rPr>
          <w:rFonts w:ascii="Verdana" w:hAnsi="Verdana"/>
          <w:sz w:val="16"/>
          <w:szCs w:val="16"/>
        </w:rPr>
        <w:t xml:space="preserve"> </w:t>
      </w:r>
      <w:r w:rsidR="00323A7C" w:rsidRPr="00954547">
        <w:rPr>
          <w:rFonts w:ascii="Verdana" w:hAnsi="Verdana"/>
          <w:sz w:val="16"/>
          <w:szCs w:val="16"/>
        </w:rPr>
        <w:t>the treating physician</w:t>
      </w:r>
      <w:r w:rsidRPr="00954547">
        <w:rPr>
          <w:rFonts w:ascii="Verdana" w:hAnsi="Verdana"/>
          <w:sz w:val="16"/>
          <w:szCs w:val="16"/>
        </w:rPr>
        <w:t xml:space="preserve"> (</w:t>
      </w:r>
      <w:r w:rsidR="001C328F" w:rsidRPr="00954547">
        <w:rPr>
          <w:rFonts w:ascii="Verdana" w:hAnsi="Verdana"/>
          <w:sz w:val="16"/>
          <w:szCs w:val="16"/>
        </w:rPr>
        <w:t>evidence file</w:t>
      </w:r>
      <w:r w:rsidRPr="00954547">
        <w:rPr>
          <w:rFonts w:ascii="Verdana" w:hAnsi="Verdana"/>
          <w:sz w:val="16"/>
          <w:szCs w:val="16"/>
        </w:rPr>
        <w:t>, folios 24</w:t>
      </w:r>
      <w:r w:rsidR="0078694F" w:rsidRPr="00954547">
        <w:rPr>
          <w:rFonts w:ascii="Verdana" w:hAnsi="Verdana"/>
          <w:sz w:val="16"/>
          <w:szCs w:val="16"/>
        </w:rPr>
        <w:t xml:space="preserve"> and </w:t>
      </w:r>
      <w:r w:rsidRPr="00954547">
        <w:rPr>
          <w:rFonts w:ascii="Verdana" w:hAnsi="Verdana"/>
          <w:sz w:val="16"/>
          <w:szCs w:val="16"/>
        </w:rPr>
        <w:t xml:space="preserve">25). </w:t>
      </w:r>
    </w:p>
  </w:footnote>
  <w:footnote w:id="376">
    <w:p w14:paraId="5D0B692E" w14:textId="0DAD9929" w:rsidR="005F001B" w:rsidRPr="00954547" w:rsidRDefault="005F001B" w:rsidP="007619E6">
      <w:pPr>
        <w:pStyle w:val="FootnoteText"/>
        <w:tabs>
          <w:tab w:val="left" w:pos="567"/>
        </w:tabs>
        <w:spacing w:after="120"/>
        <w:jc w:val="both"/>
        <w:rPr>
          <w:rFonts w:ascii="Verdana" w:hAnsi="Verdana"/>
          <w:color w:val="auto"/>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color w:val="auto"/>
          <w:sz w:val="16"/>
          <w:szCs w:val="16"/>
        </w:rPr>
        <w:tab/>
      </w:r>
      <w:r w:rsidR="00923903" w:rsidRPr="00954547">
        <w:rPr>
          <w:rFonts w:ascii="Verdana" w:hAnsi="Verdana"/>
          <w:color w:val="auto"/>
          <w:sz w:val="16"/>
          <w:szCs w:val="16"/>
        </w:rPr>
        <w:t>Request for collaboration</w:t>
      </w:r>
      <w:r w:rsidRPr="00954547">
        <w:rPr>
          <w:rFonts w:ascii="Verdana" w:hAnsi="Verdana"/>
          <w:color w:val="auto"/>
          <w:sz w:val="16"/>
          <w:szCs w:val="16"/>
        </w:rPr>
        <w:t xml:space="preserve"> </w:t>
      </w:r>
      <w:r w:rsidR="00807D09" w:rsidRPr="00954547">
        <w:rPr>
          <w:rFonts w:ascii="Verdana" w:hAnsi="Verdana"/>
          <w:color w:val="auto"/>
          <w:sz w:val="16"/>
          <w:szCs w:val="16"/>
        </w:rPr>
        <w:t>of February 29,</w:t>
      </w:r>
      <w:r w:rsidRPr="00954547">
        <w:rPr>
          <w:rFonts w:ascii="Verdana" w:hAnsi="Verdana"/>
          <w:color w:val="auto"/>
          <w:sz w:val="16"/>
          <w:szCs w:val="16"/>
        </w:rPr>
        <w:t xml:space="preserve"> 2008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 55),</w:t>
      </w:r>
      <w:r w:rsidR="0078694F" w:rsidRPr="00954547">
        <w:rPr>
          <w:rFonts w:ascii="Verdana" w:hAnsi="Verdana"/>
          <w:sz w:val="16"/>
          <w:szCs w:val="16"/>
        </w:rPr>
        <w:t xml:space="preserve"> and </w:t>
      </w:r>
      <w:r w:rsidR="00807D09" w:rsidRPr="00954547">
        <w:rPr>
          <w:rFonts w:ascii="Verdana" w:hAnsi="Verdana"/>
          <w:color w:val="auto"/>
          <w:sz w:val="16"/>
          <w:szCs w:val="16"/>
        </w:rPr>
        <w:t xml:space="preserve">Communication issued by </w:t>
      </w:r>
      <w:r w:rsidR="006D5A9B" w:rsidRPr="00954547">
        <w:rPr>
          <w:rFonts w:ascii="Verdana" w:hAnsi="Verdana"/>
          <w:color w:val="auto"/>
          <w:sz w:val="16"/>
          <w:szCs w:val="16"/>
        </w:rPr>
        <w:t>the director of the</w:t>
      </w:r>
      <w:r w:rsidR="00807D09" w:rsidRPr="00954547">
        <w:rPr>
          <w:rFonts w:ascii="Verdana" w:hAnsi="Verdana"/>
          <w:color w:val="auto"/>
          <w:sz w:val="16"/>
          <w:szCs w:val="16"/>
        </w:rPr>
        <w:t xml:space="preserve"> San Francisco Gotera National Hospital of February 29,</w:t>
      </w:r>
      <w:r w:rsidRPr="00954547">
        <w:rPr>
          <w:rFonts w:ascii="Verdana" w:hAnsi="Verdana"/>
          <w:color w:val="auto"/>
          <w:sz w:val="16"/>
          <w:szCs w:val="16"/>
        </w:rPr>
        <w:t xml:space="preserve"> 2008 </w:t>
      </w:r>
      <w:r w:rsidRPr="00954547">
        <w:rPr>
          <w:rFonts w:ascii="Verdana" w:hAnsi="Verdana"/>
          <w:sz w:val="16"/>
          <w:szCs w:val="16"/>
        </w:rPr>
        <w:t>(</w:t>
      </w:r>
      <w:r w:rsidR="001C328F" w:rsidRPr="00954547">
        <w:rPr>
          <w:rFonts w:ascii="Verdana" w:hAnsi="Verdana"/>
          <w:sz w:val="16"/>
          <w:szCs w:val="16"/>
        </w:rPr>
        <w:t>evidence file</w:t>
      </w:r>
      <w:r w:rsidRPr="00954547">
        <w:rPr>
          <w:rFonts w:ascii="Verdana" w:hAnsi="Verdana"/>
          <w:sz w:val="16"/>
          <w:szCs w:val="16"/>
        </w:rPr>
        <w:t>, folio 57).</w:t>
      </w:r>
    </w:p>
  </w:footnote>
  <w:footnote w:id="377">
    <w:p w14:paraId="312A67D4" w14:textId="7248E2B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D82A98" w:rsidRPr="00954547">
        <w:rPr>
          <w:rFonts w:ascii="Verdana" w:hAnsi="Verdana"/>
          <w:sz w:val="16"/>
          <w:szCs w:val="16"/>
        </w:rPr>
        <w:t xml:space="preserve">In this regard, the Inter-American Juridical Committee has indicated </w:t>
      </w:r>
      <w:r w:rsidR="002454B7" w:rsidRPr="00954547">
        <w:rPr>
          <w:rFonts w:ascii="Verdana" w:hAnsi="Verdana"/>
          <w:sz w:val="16"/>
          <w:szCs w:val="16"/>
        </w:rPr>
        <w:t>that “[p]</w:t>
      </w:r>
      <w:r w:rsidR="00D82A98" w:rsidRPr="00954547">
        <w:rPr>
          <w:rFonts w:ascii="Verdana" w:hAnsi="Verdana"/>
          <w:sz w:val="16"/>
          <w:szCs w:val="16"/>
        </w:rPr>
        <w:t>ersonal data should not be disclosed, made available to third parties, or used for purposes other than those for which it was collected except with the consent of the concerned individual or under the authority of law.</w:t>
      </w:r>
      <w:r w:rsidR="002454B7" w:rsidRPr="00954547">
        <w:rPr>
          <w:rFonts w:ascii="Verdana" w:hAnsi="Verdana"/>
          <w:sz w:val="16"/>
          <w:szCs w:val="16"/>
        </w:rPr>
        <w:t xml:space="preserve">” </w:t>
      </w:r>
      <w:r w:rsidR="00D82A98" w:rsidRPr="00954547">
        <w:rPr>
          <w:rFonts w:ascii="Verdana" w:hAnsi="Verdana"/>
          <w:sz w:val="16"/>
          <w:szCs w:val="16"/>
        </w:rPr>
        <w:t>Inter-American Juridical Committee</w:t>
      </w:r>
      <w:r w:rsidRPr="00954547">
        <w:rPr>
          <w:rFonts w:ascii="Verdana" w:hAnsi="Verdana"/>
          <w:sz w:val="16"/>
          <w:szCs w:val="16"/>
        </w:rPr>
        <w:t xml:space="preserve">. </w:t>
      </w:r>
      <w:r w:rsidR="00D82A98" w:rsidRPr="00954547">
        <w:rPr>
          <w:rFonts w:ascii="Verdana" w:hAnsi="Verdana"/>
          <w:sz w:val="16"/>
          <w:szCs w:val="16"/>
        </w:rPr>
        <w:t xml:space="preserve">Updated Principles on Privacy and Protection of Personal Data, with annotations, adopted by </w:t>
      </w:r>
      <w:r w:rsidRPr="00954547">
        <w:rPr>
          <w:rFonts w:ascii="Verdana" w:hAnsi="Verdana"/>
          <w:sz w:val="16"/>
          <w:szCs w:val="16"/>
        </w:rPr>
        <w:t>Resolu</w:t>
      </w:r>
      <w:r w:rsidR="00D82A98" w:rsidRPr="00954547">
        <w:rPr>
          <w:rFonts w:ascii="Verdana" w:hAnsi="Verdana"/>
          <w:sz w:val="16"/>
          <w:szCs w:val="16"/>
        </w:rPr>
        <w:t>tio</w:t>
      </w:r>
      <w:r w:rsidRPr="00954547">
        <w:rPr>
          <w:rFonts w:ascii="Verdana" w:hAnsi="Verdana"/>
          <w:sz w:val="16"/>
          <w:szCs w:val="16"/>
        </w:rPr>
        <w:t>n CJI/RES. 266 (XCVIII/21) 98</w:t>
      </w:r>
      <w:r w:rsidR="00D82A98" w:rsidRPr="00954547">
        <w:rPr>
          <w:rFonts w:ascii="Verdana" w:hAnsi="Verdana"/>
          <w:sz w:val="16"/>
          <w:szCs w:val="16"/>
        </w:rPr>
        <w:t xml:space="preserve">th regular session </w:t>
      </w:r>
      <w:r w:rsidRPr="00954547">
        <w:rPr>
          <w:rFonts w:ascii="Verdana" w:hAnsi="Verdana"/>
          <w:sz w:val="16"/>
          <w:szCs w:val="16"/>
        </w:rPr>
        <w:t>OEA/Ser.</w:t>
      </w:r>
      <w:r w:rsidR="00085FE4" w:rsidRPr="00954547">
        <w:rPr>
          <w:rFonts w:ascii="Verdana" w:hAnsi="Verdana"/>
          <w:sz w:val="16"/>
          <w:szCs w:val="16"/>
        </w:rPr>
        <w:t xml:space="preserve"> </w:t>
      </w:r>
      <w:r w:rsidRPr="00954547">
        <w:rPr>
          <w:rFonts w:ascii="Verdana" w:hAnsi="Verdana"/>
          <w:sz w:val="16"/>
          <w:szCs w:val="16"/>
        </w:rPr>
        <w:t>Q,</w:t>
      </w:r>
      <w:r w:rsidR="00D82A98" w:rsidRPr="00954547">
        <w:rPr>
          <w:rFonts w:ascii="Verdana" w:hAnsi="Verdana"/>
          <w:sz w:val="16"/>
          <w:szCs w:val="16"/>
        </w:rPr>
        <w:t xml:space="preserve"> of April</w:t>
      </w:r>
      <w:r w:rsidRPr="00954547">
        <w:rPr>
          <w:rFonts w:ascii="Verdana" w:hAnsi="Verdana"/>
          <w:sz w:val="16"/>
          <w:szCs w:val="16"/>
        </w:rPr>
        <w:t xml:space="preserve"> 5</w:t>
      </w:r>
      <w:r w:rsidR="00D82A98" w:rsidRPr="00954547">
        <w:rPr>
          <w:rFonts w:ascii="Verdana" w:hAnsi="Verdana"/>
          <w:sz w:val="16"/>
          <w:szCs w:val="16"/>
        </w:rPr>
        <w:t xml:space="preserve"> to</w:t>
      </w:r>
      <w:r w:rsidRPr="00954547">
        <w:rPr>
          <w:rFonts w:ascii="Verdana" w:hAnsi="Verdana"/>
          <w:sz w:val="16"/>
          <w:szCs w:val="16"/>
        </w:rPr>
        <w:t xml:space="preserve"> 9</w:t>
      </w:r>
      <w:r w:rsidR="00D82A98" w:rsidRPr="00954547">
        <w:rPr>
          <w:rFonts w:ascii="Verdana" w:hAnsi="Verdana"/>
          <w:sz w:val="16"/>
          <w:szCs w:val="16"/>
        </w:rPr>
        <w:t xml:space="preserve">, </w:t>
      </w:r>
      <w:r w:rsidRPr="00954547">
        <w:rPr>
          <w:rFonts w:ascii="Verdana" w:hAnsi="Verdana"/>
          <w:sz w:val="16"/>
          <w:szCs w:val="16"/>
        </w:rPr>
        <w:t xml:space="preserve">2021, </w:t>
      </w:r>
      <w:r w:rsidR="00D82A98" w:rsidRPr="00954547">
        <w:rPr>
          <w:rFonts w:ascii="Verdana" w:hAnsi="Verdana"/>
          <w:sz w:val="16"/>
          <w:szCs w:val="16"/>
        </w:rPr>
        <w:t>Fifth principle</w:t>
      </w:r>
      <w:r w:rsidRPr="00954547">
        <w:rPr>
          <w:rFonts w:ascii="Verdana" w:hAnsi="Verdana"/>
          <w:sz w:val="16"/>
          <w:szCs w:val="16"/>
        </w:rPr>
        <w:t>.</w:t>
      </w:r>
    </w:p>
  </w:footnote>
  <w:footnote w:id="378">
    <w:p w14:paraId="0248C340" w14:textId="156FD06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Tibi </w:t>
      </w:r>
      <w:r w:rsidR="009C16A1" w:rsidRPr="00954547">
        <w:rPr>
          <w:rFonts w:ascii="Verdana" w:hAnsi="Verdana"/>
          <w:i/>
          <w:sz w:val="16"/>
          <w:szCs w:val="16"/>
        </w:rPr>
        <w:t>v.</w:t>
      </w:r>
      <w:r w:rsidRPr="00954547">
        <w:rPr>
          <w:rFonts w:ascii="Verdana" w:hAnsi="Verdana"/>
          <w:i/>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156</w:t>
      </w:r>
      <w:r w:rsidR="0078694F" w:rsidRPr="00954547">
        <w:rPr>
          <w:rFonts w:ascii="Verdana" w:hAnsi="Verdana"/>
          <w:sz w:val="16"/>
          <w:szCs w:val="16"/>
        </w:rPr>
        <w:t xml:space="preserve"> and </w:t>
      </w:r>
      <w:r w:rsidRPr="00954547">
        <w:rPr>
          <w:rFonts w:ascii="Verdana" w:hAnsi="Verdana"/>
          <w:sz w:val="16"/>
          <w:szCs w:val="16"/>
        </w:rPr>
        <w:t>157,</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Rodríguez Revolorio </w:t>
      </w:r>
      <w:r w:rsidR="00B8393C" w:rsidRPr="00954547">
        <w:rPr>
          <w:rFonts w:ascii="Verdana" w:hAnsi="Verdana"/>
          <w:i/>
          <w:sz w:val="16"/>
          <w:szCs w:val="16"/>
        </w:rPr>
        <w:t>et al. v.</w:t>
      </w:r>
      <w:r w:rsidRPr="00954547">
        <w:rPr>
          <w:rFonts w:ascii="Verdana" w:hAnsi="Verdana"/>
          <w:i/>
          <w:sz w:val="16"/>
          <w:szCs w:val="16"/>
        </w:rPr>
        <w:t xml:space="preserve"> Guatemala,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90.</w:t>
      </w:r>
    </w:p>
  </w:footnote>
  <w:footnote w:id="379">
    <w:p w14:paraId="3C772493" w14:textId="62E080B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cs="Verdana"/>
          <w:bCs/>
          <w:i/>
          <w:iCs/>
          <w:sz w:val="16"/>
          <w:szCs w:val="16"/>
        </w:rPr>
        <w:t>Case of</w:t>
      </w:r>
      <w:r w:rsidRPr="00954547">
        <w:rPr>
          <w:rFonts w:ascii="Verdana" w:hAnsi="Verdana" w:cs="Verdana"/>
          <w:bCs/>
          <w:i/>
          <w:iCs/>
          <w:sz w:val="16"/>
          <w:szCs w:val="16"/>
        </w:rPr>
        <w:t xml:space="preserve"> Chinchilla Sandoval </w:t>
      </w:r>
      <w:r w:rsidR="00B8393C" w:rsidRPr="00954547">
        <w:rPr>
          <w:rFonts w:ascii="Verdana" w:hAnsi="Verdana" w:cs="Verdana"/>
          <w:bCs/>
          <w:i/>
          <w:iCs/>
          <w:sz w:val="16"/>
          <w:szCs w:val="16"/>
        </w:rPr>
        <w:t>et al. v.</w:t>
      </w:r>
      <w:r w:rsidRPr="00954547">
        <w:rPr>
          <w:rFonts w:ascii="Verdana" w:hAnsi="Verdana" w:cs="Verdana"/>
          <w:bCs/>
          <w:i/>
          <w:iCs/>
          <w:sz w:val="16"/>
          <w:szCs w:val="16"/>
        </w:rPr>
        <w:t xml:space="preserve"> Guatemala, supra</w:t>
      </w:r>
      <w:r w:rsidRPr="00954547">
        <w:rPr>
          <w:rFonts w:ascii="Verdana" w:hAnsi="Verdana" w:cs="Verdana"/>
          <w:bCs/>
          <w:iCs/>
          <w:sz w:val="16"/>
          <w:szCs w:val="16"/>
        </w:rPr>
        <w:t xml:space="preserve">, </w:t>
      </w:r>
      <w:r w:rsidR="00B10E5A" w:rsidRPr="00954547">
        <w:rPr>
          <w:rFonts w:ascii="Verdana" w:hAnsi="Verdana" w:cs="Verdana"/>
          <w:bCs/>
          <w:iCs/>
          <w:sz w:val="16"/>
          <w:szCs w:val="16"/>
        </w:rPr>
        <w:t>para.</w:t>
      </w:r>
      <w:r w:rsidRPr="00954547">
        <w:rPr>
          <w:rFonts w:ascii="Verdana" w:hAnsi="Verdana" w:cs="Verdana"/>
          <w:bCs/>
          <w:iCs/>
          <w:sz w:val="16"/>
          <w:szCs w:val="16"/>
        </w:rPr>
        <w:t xml:space="preserve"> </w:t>
      </w:r>
      <w:r w:rsidRPr="005C1103">
        <w:rPr>
          <w:rFonts w:ascii="Verdana" w:hAnsi="Verdana"/>
          <w:sz w:val="16"/>
          <w:szCs w:val="16"/>
          <w:lang w:val="es-CR"/>
        </w:rPr>
        <w:t>171,</w:t>
      </w:r>
      <w:r w:rsidR="0078694F" w:rsidRPr="005C1103">
        <w:rPr>
          <w:rFonts w:ascii="Verdana" w:hAnsi="Verdana"/>
          <w:sz w:val="16"/>
          <w:szCs w:val="16"/>
          <w:lang w:val="es-CR"/>
        </w:rPr>
        <w:t xml:space="preserve"> and </w:t>
      </w:r>
      <w:r w:rsidR="002F4617" w:rsidRPr="005C1103">
        <w:rPr>
          <w:rFonts w:ascii="Verdana" w:hAnsi="Verdana"/>
          <w:i/>
          <w:sz w:val="16"/>
          <w:szCs w:val="16"/>
          <w:lang w:val="es-CR"/>
        </w:rPr>
        <w:t>Case of</w:t>
      </w:r>
      <w:r w:rsidRPr="005C1103">
        <w:rPr>
          <w:rFonts w:ascii="Verdana" w:hAnsi="Verdana"/>
          <w:i/>
          <w:sz w:val="16"/>
          <w:szCs w:val="16"/>
          <w:lang w:val="es-CR"/>
        </w:rPr>
        <w:t xml:space="preserve"> Rodríguez Revolorio </w:t>
      </w:r>
      <w:r w:rsidR="00B8393C" w:rsidRPr="005C1103">
        <w:rPr>
          <w:rFonts w:ascii="Verdana" w:hAnsi="Verdana"/>
          <w:i/>
          <w:sz w:val="16"/>
          <w:szCs w:val="16"/>
          <w:lang w:val="es-CR"/>
        </w:rPr>
        <w:t>et al. v.</w:t>
      </w:r>
      <w:r w:rsidRPr="005C1103">
        <w:rPr>
          <w:rFonts w:ascii="Verdana" w:hAnsi="Verdana"/>
          <w:i/>
          <w:sz w:val="16"/>
          <w:szCs w:val="16"/>
          <w:lang w:val="es-CR"/>
        </w:rPr>
        <w:t xml:space="preserve"> Guatemala, supra</w:t>
      </w:r>
      <w:r w:rsidRPr="005C1103">
        <w:rPr>
          <w:rFonts w:ascii="Verdana" w:hAnsi="Verdana"/>
          <w:sz w:val="16"/>
          <w:szCs w:val="16"/>
          <w:lang w:val="es-CR"/>
        </w:rPr>
        <w:t xml:space="preserve">, </w:t>
      </w:r>
      <w:r w:rsidR="00B10E5A" w:rsidRPr="005C1103">
        <w:rPr>
          <w:rFonts w:ascii="Verdana" w:hAnsi="Verdana"/>
          <w:sz w:val="16"/>
          <w:szCs w:val="16"/>
          <w:lang w:val="es-CR"/>
        </w:rPr>
        <w:t>para.</w:t>
      </w:r>
      <w:r w:rsidRPr="005C1103">
        <w:rPr>
          <w:rFonts w:ascii="Verdana" w:hAnsi="Verdana"/>
          <w:sz w:val="16"/>
          <w:szCs w:val="16"/>
          <w:lang w:val="es-CR"/>
        </w:rPr>
        <w:t xml:space="preserve"> </w:t>
      </w:r>
      <w:r w:rsidRPr="00954547">
        <w:rPr>
          <w:rFonts w:ascii="Verdana" w:hAnsi="Verdana"/>
          <w:sz w:val="16"/>
          <w:szCs w:val="16"/>
        </w:rPr>
        <w:t>90.</w:t>
      </w:r>
    </w:p>
  </w:footnote>
  <w:footnote w:id="380">
    <w:p w14:paraId="6D7E28C2" w14:textId="45A513DD"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837801" w:rsidRPr="00954547">
        <w:rPr>
          <w:rFonts w:ascii="Verdana" w:hAnsi="Verdana"/>
          <w:sz w:val="16"/>
          <w:szCs w:val="16"/>
        </w:rPr>
        <w:t xml:space="preserve">1995 </w:t>
      </w:r>
      <w:r w:rsidR="00946DCB" w:rsidRPr="00954547">
        <w:rPr>
          <w:rFonts w:ascii="Verdana" w:hAnsi="Verdana"/>
          <w:sz w:val="16"/>
          <w:szCs w:val="16"/>
        </w:rPr>
        <w:t xml:space="preserve">United Nations </w:t>
      </w:r>
      <w:r w:rsidR="0010411E" w:rsidRPr="00954547">
        <w:rPr>
          <w:rFonts w:ascii="Verdana" w:hAnsi="Verdana"/>
          <w:sz w:val="16"/>
          <w:szCs w:val="16"/>
        </w:rPr>
        <w:t>Standard Minimum Rules for the Treatment</w:t>
      </w:r>
      <w:r w:rsidR="00946DCB" w:rsidRPr="00954547">
        <w:rPr>
          <w:rFonts w:ascii="Verdana" w:hAnsi="Verdana"/>
          <w:sz w:val="16"/>
          <w:szCs w:val="16"/>
        </w:rPr>
        <w:t xml:space="preserve"> of Prisoners</w:t>
      </w:r>
      <w:r w:rsidRPr="00954547">
        <w:rPr>
          <w:rFonts w:ascii="Verdana" w:hAnsi="Verdana"/>
          <w:sz w:val="16"/>
          <w:szCs w:val="16"/>
        </w:rPr>
        <w:t xml:space="preserve">, </w:t>
      </w:r>
      <w:r w:rsidRPr="00954547">
        <w:rPr>
          <w:rFonts w:ascii="Verdana" w:hAnsi="Verdana"/>
          <w:i/>
          <w:sz w:val="16"/>
          <w:szCs w:val="16"/>
        </w:rPr>
        <w:t xml:space="preserve">supra, </w:t>
      </w:r>
      <w:r w:rsidRPr="00954547">
        <w:rPr>
          <w:rFonts w:ascii="Verdana" w:hAnsi="Verdana"/>
          <w:sz w:val="16"/>
          <w:szCs w:val="16"/>
        </w:rPr>
        <w:t>R</w:t>
      </w:r>
      <w:r w:rsidR="001D6472" w:rsidRPr="00954547">
        <w:rPr>
          <w:rFonts w:ascii="Verdana" w:hAnsi="Verdana"/>
          <w:sz w:val="16"/>
          <w:szCs w:val="16"/>
        </w:rPr>
        <w:t>ule</w:t>
      </w:r>
      <w:r w:rsidRPr="00954547">
        <w:rPr>
          <w:rFonts w:ascii="Verdana" w:hAnsi="Verdana"/>
          <w:sz w:val="16"/>
          <w:szCs w:val="16"/>
        </w:rPr>
        <w:t xml:space="preserve"> 24. </w:t>
      </w:r>
      <w:r w:rsidR="00837801" w:rsidRPr="00954547">
        <w:rPr>
          <w:rFonts w:ascii="Verdana" w:hAnsi="Verdana"/>
          <w:sz w:val="16"/>
          <w:szCs w:val="16"/>
        </w:rPr>
        <w:t xml:space="preserve">It is also pertinent to recall that Principle 24 of the </w:t>
      </w:r>
      <w:r w:rsidR="003C73CB" w:rsidRPr="00954547">
        <w:rPr>
          <w:rFonts w:ascii="Verdana" w:hAnsi="Verdana"/>
          <w:sz w:val="16"/>
          <w:szCs w:val="16"/>
        </w:rPr>
        <w:t>Body</w:t>
      </w:r>
      <w:r w:rsidR="00837801" w:rsidRPr="00954547">
        <w:rPr>
          <w:rFonts w:ascii="Verdana" w:hAnsi="Verdana"/>
          <w:sz w:val="16"/>
          <w:szCs w:val="16"/>
        </w:rPr>
        <w:t xml:space="preserve"> of Principles for the Protection of All Persons </w:t>
      </w:r>
      <w:r w:rsidR="003C73CB" w:rsidRPr="00954547">
        <w:rPr>
          <w:rFonts w:ascii="Verdana" w:hAnsi="Verdana"/>
          <w:sz w:val="16"/>
          <w:szCs w:val="16"/>
        </w:rPr>
        <w:t>under A</w:t>
      </w:r>
      <w:r w:rsidR="00837801" w:rsidRPr="00954547">
        <w:rPr>
          <w:rFonts w:ascii="Verdana" w:hAnsi="Verdana"/>
          <w:sz w:val="16"/>
          <w:szCs w:val="16"/>
        </w:rPr>
        <w:t xml:space="preserve">ny Form of Detention or </w:t>
      </w:r>
      <w:r w:rsidR="003C73CB" w:rsidRPr="00954547">
        <w:rPr>
          <w:rFonts w:ascii="Verdana" w:hAnsi="Verdana"/>
          <w:sz w:val="16"/>
          <w:szCs w:val="16"/>
        </w:rPr>
        <w:t>Imp</w:t>
      </w:r>
      <w:r w:rsidR="00837801" w:rsidRPr="00954547">
        <w:rPr>
          <w:rFonts w:ascii="Verdana" w:hAnsi="Verdana"/>
          <w:sz w:val="16"/>
          <w:szCs w:val="16"/>
        </w:rPr>
        <w:t>rison</w:t>
      </w:r>
      <w:r w:rsidR="003C73CB" w:rsidRPr="00954547">
        <w:rPr>
          <w:rFonts w:ascii="Verdana" w:hAnsi="Verdana"/>
          <w:sz w:val="16"/>
          <w:szCs w:val="16"/>
        </w:rPr>
        <w:t>ment</w:t>
      </w:r>
      <w:r w:rsidR="00837801" w:rsidRPr="00954547">
        <w:rPr>
          <w:rFonts w:ascii="Verdana" w:hAnsi="Verdana"/>
          <w:sz w:val="16"/>
          <w:szCs w:val="16"/>
        </w:rPr>
        <w:t xml:space="preserve"> (adopted by the UN General Assembly in its resolution 43/173 of December 9, 1988) established that</w:t>
      </w:r>
      <w:r w:rsidR="003C73CB" w:rsidRPr="00954547">
        <w:rPr>
          <w:rFonts w:ascii="Verdana" w:hAnsi="Verdana"/>
          <w:sz w:val="16"/>
          <w:szCs w:val="16"/>
        </w:rPr>
        <w:t xml:space="preserve">: </w:t>
      </w:r>
      <w:r w:rsidR="00837801" w:rsidRPr="00954547">
        <w:rPr>
          <w:rFonts w:ascii="Verdana" w:hAnsi="Verdana"/>
          <w:sz w:val="16"/>
          <w:szCs w:val="16"/>
        </w:rPr>
        <w:t>“</w:t>
      </w:r>
      <w:r w:rsidR="003C73CB" w:rsidRPr="00954547">
        <w:rPr>
          <w:rFonts w:ascii="Verdana" w:hAnsi="Verdana"/>
          <w:sz w:val="16"/>
          <w:szCs w:val="16"/>
        </w:rPr>
        <w:t xml:space="preserve">A proper medical examination shall be offered to a detained or imprisoned person as promptly as possible after his admission to the place of detention or imprisonment, and thereafter medical care and treatment shall be provided whenever necessary. This care and treatment shall be provided free of charge.” The Principles and Best Practice on the Protection of Persons Deprived of Liberty in the Americas </w:t>
      </w:r>
      <w:r w:rsidR="00607E12" w:rsidRPr="00954547">
        <w:rPr>
          <w:rFonts w:ascii="Verdana" w:hAnsi="Verdana"/>
          <w:sz w:val="16"/>
          <w:szCs w:val="16"/>
        </w:rPr>
        <w:t xml:space="preserve">of the </w:t>
      </w:r>
      <w:r w:rsidR="00E76B1A" w:rsidRPr="00954547">
        <w:rPr>
          <w:rFonts w:ascii="Verdana" w:hAnsi="Verdana"/>
          <w:sz w:val="16"/>
          <w:szCs w:val="16"/>
        </w:rPr>
        <w:t>Inter-American Commission</w:t>
      </w:r>
      <w:r w:rsidRPr="00954547">
        <w:rPr>
          <w:rFonts w:ascii="Verdana" w:hAnsi="Verdana"/>
          <w:sz w:val="16"/>
          <w:szCs w:val="16"/>
        </w:rPr>
        <w:t xml:space="preserve"> (Princip</w:t>
      </w:r>
      <w:r w:rsidR="003C73CB" w:rsidRPr="00954547">
        <w:rPr>
          <w:rFonts w:ascii="Verdana" w:hAnsi="Verdana"/>
          <w:sz w:val="16"/>
          <w:szCs w:val="16"/>
        </w:rPr>
        <w:t>le</w:t>
      </w:r>
      <w:r w:rsidRPr="00954547">
        <w:rPr>
          <w:rFonts w:ascii="Verdana" w:hAnsi="Verdana"/>
          <w:sz w:val="16"/>
          <w:szCs w:val="16"/>
        </w:rPr>
        <w:t xml:space="preserve"> IX.3) indica</w:t>
      </w:r>
      <w:r w:rsidR="003C73CB" w:rsidRPr="00954547">
        <w:rPr>
          <w:rFonts w:ascii="Verdana" w:hAnsi="Verdana"/>
          <w:sz w:val="16"/>
          <w:szCs w:val="16"/>
        </w:rPr>
        <w:t>t</w:t>
      </w:r>
      <w:r w:rsidRPr="00954547">
        <w:rPr>
          <w:rFonts w:ascii="Verdana" w:hAnsi="Verdana"/>
          <w:sz w:val="16"/>
          <w:szCs w:val="16"/>
        </w:rPr>
        <w:t>e</w:t>
      </w:r>
      <w:r w:rsidR="003C73CB" w:rsidRPr="00954547">
        <w:rPr>
          <w:rFonts w:ascii="Verdana" w:hAnsi="Verdana"/>
          <w:sz w:val="16"/>
          <w:szCs w:val="16"/>
        </w:rPr>
        <w:t xml:space="preserve"> that: </w:t>
      </w:r>
      <w:r w:rsidR="003E428D" w:rsidRPr="00954547">
        <w:rPr>
          <w:rFonts w:ascii="Verdana" w:hAnsi="Verdana"/>
          <w:sz w:val="16"/>
          <w:szCs w:val="16"/>
        </w:rPr>
        <w:t xml:space="preserve"> “[a]ll persons deprived of liberty shall be entitled to an impartial and confidential medical or psychological examination, carried out by idoneous medical personnel immediately following their admission to the place of imprisonment or commitment, in order to verify their state of physical or mental health and the existence of any mental or physical injury or damage; to ensure the diagnosis and treatment of any relevant health problem; or to investigate complaints of possible ill</w:t>
      </w:r>
      <w:r w:rsidR="003E428D" w:rsidRPr="00954547">
        <w:rPr>
          <w:rFonts w:ascii="Cambria Math" w:hAnsi="Cambria Math" w:cs="Cambria Math"/>
          <w:sz w:val="16"/>
          <w:szCs w:val="16"/>
        </w:rPr>
        <w:t>‐</w:t>
      </w:r>
      <w:r w:rsidR="003E428D" w:rsidRPr="00954547">
        <w:rPr>
          <w:rFonts w:ascii="Verdana" w:hAnsi="Verdana"/>
          <w:sz w:val="16"/>
          <w:szCs w:val="16"/>
        </w:rPr>
        <w:t>treatment or torture.”</w:t>
      </w:r>
    </w:p>
  </w:footnote>
  <w:footnote w:id="381">
    <w:p w14:paraId="1BEE943D" w14:textId="6DB88377" w:rsidR="005F001B" w:rsidRPr="00954547" w:rsidRDefault="005F001B" w:rsidP="007619E6">
      <w:pPr>
        <w:tabs>
          <w:tab w:val="left" w:pos="567"/>
        </w:tabs>
        <w:autoSpaceDE w:val="0"/>
        <w:autoSpaceDN w:val="0"/>
        <w:adjustRightInd w:val="0"/>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C525F6" w:rsidRPr="00954547">
        <w:rPr>
          <w:rFonts w:ascii="Verdana" w:hAnsi="Verdana" w:cs="Arial"/>
          <w:sz w:val="16"/>
          <w:szCs w:val="16"/>
        </w:rPr>
        <w:t>National Civil Police</w:t>
      </w:r>
      <w:r w:rsidRPr="00954547">
        <w:rPr>
          <w:rFonts w:ascii="Verdana" w:hAnsi="Verdana" w:cs="Arial"/>
          <w:sz w:val="16"/>
          <w:szCs w:val="16"/>
        </w:rPr>
        <w:t>, Morazán</w:t>
      </w:r>
      <w:r w:rsidR="003E428D" w:rsidRPr="00954547">
        <w:rPr>
          <w:rFonts w:ascii="Verdana" w:hAnsi="Verdana" w:cs="Arial"/>
          <w:sz w:val="16"/>
          <w:szCs w:val="16"/>
        </w:rPr>
        <w:t xml:space="preserve"> </w:t>
      </w:r>
      <w:r w:rsidR="003D22BE" w:rsidRPr="00954547">
        <w:rPr>
          <w:rFonts w:ascii="Verdana" w:hAnsi="Verdana" w:cs="Arial"/>
          <w:sz w:val="16"/>
          <w:szCs w:val="16"/>
        </w:rPr>
        <w:t>headquarters</w:t>
      </w:r>
      <w:r w:rsidRPr="00954547">
        <w:rPr>
          <w:rFonts w:ascii="Verdana" w:hAnsi="Verdana" w:cs="Arial"/>
          <w:sz w:val="16"/>
          <w:szCs w:val="16"/>
        </w:rPr>
        <w:t xml:space="preserve">. </w:t>
      </w:r>
      <w:r w:rsidR="00C525F6" w:rsidRPr="00954547">
        <w:rPr>
          <w:rFonts w:ascii="Verdana" w:hAnsi="Verdana" w:cs="Arial"/>
          <w:sz w:val="16"/>
          <w:szCs w:val="16"/>
        </w:rPr>
        <w:t>Communication addressed to the</w:t>
      </w:r>
      <w:r w:rsidRPr="00954547">
        <w:rPr>
          <w:rFonts w:ascii="Verdana" w:hAnsi="Verdana" w:cs="Arial"/>
          <w:sz w:val="16"/>
          <w:szCs w:val="16"/>
        </w:rPr>
        <w:t xml:space="preserve"> </w:t>
      </w:r>
      <w:r w:rsidR="00C525F6" w:rsidRPr="00954547">
        <w:rPr>
          <w:rFonts w:ascii="Verdana" w:hAnsi="Verdana" w:cs="Arial"/>
          <w:sz w:val="16"/>
          <w:szCs w:val="16"/>
        </w:rPr>
        <w:t>Second Trial Judge on March 7,</w:t>
      </w:r>
      <w:r w:rsidRPr="00954547">
        <w:rPr>
          <w:rFonts w:ascii="Verdana" w:hAnsi="Verdana" w:cs="Arial"/>
          <w:sz w:val="16"/>
          <w:szCs w:val="16"/>
        </w:rPr>
        <w:t xml:space="preserve"> 2008 (</w:t>
      </w:r>
      <w:r w:rsidR="001C328F" w:rsidRPr="00954547">
        <w:rPr>
          <w:rFonts w:ascii="Verdana" w:hAnsi="Verdana" w:cs="Arial"/>
          <w:sz w:val="16"/>
          <w:szCs w:val="16"/>
        </w:rPr>
        <w:t>evidence file</w:t>
      </w:r>
      <w:r w:rsidRPr="00954547">
        <w:rPr>
          <w:rFonts w:ascii="Verdana" w:hAnsi="Verdana" w:cs="Arial"/>
          <w:sz w:val="16"/>
          <w:szCs w:val="16"/>
        </w:rPr>
        <w:t xml:space="preserve">, folio 1870); </w:t>
      </w:r>
      <w:r w:rsidR="00574A7B" w:rsidRPr="00954547">
        <w:rPr>
          <w:rFonts w:ascii="Verdana" w:hAnsi="Verdana" w:cs="Arial"/>
          <w:sz w:val="16"/>
          <w:szCs w:val="16"/>
        </w:rPr>
        <w:t>Communication of</w:t>
      </w:r>
      <w:r w:rsidRPr="00954547">
        <w:rPr>
          <w:rFonts w:ascii="Verdana" w:hAnsi="Verdana" w:cs="Arial"/>
          <w:sz w:val="16"/>
          <w:szCs w:val="16"/>
        </w:rPr>
        <w:t xml:space="preserve"> </w:t>
      </w:r>
      <w:r w:rsidR="00923903" w:rsidRPr="00954547">
        <w:rPr>
          <w:rFonts w:ascii="Verdana" w:hAnsi="Verdana" w:cs="Arial"/>
          <w:sz w:val="16"/>
          <w:szCs w:val="16"/>
        </w:rPr>
        <w:t>March 7,</w:t>
      </w:r>
      <w:r w:rsidRPr="00954547">
        <w:rPr>
          <w:rFonts w:ascii="Verdana" w:hAnsi="Verdana" w:cs="Arial"/>
          <w:sz w:val="16"/>
          <w:szCs w:val="16"/>
        </w:rPr>
        <w:t xml:space="preserve"> 2008 (</w:t>
      </w:r>
      <w:r w:rsidR="001C328F" w:rsidRPr="00954547">
        <w:rPr>
          <w:rFonts w:ascii="Verdana" w:hAnsi="Verdana" w:cs="Arial"/>
          <w:sz w:val="16"/>
          <w:szCs w:val="16"/>
        </w:rPr>
        <w:t>evidence file</w:t>
      </w:r>
      <w:r w:rsidRPr="00954547">
        <w:rPr>
          <w:rFonts w:ascii="Verdana" w:hAnsi="Verdana" w:cs="Arial"/>
          <w:sz w:val="16"/>
          <w:szCs w:val="16"/>
        </w:rPr>
        <w:t xml:space="preserve">, folio 1871); </w:t>
      </w:r>
      <w:r w:rsidR="00574A7B" w:rsidRPr="00954547">
        <w:rPr>
          <w:rFonts w:ascii="Verdana" w:hAnsi="Verdana"/>
          <w:sz w:val="16"/>
          <w:szCs w:val="16"/>
          <w:bdr w:val="none" w:sz="0" w:space="0" w:color="auto" w:frame="1"/>
        </w:rPr>
        <w:t xml:space="preserve">Communication of </w:t>
      </w:r>
      <w:r w:rsidR="006D5A9B" w:rsidRPr="00954547">
        <w:rPr>
          <w:rFonts w:ascii="Verdana" w:hAnsi="Verdana"/>
          <w:sz w:val="16"/>
          <w:szCs w:val="16"/>
          <w:bdr w:val="none" w:sz="0" w:space="0" w:color="auto" w:frame="1"/>
        </w:rPr>
        <w:t>the director of the</w:t>
      </w:r>
      <w:r w:rsidR="00923903" w:rsidRPr="00954547">
        <w:rPr>
          <w:rFonts w:ascii="Verdana" w:hAnsi="Verdana"/>
          <w:sz w:val="16"/>
          <w:szCs w:val="16"/>
          <w:bdr w:val="none" w:sz="0" w:space="0" w:color="auto" w:frame="1"/>
        </w:rPr>
        <w:t xml:space="preserve"> </w:t>
      </w:r>
      <w:r w:rsidRPr="00954547">
        <w:rPr>
          <w:rFonts w:ascii="Verdana" w:hAnsi="Verdana"/>
          <w:sz w:val="16"/>
          <w:szCs w:val="16"/>
          <w:bdr w:val="none" w:sz="0" w:space="0" w:color="auto" w:frame="1"/>
        </w:rPr>
        <w:t xml:space="preserve">San Miguel </w:t>
      </w:r>
      <w:r w:rsidR="00923903" w:rsidRPr="00954547">
        <w:rPr>
          <w:rFonts w:ascii="Verdana" w:hAnsi="Verdana"/>
          <w:sz w:val="16"/>
          <w:szCs w:val="16"/>
          <w:bdr w:val="none" w:sz="0" w:space="0" w:color="auto" w:frame="1"/>
        </w:rPr>
        <w:t xml:space="preserve">Prison </w:t>
      </w:r>
      <w:r w:rsidR="006771AD" w:rsidRPr="00954547">
        <w:rPr>
          <w:rFonts w:ascii="Verdana" w:hAnsi="Verdana"/>
          <w:sz w:val="16"/>
          <w:szCs w:val="16"/>
          <w:bdr w:val="none" w:sz="0" w:space="0" w:color="auto" w:frame="1"/>
        </w:rPr>
        <w:t>of September 9,</w:t>
      </w:r>
      <w:r w:rsidRPr="00954547">
        <w:rPr>
          <w:rFonts w:ascii="Verdana" w:hAnsi="Verdana"/>
          <w:sz w:val="16"/>
          <w:szCs w:val="16"/>
          <w:bdr w:val="none" w:sz="0" w:space="0" w:color="auto" w:frame="1"/>
        </w:rPr>
        <w:t xml:space="preserve"> 2009 (</w:t>
      </w:r>
      <w:r w:rsidR="001C328F" w:rsidRPr="00954547">
        <w:rPr>
          <w:rFonts w:ascii="Verdana" w:hAnsi="Verdana"/>
          <w:sz w:val="16"/>
          <w:szCs w:val="16"/>
          <w:bdr w:val="none" w:sz="0" w:space="0" w:color="auto" w:frame="1"/>
        </w:rPr>
        <w:t>evidence file</w:t>
      </w:r>
      <w:r w:rsidRPr="00954547">
        <w:rPr>
          <w:rFonts w:ascii="Verdana" w:hAnsi="Verdana"/>
          <w:sz w:val="16"/>
          <w:szCs w:val="16"/>
          <w:bdr w:val="none" w:sz="0" w:space="0" w:color="auto" w:frame="1"/>
        </w:rPr>
        <w:t>, folio 3313),</w:t>
      </w:r>
      <w:r w:rsidR="0078694F" w:rsidRPr="00954547">
        <w:rPr>
          <w:rFonts w:ascii="Verdana" w:hAnsi="Verdana"/>
          <w:sz w:val="16"/>
          <w:szCs w:val="16"/>
          <w:bdr w:val="none" w:sz="0" w:space="0" w:color="auto" w:frame="1"/>
        </w:rPr>
        <w:t xml:space="preserve"> and </w:t>
      </w:r>
      <w:r w:rsidR="003E428D" w:rsidRPr="00954547">
        <w:rPr>
          <w:rFonts w:ascii="Verdana" w:hAnsi="Verdana"/>
          <w:sz w:val="16"/>
          <w:szCs w:val="16"/>
          <w:bdr w:val="none" w:sz="0" w:space="0" w:color="auto" w:frame="1"/>
        </w:rPr>
        <w:t xml:space="preserve">prisoner transfer authorization of </w:t>
      </w:r>
      <w:r w:rsidR="006771AD" w:rsidRPr="00954547">
        <w:rPr>
          <w:rFonts w:ascii="Verdana" w:hAnsi="Verdana"/>
          <w:sz w:val="16"/>
          <w:szCs w:val="16"/>
          <w:bdr w:val="none" w:sz="0" w:space="0" w:color="auto" w:frame="1"/>
        </w:rPr>
        <w:t>September 10,</w:t>
      </w:r>
      <w:r w:rsidRPr="00954547">
        <w:rPr>
          <w:rFonts w:ascii="Verdana" w:hAnsi="Verdana"/>
          <w:sz w:val="16"/>
          <w:szCs w:val="16"/>
          <w:bdr w:val="none" w:sz="0" w:space="0" w:color="auto" w:frame="1"/>
        </w:rPr>
        <w:t xml:space="preserve"> 2009 (</w:t>
      </w:r>
      <w:r w:rsidR="001C328F" w:rsidRPr="00954547">
        <w:rPr>
          <w:rFonts w:ascii="Verdana" w:hAnsi="Verdana"/>
          <w:sz w:val="16"/>
          <w:szCs w:val="16"/>
          <w:bdr w:val="none" w:sz="0" w:space="0" w:color="auto" w:frame="1"/>
        </w:rPr>
        <w:t>evidence file</w:t>
      </w:r>
      <w:r w:rsidRPr="00954547">
        <w:rPr>
          <w:rFonts w:ascii="Verdana" w:hAnsi="Verdana"/>
          <w:sz w:val="16"/>
          <w:szCs w:val="16"/>
          <w:bdr w:val="none" w:sz="0" w:space="0" w:color="auto" w:frame="1"/>
        </w:rPr>
        <w:t>, folio 3314).</w:t>
      </w:r>
    </w:p>
  </w:footnote>
  <w:footnote w:id="382">
    <w:p w14:paraId="17B4FE3A" w14:textId="3D12104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cs="Verdana"/>
          <w:bCs/>
          <w:i/>
          <w:iCs/>
          <w:sz w:val="16"/>
          <w:szCs w:val="16"/>
        </w:rPr>
        <w:t>Case of</w:t>
      </w:r>
      <w:r w:rsidRPr="00954547">
        <w:rPr>
          <w:rFonts w:ascii="Verdana" w:hAnsi="Verdana" w:cs="Verdana"/>
          <w:bCs/>
          <w:i/>
          <w:iCs/>
          <w:sz w:val="16"/>
          <w:szCs w:val="16"/>
        </w:rPr>
        <w:t xml:space="preserve"> Chinchilla Sandoval </w:t>
      </w:r>
      <w:r w:rsidR="00B8393C" w:rsidRPr="00954547">
        <w:rPr>
          <w:rFonts w:ascii="Verdana" w:hAnsi="Verdana" w:cs="Verdana"/>
          <w:bCs/>
          <w:i/>
          <w:iCs/>
          <w:sz w:val="16"/>
          <w:szCs w:val="16"/>
        </w:rPr>
        <w:t>et al. v.</w:t>
      </w:r>
      <w:r w:rsidRPr="00954547">
        <w:rPr>
          <w:rFonts w:ascii="Verdana" w:hAnsi="Verdana" w:cs="Verdana"/>
          <w:bCs/>
          <w:i/>
          <w:iCs/>
          <w:sz w:val="16"/>
          <w:szCs w:val="16"/>
        </w:rPr>
        <w:t xml:space="preserve"> Guatemala, supra</w:t>
      </w:r>
      <w:r w:rsidRPr="00954547">
        <w:rPr>
          <w:rFonts w:ascii="Verdana" w:hAnsi="Verdana" w:cs="Verdana"/>
          <w:bCs/>
          <w:iCs/>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189.</w:t>
      </w:r>
    </w:p>
  </w:footnote>
  <w:footnote w:id="383">
    <w:p w14:paraId="2AB9A215" w14:textId="366DA70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 190).</w:t>
      </w:r>
    </w:p>
  </w:footnote>
  <w:footnote w:id="384">
    <w:p w14:paraId="42BBA974" w14:textId="01888F2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cs="Verdana"/>
          <w:bCs/>
          <w:i/>
          <w:iCs/>
          <w:sz w:val="16"/>
          <w:szCs w:val="16"/>
        </w:rPr>
        <w:t>Case of</w:t>
      </w:r>
      <w:r w:rsidRPr="00954547">
        <w:rPr>
          <w:rFonts w:ascii="Verdana" w:hAnsi="Verdana" w:cs="Verdana"/>
          <w:bCs/>
          <w:i/>
          <w:iCs/>
          <w:sz w:val="16"/>
          <w:szCs w:val="16"/>
        </w:rPr>
        <w:t xml:space="preserve"> Chinchilla Sandoval </w:t>
      </w:r>
      <w:r w:rsidR="00B8393C" w:rsidRPr="00954547">
        <w:rPr>
          <w:rFonts w:ascii="Verdana" w:hAnsi="Verdana" w:cs="Verdana"/>
          <w:bCs/>
          <w:i/>
          <w:iCs/>
          <w:sz w:val="16"/>
          <w:szCs w:val="16"/>
        </w:rPr>
        <w:t>et al. v.</w:t>
      </w:r>
      <w:r w:rsidRPr="00954547">
        <w:rPr>
          <w:rFonts w:ascii="Verdana" w:hAnsi="Verdana" w:cs="Verdana"/>
          <w:bCs/>
          <w:i/>
          <w:iCs/>
          <w:sz w:val="16"/>
          <w:szCs w:val="16"/>
        </w:rPr>
        <w:t xml:space="preserve"> Guatemala, supra</w:t>
      </w:r>
      <w:r w:rsidRPr="00954547">
        <w:rPr>
          <w:rFonts w:ascii="Verdana" w:hAnsi="Verdana" w:cs="Verdana"/>
          <w:bCs/>
          <w:iCs/>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177.</w:t>
      </w:r>
    </w:p>
  </w:footnote>
  <w:footnote w:id="385">
    <w:p w14:paraId="34608F39" w14:textId="476D3CC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 191).</w:t>
      </w:r>
    </w:p>
  </w:footnote>
  <w:footnote w:id="386">
    <w:p w14:paraId="77634D81" w14:textId="173EB509"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cs="Verdana"/>
          <w:bCs/>
          <w:i/>
          <w:iCs/>
          <w:sz w:val="16"/>
          <w:szCs w:val="16"/>
        </w:rPr>
        <w:t>Case of</w:t>
      </w:r>
      <w:r w:rsidRPr="00954547">
        <w:rPr>
          <w:rFonts w:ascii="Verdana" w:hAnsi="Verdana" w:cs="Verdana"/>
          <w:bCs/>
          <w:i/>
          <w:iCs/>
          <w:sz w:val="16"/>
          <w:szCs w:val="16"/>
        </w:rPr>
        <w:t xml:space="preserve"> Chinchilla Sandoval </w:t>
      </w:r>
      <w:r w:rsidR="00B8393C" w:rsidRPr="00954547">
        <w:rPr>
          <w:rFonts w:ascii="Verdana" w:hAnsi="Verdana" w:cs="Verdana"/>
          <w:bCs/>
          <w:i/>
          <w:iCs/>
          <w:sz w:val="16"/>
          <w:szCs w:val="16"/>
        </w:rPr>
        <w:t>et al. v.</w:t>
      </w:r>
      <w:r w:rsidRPr="00954547">
        <w:rPr>
          <w:rFonts w:ascii="Verdana" w:hAnsi="Verdana" w:cs="Verdana"/>
          <w:bCs/>
          <w:i/>
          <w:iCs/>
          <w:sz w:val="16"/>
          <w:szCs w:val="16"/>
        </w:rPr>
        <w:t xml:space="preserve"> Guatemala, supra</w:t>
      </w:r>
      <w:r w:rsidRPr="00954547">
        <w:rPr>
          <w:rFonts w:ascii="Verdana" w:hAnsi="Verdana" w:cs="Verdana"/>
          <w:bCs/>
          <w:iCs/>
          <w:sz w:val="16"/>
          <w:szCs w:val="16"/>
        </w:rPr>
        <w:t xml:space="preserve">, </w:t>
      </w:r>
      <w:r w:rsidR="00B10E5A" w:rsidRPr="00954547">
        <w:rPr>
          <w:rFonts w:ascii="Verdana" w:hAnsi="Verdana" w:cs="Verdana"/>
          <w:bCs/>
          <w:iCs/>
          <w:sz w:val="16"/>
          <w:szCs w:val="16"/>
        </w:rPr>
        <w:t>para.</w:t>
      </w:r>
      <w:r w:rsidRPr="00954547">
        <w:rPr>
          <w:rFonts w:ascii="Verdana" w:hAnsi="Verdana" w:cs="Verdana"/>
          <w:bCs/>
          <w:iCs/>
          <w:sz w:val="16"/>
          <w:szCs w:val="16"/>
        </w:rPr>
        <w:t xml:space="preserve"> </w:t>
      </w:r>
      <w:r w:rsidRPr="00954547">
        <w:rPr>
          <w:rFonts w:ascii="Verdana" w:hAnsi="Verdana"/>
          <w:sz w:val="16"/>
          <w:szCs w:val="16"/>
        </w:rPr>
        <w:t>184.</w:t>
      </w:r>
    </w:p>
  </w:footnote>
  <w:footnote w:id="387">
    <w:p w14:paraId="3F0F3872" w14:textId="55F4F7FE"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B8393C" w:rsidRPr="00954547">
        <w:rPr>
          <w:i/>
        </w:rPr>
        <w:t>Cf.</w:t>
      </w:r>
      <w:r w:rsidRPr="00954547">
        <w:rPr>
          <w:i/>
        </w:rPr>
        <w:t xml:space="preserve"> </w:t>
      </w:r>
      <w:r w:rsidR="00F500B0" w:rsidRPr="00954547">
        <w:t>Manuela’s medical record</w:t>
      </w:r>
      <w:r w:rsidRPr="00954547">
        <w:t xml:space="preserve"> </w:t>
      </w:r>
      <w:r w:rsidR="008C4EA3" w:rsidRPr="00954547">
        <w:t>in the</w:t>
      </w:r>
      <w:r w:rsidRPr="00954547">
        <w:t xml:space="preserve"> </w:t>
      </w:r>
      <w:r w:rsidR="004361C8" w:rsidRPr="00954547">
        <w:t>Rosales National Hospital</w:t>
      </w:r>
      <w:r w:rsidRPr="00954547">
        <w:t xml:space="preserve">. </w:t>
      </w:r>
      <w:r w:rsidR="008C4EA3" w:rsidRPr="00954547">
        <w:t>Entry for April 22,</w:t>
      </w:r>
      <w:r w:rsidRPr="00954547">
        <w:t xml:space="preserve"> 2009 (</w:t>
      </w:r>
      <w:r w:rsidR="001C328F" w:rsidRPr="00954547">
        <w:t>evidence file</w:t>
      </w:r>
      <w:r w:rsidRPr="00954547">
        <w:t>, folio 2640).</w:t>
      </w:r>
    </w:p>
  </w:footnote>
  <w:footnote w:id="388">
    <w:p w14:paraId="45F5562A" w14:textId="690BA741"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B8393C" w:rsidRPr="00954547">
        <w:rPr>
          <w:i/>
        </w:rPr>
        <w:t>Cf.</w:t>
      </w:r>
      <w:r w:rsidRPr="00954547">
        <w:rPr>
          <w:i/>
        </w:rPr>
        <w:t xml:space="preserve"> </w:t>
      </w:r>
      <w:r w:rsidR="00F500B0" w:rsidRPr="00954547">
        <w:t>Manuela’s medical record</w:t>
      </w:r>
      <w:r w:rsidRPr="00954547">
        <w:t xml:space="preserve"> </w:t>
      </w:r>
      <w:r w:rsidR="008C4EA3" w:rsidRPr="00954547">
        <w:t>in the</w:t>
      </w:r>
      <w:r w:rsidRPr="00954547">
        <w:t xml:space="preserve"> </w:t>
      </w:r>
      <w:r w:rsidR="004361C8" w:rsidRPr="00954547">
        <w:t>Rosales National Hospital</w:t>
      </w:r>
      <w:r w:rsidRPr="00954547">
        <w:t xml:space="preserve">. </w:t>
      </w:r>
      <w:r w:rsidR="008C4EA3" w:rsidRPr="00954547">
        <w:t>Entry for January 6,</w:t>
      </w:r>
      <w:r w:rsidRPr="00954547">
        <w:t xml:space="preserve"> 2010 (</w:t>
      </w:r>
      <w:r w:rsidR="001C328F" w:rsidRPr="00954547">
        <w:t>evidence file</w:t>
      </w:r>
      <w:r w:rsidRPr="00954547">
        <w:t>, folio 2743).</w:t>
      </w:r>
    </w:p>
  </w:footnote>
  <w:footnote w:id="389">
    <w:p w14:paraId="6FF7608C" w14:textId="014BE24B" w:rsidR="005F001B" w:rsidRPr="00954547" w:rsidRDefault="005F001B" w:rsidP="007619E6">
      <w:pPr>
        <w:pStyle w:val="NoSpacing"/>
        <w:spacing w:before="0"/>
      </w:pPr>
      <w:r w:rsidRPr="00954547">
        <w:rPr>
          <w:rStyle w:val="FootnoteReference"/>
        </w:rPr>
        <w:footnoteRef/>
      </w:r>
      <w:r w:rsidRPr="00954547">
        <w:t xml:space="preserve"> </w:t>
      </w:r>
      <w:r w:rsidRPr="00954547">
        <w:tab/>
      </w:r>
      <w:r w:rsidR="00B8393C" w:rsidRPr="00954547">
        <w:rPr>
          <w:i/>
        </w:rPr>
        <w:t>Cf.</w:t>
      </w:r>
      <w:r w:rsidRPr="00954547">
        <w:rPr>
          <w:i/>
        </w:rPr>
        <w:t xml:space="preserve"> </w:t>
      </w:r>
      <w:r w:rsidR="00F500B0" w:rsidRPr="00954547">
        <w:t>Manuela’s medical record</w:t>
      </w:r>
      <w:r w:rsidRPr="00954547">
        <w:t xml:space="preserve"> </w:t>
      </w:r>
      <w:r w:rsidR="00C169A0" w:rsidRPr="00954547">
        <w:t>in the</w:t>
      </w:r>
      <w:r w:rsidRPr="00954547">
        <w:t xml:space="preserve"> </w:t>
      </w:r>
      <w:r w:rsidR="004361C8" w:rsidRPr="00954547">
        <w:t>Rosales National Hospital</w:t>
      </w:r>
      <w:r w:rsidRPr="00954547">
        <w:t xml:space="preserve">. </w:t>
      </w:r>
      <w:r w:rsidR="00C169A0" w:rsidRPr="00954547">
        <w:t>Entry for January 6,</w:t>
      </w:r>
      <w:r w:rsidRPr="00954547">
        <w:t xml:space="preserve"> 2010 (</w:t>
      </w:r>
      <w:r w:rsidR="001C328F" w:rsidRPr="00954547">
        <w:t>evidence file</w:t>
      </w:r>
      <w:r w:rsidRPr="00954547">
        <w:t xml:space="preserve">, folio 2743), </w:t>
      </w:r>
      <w:r w:rsidR="00C169A0" w:rsidRPr="00954547">
        <w:t>and</w:t>
      </w:r>
      <w:r w:rsidRPr="00954547">
        <w:t xml:space="preserve"> </w:t>
      </w:r>
      <w:r w:rsidR="00F500B0" w:rsidRPr="00954547">
        <w:t>Manuela’s medical record</w:t>
      </w:r>
      <w:r w:rsidRPr="00954547">
        <w:t xml:space="preserve"> </w:t>
      </w:r>
      <w:r w:rsidR="00C169A0" w:rsidRPr="00954547">
        <w:t>in the</w:t>
      </w:r>
      <w:r w:rsidRPr="00954547">
        <w:t xml:space="preserve"> </w:t>
      </w:r>
      <w:r w:rsidR="004361C8" w:rsidRPr="00954547">
        <w:t>Rosales National Hospital</w:t>
      </w:r>
      <w:r w:rsidRPr="00954547">
        <w:t xml:space="preserve">. </w:t>
      </w:r>
      <w:r w:rsidR="00C169A0" w:rsidRPr="00954547">
        <w:t>Entry for</w:t>
      </w:r>
      <w:r w:rsidRPr="00954547">
        <w:t xml:space="preserve"> </w:t>
      </w:r>
      <w:r w:rsidR="001D4E6E" w:rsidRPr="00954547">
        <w:t xml:space="preserve">February </w:t>
      </w:r>
      <w:r w:rsidR="00C169A0" w:rsidRPr="00954547">
        <w:t>1</w:t>
      </w:r>
      <w:r w:rsidR="001D4E6E" w:rsidRPr="00954547">
        <w:t>8,</w:t>
      </w:r>
      <w:r w:rsidRPr="00954547">
        <w:t xml:space="preserve"> 2010 (</w:t>
      </w:r>
      <w:r w:rsidR="001C328F" w:rsidRPr="00954547">
        <w:t>evidence file</w:t>
      </w:r>
      <w:r w:rsidRPr="00954547">
        <w:t>, folio 2735)</w:t>
      </w:r>
      <w:r w:rsidR="00C169A0" w:rsidRPr="00954547">
        <w:t>.</w:t>
      </w:r>
    </w:p>
  </w:footnote>
  <w:footnote w:id="390">
    <w:p w14:paraId="003FCC28" w14:textId="61366419" w:rsidR="005F001B" w:rsidRPr="00954547" w:rsidRDefault="005F001B" w:rsidP="007619E6">
      <w:pPr>
        <w:widowControl w:val="0"/>
        <w:tabs>
          <w:tab w:val="left" w:pos="567"/>
        </w:tabs>
        <w:spacing w:after="120"/>
        <w:jc w:val="both"/>
        <w:rPr>
          <w:rFonts w:ascii="Verdana" w:eastAsia="Times New Roman" w:hAnsi="Verdana"/>
          <w:color w:val="000000"/>
          <w:sz w:val="16"/>
          <w:szCs w:val="16"/>
          <w:lang w:eastAsia="es-MX"/>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Bulacio </w:t>
      </w:r>
      <w:r w:rsidR="009C16A1" w:rsidRPr="00954547">
        <w:rPr>
          <w:rFonts w:ascii="Verdana" w:hAnsi="Verdana"/>
          <w:i/>
          <w:sz w:val="16"/>
          <w:szCs w:val="16"/>
        </w:rPr>
        <w:t>v.</w:t>
      </w:r>
      <w:r w:rsidRPr="00954547">
        <w:rPr>
          <w:rFonts w:ascii="Verdana" w:hAnsi="Verdana"/>
          <w:i/>
          <w:sz w:val="16"/>
          <w:szCs w:val="16"/>
        </w:rPr>
        <w:t xml:space="preserve"> Argentina.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C169A0" w:rsidRPr="00954547">
        <w:rPr>
          <w:rFonts w:ascii="Verdana" w:hAnsi="Verdana"/>
          <w:sz w:val="16"/>
          <w:szCs w:val="16"/>
        </w:rPr>
        <w:t>September 18,</w:t>
      </w:r>
      <w:r w:rsidRPr="00954547">
        <w:rPr>
          <w:rFonts w:ascii="Verdana" w:hAnsi="Verdana"/>
          <w:sz w:val="16"/>
          <w:szCs w:val="16"/>
        </w:rPr>
        <w:t xml:space="preserve"> 2003. </w:t>
      </w:r>
      <w:r w:rsidR="00B8393C" w:rsidRPr="00954547">
        <w:rPr>
          <w:rFonts w:ascii="Verdana" w:hAnsi="Verdana"/>
          <w:sz w:val="16"/>
          <w:szCs w:val="16"/>
        </w:rPr>
        <w:t xml:space="preserve">Series </w:t>
      </w:r>
      <w:r w:rsidRPr="00954547">
        <w:rPr>
          <w:rFonts w:ascii="Verdana" w:hAnsi="Verdana"/>
          <w:sz w:val="16"/>
          <w:szCs w:val="16"/>
        </w:rPr>
        <w:t xml:space="preserve">C No. 100, </w:t>
      </w:r>
      <w:r w:rsidR="00B10E5A" w:rsidRPr="00954547">
        <w:rPr>
          <w:rFonts w:ascii="Verdana" w:hAnsi="Verdana"/>
          <w:sz w:val="16"/>
          <w:szCs w:val="16"/>
        </w:rPr>
        <w:t>para.</w:t>
      </w:r>
      <w:r w:rsidRPr="00954547">
        <w:rPr>
          <w:rFonts w:ascii="Verdana" w:hAnsi="Verdana"/>
          <w:sz w:val="16"/>
          <w:szCs w:val="16"/>
        </w:rPr>
        <w:t xml:space="preserve"> 138,</w:t>
      </w:r>
      <w:r w:rsidR="0078694F" w:rsidRPr="00954547">
        <w:rPr>
          <w:rFonts w:ascii="Verdana" w:hAnsi="Verdana"/>
          <w:i/>
          <w:sz w:val="16"/>
          <w:szCs w:val="16"/>
        </w:rPr>
        <w:t xml:space="preserve"> and </w:t>
      </w:r>
      <w:r w:rsidR="002F4617" w:rsidRPr="00954547">
        <w:rPr>
          <w:rFonts w:ascii="Verdana" w:eastAsia="Times New Roman" w:hAnsi="Verdana"/>
          <w:bCs/>
          <w:i/>
          <w:color w:val="000000"/>
          <w:sz w:val="16"/>
          <w:szCs w:val="16"/>
          <w:lang w:eastAsia="es-MX"/>
        </w:rPr>
        <w:t>Case of</w:t>
      </w:r>
      <w:r w:rsidRPr="00954547">
        <w:rPr>
          <w:rFonts w:ascii="Verdana" w:eastAsia="Times New Roman" w:hAnsi="Verdana"/>
          <w:bCs/>
          <w:i/>
          <w:color w:val="000000"/>
          <w:sz w:val="16"/>
          <w:szCs w:val="16"/>
          <w:lang w:eastAsia="es-MX"/>
        </w:rPr>
        <w:t xml:space="preserve"> Quispialaya Vilcapoma </w:t>
      </w:r>
      <w:r w:rsidR="009C16A1" w:rsidRPr="00954547">
        <w:rPr>
          <w:rFonts w:ascii="Verdana" w:eastAsia="Times New Roman" w:hAnsi="Verdana"/>
          <w:bCs/>
          <w:i/>
          <w:color w:val="000000"/>
          <w:sz w:val="16"/>
          <w:szCs w:val="16"/>
          <w:lang w:eastAsia="es-MX"/>
        </w:rPr>
        <w:t>v.</w:t>
      </w:r>
      <w:r w:rsidRPr="00954547">
        <w:rPr>
          <w:rFonts w:ascii="Verdana" w:eastAsia="Times New Roman" w:hAnsi="Verdana"/>
          <w:bCs/>
          <w:i/>
          <w:color w:val="000000"/>
          <w:sz w:val="16"/>
          <w:szCs w:val="16"/>
          <w:lang w:eastAsia="es-MX"/>
        </w:rPr>
        <w:t xml:space="preserve"> </w:t>
      </w:r>
      <w:r w:rsidR="00C26F0B" w:rsidRPr="00954547">
        <w:rPr>
          <w:rFonts w:ascii="Verdana" w:eastAsia="Times New Roman" w:hAnsi="Verdana"/>
          <w:bCs/>
          <w:i/>
          <w:color w:val="000000"/>
          <w:sz w:val="16"/>
          <w:szCs w:val="16"/>
          <w:lang w:eastAsia="es-MX"/>
        </w:rPr>
        <w:t>Peru</w:t>
      </w:r>
      <w:r w:rsidRPr="00954547">
        <w:rPr>
          <w:rFonts w:ascii="Verdana" w:eastAsia="Times New Roman" w:hAnsi="Verdana"/>
          <w:bCs/>
          <w:i/>
          <w:color w:val="000000"/>
          <w:sz w:val="16"/>
          <w:szCs w:val="16"/>
          <w:lang w:eastAsia="es-MX"/>
        </w:rPr>
        <w:t xml:space="preserve">. </w:t>
      </w:r>
      <w:r w:rsidR="004C640C" w:rsidRPr="00954547">
        <w:rPr>
          <w:rFonts w:ascii="Verdana" w:eastAsia="Times New Roman" w:hAnsi="Verdana"/>
          <w:bCs/>
          <w:i/>
          <w:color w:val="000000"/>
          <w:sz w:val="16"/>
          <w:szCs w:val="16"/>
          <w:lang w:eastAsia="es-MX"/>
        </w:rPr>
        <w:t>Preliminary objections, merits</w:t>
      </w:r>
      <w:r w:rsidR="00A70DC4" w:rsidRPr="00954547">
        <w:rPr>
          <w:rFonts w:ascii="Verdana" w:eastAsia="Times New Roman" w:hAnsi="Verdana"/>
          <w:bCs/>
          <w:i/>
          <w:color w:val="000000"/>
          <w:sz w:val="16"/>
          <w:szCs w:val="16"/>
          <w:lang w:eastAsia="es-MX"/>
        </w:rPr>
        <w:t>, reparations and costs</w:t>
      </w:r>
      <w:r w:rsidRPr="00954547">
        <w:rPr>
          <w:rFonts w:ascii="Verdana" w:eastAsia="Times New Roman" w:hAnsi="Verdana"/>
          <w:bCs/>
          <w:i/>
          <w:color w:val="000000"/>
          <w:sz w:val="16"/>
          <w:szCs w:val="16"/>
          <w:lang w:eastAsia="es-MX"/>
        </w:rPr>
        <w:t>.</w:t>
      </w:r>
      <w:r w:rsidRPr="00954547">
        <w:rPr>
          <w:rFonts w:ascii="Verdana" w:eastAsia="Times New Roman" w:hAnsi="Verdana"/>
          <w:bCs/>
          <w:color w:val="000000"/>
          <w:sz w:val="16"/>
          <w:szCs w:val="16"/>
          <w:lang w:eastAsia="es-MX"/>
        </w:rPr>
        <w:t xml:space="preserve"> </w:t>
      </w:r>
      <w:r w:rsidR="00B8393C" w:rsidRPr="00954547">
        <w:rPr>
          <w:rFonts w:ascii="Verdana" w:eastAsia="Times New Roman" w:hAnsi="Verdana"/>
          <w:bCs/>
          <w:color w:val="000000"/>
          <w:sz w:val="16"/>
          <w:szCs w:val="16"/>
          <w:lang w:eastAsia="es-MX"/>
        </w:rPr>
        <w:t>Judgment of</w:t>
      </w:r>
      <w:r w:rsidRPr="00954547">
        <w:rPr>
          <w:rFonts w:ascii="Verdana" w:eastAsia="Times New Roman" w:hAnsi="Verdana"/>
          <w:bCs/>
          <w:color w:val="000000"/>
          <w:sz w:val="16"/>
          <w:szCs w:val="16"/>
          <w:lang w:eastAsia="es-MX"/>
        </w:rPr>
        <w:t xml:space="preserve"> </w:t>
      </w:r>
      <w:r w:rsidR="00BF0AF9" w:rsidRPr="00954547">
        <w:rPr>
          <w:rFonts w:ascii="Verdana" w:eastAsia="Times New Roman" w:hAnsi="Verdana"/>
          <w:bCs/>
          <w:color w:val="000000"/>
          <w:sz w:val="16"/>
          <w:szCs w:val="16"/>
          <w:lang w:eastAsia="es-MX"/>
        </w:rPr>
        <w:t>November 23,</w:t>
      </w:r>
      <w:r w:rsidRPr="00954547">
        <w:rPr>
          <w:rFonts w:ascii="Verdana" w:eastAsia="Times New Roman" w:hAnsi="Verdana"/>
          <w:bCs/>
          <w:color w:val="000000"/>
          <w:sz w:val="16"/>
          <w:szCs w:val="16"/>
          <w:lang w:eastAsia="es-MX"/>
        </w:rPr>
        <w:t xml:space="preserve"> 2015. </w:t>
      </w:r>
      <w:r w:rsidR="00B8393C" w:rsidRPr="00954547">
        <w:rPr>
          <w:rFonts w:ascii="Verdana" w:eastAsia="Times New Roman" w:hAnsi="Verdana"/>
          <w:bCs/>
          <w:color w:val="000000"/>
          <w:sz w:val="16"/>
          <w:szCs w:val="16"/>
          <w:lang w:eastAsia="es-MX"/>
        </w:rPr>
        <w:t xml:space="preserve">Series </w:t>
      </w:r>
      <w:r w:rsidRPr="00954547">
        <w:rPr>
          <w:rFonts w:ascii="Verdana" w:eastAsia="Times New Roman" w:hAnsi="Verdana"/>
          <w:bCs/>
          <w:color w:val="000000"/>
          <w:sz w:val="16"/>
          <w:szCs w:val="16"/>
          <w:lang w:eastAsia="es-MX"/>
        </w:rPr>
        <w:t xml:space="preserve">C No. 308, </w:t>
      </w:r>
      <w:r w:rsidR="00B10E5A" w:rsidRPr="00954547">
        <w:rPr>
          <w:rFonts w:ascii="Verdana" w:eastAsia="Times New Roman" w:hAnsi="Verdana"/>
          <w:bCs/>
          <w:color w:val="000000"/>
          <w:sz w:val="16"/>
          <w:szCs w:val="16"/>
          <w:lang w:eastAsia="es-MX"/>
        </w:rPr>
        <w:t>para.</w:t>
      </w:r>
      <w:r w:rsidRPr="00954547">
        <w:rPr>
          <w:rFonts w:ascii="Verdana" w:eastAsia="Times New Roman" w:hAnsi="Verdana"/>
          <w:bCs/>
          <w:color w:val="000000"/>
          <w:sz w:val="16"/>
          <w:szCs w:val="16"/>
          <w:lang w:eastAsia="es-MX"/>
        </w:rPr>
        <w:t xml:space="preserve"> 118.</w:t>
      </w:r>
    </w:p>
  </w:footnote>
  <w:footnote w:id="391">
    <w:p w14:paraId="2A87C039" w14:textId="3384A370" w:rsidR="005F001B" w:rsidRPr="00954547" w:rsidRDefault="005F001B" w:rsidP="007619E6">
      <w:pPr>
        <w:pStyle w:val="FootnoteText"/>
        <w:widowControl w:val="0"/>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Bulacio </w:t>
      </w:r>
      <w:r w:rsidR="009C16A1" w:rsidRPr="00954547">
        <w:rPr>
          <w:rFonts w:ascii="Verdana" w:hAnsi="Verdana"/>
          <w:i/>
          <w:sz w:val="16"/>
          <w:szCs w:val="16"/>
        </w:rPr>
        <w:t>v.</w:t>
      </w:r>
      <w:r w:rsidRPr="00954547">
        <w:rPr>
          <w:rFonts w:ascii="Verdana" w:hAnsi="Verdana"/>
          <w:i/>
          <w:sz w:val="16"/>
          <w:szCs w:val="16"/>
        </w:rPr>
        <w:t xml:space="preserve"> Argentina,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138,</w:t>
      </w:r>
      <w:r w:rsidR="0078694F" w:rsidRPr="00954547">
        <w:rPr>
          <w:rFonts w:ascii="Verdana" w:hAnsi="Verdana"/>
          <w:i/>
          <w:sz w:val="16"/>
          <w:szCs w:val="16"/>
        </w:rPr>
        <w:t xml:space="preserve"> and </w:t>
      </w:r>
      <w:r w:rsidR="002F4617" w:rsidRPr="00954547">
        <w:rPr>
          <w:rFonts w:ascii="Verdana" w:hAnsi="Verdana" w:cs="Verdana"/>
          <w:bCs/>
          <w:i/>
          <w:iCs/>
          <w:sz w:val="16"/>
          <w:szCs w:val="16"/>
        </w:rPr>
        <w:t>Case of</w:t>
      </w:r>
      <w:r w:rsidRPr="00954547">
        <w:rPr>
          <w:rFonts w:ascii="Verdana" w:hAnsi="Verdana" w:cs="Verdana"/>
          <w:bCs/>
          <w:i/>
          <w:iCs/>
          <w:sz w:val="16"/>
          <w:szCs w:val="16"/>
        </w:rPr>
        <w:t xml:space="preserve"> Chinchilla Sandoval </w:t>
      </w:r>
      <w:r w:rsidR="00B8393C" w:rsidRPr="00954547">
        <w:rPr>
          <w:rFonts w:ascii="Verdana" w:hAnsi="Verdana" w:cs="Verdana"/>
          <w:bCs/>
          <w:i/>
          <w:iCs/>
          <w:sz w:val="16"/>
          <w:szCs w:val="16"/>
        </w:rPr>
        <w:t>et al. v.</w:t>
      </w:r>
      <w:r w:rsidRPr="00954547">
        <w:rPr>
          <w:rFonts w:ascii="Verdana" w:hAnsi="Verdana" w:cs="Verdana"/>
          <w:bCs/>
          <w:i/>
          <w:iCs/>
          <w:sz w:val="16"/>
          <w:szCs w:val="16"/>
        </w:rPr>
        <w:t xml:space="preserve"> Guatemala, supra</w:t>
      </w:r>
      <w:r w:rsidRPr="00954547">
        <w:rPr>
          <w:rFonts w:ascii="Verdana" w:hAnsi="Verdana" w:cs="Verdana"/>
          <w:bCs/>
          <w:iCs/>
          <w:sz w:val="16"/>
          <w:szCs w:val="16"/>
        </w:rPr>
        <w:t xml:space="preserve">, </w:t>
      </w:r>
      <w:r w:rsidR="00B10E5A" w:rsidRPr="00954547">
        <w:rPr>
          <w:rStyle w:val="Strong"/>
          <w:rFonts w:ascii="Verdana" w:hAnsi="Verdana"/>
          <w:b w:val="0"/>
          <w:sz w:val="16"/>
          <w:szCs w:val="16"/>
        </w:rPr>
        <w:t>para.</w:t>
      </w:r>
      <w:r w:rsidRPr="00954547">
        <w:rPr>
          <w:rStyle w:val="Strong"/>
          <w:rFonts w:ascii="Verdana" w:hAnsi="Verdana"/>
          <w:b w:val="0"/>
          <w:sz w:val="16"/>
          <w:szCs w:val="16"/>
        </w:rPr>
        <w:t xml:space="preserve"> 173.</w:t>
      </w:r>
    </w:p>
  </w:footnote>
  <w:footnote w:id="392">
    <w:p w14:paraId="477DB067" w14:textId="142F67A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22 </w:t>
      </w:r>
      <w:r w:rsidR="00C169A0" w:rsidRPr="00954547">
        <w:rPr>
          <w:rFonts w:ascii="Verdana" w:hAnsi="Verdana"/>
          <w:sz w:val="16"/>
          <w:szCs w:val="16"/>
        </w:rPr>
        <w:t>of the</w:t>
      </w:r>
      <w:r w:rsidRPr="00954547">
        <w:rPr>
          <w:rFonts w:ascii="Verdana" w:hAnsi="Verdana"/>
          <w:sz w:val="16"/>
          <w:szCs w:val="16"/>
        </w:rPr>
        <w:t xml:space="preserve"> </w:t>
      </w:r>
      <w:r w:rsidR="00E11281" w:rsidRPr="00954547">
        <w:rPr>
          <w:rFonts w:ascii="Verdana" w:hAnsi="Verdana"/>
          <w:sz w:val="16"/>
          <w:szCs w:val="16"/>
        </w:rPr>
        <w:t xml:space="preserve">revised </w:t>
      </w:r>
      <w:r w:rsidR="005D58CB" w:rsidRPr="00954547">
        <w:rPr>
          <w:rFonts w:ascii="Verdana" w:hAnsi="Verdana"/>
          <w:sz w:val="16"/>
          <w:szCs w:val="16"/>
        </w:rPr>
        <w:t>Standard Minimum Rules</w:t>
      </w:r>
      <w:r w:rsidR="00C169A0" w:rsidRPr="00954547">
        <w:rPr>
          <w:rFonts w:ascii="Verdana" w:hAnsi="Verdana"/>
          <w:sz w:val="16"/>
          <w:szCs w:val="16"/>
        </w:rPr>
        <w:t xml:space="preserve"> the Treatment of Prisoners</w:t>
      </w:r>
      <w:r w:rsidRPr="00954547">
        <w:rPr>
          <w:rFonts w:ascii="Verdana" w:hAnsi="Verdana"/>
          <w:sz w:val="16"/>
          <w:szCs w:val="16"/>
        </w:rPr>
        <w:t xml:space="preserve">. </w:t>
      </w:r>
      <w:r w:rsidR="00C169A0" w:rsidRPr="00954547">
        <w:rPr>
          <w:rFonts w:ascii="Verdana" w:hAnsi="Verdana"/>
          <w:sz w:val="16"/>
          <w:szCs w:val="16"/>
        </w:rPr>
        <w:t>See also,</w:t>
      </w:r>
      <w:r w:rsidRPr="00954547">
        <w:rPr>
          <w:rFonts w:ascii="Verdana" w:hAnsi="Verdana"/>
          <w:sz w:val="16"/>
          <w:szCs w:val="16"/>
        </w:rPr>
        <w:t xml:space="preserve"> </w:t>
      </w:r>
      <w:r w:rsidR="00A17F8C" w:rsidRPr="00954547">
        <w:rPr>
          <w:rFonts w:ascii="Verdana" w:hAnsi="Verdana"/>
          <w:sz w:val="16"/>
          <w:szCs w:val="16"/>
        </w:rPr>
        <w:t>Article</w:t>
      </w:r>
      <w:r w:rsidRPr="00954547">
        <w:rPr>
          <w:rFonts w:ascii="Verdana" w:hAnsi="Verdana"/>
          <w:sz w:val="16"/>
          <w:szCs w:val="16"/>
        </w:rPr>
        <w:t>s 25</w:t>
      </w:r>
      <w:r w:rsidR="0078694F" w:rsidRPr="00954547">
        <w:rPr>
          <w:rFonts w:ascii="Verdana" w:hAnsi="Verdana"/>
          <w:sz w:val="16"/>
          <w:szCs w:val="16"/>
        </w:rPr>
        <w:t xml:space="preserve"> and </w:t>
      </w:r>
      <w:r w:rsidRPr="00954547">
        <w:rPr>
          <w:rFonts w:ascii="Verdana" w:hAnsi="Verdana"/>
          <w:sz w:val="16"/>
          <w:szCs w:val="16"/>
        </w:rPr>
        <w:t xml:space="preserve">26. </w:t>
      </w:r>
      <w:r w:rsidR="00E11281" w:rsidRPr="00954547">
        <w:rPr>
          <w:rFonts w:ascii="Verdana" w:hAnsi="Verdana"/>
          <w:sz w:val="16"/>
          <w:szCs w:val="16"/>
        </w:rPr>
        <w:t xml:space="preserve">The </w:t>
      </w:r>
      <w:r w:rsidR="00CA1C78" w:rsidRPr="00954547">
        <w:rPr>
          <w:rFonts w:ascii="Verdana" w:hAnsi="Verdana"/>
          <w:sz w:val="16"/>
          <w:szCs w:val="16"/>
        </w:rPr>
        <w:t xml:space="preserve">revised </w:t>
      </w:r>
      <w:r w:rsidR="00C169A0" w:rsidRPr="00954547">
        <w:rPr>
          <w:rFonts w:ascii="Verdana" w:hAnsi="Verdana"/>
          <w:sz w:val="16"/>
          <w:szCs w:val="16"/>
        </w:rPr>
        <w:t>United Nations</w:t>
      </w:r>
      <w:r w:rsidRPr="00954547">
        <w:rPr>
          <w:rFonts w:ascii="Verdana" w:hAnsi="Verdana"/>
          <w:sz w:val="16"/>
          <w:szCs w:val="16"/>
        </w:rPr>
        <w:t xml:space="preserve"> </w:t>
      </w:r>
      <w:r w:rsidR="005D58CB" w:rsidRPr="00954547">
        <w:rPr>
          <w:rFonts w:ascii="Verdana" w:hAnsi="Verdana"/>
          <w:sz w:val="16"/>
          <w:szCs w:val="16"/>
        </w:rPr>
        <w:t xml:space="preserve">Standard Minimum Rules </w:t>
      </w:r>
      <w:r w:rsidR="00C169A0" w:rsidRPr="00954547">
        <w:rPr>
          <w:rFonts w:ascii="Verdana" w:hAnsi="Verdana"/>
          <w:sz w:val="16"/>
          <w:szCs w:val="16"/>
        </w:rPr>
        <w:t>for the Treatment of Prisoners</w:t>
      </w:r>
      <w:r w:rsidR="00CA1C78" w:rsidRPr="00954547">
        <w:rPr>
          <w:rFonts w:ascii="Verdana" w:hAnsi="Verdana"/>
          <w:sz w:val="16"/>
          <w:szCs w:val="16"/>
        </w:rPr>
        <w:t xml:space="preserve">, </w:t>
      </w:r>
      <w:r w:rsidR="00E11281" w:rsidRPr="00954547">
        <w:rPr>
          <w:rFonts w:ascii="Verdana" w:hAnsi="Verdana"/>
          <w:sz w:val="16"/>
          <w:szCs w:val="16"/>
        </w:rPr>
        <w:t>also known as the “Mandela Rules</w:t>
      </w:r>
      <w:r w:rsidR="00CA1C78" w:rsidRPr="00954547">
        <w:rPr>
          <w:rFonts w:ascii="Verdana" w:hAnsi="Verdana"/>
          <w:sz w:val="16"/>
          <w:szCs w:val="16"/>
        </w:rPr>
        <w:t>,</w:t>
      </w:r>
      <w:r w:rsidR="00E11281" w:rsidRPr="00954547">
        <w:rPr>
          <w:rFonts w:ascii="Verdana" w:hAnsi="Verdana"/>
          <w:sz w:val="16"/>
          <w:szCs w:val="16"/>
        </w:rPr>
        <w:t xml:space="preserve">” </w:t>
      </w:r>
      <w:r w:rsidR="00CA1C78" w:rsidRPr="00954547">
        <w:rPr>
          <w:rFonts w:ascii="Verdana" w:hAnsi="Verdana"/>
          <w:sz w:val="16"/>
          <w:szCs w:val="16"/>
        </w:rPr>
        <w:t>were amended</w:t>
      </w:r>
      <w:r w:rsidR="00E11281" w:rsidRPr="00954547">
        <w:rPr>
          <w:rFonts w:ascii="Verdana" w:hAnsi="Verdana"/>
          <w:sz w:val="16"/>
          <w:szCs w:val="16"/>
        </w:rPr>
        <w:t xml:space="preserve"> to</w:t>
      </w:r>
      <w:r w:rsidR="005D58CB" w:rsidRPr="00954547">
        <w:rPr>
          <w:rFonts w:ascii="Verdana" w:hAnsi="Verdana"/>
          <w:sz w:val="16"/>
          <w:szCs w:val="16"/>
        </w:rPr>
        <w:t xml:space="preserve"> reflect the global consensus on certain minimum standards for the medical care of persons deprived of liberty,</w:t>
      </w:r>
      <w:r w:rsidR="00E11281" w:rsidRPr="00954547">
        <w:rPr>
          <w:rFonts w:ascii="Verdana" w:hAnsi="Verdana"/>
          <w:sz w:val="16"/>
          <w:szCs w:val="16"/>
        </w:rPr>
        <w:t xml:space="preserve"> and</w:t>
      </w:r>
      <w:r w:rsidR="005D58CB" w:rsidRPr="00954547">
        <w:rPr>
          <w:rFonts w:ascii="Verdana" w:hAnsi="Verdana"/>
          <w:sz w:val="16"/>
          <w:szCs w:val="16"/>
        </w:rPr>
        <w:t xml:space="preserve"> have established that every </w:t>
      </w:r>
      <w:r w:rsidR="000315EA" w:rsidRPr="00954547">
        <w:rPr>
          <w:rFonts w:ascii="Verdana" w:hAnsi="Verdana"/>
          <w:sz w:val="16"/>
          <w:szCs w:val="16"/>
        </w:rPr>
        <w:t>prison shall have in place a health-care service tasked with evaluating, promoting, protecting and improving the physical and mental health of prisoners, paying particular attention to prisoners with special health-care needs or with health issues that hamper their rehabilitation</w:t>
      </w:r>
      <w:r w:rsidRPr="00954547">
        <w:rPr>
          <w:rFonts w:ascii="Verdana" w:hAnsi="Verdana"/>
          <w:sz w:val="16"/>
          <w:szCs w:val="16"/>
        </w:rPr>
        <w:t xml:space="preserve"> (</w:t>
      </w:r>
      <w:r w:rsidR="000315EA" w:rsidRPr="00954547">
        <w:rPr>
          <w:rFonts w:ascii="Verdana" w:hAnsi="Verdana"/>
          <w:sz w:val="16"/>
          <w:szCs w:val="16"/>
        </w:rPr>
        <w:t>Rule</w:t>
      </w:r>
      <w:r w:rsidRPr="00954547">
        <w:rPr>
          <w:rFonts w:ascii="Verdana" w:hAnsi="Verdana"/>
          <w:sz w:val="16"/>
          <w:szCs w:val="16"/>
        </w:rPr>
        <w:t xml:space="preserve"> 25); </w:t>
      </w:r>
      <w:r w:rsidR="000315EA" w:rsidRPr="00954547">
        <w:rPr>
          <w:rFonts w:ascii="Verdana" w:hAnsi="Verdana"/>
          <w:sz w:val="16"/>
          <w:szCs w:val="16"/>
        </w:rPr>
        <w:t>and the need to maintain accurate, up-to-date and confidential individual medical files</w:t>
      </w:r>
      <w:r w:rsidRPr="00954547">
        <w:rPr>
          <w:rFonts w:ascii="Verdana" w:hAnsi="Verdana"/>
          <w:sz w:val="16"/>
          <w:szCs w:val="16"/>
        </w:rPr>
        <w:t xml:space="preserve"> (</w:t>
      </w:r>
      <w:r w:rsidR="000315EA" w:rsidRPr="00954547">
        <w:rPr>
          <w:rFonts w:ascii="Verdana" w:hAnsi="Verdana"/>
          <w:sz w:val="16"/>
          <w:szCs w:val="16"/>
        </w:rPr>
        <w:t>Rule</w:t>
      </w:r>
      <w:r w:rsidRPr="00954547">
        <w:rPr>
          <w:rFonts w:ascii="Verdana" w:hAnsi="Verdana"/>
          <w:sz w:val="16"/>
          <w:szCs w:val="16"/>
        </w:rPr>
        <w:t xml:space="preserve"> 26); </w:t>
      </w:r>
      <w:r w:rsidR="000315EA" w:rsidRPr="00954547">
        <w:rPr>
          <w:rFonts w:ascii="Verdana" w:hAnsi="Verdana"/>
          <w:sz w:val="16"/>
          <w:szCs w:val="16"/>
        </w:rPr>
        <w:t xml:space="preserve">that </w:t>
      </w:r>
      <w:r w:rsidR="00E11281" w:rsidRPr="00954547">
        <w:rPr>
          <w:rFonts w:ascii="Verdana" w:hAnsi="Verdana"/>
          <w:sz w:val="16"/>
          <w:szCs w:val="16"/>
        </w:rPr>
        <w:t>a</w:t>
      </w:r>
      <w:r w:rsidR="000315EA" w:rsidRPr="00954547">
        <w:rPr>
          <w:rFonts w:ascii="Verdana" w:hAnsi="Verdana"/>
          <w:sz w:val="16"/>
          <w:szCs w:val="16"/>
        </w:rPr>
        <w:t>ll prisons shall ensure prompt access to medical attention in urgent cases; that prisoners who require specialized treatment or surgery shall be transferred to specialized institutions or to civil hospitals; and that where a prison service has its own hospital facilities, they shall be adequately staffed and equipped to provide prisoners referred to them with appropriate treatment and care</w:t>
      </w:r>
      <w:r w:rsidRPr="00954547">
        <w:rPr>
          <w:rFonts w:ascii="Verdana" w:hAnsi="Verdana"/>
          <w:sz w:val="16"/>
          <w:szCs w:val="16"/>
        </w:rPr>
        <w:t xml:space="preserve"> (</w:t>
      </w:r>
      <w:r w:rsidR="000315EA" w:rsidRPr="00954547">
        <w:rPr>
          <w:rFonts w:ascii="Verdana" w:hAnsi="Verdana"/>
          <w:sz w:val="16"/>
          <w:szCs w:val="16"/>
        </w:rPr>
        <w:t>Rule</w:t>
      </w:r>
      <w:r w:rsidRPr="00954547">
        <w:rPr>
          <w:rFonts w:ascii="Verdana" w:hAnsi="Verdana"/>
          <w:sz w:val="16"/>
          <w:szCs w:val="16"/>
        </w:rPr>
        <w:t xml:space="preserve"> 27). </w:t>
      </w:r>
      <w:r w:rsidR="00E11281" w:rsidRPr="00954547">
        <w:rPr>
          <w:rFonts w:ascii="Verdana" w:hAnsi="Verdana"/>
          <w:sz w:val="16"/>
          <w:szCs w:val="16"/>
        </w:rPr>
        <w:t>This amendment to the</w:t>
      </w:r>
      <w:r w:rsidRPr="00954547">
        <w:rPr>
          <w:rFonts w:ascii="Verdana" w:hAnsi="Verdana"/>
          <w:sz w:val="16"/>
          <w:szCs w:val="16"/>
        </w:rPr>
        <w:t xml:space="preserve"> </w:t>
      </w:r>
      <w:r w:rsidR="00E11281" w:rsidRPr="00954547">
        <w:rPr>
          <w:rFonts w:ascii="Verdana" w:hAnsi="Verdana"/>
          <w:sz w:val="16"/>
          <w:szCs w:val="16"/>
        </w:rPr>
        <w:t xml:space="preserve">United Nations Standard Minimum Rules for the Treatment of Prisoners was adopted by the United Nations General Assembly on December 17, </w:t>
      </w:r>
      <w:r w:rsidRPr="00954547">
        <w:rPr>
          <w:rFonts w:ascii="Verdana" w:hAnsi="Verdana"/>
          <w:sz w:val="16"/>
          <w:szCs w:val="16"/>
        </w:rPr>
        <w:t xml:space="preserve">2015. </w:t>
      </w:r>
      <w:r w:rsidR="002F4617" w:rsidRPr="00954547">
        <w:rPr>
          <w:rFonts w:ascii="Verdana" w:hAnsi="Verdana"/>
          <w:sz w:val="16"/>
          <w:szCs w:val="16"/>
        </w:rPr>
        <w:t>Available at</w:t>
      </w:r>
      <w:r w:rsidRPr="00954547">
        <w:rPr>
          <w:rFonts w:ascii="Verdana" w:hAnsi="Verdana"/>
          <w:sz w:val="16"/>
          <w:szCs w:val="16"/>
        </w:rPr>
        <w:t>:</w:t>
      </w:r>
      <w:r w:rsidR="00E11281" w:rsidRPr="00954547">
        <w:rPr>
          <w:rFonts w:ascii="Verdana" w:hAnsi="Verdana"/>
          <w:sz w:val="16"/>
          <w:szCs w:val="16"/>
        </w:rPr>
        <w:t xml:space="preserve"> https://www.unodc.org/documents/justice-and-prison-reform/Nelson_Mandela_Rules-E-ebook.pdf</w:t>
      </w:r>
    </w:p>
  </w:footnote>
  <w:footnote w:id="393">
    <w:p w14:paraId="7CC9EED4" w14:textId="2BBD9BE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Ximenes Lopes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sz w:val="16"/>
          <w:szCs w:val="16"/>
        </w:rPr>
        <w:t xml:space="preserve">, </w:t>
      </w:r>
      <w:r w:rsidRPr="00954547">
        <w:rPr>
          <w:rFonts w:ascii="Verdana" w:hAnsi="Verdana"/>
          <w:i/>
          <w:sz w:val="16"/>
          <w:szCs w:val="16"/>
        </w:rPr>
        <w:t>supra,</w:t>
      </w:r>
      <w:r w:rsidRPr="00954547">
        <w:rPr>
          <w:rFonts w:ascii="Verdana" w:hAnsi="Verdana"/>
          <w:sz w:val="16"/>
          <w:szCs w:val="16"/>
        </w:rPr>
        <w:t xml:space="preserve"> </w:t>
      </w:r>
      <w:r w:rsidR="0052231D" w:rsidRPr="00954547">
        <w:rPr>
          <w:rFonts w:ascii="Verdana" w:hAnsi="Verdana"/>
          <w:sz w:val="16"/>
          <w:szCs w:val="16"/>
        </w:rPr>
        <w:t>paras.</w:t>
      </w:r>
      <w:r w:rsidRPr="00954547">
        <w:rPr>
          <w:rFonts w:ascii="Verdana" w:hAnsi="Verdana"/>
          <w:sz w:val="16"/>
          <w:szCs w:val="16"/>
        </w:rPr>
        <w:t xml:space="preserve"> 120</w:t>
      </w:r>
      <w:r w:rsidR="005A2CC2" w:rsidRPr="00954547">
        <w:rPr>
          <w:rFonts w:ascii="Verdana" w:hAnsi="Verdana"/>
          <w:sz w:val="16"/>
          <w:szCs w:val="16"/>
        </w:rPr>
        <w:t xml:space="preserve"> to </w:t>
      </w:r>
      <w:r w:rsidRPr="00954547">
        <w:rPr>
          <w:rFonts w:ascii="Verdana" w:hAnsi="Verdana"/>
          <w:sz w:val="16"/>
          <w:szCs w:val="16"/>
        </w:rPr>
        <w:t>122, 146</w:t>
      </w:r>
      <w:r w:rsidR="0078694F" w:rsidRPr="00954547">
        <w:rPr>
          <w:rFonts w:ascii="Verdana" w:hAnsi="Verdana"/>
          <w:sz w:val="16"/>
          <w:szCs w:val="16"/>
        </w:rPr>
        <w:t xml:space="preserve"> and </w:t>
      </w:r>
      <w:r w:rsidRPr="00954547">
        <w:rPr>
          <w:rFonts w:ascii="Verdana" w:hAnsi="Verdana"/>
          <w:sz w:val="16"/>
          <w:szCs w:val="16"/>
        </w:rPr>
        <w:t>150,</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Cuscul Pivaral </w:t>
      </w:r>
      <w:r w:rsidR="00B8393C" w:rsidRPr="00954547">
        <w:rPr>
          <w:rFonts w:ascii="Verdana" w:hAnsi="Verdana"/>
          <w:i/>
          <w:sz w:val="16"/>
          <w:szCs w:val="16"/>
        </w:rPr>
        <w:t>et al. v.</w:t>
      </w:r>
      <w:r w:rsidRPr="00954547">
        <w:rPr>
          <w:rFonts w:ascii="Verdana" w:hAnsi="Verdana"/>
          <w:i/>
          <w:sz w:val="16"/>
          <w:szCs w:val="16"/>
        </w:rPr>
        <w:t xml:space="preserve"> Guatemala,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156.</w:t>
      </w:r>
    </w:p>
  </w:footnote>
  <w:footnote w:id="394">
    <w:p w14:paraId="69DC3DC3" w14:textId="2BDADAD6"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Style w:val="FootnoteReference"/>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Poblete Vilches </w:t>
      </w:r>
      <w:r w:rsidR="00B8393C" w:rsidRPr="00954547">
        <w:rPr>
          <w:rFonts w:ascii="Verdana" w:hAnsi="Verdana"/>
          <w:i/>
          <w:sz w:val="16"/>
          <w:szCs w:val="16"/>
        </w:rPr>
        <w:t>et al. v.</w:t>
      </w:r>
      <w:r w:rsidRPr="00954547">
        <w:rPr>
          <w:rFonts w:ascii="Verdana" w:hAnsi="Verdana"/>
          <w:i/>
          <w:sz w:val="16"/>
          <w:szCs w:val="16"/>
        </w:rPr>
        <w:t xml:space="preserve"> Chile,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148,</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Cuscul Pivaral </w:t>
      </w:r>
      <w:r w:rsidR="00B8393C" w:rsidRPr="00954547">
        <w:rPr>
          <w:rFonts w:ascii="Verdana" w:hAnsi="Verdana"/>
          <w:i/>
          <w:sz w:val="16"/>
          <w:szCs w:val="16"/>
        </w:rPr>
        <w:t>et al. v.</w:t>
      </w:r>
      <w:r w:rsidRPr="00954547">
        <w:rPr>
          <w:rFonts w:ascii="Verdana" w:hAnsi="Verdana"/>
          <w:i/>
          <w:sz w:val="16"/>
          <w:szCs w:val="16"/>
        </w:rPr>
        <w:t xml:space="preserve"> Guatemala,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156.</w:t>
      </w:r>
    </w:p>
  </w:footnote>
  <w:footnote w:id="395">
    <w:p w14:paraId="413A60B2" w14:textId="53A362E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Style w:val="FootnoteReference"/>
          <w:rFonts w:ascii="Verdana" w:hAnsi="Verdana"/>
          <w:sz w:val="16"/>
          <w:szCs w:val="16"/>
        </w:rPr>
        <w:t xml:space="preserve"> </w:t>
      </w:r>
      <w:r w:rsidRPr="00954547">
        <w:rPr>
          <w:rStyle w:val="FootnoteReference"/>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w:t>
      </w:r>
      <w:r w:rsidR="00B3732B" w:rsidRPr="00954547">
        <w:rPr>
          <w:rFonts w:ascii="Verdana" w:hAnsi="Verdana"/>
          <w:i/>
          <w:sz w:val="16"/>
          <w:szCs w:val="16"/>
        </w:rPr>
        <w:t>the</w:t>
      </w:r>
      <w:r w:rsidRPr="00954547">
        <w:rPr>
          <w:rFonts w:ascii="Verdana" w:hAnsi="Verdana"/>
          <w:i/>
          <w:sz w:val="16"/>
          <w:szCs w:val="16"/>
        </w:rPr>
        <w:t xml:space="preserve"> Xákmok Kásek </w:t>
      </w:r>
      <w:r w:rsidR="00B3732B" w:rsidRPr="00954547">
        <w:rPr>
          <w:rFonts w:ascii="Verdana" w:hAnsi="Verdana"/>
          <w:i/>
          <w:sz w:val="16"/>
          <w:szCs w:val="16"/>
        </w:rPr>
        <w:t xml:space="preserve">Indigenous Community </w:t>
      </w:r>
      <w:r w:rsidR="009C16A1" w:rsidRPr="00954547">
        <w:rPr>
          <w:rFonts w:ascii="Verdana" w:hAnsi="Verdana"/>
          <w:i/>
          <w:sz w:val="16"/>
          <w:szCs w:val="16"/>
        </w:rPr>
        <w:t>v.</w:t>
      </w:r>
      <w:r w:rsidRPr="00954547">
        <w:rPr>
          <w:rFonts w:ascii="Verdana" w:hAnsi="Verdana"/>
          <w:i/>
          <w:sz w:val="16"/>
          <w:szCs w:val="16"/>
        </w:rPr>
        <w:t xml:space="preserve"> Paraguay. </w:t>
      </w:r>
      <w:r w:rsidR="00A70DC4" w:rsidRPr="00954547">
        <w:rPr>
          <w:rFonts w:ascii="Verdana" w:hAnsi="Verdana"/>
          <w:i/>
          <w:sz w:val="16"/>
          <w:szCs w:val="16"/>
        </w:rPr>
        <w:t>Merits,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3732B" w:rsidRPr="00954547">
        <w:rPr>
          <w:rFonts w:ascii="Verdana" w:hAnsi="Verdana"/>
          <w:sz w:val="16"/>
          <w:szCs w:val="16"/>
        </w:rPr>
        <w:t>August 24,</w:t>
      </w:r>
      <w:r w:rsidRPr="00954547">
        <w:rPr>
          <w:rFonts w:ascii="Verdana" w:hAnsi="Verdana"/>
          <w:sz w:val="16"/>
          <w:szCs w:val="16"/>
        </w:rPr>
        <w:t xml:space="preserve"> 2010. </w:t>
      </w:r>
      <w:r w:rsidR="00B8393C" w:rsidRPr="00954547">
        <w:rPr>
          <w:rFonts w:ascii="Verdana" w:hAnsi="Verdana"/>
          <w:sz w:val="16"/>
          <w:szCs w:val="16"/>
        </w:rPr>
        <w:t xml:space="preserve">Series </w:t>
      </w:r>
      <w:r w:rsidRPr="00954547">
        <w:rPr>
          <w:rFonts w:ascii="Verdana" w:hAnsi="Verdana"/>
          <w:sz w:val="16"/>
          <w:szCs w:val="16"/>
        </w:rPr>
        <w:t xml:space="preserve">C No. 214, </w:t>
      </w:r>
      <w:r w:rsidR="00B10E5A" w:rsidRPr="00954547">
        <w:rPr>
          <w:rFonts w:ascii="Verdana" w:hAnsi="Verdana"/>
          <w:sz w:val="16"/>
          <w:szCs w:val="16"/>
        </w:rPr>
        <w:t>para.</w:t>
      </w:r>
      <w:r w:rsidRPr="00954547">
        <w:rPr>
          <w:rFonts w:ascii="Verdana" w:hAnsi="Verdana"/>
          <w:sz w:val="16"/>
          <w:szCs w:val="16"/>
        </w:rPr>
        <w:t xml:space="preserve"> 227,</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Cuscul Pivaral </w:t>
      </w:r>
      <w:r w:rsidR="00B8393C" w:rsidRPr="00954547">
        <w:rPr>
          <w:rFonts w:ascii="Verdana" w:hAnsi="Verdana"/>
          <w:i/>
          <w:sz w:val="16"/>
          <w:szCs w:val="16"/>
        </w:rPr>
        <w:t>et al. v.</w:t>
      </w:r>
      <w:r w:rsidRPr="00954547">
        <w:rPr>
          <w:rFonts w:ascii="Verdana" w:hAnsi="Verdana"/>
          <w:i/>
          <w:sz w:val="16"/>
          <w:szCs w:val="16"/>
        </w:rPr>
        <w:t xml:space="preserve"> Guatemala,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156.</w:t>
      </w:r>
    </w:p>
  </w:footnote>
  <w:footnote w:id="396">
    <w:p w14:paraId="779C53FE" w14:textId="5A46934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Ximenes Lopes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D3E22" w:rsidRPr="00954547">
        <w:rPr>
          <w:rFonts w:ascii="Verdana" w:hAnsi="Verdana"/>
          <w:sz w:val="16"/>
          <w:szCs w:val="16"/>
        </w:rPr>
        <w:t>July 4,</w:t>
      </w:r>
      <w:r w:rsidRPr="00954547">
        <w:rPr>
          <w:rFonts w:ascii="Verdana" w:hAnsi="Verdana"/>
          <w:sz w:val="16"/>
          <w:szCs w:val="16"/>
        </w:rPr>
        <w:t xml:space="preserve"> 2006. </w:t>
      </w:r>
      <w:r w:rsidR="00B8393C" w:rsidRPr="00954547">
        <w:rPr>
          <w:rFonts w:ascii="Verdana" w:hAnsi="Verdana"/>
          <w:sz w:val="16"/>
          <w:szCs w:val="16"/>
        </w:rPr>
        <w:t xml:space="preserve">Series </w:t>
      </w:r>
      <w:r w:rsidRPr="00954547">
        <w:rPr>
          <w:rFonts w:ascii="Verdana" w:hAnsi="Verdana"/>
          <w:sz w:val="16"/>
          <w:szCs w:val="16"/>
        </w:rPr>
        <w:t xml:space="preserve">C No. 149, </w:t>
      </w:r>
      <w:r w:rsidR="00B10E5A" w:rsidRPr="00954547">
        <w:rPr>
          <w:rFonts w:ascii="Verdana" w:hAnsi="Verdana"/>
          <w:sz w:val="16"/>
          <w:szCs w:val="16"/>
        </w:rPr>
        <w:t>para.</w:t>
      </w:r>
      <w:r w:rsidRPr="00954547">
        <w:rPr>
          <w:rFonts w:ascii="Verdana" w:hAnsi="Verdana"/>
          <w:sz w:val="16"/>
          <w:szCs w:val="16"/>
        </w:rPr>
        <w:t xml:space="preserve"> 125,</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Cuscul Pivaral </w:t>
      </w:r>
      <w:r w:rsidR="00B8393C" w:rsidRPr="00954547">
        <w:rPr>
          <w:rFonts w:ascii="Verdana" w:hAnsi="Verdana"/>
          <w:i/>
          <w:sz w:val="16"/>
          <w:szCs w:val="16"/>
        </w:rPr>
        <w:t>et al. v.</w:t>
      </w:r>
      <w:r w:rsidRPr="00954547">
        <w:rPr>
          <w:rFonts w:ascii="Verdana" w:hAnsi="Verdana"/>
          <w:i/>
          <w:sz w:val="16"/>
          <w:szCs w:val="16"/>
        </w:rPr>
        <w:t xml:space="preserve"> Guatemala,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156.</w:t>
      </w:r>
    </w:p>
  </w:footnote>
  <w:footnote w:id="397">
    <w:p w14:paraId="434F347B" w14:textId="30888BCE" w:rsidR="005F001B" w:rsidRPr="00954547" w:rsidRDefault="005F001B" w:rsidP="007619E6">
      <w:pPr>
        <w:tabs>
          <w:tab w:val="left" w:pos="567"/>
        </w:tabs>
        <w:autoSpaceDE w:val="0"/>
        <w:autoSpaceDN w:val="0"/>
        <w:adjustRightInd w:val="0"/>
        <w:spacing w:after="120"/>
        <w:jc w:val="both"/>
        <w:rPr>
          <w:rFonts w:ascii="Verdana" w:hAnsi="Verdana" w:cs="Arial"/>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F500B0" w:rsidRPr="00954547">
        <w:rPr>
          <w:rFonts w:ascii="Verdana" w:hAnsi="Verdana"/>
          <w:sz w:val="16"/>
          <w:szCs w:val="16"/>
        </w:rPr>
        <w:t>Medical appraisal in the case of Manuela. Review of clinical and hospital treatment in the Cacaopera Health Unit and the San Francisco National Hospital</w:t>
      </w:r>
      <w:r w:rsidRPr="00954547">
        <w:rPr>
          <w:rFonts w:ascii="Verdana" w:hAnsi="Verdana"/>
          <w:sz w:val="16"/>
          <w:szCs w:val="16"/>
        </w:rPr>
        <w:t>” (</w:t>
      </w:r>
      <w:r w:rsidR="001C328F" w:rsidRPr="00954547">
        <w:rPr>
          <w:rFonts w:ascii="Verdana" w:hAnsi="Verdana"/>
          <w:sz w:val="16"/>
          <w:szCs w:val="16"/>
        </w:rPr>
        <w:t>evidence file</w:t>
      </w:r>
      <w:r w:rsidRPr="00954547">
        <w:rPr>
          <w:rFonts w:ascii="Verdana" w:hAnsi="Verdana"/>
          <w:sz w:val="16"/>
          <w:szCs w:val="16"/>
        </w:rPr>
        <w:t>, folio 191).</w:t>
      </w:r>
    </w:p>
  </w:footnote>
  <w:footnote w:id="398">
    <w:p w14:paraId="509D1A3D" w14:textId="3D816B9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hAnsi="Verdana"/>
          <w:sz w:val="16"/>
          <w:szCs w:val="16"/>
        </w:rPr>
        <w:t>Expert opinion provided by Guillermo Antonio Ortiz Avendaño during the public hearing held</w:t>
      </w:r>
      <w:r w:rsidRPr="00954547">
        <w:rPr>
          <w:rFonts w:ascii="Verdana" w:hAnsi="Verdana"/>
          <w:sz w:val="16"/>
          <w:szCs w:val="16"/>
        </w:rPr>
        <w:t xml:space="preserve"> </w:t>
      </w:r>
      <w:r w:rsidR="00FC72C0" w:rsidRPr="00954547">
        <w:rPr>
          <w:rFonts w:ascii="Verdana" w:hAnsi="Verdana"/>
          <w:sz w:val="16"/>
          <w:szCs w:val="16"/>
        </w:rPr>
        <w:t>in this case</w:t>
      </w:r>
      <w:r w:rsidRPr="00954547">
        <w:rPr>
          <w:rFonts w:ascii="Verdana" w:hAnsi="Verdana"/>
          <w:sz w:val="16"/>
          <w:szCs w:val="16"/>
        </w:rPr>
        <w:t xml:space="preserve">. </w:t>
      </w:r>
    </w:p>
  </w:footnote>
  <w:footnote w:id="399">
    <w:p w14:paraId="5BB6287F" w14:textId="60DA5D93"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iCs/>
          <w:lang w:val="en-US"/>
        </w:rPr>
        <w:t>Cf.</w:t>
      </w:r>
      <w:r w:rsidRPr="00954547">
        <w:rPr>
          <w:lang w:val="en-US"/>
        </w:rPr>
        <w:t xml:space="preserve"> </w:t>
      </w:r>
      <w:r w:rsidR="002F4617" w:rsidRPr="00954547">
        <w:rPr>
          <w:i/>
          <w:iCs/>
          <w:lang w:val="en-US"/>
        </w:rPr>
        <w:t>Case of</w:t>
      </w:r>
      <w:r w:rsidRPr="00954547">
        <w:rPr>
          <w:i/>
          <w:iCs/>
          <w:lang w:val="en-US"/>
        </w:rPr>
        <w:t xml:space="preserve"> Vera Vera</w:t>
      </w:r>
      <w:r w:rsidR="0078694F" w:rsidRPr="00954547">
        <w:rPr>
          <w:i/>
          <w:iCs/>
          <w:lang w:val="en-US"/>
        </w:rPr>
        <w:t xml:space="preserve"> </w:t>
      </w:r>
      <w:r w:rsidR="008443DA" w:rsidRPr="00954547">
        <w:rPr>
          <w:i/>
          <w:iCs/>
          <w:lang w:val="en-US"/>
        </w:rPr>
        <w:t>et al.</w:t>
      </w:r>
      <w:r w:rsidRPr="00954547">
        <w:rPr>
          <w:i/>
          <w:iCs/>
          <w:lang w:val="en-US"/>
        </w:rPr>
        <w:t xml:space="preserve"> </w:t>
      </w:r>
      <w:r w:rsidR="009C16A1" w:rsidRPr="00954547">
        <w:rPr>
          <w:i/>
          <w:iCs/>
          <w:lang w:val="en-US"/>
        </w:rPr>
        <w:t>v.</w:t>
      </w:r>
      <w:r w:rsidRPr="00954547">
        <w:rPr>
          <w:i/>
          <w:iCs/>
          <w:lang w:val="en-US"/>
        </w:rPr>
        <w:t xml:space="preserve"> Ecuador, supra,</w:t>
      </w:r>
      <w:r w:rsidRPr="00954547">
        <w:rPr>
          <w:lang w:val="en-US"/>
        </w:rPr>
        <w:t xml:space="preserve"> </w:t>
      </w:r>
      <w:r w:rsidR="00B10E5A" w:rsidRPr="00954547">
        <w:rPr>
          <w:lang w:val="en-US"/>
        </w:rPr>
        <w:t>para.</w:t>
      </w:r>
      <w:r w:rsidRPr="00954547">
        <w:rPr>
          <w:lang w:val="en-US"/>
        </w:rPr>
        <w:t xml:space="preserve"> 87,</w:t>
      </w:r>
      <w:r w:rsidR="0078694F" w:rsidRPr="00954547">
        <w:rPr>
          <w:lang w:val="en-US"/>
        </w:rPr>
        <w:t xml:space="preserve"> and </w:t>
      </w:r>
      <w:r w:rsidR="002F4617" w:rsidRPr="00954547">
        <w:rPr>
          <w:i/>
          <w:iCs/>
          <w:lang w:val="en-US"/>
        </w:rPr>
        <w:t>Case of</w:t>
      </w:r>
      <w:r w:rsidRPr="00954547">
        <w:rPr>
          <w:i/>
          <w:iCs/>
          <w:lang w:val="en-US"/>
        </w:rPr>
        <w:t xml:space="preserve"> </w:t>
      </w:r>
      <w:r w:rsidR="003A0322" w:rsidRPr="00954547">
        <w:rPr>
          <w:i/>
          <w:iCs/>
          <w:lang w:val="en-US"/>
        </w:rPr>
        <w:t xml:space="preserve">the </w:t>
      </w:r>
      <w:r w:rsidRPr="00954547">
        <w:rPr>
          <w:i/>
          <w:iCs/>
          <w:lang w:val="en-US"/>
        </w:rPr>
        <w:t>Landaeta Mejías</w:t>
      </w:r>
      <w:r w:rsidR="003F52EB" w:rsidRPr="00954547">
        <w:rPr>
          <w:i/>
          <w:iCs/>
          <w:lang w:val="en-US"/>
        </w:rPr>
        <w:t xml:space="preserve"> Brothers</w:t>
      </w:r>
      <w:r w:rsidRPr="00954547">
        <w:rPr>
          <w:i/>
          <w:iCs/>
          <w:lang w:val="en-US"/>
        </w:rPr>
        <w:t xml:space="preserve"> </w:t>
      </w:r>
      <w:r w:rsidR="00B8393C" w:rsidRPr="00954547">
        <w:rPr>
          <w:i/>
          <w:iCs/>
          <w:lang w:val="en-US"/>
        </w:rPr>
        <w:t>et al. v.</w:t>
      </w:r>
      <w:r w:rsidRPr="00954547">
        <w:rPr>
          <w:i/>
          <w:iCs/>
          <w:lang w:val="en-US"/>
        </w:rPr>
        <w:t xml:space="preserve"> Venezuela. </w:t>
      </w:r>
      <w:r w:rsidR="004C640C" w:rsidRPr="00954547">
        <w:rPr>
          <w:i/>
          <w:iCs/>
          <w:lang w:val="en-US"/>
        </w:rPr>
        <w:t>Preliminary objections, merits</w:t>
      </w:r>
      <w:r w:rsidR="00A70DC4" w:rsidRPr="00954547">
        <w:rPr>
          <w:i/>
          <w:iCs/>
          <w:lang w:val="en-US"/>
        </w:rPr>
        <w:t>, reparations and costs</w:t>
      </w:r>
      <w:r w:rsidRPr="00954547">
        <w:rPr>
          <w:lang w:val="en-US"/>
        </w:rPr>
        <w:t xml:space="preserve">. </w:t>
      </w:r>
      <w:r w:rsidR="00B8393C" w:rsidRPr="00954547">
        <w:rPr>
          <w:lang w:val="en-US"/>
        </w:rPr>
        <w:t>Judgment of</w:t>
      </w:r>
      <w:r w:rsidRPr="00954547">
        <w:rPr>
          <w:lang w:val="en-US"/>
        </w:rPr>
        <w:t xml:space="preserve"> </w:t>
      </w:r>
      <w:r w:rsidR="008443DA" w:rsidRPr="00954547">
        <w:rPr>
          <w:lang w:val="en-US"/>
        </w:rPr>
        <w:t>August 27,</w:t>
      </w:r>
      <w:r w:rsidRPr="00954547">
        <w:rPr>
          <w:lang w:val="en-US"/>
        </w:rPr>
        <w:t xml:space="preserve"> 2014. </w:t>
      </w:r>
      <w:r w:rsidR="00B8393C" w:rsidRPr="00954547">
        <w:rPr>
          <w:lang w:val="en-US"/>
        </w:rPr>
        <w:t xml:space="preserve">Series </w:t>
      </w:r>
      <w:r w:rsidRPr="00954547">
        <w:rPr>
          <w:lang w:val="en-US"/>
        </w:rPr>
        <w:t xml:space="preserve">C No. 281, </w:t>
      </w:r>
      <w:r w:rsidR="00B10E5A" w:rsidRPr="00954547">
        <w:rPr>
          <w:lang w:val="en-US"/>
        </w:rPr>
        <w:t>para.</w:t>
      </w:r>
      <w:r w:rsidRPr="00954547">
        <w:rPr>
          <w:lang w:val="en-US"/>
        </w:rPr>
        <w:t xml:space="preserve"> 253.</w:t>
      </w:r>
    </w:p>
  </w:footnote>
  <w:footnote w:id="400">
    <w:p w14:paraId="29130887" w14:textId="19E44C9A"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lang w:val="en-US"/>
        </w:rPr>
        <w:t>Cf.</w:t>
      </w:r>
      <w:r w:rsidRPr="00954547">
        <w:rPr>
          <w:i/>
          <w:lang w:val="en-US"/>
        </w:rPr>
        <w:t xml:space="preserve"> </w:t>
      </w:r>
      <w:r w:rsidR="008443DA" w:rsidRPr="00954547">
        <w:rPr>
          <w:lang w:val="en-US"/>
        </w:rPr>
        <w:t xml:space="preserve">International Committee of the Red Cross, </w:t>
      </w:r>
      <w:r w:rsidRPr="00954547">
        <w:rPr>
          <w:lang w:val="en-US"/>
        </w:rPr>
        <w:t>Gu</w:t>
      </w:r>
      <w:r w:rsidR="008443DA" w:rsidRPr="00954547">
        <w:rPr>
          <w:lang w:val="en-US"/>
        </w:rPr>
        <w:t>idelines for Investigating Deaths in Custody, October</w:t>
      </w:r>
      <w:r w:rsidRPr="00954547">
        <w:rPr>
          <w:lang w:val="en-US"/>
        </w:rPr>
        <w:t xml:space="preserve"> 2013, </w:t>
      </w:r>
      <w:r w:rsidR="00A17F8C" w:rsidRPr="00954547">
        <w:rPr>
          <w:lang w:val="en-US"/>
        </w:rPr>
        <w:t>Article</w:t>
      </w:r>
      <w:r w:rsidRPr="00954547">
        <w:rPr>
          <w:lang w:val="en-US"/>
        </w:rPr>
        <w:t xml:space="preserve"> 1</w:t>
      </w:r>
      <w:r w:rsidR="003A0322" w:rsidRPr="00954547">
        <w:rPr>
          <w:lang w:val="en-US"/>
        </w:rPr>
        <w:t>(</w:t>
      </w:r>
      <w:r w:rsidRPr="00954547">
        <w:rPr>
          <w:lang w:val="en-US"/>
        </w:rPr>
        <w:t>2</w:t>
      </w:r>
      <w:r w:rsidR="003A0322" w:rsidRPr="00954547">
        <w:rPr>
          <w:lang w:val="en-US"/>
        </w:rPr>
        <w:t>)</w:t>
      </w:r>
      <w:r w:rsidRPr="00954547">
        <w:rPr>
          <w:lang w:val="en-US"/>
        </w:rPr>
        <w:t xml:space="preserve">(c). </w:t>
      </w:r>
      <w:r w:rsidR="002F4617" w:rsidRPr="00954547">
        <w:rPr>
          <w:lang w:val="en-US"/>
        </w:rPr>
        <w:t>Available at</w:t>
      </w:r>
      <w:r w:rsidRPr="00954547">
        <w:rPr>
          <w:lang w:val="en-US"/>
        </w:rPr>
        <w:t xml:space="preserve">: </w:t>
      </w:r>
      <w:hyperlink r:id="rId31" w:history="1">
        <w:r w:rsidRPr="00954547">
          <w:rPr>
            <w:rStyle w:val="Hyperlink"/>
            <w:lang w:val="en-US"/>
          </w:rPr>
          <w:t>https://www.icrc.org/en/doc/assets/files/publications/icrc-002-4126.pdf</w:t>
        </w:r>
      </w:hyperlink>
      <w:r w:rsidRPr="00954547">
        <w:rPr>
          <w:lang w:val="en-US"/>
        </w:rPr>
        <w:t xml:space="preserve"> </w:t>
      </w:r>
    </w:p>
  </w:footnote>
  <w:footnote w:id="401">
    <w:p w14:paraId="5A3AE414" w14:textId="69A2E190"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3A0322" w:rsidRPr="00954547">
        <w:rPr>
          <w:lang w:val="en-US"/>
        </w:rPr>
        <w:t>Manuela’s d</w:t>
      </w:r>
      <w:r w:rsidR="008443DA" w:rsidRPr="00954547">
        <w:rPr>
          <w:lang w:val="en-US"/>
        </w:rPr>
        <w:t>eath certificate dated</w:t>
      </w:r>
      <w:r w:rsidR="00060952" w:rsidRPr="00954547">
        <w:rPr>
          <w:lang w:val="en-US"/>
        </w:rPr>
        <w:t xml:space="preserve"> April 30,</w:t>
      </w:r>
      <w:r w:rsidRPr="00954547">
        <w:rPr>
          <w:lang w:val="en-US"/>
        </w:rPr>
        <w:t xml:space="preserve"> 2010 (</w:t>
      </w:r>
      <w:r w:rsidR="001C328F" w:rsidRPr="00954547">
        <w:rPr>
          <w:lang w:val="en-US"/>
        </w:rPr>
        <w:t>evidence file</w:t>
      </w:r>
      <w:r w:rsidRPr="00954547">
        <w:rPr>
          <w:lang w:val="en-US"/>
        </w:rPr>
        <w:t>, folios 3780</w:t>
      </w:r>
      <w:r w:rsidR="0078694F" w:rsidRPr="00954547">
        <w:rPr>
          <w:lang w:val="en-US"/>
        </w:rPr>
        <w:t xml:space="preserve"> and </w:t>
      </w:r>
      <w:r w:rsidRPr="00954547">
        <w:rPr>
          <w:lang w:val="en-US"/>
        </w:rPr>
        <w:t>3783).</w:t>
      </w:r>
    </w:p>
  </w:footnote>
  <w:footnote w:id="402">
    <w:p w14:paraId="691227CC" w14:textId="621E7E8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Poblete Vilches </w:t>
      </w:r>
      <w:r w:rsidR="00B8393C" w:rsidRPr="00954547">
        <w:rPr>
          <w:rFonts w:ascii="Verdana" w:hAnsi="Verdana"/>
          <w:i/>
          <w:sz w:val="16"/>
          <w:szCs w:val="16"/>
        </w:rPr>
        <w:t>et al. v.</w:t>
      </w:r>
      <w:r w:rsidRPr="00954547">
        <w:rPr>
          <w:rFonts w:ascii="Verdana" w:hAnsi="Verdana"/>
          <w:i/>
          <w:sz w:val="16"/>
          <w:szCs w:val="16"/>
        </w:rPr>
        <w:t xml:space="preserve"> Chile,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122,</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166.</w:t>
      </w:r>
    </w:p>
  </w:footnote>
  <w:footnote w:id="403">
    <w:p w14:paraId="508B2FEC" w14:textId="79010264"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420435" w:rsidRPr="00954547">
        <w:rPr>
          <w:rFonts w:ascii="Verdana" w:hAnsi="Verdana"/>
          <w:i/>
          <w:sz w:val="16"/>
          <w:szCs w:val="16"/>
        </w:rPr>
        <w:t>Juridical Status and Rights of Undocumented Migrants</w:t>
      </w:r>
      <w:r w:rsidRPr="00954547">
        <w:rPr>
          <w:rFonts w:ascii="Verdana" w:hAnsi="Verdana"/>
          <w:i/>
          <w:sz w:val="16"/>
          <w:szCs w:val="16"/>
        </w:rPr>
        <w:t>.</w:t>
      </w:r>
      <w:r w:rsidRPr="00954547">
        <w:rPr>
          <w:rFonts w:ascii="Verdana" w:hAnsi="Verdana"/>
          <w:sz w:val="16"/>
          <w:szCs w:val="16"/>
        </w:rPr>
        <w:t xml:space="preserve"> </w:t>
      </w:r>
      <w:r w:rsidR="00B01245" w:rsidRPr="00954547">
        <w:rPr>
          <w:rFonts w:ascii="Verdana" w:hAnsi="Verdana"/>
          <w:sz w:val="16"/>
          <w:szCs w:val="16"/>
        </w:rPr>
        <w:t>Advisory Opinion</w:t>
      </w:r>
      <w:r w:rsidRPr="00954547">
        <w:rPr>
          <w:rFonts w:ascii="Verdana" w:hAnsi="Verdana"/>
          <w:sz w:val="16"/>
          <w:szCs w:val="16"/>
        </w:rPr>
        <w:t xml:space="preserve"> OC-18/03 </w:t>
      </w:r>
      <w:r w:rsidR="00420435" w:rsidRPr="00954547">
        <w:rPr>
          <w:rFonts w:ascii="Verdana" w:hAnsi="Verdana"/>
          <w:sz w:val="16"/>
          <w:szCs w:val="16"/>
        </w:rPr>
        <w:t>of September 17,</w:t>
      </w:r>
      <w:r w:rsidRPr="00954547">
        <w:rPr>
          <w:rFonts w:ascii="Verdana" w:hAnsi="Verdana"/>
          <w:sz w:val="16"/>
          <w:szCs w:val="16"/>
        </w:rPr>
        <w:t xml:space="preserve"> 2003. </w:t>
      </w:r>
      <w:r w:rsidR="00B8393C" w:rsidRPr="00954547">
        <w:rPr>
          <w:rFonts w:ascii="Verdana" w:hAnsi="Verdana"/>
          <w:sz w:val="16"/>
          <w:szCs w:val="16"/>
        </w:rPr>
        <w:t xml:space="preserve">Series </w:t>
      </w:r>
      <w:r w:rsidRPr="00954547">
        <w:rPr>
          <w:rFonts w:ascii="Verdana" w:hAnsi="Verdana"/>
          <w:sz w:val="16"/>
          <w:szCs w:val="16"/>
        </w:rPr>
        <w:t xml:space="preserve">A No. 18, </w:t>
      </w:r>
      <w:r w:rsidR="00B10E5A" w:rsidRPr="00954547">
        <w:rPr>
          <w:rFonts w:ascii="Verdana" w:hAnsi="Verdana"/>
          <w:sz w:val="16"/>
          <w:szCs w:val="16"/>
        </w:rPr>
        <w:t>para.</w:t>
      </w:r>
      <w:r w:rsidRPr="00954547">
        <w:rPr>
          <w:rFonts w:ascii="Verdana" w:hAnsi="Verdana"/>
          <w:sz w:val="16"/>
          <w:szCs w:val="16"/>
        </w:rPr>
        <w:t xml:space="preserve"> 103,</w:t>
      </w:r>
      <w:r w:rsidR="0078694F" w:rsidRPr="00954547">
        <w:rPr>
          <w:rFonts w:ascii="Verdana" w:hAnsi="Verdana"/>
          <w:sz w:val="16"/>
          <w:szCs w:val="16"/>
        </w:rPr>
        <w:t xml:space="preserve"> and </w:t>
      </w:r>
      <w:r w:rsidR="002F4617" w:rsidRPr="00954547">
        <w:rPr>
          <w:rFonts w:ascii="Verdana" w:hAnsi="Verdana"/>
          <w:i/>
          <w:sz w:val="16"/>
          <w:szCs w:val="16"/>
        </w:rPr>
        <w:t xml:space="preserve">Case </w:t>
      </w:r>
      <w:r w:rsidR="00FC4D38" w:rsidRPr="00954547">
        <w:rPr>
          <w:rFonts w:ascii="Verdana" w:hAnsi="Verdana"/>
          <w:i/>
          <w:sz w:val="16"/>
          <w:szCs w:val="16"/>
        </w:rPr>
        <w:t xml:space="preserve">of the Workers of the </w:t>
      </w:r>
      <w:r w:rsidR="00420435" w:rsidRPr="00954547">
        <w:rPr>
          <w:rFonts w:ascii="Verdana" w:hAnsi="Verdana"/>
          <w:i/>
          <w:sz w:val="16"/>
          <w:szCs w:val="16"/>
        </w:rPr>
        <w:t>Fireworks</w:t>
      </w:r>
      <w:r w:rsidR="00FC4D38" w:rsidRPr="00954547">
        <w:rPr>
          <w:rFonts w:ascii="Verdana" w:hAnsi="Verdana"/>
          <w:i/>
          <w:sz w:val="16"/>
          <w:szCs w:val="16"/>
        </w:rPr>
        <w:t xml:space="preserve"> Factory of</w:t>
      </w:r>
      <w:r w:rsidRPr="00954547">
        <w:rPr>
          <w:rFonts w:ascii="Verdana" w:hAnsi="Verdana"/>
          <w:i/>
          <w:sz w:val="16"/>
          <w:szCs w:val="16"/>
        </w:rPr>
        <w:t xml:space="preserve"> Santo Antônio de </w:t>
      </w:r>
      <w:r w:rsidR="00420435" w:rsidRPr="00954547">
        <w:rPr>
          <w:rFonts w:ascii="Verdana" w:hAnsi="Verdana"/>
          <w:i/>
          <w:sz w:val="16"/>
          <w:szCs w:val="16"/>
        </w:rPr>
        <w:t>Jesus and their families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182.</w:t>
      </w:r>
    </w:p>
  </w:footnote>
  <w:footnote w:id="404">
    <w:p w14:paraId="4FEB5434" w14:textId="5E46DD99" w:rsidR="005F001B" w:rsidRPr="00954547" w:rsidRDefault="005F001B" w:rsidP="007619E6">
      <w:pPr>
        <w:tabs>
          <w:tab w:val="left" w:pos="567"/>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FC4D38" w:rsidRPr="00954547">
        <w:rPr>
          <w:rFonts w:ascii="Verdana" w:hAnsi="Verdana"/>
          <w:i/>
          <w:sz w:val="16"/>
          <w:szCs w:val="16"/>
        </w:rPr>
        <w:t xml:space="preserve">of the Workers of the </w:t>
      </w:r>
      <w:r w:rsidR="00420435" w:rsidRPr="00954547">
        <w:rPr>
          <w:rFonts w:ascii="Verdana" w:hAnsi="Verdana"/>
          <w:i/>
          <w:sz w:val="16"/>
          <w:szCs w:val="16"/>
        </w:rPr>
        <w:t>Fireworks</w:t>
      </w:r>
      <w:r w:rsidR="00FC4D38" w:rsidRPr="00954547">
        <w:rPr>
          <w:rFonts w:ascii="Verdana" w:hAnsi="Verdana"/>
          <w:i/>
          <w:sz w:val="16"/>
          <w:szCs w:val="16"/>
        </w:rPr>
        <w:t xml:space="preserve"> Factory of</w:t>
      </w:r>
      <w:r w:rsidRPr="00954547">
        <w:rPr>
          <w:rFonts w:ascii="Verdana" w:hAnsi="Verdana"/>
          <w:i/>
          <w:sz w:val="16"/>
          <w:szCs w:val="16"/>
        </w:rPr>
        <w:t xml:space="preserve"> Santo Antônio de Jesus</w:t>
      </w:r>
      <w:r w:rsidR="003A0322" w:rsidRPr="00954547">
        <w:rPr>
          <w:rFonts w:ascii="Verdana" w:hAnsi="Verdana"/>
          <w:i/>
          <w:sz w:val="16"/>
          <w:szCs w:val="16"/>
        </w:rPr>
        <w:t xml:space="preserve"> and their families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199</w:t>
      </w:r>
      <w:r w:rsidRPr="00954547">
        <w:rPr>
          <w:rFonts w:ascii="Verdana" w:hAnsi="Verdana"/>
          <w:i/>
          <w:sz w:val="16"/>
          <w:szCs w:val="16"/>
        </w:rPr>
        <w:t>,</w:t>
      </w:r>
      <w:r w:rsidR="0078694F" w:rsidRPr="00954547">
        <w:rPr>
          <w:rFonts w:ascii="Verdana" w:hAnsi="Verdana"/>
          <w:i/>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Guachalá Chimbo </w:t>
      </w:r>
      <w:r w:rsidR="00B8393C" w:rsidRPr="00954547">
        <w:rPr>
          <w:rFonts w:ascii="Verdana" w:hAnsi="Verdana"/>
          <w:i/>
          <w:sz w:val="16"/>
          <w:szCs w:val="16"/>
        </w:rPr>
        <w:t>et al. 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i/>
          <w:sz w:val="16"/>
          <w:szCs w:val="16"/>
        </w:rPr>
        <w:t xml:space="preserve"> </w:t>
      </w:r>
      <w:r w:rsidRPr="00954547">
        <w:rPr>
          <w:rFonts w:ascii="Verdana" w:hAnsi="Verdana"/>
          <w:sz w:val="16"/>
          <w:szCs w:val="16"/>
        </w:rPr>
        <w:t>167.</w:t>
      </w:r>
    </w:p>
  </w:footnote>
  <w:footnote w:id="405">
    <w:p w14:paraId="3558F5F0" w14:textId="4CA27C9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8393C" w:rsidRPr="00954547">
        <w:rPr>
          <w:rFonts w:ascii="Verdana" w:hAnsi="Verdana"/>
          <w:i/>
          <w:color w:val="auto"/>
          <w:sz w:val="16"/>
          <w:szCs w:val="16"/>
        </w:rPr>
        <w:t>Cf.</w:t>
      </w:r>
      <w:r w:rsidRPr="00954547">
        <w:rPr>
          <w:rFonts w:ascii="Verdana" w:hAnsi="Verdana"/>
          <w:i/>
          <w:color w:val="auto"/>
          <w:sz w:val="16"/>
          <w:szCs w:val="16"/>
        </w:rPr>
        <w:t xml:space="preserve"> </w:t>
      </w:r>
      <w:r w:rsidR="002F4617" w:rsidRPr="00954547">
        <w:rPr>
          <w:rFonts w:ascii="Verdana" w:hAnsi="Verdana"/>
          <w:i/>
          <w:color w:val="auto"/>
          <w:sz w:val="16"/>
          <w:szCs w:val="16"/>
        </w:rPr>
        <w:t>Case of</w:t>
      </w:r>
      <w:r w:rsidRPr="00954547">
        <w:rPr>
          <w:rFonts w:ascii="Verdana" w:hAnsi="Verdana"/>
          <w:i/>
          <w:color w:val="auto"/>
          <w:sz w:val="16"/>
          <w:szCs w:val="16"/>
        </w:rPr>
        <w:t xml:space="preserve"> </w:t>
      </w:r>
      <w:r w:rsidR="00A64AF3" w:rsidRPr="00954547">
        <w:rPr>
          <w:rFonts w:ascii="Verdana" w:hAnsi="Verdana"/>
          <w:i/>
          <w:color w:val="auto"/>
          <w:sz w:val="16"/>
          <w:szCs w:val="16"/>
        </w:rPr>
        <w:t>the</w:t>
      </w:r>
      <w:r w:rsidRPr="00954547">
        <w:rPr>
          <w:rFonts w:ascii="Verdana" w:hAnsi="Verdana"/>
          <w:i/>
          <w:color w:val="auto"/>
          <w:sz w:val="16"/>
          <w:szCs w:val="16"/>
        </w:rPr>
        <w:t xml:space="preserve"> Yean</w:t>
      </w:r>
      <w:r w:rsidR="0078694F" w:rsidRPr="00954547">
        <w:rPr>
          <w:rFonts w:ascii="Verdana" w:hAnsi="Verdana"/>
          <w:i/>
          <w:color w:val="auto"/>
          <w:sz w:val="16"/>
          <w:szCs w:val="16"/>
        </w:rPr>
        <w:t xml:space="preserve"> and </w:t>
      </w:r>
      <w:r w:rsidRPr="00954547">
        <w:rPr>
          <w:rFonts w:ascii="Verdana" w:hAnsi="Verdana"/>
          <w:i/>
          <w:color w:val="auto"/>
          <w:sz w:val="16"/>
          <w:szCs w:val="16"/>
        </w:rPr>
        <w:t>Bosico</w:t>
      </w:r>
      <w:r w:rsidR="00A64AF3" w:rsidRPr="00954547">
        <w:rPr>
          <w:rFonts w:ascii="Verdana" w:hAnsi="Verdana"/>
          <w:i/>
          <w:color w:val="auto"/>
          <w:sz w:val="16"/>
          <w:szCs w:val="16"/>
        </w:rPr>
        <w:t xml:space="preserve"> Girls</w:t>
      </w:r>
      <w:r w:rsidRPr="00954547">
        <w:rPr>
          <w:rFonts w:ascii="Verdana" w:hAnsi="Verdana"/>
          <w:i/>
          <w:color w:val="auto"/>
          <w:sz w:val="16"/>
          <w:szCs w:val="16"/>
        </w:rPr>
        <w:t xml:space="preserve"> </w:t>
      </w:r>
      <w:r w:rsidR="009C16A1" w:rsidRPr="00954547">
        <w:rPr>
          <w:rFonts w:ascii="Verdana" w:hAnsi="Verdana"/>
          <w:i/>
          <w:color w:val="auto"/>
          <w:sz w:val="16"/>
          <w:szCs w:val="16"/>
        </w:rPr>
        <w:t>v.</w:t>
      </w:r>
      <w:r w:rsidRPr="00954547">
        <w:rPr>
          <w:rFonts w:ascii="Verdana" w:hAnsi="Verdana"/>
          <w:i/>
          <w:color w:val="auto"/>
          <w:sz w:val="16"/>
          <w:szCs w:val="16"/>
        </w:rPr>
        <w:t xml:space="preserve"> </w:t>
      </w:r>
      <w:r w:rsidR="00B10E5A" w:rsidRPr="00954547">
        <w:rPr>
          <w:rFonts w:ascii="Verdana" w:hAnsi="Verdana"/>
          <w:i/>
          <w:color w:val="auto"/>
          <w:sz w:val="16"/>
          <w:szCs w:val="16"/>
        </w:rPr>
        <w:t>Dominican Republic</w:t>
      </w:r>
      <w:r w:rsidRPr="00954547">
        <w:rPr>
          <w:rFonts w:ascii="Verdana" w:hAnsi="Verdana"/>
          <w:i/>
          <w:color w:val="auto"/>
          <w:sz w:val="16"/>
          <w:szCs w:val="16"/>
        </w:rPr>
        <w:t xml:space="preserve">. </w:t>
      </w:r>
      <w:r w:rsidR="00B8393C" w:rsidRPr="00954547">
        <w:rPr>
          <w:rFonts w:ascii="Verdana" w:hAnsi="Verdana"/>
          <w:iCs/>
          <w:color w:val="auto"/>
          <w:sz w:val="16"/>
          <w:szCs w:val="16"/>
        </w:rPr>
        <w:t>Judgment of</w:t>
      </w:r>
      <w:r w:rsidRPr="00954547">
        <w:rPr>
          <w:rFonts w:ascii="Verdana" w:hAnsi="Verdana"/>
          <w:iCs/>
          <w:color w:val="auto"/>
          <w:sz w:val="16"/>
          <w:szCs w:val="16"/>
        </w:rPr>
        <w:t xml:space="preserve"> </w:t>
      </w:r>
      <w:r w:rsidR="00A64AF3" w:rsidRPr="00954547">
        <w:rPr>
          <w:rFonts w:ascii="Verdana" w:hAnsi="Verdana"/>
          <w:iCs/>
          <w:color w:val="auto"/>
          <w:sz w:val="16"/>
          <w:szCs w:val="16"/>
        </w:rPr>
        <w:t>September 8,</w:t>
      </w:r>
      <w:r w:rsidRPr="00954547">
        <w:rPr>
          <w:rFonts w:ascii="Verdana" w:hAnsi="Verdana"/>
          <w:iCs/>
          <w:color w:val="auto"/>
          <w:sz w:val="16"/>
          <w:szCs w:val="16"/>
        </w:rPr>
        <w:t xml:space="preserve"> 2005. </w:t>
      </w:r>
      <w:r w:rsidR="00B8393C" w:rsidRPr="00954547">
        <w:rPr>
          <w:rFonts w:ascii="Verdana" w:hAnsi="Verdana"/>
          <w:iCs/>
          <w:color w:val="auto"/>
          <w:sz w:val="16"/>
          <w:szCs w:val="16"/>
        </w:rPr>
        <w:t>Series</w:t>
      </w:r>
      <w:r w:rsidR="00B8393C" w:rsidRPr="00954547">
        <w:rPr>
          <w:rFonts w:ascii="Verdana" w:hAnsi="Verdana"/>
          <w:color w:val="auto"/>
          <w:sz w:val="16"/>
          <w:szCs w:val="16"/>
        </w:rPr>
        <w:t xml:space="preserve"> </w:t>
      </w:r>
      <w:r w:rsidRPr="00954547">
        <w:rPr>
          <w:rFonts w:ascii="Verdana" w:hAnsi="Verdana"/>
          <w:color w:val="auto"/>
          <w:sz w:val="16"/>
          <w:szCs w:val="16"/>
        </w:rPr>
        <w:t xml:space="preserve">C No. 130, </w:t>
      </w:r>
      <w:r w:rsidR="00B10E5A" w:rsidRPr="00954547">
        <w:rPr>
          <w:rFonts w:ascii="Verdana" w:hAnsi="Verdana"/>
          <w:color w:val="auto"/>
          <w:sz w:val="16"/>
          <w:szCs w:val="16"/>
        </w:rPr>
        <w:t>para.</w:t>
      </w:r>
      <w:r w:rsidRPr="00954547">
        <w:rPr>
          <w:rFonts w:ascii="Verdana" w:hAnsi="Verdana"/>
          <w:color w:val="auto"/>
          <w:sz w:val="16"/>
          <w:szCs w:val="16"/>
        </w:rPr>
        <w:t xml:space="preserve"> 141,</w:t>
      </w:r>
      <w:r w:rsidR="0078694F" w:rsidRPr="00954547">
        <w:rPr>
          <w:rFonts w:ascii="Verdana" w:hAnsi="Verdana"/>
          <w:color w:val="auto"/>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Artavia Murillo</w:t>
      </w:r>
      <w:r w:rsidR="0078694F" w:rsidRPr="00954547">
        <w:rPr>
          <w:rFonts w:ascii="Verdana" w:hAnsi="Verdana"/>
          <w:i/>
          <w:sz w:val="16"/>
          <w:szCs w:val="16"/>
        </w:rPr>
        <w:t xml:space="preserve"> </w:t>
      </w:r>
      <w:r w:rsidR="00521777" w:rsidRPr="00954547">
        <w:rPr>
          <w:rFonts w:ascii="Verdana" w:hAnsi="Verdana"/>
          <w:i/>
          <w:sz w:val="16"/>
          <w:szCs w:val="16"/>
        </w:rPr>
        <w:t>et al. (In vitro fertilization)</w:t>
      </w:r>
      <w:r w:rsidR="00A64AF3"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Costa Rica, supra</w:t>
      </w:r>
      <w:r w:rsidRPr="00954547">
        <w:rPr>
          <w:rFonts w:ascii="Verdana" w:hAnsi="Verdana"/>
          <w:color w:val="auto"/>
          <w:sz w:val="16"/>
          <w:szCs w:val="16"/>
        </w:rPr>
        <w:t xml:space="preserve">, </w:t>
      </w:r>
      <w:r w:rsidR="00B10E5A" w:rsidRPr="00954547">
        <w:rPr>
          <w:rFonts w:ascii="Verdana" w:hAnsi="Verdana"/>
          <w:color w:val="auto"/>
          <w:sz w:val="16"/>
          <w:szCs w:val="16"/>
        </w:rPr>
        <w:t>para.</w:t>
      </w:r>
      <w:r w:rsidRPr="00954547">
        <w:rPr>
          <w:rFonts w:ascii="Verdana" w:hAnsi="Verdana"/>
          <w:color w:val="auto"/>
          <w:sz w:val="16"/>
          <w:szCs w:val="16"/>
        </w:rPr>
        <w:t xml:space="preserve"> 286.</w:t>
      </w:r>
    </w:p>
  </w:footnote>
  <w:footnote w:id="406">
    <w:p w14:paraId="30DFD9BF" w14:textId="3878CE73"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Artavia Murillo</w:t>
      </w:r>
      <w:r w:rsidR="0078694F" w:rsidRPr="00954547">
        <w:rPr>
          <w:rFonts w:ascii="Verdana" w:hAnsi="Verdana"/>
          <w:i/>
          <w:sz w:val="16"/>
          <w:szCs w:val="16"/>
        </w:rPr>
        <w:t xml:space="preserve"> </w:t>
      </w:r>
      <w:r w:rsidR="00521777" w:rsidRPr="00954547">
        <w:rPr>
          <w:rFonts w:ascii="Verdana" w:hAnsi="Verdana"/>
          <w:i/>
          <w:sz w:val="16"/>
          <w:szCs w:val="16"/>
        </w:rPr>
        <w:t xml:space="preserve">et al. </w:t>
      </w:r>
      <w:r w:rsidR="00521777" w:rsidRPr="005C1103">
        <w:rPr>
          <w:rFonts w:ascii="Verdana" w:hAnsi="Verdana"/>
          <w:i/>
          <w:sz w:val="16"/>
          <w:szCs w:val="16"/>
        </w:rPr>
        <w:t>(In vitro fertilization)</w:t>
      </w:r>
      <w:r w:rsidR="00A64AF3" w:rsidRPr="005C1103">
        <w:rPr>
          <w:rFonts w:ascii="Verdana" w:hAnsi="Verdana"/>
          <w:i/>
          <w:sz w:val="16"/>
          <w:szCs w:val="16"/>
        </w:rPr>
        <w:t xml:space="preserve"> </w:t>
      </w:r>
      <w:r w:rsidR="009C16A1" w:rsidRPr="005C1103">
        <w:rPr>
          <w:rFonts w:ascii="Verdana" w:hAnsi="Verdana"/>
          <w:i/>
          <w:sz w:val="16"/>
          <w:szCs w:val="16"/>
        </w:rPr>
        <w:t>v.</w:t>
      </w:r>
      <w:r w:rsidRPr="005C1103">
        <w:rPr>
          <w:rFonts w:ascii="Verdana" w:hAnsi="Verdana"/>
          <w:i/>
          <w:sz w:val="16"/>
          <w:szCs w:val="16"/>
        </w:rPr>
        <w:t xml:space="preserve"> Costa Rica, supra</w:t>
      </w:r>
      <w:r w:rsidRPr="005C1103">
        <w:rPr>
          <w:rFonts w:ascii="Verdana" w:hAnsi="Verdana"/>
          <w:sz w:val="16"/>
          <w:szCs w:val="16"/>
        </w:rPr>
        <w:t xml:space="preserve">, </w:t>
      </w:r>
      <w:r w:rsidR="00B10E5A" w:rsidRPr="005C1103">
        <w:rPr>
          <w:rFonts w:ascii="Verdana" w:hAnsi="Verdana"/>
          <w:color w:val="auto"/>
          <w:sz w:val="16"/>
          <w:szCs w:val="16"/>
        </w:rPr>
        <w:t>para.</w:t>
      </w:r>
      <w:r w:rsidRPr="005C1103">
        <w:rPr>
          <w:rFonts w:ascii="Verdana" w:hAnsi="Verdana"/>
          <w:color w:val="auto"/>
          <w:sz w:val="16"/>
          <w:szCs w:val="16"/>
        </w:rPr>
        <w:t xml:space="preserve"> </w:t>
      </w:r>
      <w:r w:rsidRPr="00954547">
        <w:rPr>
          <w:rFonts w:ascii="Verdana" w:hAnsi="Verdana"/>
          <w:color w:val="auto"/>
          <w:sz w:val="16"/>
          <w:szCs w:val="16"/>
        </w:rPr>
        <w:t xml:space="preserve">286. </w:t>
      </w:r>
      <w:r w:rsidR="002A45FD" w:rsidRPr="00954547">
        <w:rPr>
          <w:rFonts w:ascii="Verdana" w:hAnsi="Verdana"/>
          <w:iCs/>
          <w:color w:val="auto"/>
          <w:sz w:val="16"/>
          <w:szCs w:val="16"/>
        </w:rPr>
        <w:t>See also</w:t>
      </w:r>
      <w:r w:rsidR="002A45FD" w:rsidRPr="00954547">
        <w:rPr>
          <w:rFonts w:ascii="Verdana" w:hAnsi="Verdana"/>
          <w:i/>
          <w:color w:val="auto"/>
          <w:sz w:val="16"/>
          <w:szCs w:val="16"/>
        </w:rPr>
        <w:t>,</w:t>
      </w:r>
      <w:r w:rsidRPr="00954547">
        <w:rPr>
          <w:rFonts w:ascii="Verdana" w:hAnsi="Verdana"/>
          <w:i/>
          <w:color w:val="auto"/>
          <w:sz w:val="16"/>
          <w:szCs w:val="16"/>
        </w:rPr>
        <w:t xml:space="preserve"> </w:t>
      </w:r>
      <w:r w:rsidR="002A45FD" w:rsidRPr="00954547">
        <w:rPr>
          <w:rFonts w:ascii="Verdana" w:hAnsi="Verdana"/>
          <w:sz w:val="16"/>
          <w:szCs w:val="16"/>
        </w:rPr>
        <w:t>Committee for the Elimination of Discrimination against Women</w:t>
      </w:r>
      <w:r w:rsidRPr="00954547">
        <w:rPr>
          <w:rFonts w:ascii="Verdana" w:hAnsi="Verdana"/>
          <w:sz w:val="16"/>
          <w:szCs w:val="16"/>
        </w:rPr>
        <w:t xml:space="preserve">, </w:t>
      </w:r>
      <w:r w:rsidR="00A30817" w:rsidRPr="00954547">
        <w:rPr>
          <w:rFonts w:ascii="Verdana" w:hAnsi="Verdana"/>
          <w:sz w:val="16"/>
          <w:szCs w:val="16"/>
        </w:rPr>
        <w:t>General recommendation</w:t>
      </w:r>
      <w:r w:rsidRPr="00954547">
        <w:rPr>
          <w:rFonts w:ascii="Verdana" w:hAnsi="Verdana"/>
          <w:sz w:val="16"/>
          <w:szCs w:val="16"/>
        </w:rPr>
        <w:t xml:space="preserve"> No. 25 </w:t>
      </w:r>
      <w:r w:rsidR="00A64AF3" w:rsidRPr="00954547">
        <w:rPr>
          <w:rFonts w:ascii="Verdana" w:hAnsi="Verdana"/>
          <w:sz w:val="16"/>
          <w:szCs w:val="16"/>
        </w:rPr>
        <w:t xml:space="preserve">on temporary special measures </w:t>
      </w:r>
      <w:r w:rsidRPr="00954547">
        <w:rPr>
          <w:rFonts w:ascii="Verdana" w:hAnsi="Verdana"/>
          <w:sz w:val="16"/>
          <w:szCs w:val="16"/>
        </w:rPr>
        <w:t xml:space="preserve">(2004), </w:t>
      </w:r>
      <w:r w:rsidR="00B9116A" w:rsidRPr="00954547">
        <w:rPr>
          <w:rFonts w:ascii="Verdana" w:hAnsi="Verdana"/>
          <w:sz w:val="16"/>
          <w:szCs w:val="16"/>
        </w:rPr>
        <w:t>footnote</w:t>
      </w:r>
      <w:r w:rsidRPr="00954547">
        <w:rPr>
          <w:rFonts w:ascii="Verdana" w:hAnsi="Verdana"/>
          <w:sz w:val="16"/>
          <w:szCs w:val="16"/>
        </w:rPr>
        <w:t xml:space="preserve"> 1</w:t>
      </w:r>
      <w:r w:rsidR="00B9116A" w:rsidRPr="00954547">
        <w:rPr>
          <w:rFonts w:ascii="Verdana" w:hAnsi="Verdana"/>
          <w:sz w:val="16"/>
          <w:szCs w:val="16"/>
        </w:rPr>
        <w:t xml:space="preserve">: </w:t>
      </w:r>
      <w:r w:rsidRPr="00954547">
        <w:rPr>
          <w:rFonts w:ascii="Verdana" w:hAnsi="Verdana"/>
          <w:sz w:val="16"/>
          <w:szCs w:val="16"/>
        </w:rPr>
        <w:t>“</w:t>
      </w:r>
      <w:r w:rsidR="00B9116A" w:rsidRPr="00954547">
        <w:rPr>
          <w:rFonts w:ascii="Verdana" w:hAnsi="Verdana"/>
          <w:sz w:val="16"/>
          <w:szCs w:val="16"/>
        </w:rPr>
        <w:t>Indirect discrimination against women may occur when laws, policies and programmes are based on seemingly gender-neutral criteria which in their actual effect have a detrimental impact on women.</w:t>
      </w:r>
    </w:p>
  </w:footnote>
  <w:footnote w:id="407">
    <w:p w14:paraId="768C729C" w14:textId="705B7C7B"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143.</w:t>
      </w:r>
    </w:p>
  </w:footnote>
  <w:footnote w:id="408">
    <w:p w14:paraId="2FE5C6B1" w14:textId="62CD508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143.</w:t>
      </w:r>
    </w:p>
  </w:footnote>
  <w:footnote w:id="409">
    <w:p w14:paraId="03A95371" w14:textId="56145728"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A45FD" w:rsidRPr="00954547">
        <w:rPr>
          <w:rFonts w:ascii="Verdana" w:hAnsi="Verdana"/>
          <w:sz w:val="16"/>
          <w:szCs w:val="16"/>
        </w:rPr>
        <w:t>Report of the Special Rapporteur on violence against women, its causes and consequences</w:t>
      </w:r>
      <w:r w:rsidRPr="00954547">
        <w:rPr>
          <w:rFonts w:ascii="Verdana" w:hAnsi="Verdana"/>
          <w:sz w:val="16"/>
          <w:szCs w:val="16"/>
        </w:rPr>
        <w:t xml:space="preserve"> </w:t>
      </w:r>
      <w:r w:rsidR="009F3074" w:rsidRPr="00954547">
        <w:rPr>
          <w:rFonts w:ascii="Verdana" w:hAnsi="Verdana"/>
          <w:sz w:val="16"/>
          <w:szCs w:val="16"/>
        </w:rPr>
        <w:t>on a human rights-based approach to mistreatment and violence against women in reproductive health services with a focus on childbirth and obstetric violence</w:t>
      </w:r>
      <w:r w:rsidRPr="00954547">
        <w:rPr>
          <w:rFonts w:ascii="Verdana" w:hAnsi="Verdana"/>
          <w:sz w:val="16"/>
          <w:szCs w:val="16"/>
        </w:rPr>
        <w:t xml:space="preserve">. </w:t>
      </w:r>
      <w:r w:rsidR="003561F1" w:rsidRPr="00954547">
        <w:rPr>
          <w:rFonts w:ascii="Verdana" w:hAnsi="Verdana"/>
          <w:sz w:val="16"/>
          <w:szCs w:val="16"/>
        </w:rPr>
        <w:t>UN Doc.</w:t>
      </w:r>
      <w:r w:rsidRPr="00954547">
        <w:rPr>
          <w:rFonts w:ascii="Verdana" w:hAnsi="Verdana"/>
          <w:sz w:val="16"/>
          <w:szCs w:val="16"/>
        </w:rPr>
        <w:t xml:space="preserve"> A/74/137, </w:t>
      </w:r>
      <w:r w:rsidR="00B9116A" w:rsidRPr="00954547">
        <w:rPr>
          <w:rFonts w:ascii="Verdana" w:hAnsi="Verdana"/>
          <w:sz w:val="16"/>
          <w:szCs w:val="16"/>
        </w:rPr>
        <w:t xml:space="preserve">July </w:t>
      </w:r>
      <w:r w:rsidRPr="00954547">
        <w:rPr>
          <w:rFonts w:ascii="Verdana" w:hAnsi="Verdana"/>
          <w:sz w:val="16"/>
          <w:szCs w:val="16"/>
        </w:rPr>
        <w:t>11</w:t>
      </w:r>
      <w:r w:rsidR="00B9116A" w:rsidRPr="00954547">
        <w:rPr>
          <w:rFonts w:ascii="Verdana" w:hAnsi="Verdana"/>
          <w:sz w:val="16"/>
          <w:szCs w:val="16"/>
        </w:rPr>
        <w:t xml:space="preserve">, </w:t>
      </w:r>
      <w:r w:rsidRPr="00954547">
        <w:rPr>
          <w:rFonts w:ascii="Verdana" w:hAnsi="Verdana"/>
          <w:sz w:val="16"/>
          <w:szCs w:val="16"/>
        </w:rPr>
        <w:t xml:space="preserve">2019, </w:t>
      </w:r>
      <w:r w:rsidR="00B10E5A" w:rsidRPr="00954547">
        <w:rPr>
          <w:rFonts w:ascii="Verdana" w:hAnsi="Verdana"/>
          <w:sz w:val="16"/>
          <w:szCs w:val="16"/>
        </w:rPr>
        <w:t>para.</w:t>
      </w:r>
      <w:r w:rsidRPr="00954547">
        <w:rPr>
          <w:rFonts w:ascii="Verdana" w:hAnsi="Verdana"/>
          <w:sz w:val="16"/>
          <w:szCs w:val="16"/>
        </w:rPr>
        <w:t xml:space="preserve"> 76.</w:t>
      </w:r>
    </w:p>
  </w:footnote>
  <w:footnote w:id="410">
    <w:p w14:paraId="542F93C0" w14:textId="5B769FE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 xml:space="preserve">Case </w:t>
      </w:r>
      <w:r w:rsidR="00FC4D38" w:rsidRPr="00954547">
        <w:rPr>
          <w:rFonts w:ascii="Verdana" w:hAnsi="Verdana"/>
          <w:i/>
          <w:sz w:val="16"/>
          <w:szCs w:val="16"/>
        </w:rPr>
        <w:t xml:space="preserve">of the Workers of the </w:t>
      </w:r>
      <w:r w:rsidR="00420435" w:rsidRPr="00954547">
        <w:rPr>
          <w:rFonts w:ascii="Verdana" w:hAnsi="Verdana"/>
          <w:i/>
          <w:sz w:val="16"/>
          <w:szCs w:val="16"/>
        </w:rPr>
        <w:t>Fireworks</w:t>
      </w:r>
      <w:r w:rsidR="00FC4D38" w:rsidRPr="00954547">
        <w:rPr>
          <w:rFonts w:ascii="Verdana" w:hAnsi="Verdana"/>
          <w:i/>
          <w:sz w:val="16"/>
          <w:szCs w:val="16"/>
        </w:rPr>
        <w:t xml:space="preserve"> Factory of</w:t>
      </w:r>
      <w:r w:rsidRPr="00954547">
        <w:rPr>
          <w:rFonts w:ascii="Verdana" w:hAnsi="Verdana"/>
          <w:i/>
          <w:sz w:val="16"/>
          <w:szCs w:val="16"/>
        </w:rPr>
        <w:t xml:space="preserve"> Santo Antônio de </w:t>
      </w:r>
      <w:r w:rsidR="00420435" w:rsidRPr="00954547">
        <w:rPr>
          <w:rFonts w:ascii="Verdana" w:hAnsi="Verdana"/>
          <w:i/>
          <w:sz w:val="16"/>
          <w:szCs w:val="16"/>
        </w:rPr>
        <w:t>Jesus and their families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191.</w:t>
      </w:r>
    </w:p>
  </w:footnote>
  <w:footnote w:id="411">
    <w:p w14:paraId="66A593E4" w14:textId="680354F4" w:rsidR="005F001B" w:rsidRPr="00954547" w:rsidRDefault="005F001B" w:rsidP="007619E6">
      <w:pPr>
        <w:pStyle w:val="FootnoteText"/>
        <w:tabs>
          <w:tab w:val="left" w:pos="567"/>
        </w:tabs>
        <w:spacing w:after="120"/>
        <w:jc w:val="both"/>
        <w:rPr>
          <w:rFonts w:ascii="Verdana" w:hAnsi="Verdana"/>
          <w:color w:val="auto"/>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8C4B22" w:rsidRPr="00954547">
        <w:rPr>
          <w:rFonts w:ascii="Verdana" w:hAnsi="Verdana"/>
          <w:sz w:val="16"/>
          <w:szCs w:val="16"/>
        </w:rPr>
        <w:t>Expert opinion provided by Guillermo Antonio Ortiz Avendaño during the public hearing held</w:t>
      </w:r>
      <w:r w:rsidRPr="00954547">
        <w:rPr>
          <w:rFonts w:ascii="Verdana" w:hAnsi="Verdana"/>
          <w:sz w:val="16"/>
          <w:szCs w:val="16"/>
        </w:rPr>
        <w:t xml:space="preserve"> </w:t>
      </w:r>
      <w:r w:rsidR="00FC72C0" w:rsidRPr="00954547">
        <w:rPr>
          <w:rFonts w:ascii="Verdana" w:hAnsi="Verdana"/>
          <w:sz w:val="16"/>
          <w:szCs w:val="16"/>
        </w:rPr>
        <w:t>in this case</w:t>
      </w:r>
      <w:r w:rsidRPr="00954547">
        <w:rPr>
          <w:rFonts w:ascii="Verdana" w:hAnsi="Verdana"/>
          <w:sz w:val="16"/>
          <w:szCs w:val="16"/>
        </w:rPr>
        <w:t xml:space="preserve">. </w:t>
      </w:r>
    </w:p>
  </w:footnote>
  <w:footnote w:id="412">
    <w:p w14:paraId="0F5114AE" w14:textId="2179BAFD" w:rsidR="005F001B" w:rsidRPr="00954547" w:rsidRDefault="005F001B" w:rsidP="007619E6">
      <w:pPr>
        <w:tabs>
          <w:tab w:val="left" w:pos="567"/>
        </w:tabs>
        <w:autoSpaceDE w:val="0"/>
        <w:autoSpaceDN w:val="0"/>
        <w:adjustRightInd w:val="0"/>
        <w:spacing w:after="120"/>
        <w:jc w:val="both"/>
        <w:rPr>
          <w:rFonts w:ascii="Verdana" w:hAnsi="Verdana" w:cstheme="minorBidi"/>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60432C" w:rsidRPr="00954547">
        <w:rPr>
          <w:rFonts w:ascii="Verdana" w:hAnsi="Verdana"/>
          <w:sz w:val="16"/>
          <w:szCs w:val="16"/>
        </w:rPr>
        <w:t>Expert opinion provided by</w:t>
      </w:r>
      <w:r w:rsidRPr="00954547">
        <w:rPr>
          <w:rFonts w:ascii="Verdana" w:hAnsi="Verdana"/>
          <w:sz w:val="16"/>
          <w:szCs w:val="16"/>
        </w:rPr>
        <w:t xml:space="preserve"> David Ernesto Morales Cruz </w:t>
      </w:r>
      <w:r w:rsidR="007D7721" w:rsidRPr="00954547">
        <w:rPr>
          <w:rFonts w:ascii="Verdana" w:hAnsi="Verdana"/>
          <w:sz w:val="16"/>
          <w:szCs w:val="16"/>
        </w:rPr>
        <w:t>on March 4,</w:t>
      </w:r>
      <w:r w:rsidRPr="00954547">
        <w:rPr>
          <w:rFonts w:ascii="Verdana" w:hAnsi="Verdana"/>
          <w:sz w:val="16"/>
          <w:szCs w:val="16"/>
        </w:rPr>
        <w:t xml:space="preserve"> 2021 (</w:t>
      </w:r>
      <w:r w:rsidR="001C328F" w:rsidRPr="00954547">
        <w:rPr>
          <w:rFonts w:ascii="Verdana" w:hAnsi="Verdana"/>
          <w:sz w:val="16"/>
          <w:szCs w:val="16"/>
        </w:rPr>
        <w:t>evidence file</w:t>
      </w:r>
      <w:r w:rsidRPr="00954547">
        <w:rPr>
          <w:rFonts w:ascii="Verdana" w:hAnsi="Verdana"/>
          <w:sz w:val="16"/>
          <w:szCs w:val="16"/>
        </w:rPr>
        <w:t>, folio 3944),</w:t>
      </w:r>
      <w:r w:rsidR="0078694F" w:rsidRPr="00954547">
        <w:rPr>
          <w:rFonts w:ascii="Verdana" w:hAnsi="Verdana"/>
          <w:sz w:val="16"/>
          <w:szCs w:val="16"/>
        </w:rPr>
        <w:t xml:space="preserve"> and </w:t>
      </w:r>
      <w:r w:rsidR="008C4B22" w:rsidRPr="00954547">
        <w:rPr>
          <w:rFonts w:ascii="Verdana" w:eastAsiaTheme="minorHAnsi" w:hAnsi="Verdana" w:cs="Arial"/>
          <w:sz w:val="16"/>
          <w:szCs w:val="16"/>
          <w:bdr w:val="none" w:sz="0" w:space="0" w:color="auto"/>
        </w:rPr>
        <w:t>Human Rights Committee</w:t>
      </w:r>
      <w:r w:rsidRPr="00954547">
        <w:rPr>
          <w:rFonts w:ascii="Verdana" w:eastAsiaTheme="minorHAnsi" w:hAnsi="Verdana" w:cs="Arial"/>
          <w:sz w:val="16"/>
          <w:szCs w:val="16"/>
          <w:bdr w:val="none" w:sz="0" w:space="0" w:color="auto"/>
        </w:rPr>
        <w:t xml:space="preserve">. </w:t>
      </w:r>
      <w:r w:rsidR="008C4B22" w:rsidRPr="00954547">
        <w:rPr>
          <w:rFonts w:ascii="Verdana" w:eastAsiaTheme="minorHAnsi" w:hAnsi="Verdana" w:cs="Arial"/>
          <w:iCs/>
          <w:sz w:val="16"/>
          <w:szCs w:val="16"/>
          <w:bdr w:val="none" w:sz="0" w:space="0" w:color="auto"/>
        </w:rPr>
        <w:t>Concluding observations on the seventh periodic report</w:t>
      </w:r>
      <w:r w:rsidR="009E6B43" w:rsidRPr="00954547">
        <w:rPr>
          <w:rFonts w:ascii="Verdana" w:eastAsiaTheme="minorHAnsi" w:hAnsi="Verdana" w:cs="Arial"/>
          <w:iCs/>
          <w:sz w:val="16"/>
          <w:szCs w:val="16"/>
          <w:bdr w:val="none" w:sz="0" w:space="0" w:color="auto"/>
        </w:rPr>
        <w:t xml:space="preserve"> of El </w:t>
      </w:r>
      <w:r w:rsidRPr="00954547">
        <w:rPr>
          <w:rFonts w:ascii="Verdana" w:eastAsiaTheme="minorHAnsi" w:hAnsi="Verdana" w:cs="Arial"/>
          <w:iCs/>
          <w:sz w:val="16"/>
          <w:szCs w:val="16"/>
          <w:bdr w:val="none" w:sz="0" w:space="0" w:color="auto"/>
        </w:rPr>
        <w:t>Salvador</w:t>
      </w:r>
      <w:r w:rsidRPr="00954547">
        <w:rPr>
          <w:rFonts w:ascii="Verdana" w:eastAsiaTheme="minorHAnsi" w:hAnsi="Verdana" w:cs="Arial"/>
          <w:i/>
          <w:iCs/>
          <w:sz w:val="16"/>
          <w:szCs w:val="16"/>
          <w:bdr w:val="none" w:sz="0" w:space="0" w:color="auto"/>
        </w:rPr>
        <w:t xml:space="preserve">, </w:t>
      </w:r>
      <w:r w:rsidR="003561F1" w:rsidRPr="00954547">
        <w:rPr>
          <w:rFonts w:ascii="Verdana" w:eastAsiaTheme="minorHAnsi" w:hAnsi="Verdana" w:cs="Arial"/>
          <w:iCs/>
          <w:sz w:val="16"/>
          <w:szCs w:val="16"/>
          <w:bdr w:val="none" w:sz="0" w:space="0" w:color="auto"/>
        </w:rPr>
        <w:t>UN Doc.</w:t>
      </w:r>
      <w:r w:rsidRPr="00954547">
        <w:rPr>
          <w:rFonts w:ascii="Verdana" w:eastAsiaTheme="minorHAnsi" w:hAnsi="Verdana" w:cs="Arial"/>
          <w:iCs/>
          <w:sz w:val="16"/>
          <w:szCs w:val="16"/>
          <w:bdr w:val="none" w:sz="0" w:space="0" w:color="auto"/>
        </w:rPr>
        <w:t xml:space="preserve"> </w:t>
      </w:r>
      <w:r w:rsidRPr="00954547">
        <w:rPr>
          <w:rFonts w:ascii="Verdana" w:eastAsiaTheme="minorHAnsi" w:hAnsi="Verdana" w:cs="Arial"/>
          <w:sz w:val="16"/>
          <w:szCs w:val="16"/>
          <w:bdr w:val="none" w:sz="0" w:space="0" w:color="auto"/>
        </w:rPr>
        <w:t>CCPR/C/SLV/CO/7</w:t>
      </w:r>
      <w:r w:rsidRPr="00954547">
        <w:rPr>
          <w:rFonts w:ascii="Verdana" w:hAnsi="Verdana" w:cs="Arial"/>
          <w:sz w:val="16"/>
          <w:szCs w:val="16"/>
        </w:rPr>
        <w:t xml:space="preserve"> </w:t>
      </w:r>
      <w:r w:rsidR="008C4B22" w:rsidRPr="00954547">
        <w:rPr>
          <w:rFonts w:ascii="Verdana" w:hAnsi="Verdana" w:cs="Arial"/>
          <w:sz w:val="16"/>
          <w:szCs w:val="16"/>
        </w:rPr>
        <w:t>of May 9,</w:t>
      </w:r>
      <w:r w:rsidRPr="00954547">
        <w:rPr>
          <w:rFonts w:ascii="Verdana" w:hAnsi="Verdana" w:cs="Arial"/>
          <w:sz w:val="16"/>
          <w:szCs w:val="16"/>
        </w:rPr>
        <w:t xml:space="preserve"> 2018, </w:t>
      </w:r>
      <w:r w:rsidR="00B10E5A" w:rsidRPr="00954547">
        <w:rPr>
          <w:rFonts w:ascii="Verdana" w:hAnsi="Verdana" w:cs="Arial"/>
          <w:sz w:val="16"/>
          <w:szCs w:val="16"/>
        </w:rPr>
        <w:t>para.</w:t>
      </w:r>
      <w:r w:rsidRPr="00954547">
        <w:rPr>
          <w:rFonts w:ascii="Verdana" w:hAnsi="Verdana" w:cs="Arial"/>
          <w:sz w:val="16"/>
          <w:szCs w:val="16"/>
        </w:rPr>
        <w:t xml:space="preserve"> 15. </w:t>
      </w:r>
    </w:p>
  </w:footnote>
  <w:footnote w:id="413">
    <w:p w14:paraId="169B9193" w14:textId="274504BD" w:rsidR="005F001B" w:rsidRPr="00954547" w:rsidRDefault="005F001B" w:rsidP="007619E6">
      <w:pPr>
        <w:pStyle w:val="FootnoteText"/>
        <w:tabs>
          <w:tab w:val="left" w:pos="567"/>
        </w:tabs>
        <w:spacing w:after="120"/>
        <w:jc w:val="both"/>
        <w:rPr>
          <w:rFonts w:ascii="Verdana" w:hAnsi="Verdana" w:cs="Vrinda"/>
          <w:i/>
          <w:sz w:val="16"/>
          <w:szCs w:val="16"/>
        </w:rPr>
      </w:pPr>
      <w:r w:rsidRPr="00954547">
        <w:rPr>
          <w:rStyle w:val="FootnoteReference"/>
          <w:rFonts w:ascii="Verdana" w:hAnsi="Verdana" w:cs="Vrinda"/>
          <w:sz w:val="16"/>
          <w:szCs w:val="16"/>
        </w:rPr>
        <w:footnoteRef/>
      </w:r>
      <w:r w:rsidRPr="00954547">
        <w:rPr>
          <w:rStyle w:val="FootnoteReference"/>
          <w:rFonts w:ascii="Verdana" w:hAnsi="Verdana" w:cs="Vrinda"/>
          <w:sz w:val="16"/>
          <w:szCs w:val="16"/>
        </w:rPr>
        <w:tab/>
      </w:r>
      <w:r w:rsidR="00B8393C" w:rsidRPr="00954547">
        <w:rPr>
          <w:rFonts w:ascii="Verdana" w:hAnsi="Verdana" w:cs="Vrinda"/>
          <w:i/>
          <w:sz w:val="16"/>
          <w:szCs w:val="16"/>
        </w:rPr>
        <w:t>Cf.</w:t>
      </w:r>
      <w:r w:rsidRPr="00954547">
        <w:rPr>
          <w:rFonts w:ascii="Verdana" w:hAnsi="Verdana" w:cs="Vrinda"/>
          <w:i/>
          <w:sz w:val="16"/>
          <w:szCs w:val="16"/>
        </w:rPr>
        <w:t xml:space="preserve"> </w:t>
      </w:r>
      <w:r w:rsidR="002F4617" w:rsidRPr="00954547">
        <w:rPr>
          <w:rStyle w:val="Strong"/>
          <w:rFonts w:ascii="Verdana" w:hAnsi="Verdana"/>
          <w:b w:val="0"/>
          <w:i/>
          <w:sz w:val="16"/>
          <w:szCs w:val="16"/>
          <w:shd w:val="clear" w:color="auto" w:fill="FFFFFF"/>
        </w:rPr>
        <w:t>Case of</w:t>
      </w:r>
      <w:r w:rsidRPr="00954547">
        <w:rPr>
          <w:rStyle w:val="Strong"/>
          <w:rFonts w:ascii="Verdana" w:hAnsi="Verdana"/>
          <w:b w:val="0"/>
          <w:i/>
          <w:sz w:val="16"/>
          <w:szCs w:val="16"/>
          <w:shd w:val="clear" w:color="auto" w:fill="FFFFFF"/>
        </w:rPr>
        <w:t xml:space="preserve"> </w:t>
      </w:r>
      <w:r w:rsidR="00B939BF" w:rsidRPr="00954547">
        <w:rPr>
          <w:rStyle w:val="Strong"/>
          <w:rFonts w:ascii="Verdana" w:hAnsi="Verdana"/>
          <w:b w:val="0"/>
          <w:i/>
          <w:sz w:val="16"/>
          <w:szCs w:val="16"/>
          <w:shd w:val="clear" w:color="auto" w:fill="FFFFFF"/>
        </w:rPr>
        <w:t xml:space="preserve">González et al. </w:t>
      </w:r>
      <w:r w:rsidR="00B939BF" w:rsidRPr="00954547">
        <w:rPr>
          <w:rStyle w:val="Strong"/>
          <w:rFonts w:ascii="Verdana" w:hAnsi="Verdana"/>
          <w:b w:val="0"/>
          <w:i/>
          <w:sz w:val="16"/>
          <w:szCs w:val="16"/>
          <w:shd w:val="clear" w:color="auto" w:fill="FFFFFF"/>
          <w:lang w:val="es-CR"/>
        </w:rPr>
        <w:t>(“Cotton Field”)</w:t>
      </w:r>
      <w:r w:rsidR="009C16A1" w:rsidRPr="00954547">
        <w:rPr>
          <w:rStyle w:val="Strong"/>
          <w:rFonts w:ascii="Verdana" w:hAnsi="Verdana"/>
          <w:b w:val="0"/>
          <w:i/>
          <w:sz w:val="16"/>
          <w:szCs w:val="16"/>
          <w:shd w:val="clear" w:color="auto" w:fill="FFFFFF"/>
          <w:lang w:val="es-CR"/>
        </w:rPr>
        <w:t>v.</w:t>
      </w:r>
      <w:r w:rsidRPr="00954547">
        <w:rPr>
          <w:rStyle w:val="Strong"/>
          <w:rFonts w:ascii="Verdana" w:hAnsi="Verdana"/>
          <w:b w:val="0"/>
          <w:i/>
          <w:sz w:val="16"/>
          <w:szCs w:val="16"/>
          <w:shd w:val="clear" w:color="auto" w:fill="FFFFFF"/>
          <w:lang w:val="es-CR"/>
        </w:rPr>
        <w:t xml:space="preserve"> </w:t>
      </w:r>
      <w:r w:rsidR="000A2350" w:rsidRPr="00954547">
        <w:rPr>
          <w:rStyle w:val="Strong"/>
          <w:rFonts w:ascii="Verdana" w:hAnsi="Verdana"/>
          <w:b w:val="0"/>
          <w:i/>
          <w:sz w:val="16"/>
          <w:szCs w:val="16"/>
          <w:shd w:val="clear" w:color="auto" w:fill="FFFFFF"/>
          <w:lang w:val="es-CR"/>
        </w:rPr>
        <w:t>Mexico</w:t>
      </w:r>
      <w:r w:rsidRPr="00954547">
        <w:rPr>
          <w:rStyle w:val="Strong"/>
          <w:rFonts w:ascii="Verdana" w:hAnsi="Verdana"/>
          <w:b w:val="0"/>
          <w:i/>
          <w:sz w:val="16"/>
          <w:szCs w:val="16"/>
          <w:shd w:val="clear" w:color="auto" w:fill="FFFFFF"/>
          <w:lang w:val="es-CR"/>
        </w:rPr>
        <w:t>, supra</w:t>
      </w:r>
      <w:r w:rsidRPr="00954547">
        <w:rPr>
          <w:rStyle w:val="Strong"/>
          <w:rFonts w:ascii="Verdana" w:hAnsi="Verdana"/>
          <w:b w:val="0"/>
          <w:sz w:val="16"/>
          <w:szCs w:val="16"/>
          <w:shd w:val="clear" w:color="auto" w:fill="FFFFFF"/>
          <w:lang w:val="es-CR"/>
        </w:rPr>
        <w:t>,</w:t>
      </w:r>
      <w:r w:rsidRPr="00954547">
        <w:rPr>
          <w:rStyle w:val="Strong"/>
          <w:rFonts w:ascii="Verdana" w:hAnsi="Verdana"/>
          <w:sz w:val="16"/>
          <w:szCs w:val="16"/>
          <w:shd w:val="clear" w:color="auto" w:fill="FFFFFF"/>
          <w:lang w:val="es-CR"/>
        </w:rPr>
        <w:t xml:space="preserve"> </w:t>
      </w:r>
      <w:r w:rsidR="00B10E5A" w:rsidRPr="00954547">
        <w:rPr>
          <w:rFonts w:ascii="Verdana" w:hAnsi="Verdana" w:cs="Vrinda"/>
          <w:sz w:val="16"/>
          <w:szCs w:val="16"/>
          <w:lang w:val="es-CR"/>
        </w:rPr>
        <w:t>para.</w:t>
      </w:r>
      <w:r w:rsidRPr="00954547">
        <w:rPr>
          <w:rFonts w:ascii="Verdana" w:hAnsi="Verdana" w:cs="Vrinda"/>
          <w:sz w:val="16"/>
          <w:szCs w:val="16"/>
          <w:lang w:val="es-CR"/>
        </w:rPr>
        <w:t xml:space="preserve"> </w:t>
      </w:r>
      <w:r w:rsidRPr="00954547">
        <w:rPr>
          <w:rFonts w:ascii="Verdana" w:hAnsi="Verdana" w:cs="Vrinda"/>
          <w:sz w:val="16"/>
          <w:szCs w:val="16"/>
        </w:rPr>
        <w:t>394,</w:t>
      </w:r>
      <w:r w:rsidR="0078694F" w:rsidRPr="00954547">
        <w:rPr>
          <w:rFonts w:ascii="Verdana" w:hAnsi="Verdana" w:cs="Vrind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250</w:t>
      </w:r>
      <w:r w:rsidRPr="00954547">
        <w:rPr>
          <w:rFonts w:ascii="Verdana" w:hAnsi="Verdana" w:cs="Courier New"/>
          <w:noProof/>
          <w:sz w:val="16"/>
          <w:szCs w:val="16"/>
        </w:rPr>
        <w:t xml:space="preserve">, </w:t>
      </w:r>
      <w:r w:rsidR="00A16B01" w:rsidRPr="00954547">
        <w:rPr>
          <w:rFonts w:ascii="Verdana" w:hAnsi="Verdana" w:cs="Courier New"/>
          <w:noProof/>
          <w:sz w:val="16"/>
          <w:szCs w:val="16"/>
        </w:rPr>
        <w:t>both citing</w:t>
      </w:r>
      <w:r w:rsidRPr="00954547">
        <w:rPr>
          <w:rFonts w:ascii="Verdana" w:hAnsi="Verdana" w:cs="Vrinda"/>
          <w:sz w:val="16"/>
          <w:szCs w:val="16"/>
        </w:rPr>
        <w:t xml:space="preserve"> </w:t>
      </w:r>
      <w:r w:rsidR="00901EB6" w:rsidRPr="00954547">
        <w:rPr>
          <w:rFonts w:ascii="Verdana" w:hAnsi="Verdana" w:cs="Vrinda"/>
          <w:sz w:val="16"/>
          <w:szCs w:val="16"/>
        </w:rPr>
        <w:t>the Convention</w:t>
      </w:r>
      <w:r w:rsidRPr="00954547">
        <w:rPr>
          <w:rFonts w:ascii="Verdana" w:hAnsi="Verdana" w:cs="Vrinda"/>
          <w:sz w:val="16"/>
          <w:szCs w:val="16"/>
        </w:rPr>
        <w:t xml:space="preserve"> </w:t>
      </w:r>
      <w:r w:rsidR="009A60F6" w:rsidRPr="00954547">
        <w:rPr>
          <w:rFonts w:ascii="Verdana" w:hAnsi="Verdana" w:cs="Vrinda"/>
          <w:sz w:val="16"/>
          <w:szCs w:val="16"/>
        </w:rPr>
        <w:t>of</w:t>
      </w:r>
      <w:r w:rsidRPr="00954547">
        <w:rPr>
          <w:rFonts w:ascii="Verdana" w:hAnsi="Verdana" w:cs="Vrinda"/>
          <w:sz w:val="16"/>
          <w:szCs w:val="16"/>
        </w:rPr>
        <w:t xml:space="preserve"> Belém do Pará, </w:t>
      </w:r>
      <w:r w:rsidR="00A16B01" w:rsidRPr="00954547">
        <w:rPr>
          <w:rFonts w:ascii="Verdana" w:hAnsi="Verdana" w:cs="Vrinda"/>
          <w:sz w:val="16"/>
          <w:szCs w:val="16"/>
        </w:rPr>
        <w:t>Preamble</w:t>
      </w:r>
      <w:r w:rsidR="0078694F" w:rsidRPr="00954547">
        <w:rPr>
          <w:rFonts w:ascii="Verdana" w:hAnsi="Verdana" w:cs="Vrinda"/>
          <w:sz w:val="16"/>
          <w:szCs w:val="16"/>
        </w:rPr>
        <w:t xml:space="preserve"> and </w:t>
      </w:r>
      <w:r w:rsidR="00A17F8C" w:rsidRPr="00954547">
        <w:rPr>
          <w:rFonts w:ascii="Verdana" w:hAnsi="Verdana" w:cs="Vrinda"/>
          <w:sz w:val="16"/>
          <w:szCs w:val="16"/>
        </w:rPr>
        <w:t>Article</w:t>
      </w:r>
      <w:r w:rsidRPr="00954547">
        <w:rPr>
          <w:rFonts w:ascii="Verdana" w:hAnsi="Verdana" w:cs="Vrinda"/>
          <w:sz w:val="16"/>
          <w:szCs w:val="16"/>
        </w:rPr>
        <w:t xml:space="preserve"> 6.</w:t>
      </w:r>
    </w:p>
  </w:footnote>
  <w:footnote w:id="414">
    <w:p w14:paraId="692C853F" w14:textId="6049A337" w:rsidR="005F001B" w:rsidRPr="00954547" w:rsidRDefault="005F001B" w:rsidP="007619E6">
      <w:pPr>
        <w:pStyle w:val="FootnoteText"/>
        <w:tabs>
          <w:tab w:val="left" w:pos="567"/>
        </w:tabs>
        <w:spacing w:after="120"/>
        <w:jc w:val="both"/>
        <w:rPr>
          <w:rFonts w:ascii="Verdana" w:hAnsi="Verdana" w:cs="Vrinda"/>
          <w:sz w:val="16"/>
          <w:szCs w:val="16"/>
        </w:rPr>
      </w:pPr>
      <w:r w:rsidRPr="00954547">
        <w:rPr>
          <w:rStyle w:val="FootnoteReference"/>
          <w:rFonts w:ascii="Verdana" w:hAnsi="Verdana" w:cs="Vrinda"/>
          <w:sz w:val="16"/>
          <w:szCs w:val="16"/>
        </w:rPr>
        <w:footnoteRef/>
      </w:r>
      <w:r w:rsidRPr="00954547">
        <w:rPr>
          <w:rStyle w:val="FootnoteReference"/>
          <w:rFonts w:ascii="Verdana" w:hAnsi="Verdana" w:cs="Vrinda"/>
          <w:sz w:val="16"/>
          <w:szCs w:val="16"/>
        </w:rPr>
        <w:tab/>
      </w:r>
      <w:r w:rsidR="00A16B01" w:rsidRPr="00954547">
        <w:rPr>
          <w:rFonts w:ascii="Verdana" w:hAnsi="Verdana" w:cs="Vrinda"/>
          <w:sz w:val="16"/>
          <w:szCs w:val="16"/>
        </w:rPr>
        <w:t xml:space="preserve">Convention of </w:t>
      </w:r>
      <w:r w:rsidR="00E67A8B" w:rsidRPr="00954547">
        <w:rPr>
          <w:rFonts w:ascii="Verdana" w:hAnsi="Verdana" w:cs="Vrinda"/>
          <w:sz w:val="16"/>
          <w:szCs w:val="16"/>
        </w:rPr>
        <w:t>Belém</w:t>
      </w:r>
      <w:r w:rsidRPr="00954547">
        <w:rPr>
          <w:rFonts w:ascii="Verdana" w:hAnsi="Verdana" w:cs="Vrinda"/>
          <w:sz w:val="16"/>
          <w:szCs w:val="16"/>
        </w:rPr>
        <w:t xml:space="preserve"> do Pará, </w:t>
      </w:r>
      <w:r w:rsidR="00A17F8C" w:rsidRPr="00954547">
        <w:rPr>
          <w:rFonts w:ascii="Verdana" w:hAnsi="Verdana" w:cs="Vrinda"/>
          <w:sz w:val="16"/>
          <w:szCs w:val="16"/>
        </w:rPr>
        <w:t>Article</w:t>
      </w:r>
      <w:r w:rsidRPr="00954547">
        <w:rPr>
          <w:rFonts w:ascii="Verdana" w:hAnsi="Verdana" w:cs="Vrinda"/>
          <w:sz w:val="16"/>
          <w:szCs w:val="16"/>
        </w:rPr>
        <w:t xml:space="preserve"> 7</w:t>
      </w:r>
      <w:r w:rsidR="00A16B01" w:rsidRPr="00954547">
        <w:rPr>
          <w:rFonts w:ascii="Verdana" w:hAnsi="Verdana" w:cs="Vrinda"/>
          <w:sz w:val="16"/>
          <w:szCs w:val="16"/>
        </w:rPr>
        <w:t>(</w:t>
      </w:r>
      <w:r w:rsidRPr="00954547">
        <w:rPr>
          <w:rFonts w:ascii="Verdana" w:hAnsi="Verdana" w:cs="Vrinda"/>
          <w:sz w:val="16"/>
          <w:szCs w:val="16"/>
        </w:rPr>
        <w:t>a).</w:t>
      </w:r>
    </w:p>
  </w:footnote>
  <w:footnote w:id="415">
    <w:p w14:paraId="1FBE94D7" w14:textId="2768511E" w:rsidR="005F001B" w:rsidRPr="00954547" w:rsidRDefault="005F001B" w:rsidP="007619E6">
      <w:pPr>
        <w:pStyle w:val="FootnoteText"/>
        <w:tabs>
          <w:tab w:val="left" w:pos="567"/>
        </w:tabs>
        <w:spacing w:after="120"/>
        <w:jc w:val="both"/>
        <w:rPr>
          <w:rFonts w:ascii="Verdana" w:hAnsi="Verdana" w:cs="Vrinda"/>
          <w:sz w:val="16"/>
          <w:szCs w:val="16"/>
        </w:rPr>
      </w:pPr>
      <w:r w:rsidRPr="00954547">
        <w:rPr>
          <w:rStyle w:val="FootnoteReference"/>
          <w:rFonts w:ascii="Verdana" w:hAnsi="Verdana" w:cs="Vrinda"/>
          <w:sz w:val="16"/>
          <w:szCs w:val="16"/>
        </w:rPr>
        <w:footnoteRef/>
      </w:r>
      <w:r w:rsidRPr="00954547">
        <w:rPr>
          <w:rStyle w:val="FootnoteReference"/>
          <w:rFonts w:ascii="Verdana" w:hAnsi="Verdana" w:cs="Vrinda"/>
          <w:sz w:val="16"/>
          <w:szCs w:val="16"/>
        </w:rPr>
        <w:tab/>
      </w:r>
      <w:r w:rsidR="00B8393C" w:rsidRPr="00954547">
        <w:rPr>
          <w:rFonts w:ascii="Verdana" w:hAnsi="Verdana" w:cs="Vrinda"/>
          <w:i/>
          <w:sz w:val="16"/>
          <w:szCs w:val="16"/>
        </w:rPr>
        <w:t>Cf.</w:t>
      </w:r>
      <w:r w:rsidRPr="00954547">
        <w:rPr>
          <w:rFonts w:ascii="Verdana" w:hAnsi="Verdana" w:cs="Vrinda"/>
          <w:i/>
          <w:sz w:val="16"/>
          <w:szCs w:val="16"/>
        </w:rPr>
        <w:t xml:space="preserve"> </w:t>
      </w:r>
      <w:r w:rsidR="00B01245" w:rsidRPr="00954547">
        <w:rPr>
          <w:rFonts w:ascii="Verdana" w:hAnsi="Verdana"/>
          <w:sz w:val="16"/>
          <w:szCs w:val="16"/>
        </w:rPr>
        <w:t>Advisory Opinion</w:t>
      </w:r>
      <w:r w:rsidRPr="00954547">
        <w:rPr>
          <w:rFonts w:ascii="Verdana" w:hAnsi="Verdana"/>
          <w:sz w:val="16"/>
          <w:szCs w:val="16"/>
        </w:rPr>
        <w:t xml:space="preserve"> OC-6/86, </w:t>
      </w:r>
      <w:r w:rsidRPr="00954547">
        <w:rPr>
          <w:rFonts w:ascii="Verdana" w:hAnsi="Verdana"/>
          <w:i/>
          <w:sz w:val="16"/>
          <w:szCs w:val="16"/>
        </w:rPr>
        <w:t>supra</w:t>
      </w:r>
      <w:r w:rsidRPr="00954547">
        <w:rPr>
          <w:rFonts w:ascii="Verdana" w:hAnsi="Verdana"/>
          <w:sz w:val="16"/>
          <w:szCs w:val="16"/>
        </w:rPr>
        <w:t>,</w:t>
      </w:r>
      <w:r w:rsidRPr="00954547">
        <w:rPr>
          <w:rFonts w:ascii="Verdana" w:hAnsi="Verdana" w:cs="Vrinda"/>
          <w:sz w:val="16"/>
          <w:szCs w:val="16"/>
        </w:rPr>
        <w:t xml:space="preserve"> </w:t>
      </w:r>
      <w:r w:rsidR="00B10E5A" w:rsidRPr="00954547">
        <w:rPr>
          <w:rFonts w:ascii="Verdana" w:hAnsi="Verdana" w:cs="Vrinda"/>
          <w:sz w:val="16"/>
          <w:szCs w:val="16"/>
        </w:rPr>
        <w:t>para.</w:t>
      </w:r>
      <w:r w:rsidRPr="00954547">
        <w:rPr>
          <w:rFonts w:ascii="Verdana" w:hAnsi="Verdana" w:cs="Vrinda"/>
          <w:sz w:val="16"/>
          <w:szCs w:val="16"/>
        </w:rPr>
        <w:t xml:space="preserve"> 21,</w:t>
      </w:r>
      <w:r w:rsidR="0078694F" w:rsidRPr="00954547">
        <w:rPr>
          <w:rFonts w:ascii="Verdana" w:hAnsi="Verdana" w:cs="Vrind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250.</w:t>
      </w:r>
    </w:p>
  </w:footnote>
  <w:footnote w:id="416">
    <w:p w14:paraId="6D60CE73" w14:textId="7A544E6C" w:rsidR="005F001B" w:rsidRPr="00954547" w:rsidRDefault="005F001B" w:rsidP="007619E6">
      <w:pPr>
        <w:pStyle w:val="FootnoteText"/>
        <w:tabs>
          <w:tab w:val="left" w:pos="567"/>
        </w:tabs>
        <w:spacing w:after="120"/>
        <w:jc w:val="both"/>
        <w:rPr>
          <w:rFonts w:ascii="Verdana" w:hAnsi="Verdana" w:cs="Vrinda"/>
          <w:i/>
          <w:sz w:val="16"/>
          <w:szCs w:val="16"/>
        </w:rPr>
      </w:pPr>
      <w:r w:rsidRPr="00954547">
        <w:rPr>
          <w:rStyle w:val="FootnoteReference"/>
          <w:rFonts w:ascii="Verdana" w:hAnsi="Verdana" w:cs="Vrinda"/>
          <w:sz w:val="16"/>
          <w:szCs w:val="16"/>
        </w:rPr>
        <w:footnoteRef/>
      </w:r>
      <w:r w:rsidRPr="00954547">
        <w:rPr>
          <w:rStyle w:val="FootnoteReference"/>
          <w:rFonts w:ascii="Verdana" w:hAnsi="Verdana" w:cs="Vrinda"/>
          <w:sz w:val="16"/>
          <w:szCs w:val="16"/>
        </w:rPr>
        <w:tab/>
      </w:r>
      <w:r w:rsidR="00B8393C" w:rsidRPr="00954547">
        <w:rPr>
          <w:rFonts w:ascii="Verdana" w:hAnsi="Verdana" w:cs="Vrinda"/>
          <w:i/>
          <w:sz w:val="16"/>
          <w:szCs w:val="16"/>
        </w:rPr>
        <w:t>Cf.</w:t>
      </w:r>
      <w:r w:rsidRPr="00954547">
        <w:rPr>
          <w:rFonts w:ascii="Verdana" w:hAnsi="Verdana" w:cs="Vrind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w:t>
      </w:r>
      <w:r w:rsidR="00DA6738" w:rsidRPr="00954547">
        <w:rPr>
          <w:rFonts w:ascii="Verdana" w:hAnsi="Verdana"/>
          <w:i/>
          <w:sz w:val="16"/>
          <w:szCs w:val="16"/>
        </w:rPr>
        <w:t>the</w:t>
      </w:r>
      <w:r w:rsidRPr="00954547">
        <w:rPr>
          <w:rFonts w:ascii="Verdana" w:hAnsi="Verdana"/>
          <w:i/>
          <w:sz w:val="16"/>
          <w:szCs w:val="16"/>
        </w:rPr>
        <w:t xml:space="preserve"> Pueblo Bello</w:t>
      </w:r>
      <w:r w:rsidR="00DA6738" w:rsidRPr="00954547">
        <w:rPr>
          <w:rFonts w:ascii="Verdana" w:hAnsi="Verdana"/>
          <w:i/>
          <w:sz w:val="16"/>
          <w:szCs w:val="16"/>
        </w:rPr>
        <w:t xml:space="preserve"> Massacre</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Colombia. </w:t>
      </w:r>
      <w:r w:rsidR="00B8393C" w:rsidRPr="00954547">
        <w:rPr>
          <w:rFonts w:ascii="Verdana" w:hAnsi="Verdana"/>
          <w:sz w:val="16"/>
          <w:szCs w:val="16"/>
        </w:rPr>
        <w:t>Judgment of</w:t>
      </w:r>
      <w:r w:rsidRPr="00954547">
        <w:rPr>
          <w:rFonts w:ascii="Verdana" w:hAnsi="Verdana"/>
          <w:sz w:val="16"/>
          <w:szCs w:val="16"/>
        </w:rPr>
        <w:t xml:space="preserve"> </w:t>
      </w:r>
      <w:r w:rsidR="00DA6738" w:rsidRPr="00954547">
        <w:rPr>
          <w:rFonts w:ascii="Verdana" w:hAnsi="Verdana"/>
          <w:sz w:val="16"/>
          <w:szCs w:val="16"/>
        </w:rPr>
        <w:t>January 31,</w:t>
      </w:r>
      <w:r w:rsidRPr="00954547">
        <w:rPr>
          <w:rFonts w:ascii="Verdana" w:hAnsi="Verdana"/>
          <w:sz w:val="16"/>
          <w:szCs w:val="16"/>
        </w:rPr>
        <w:t xml:space="preserve"> 2006. </w:t>
      </w:r>
      <w:r w:rsidR="00B8393C" w:rsidRPr="00954547">
        <w:rPr>
          <w:rFonts w:ascii="Verdana" w:hAnsi="Verdana"/>
          <w:sz w:val="16"/>
          <w:szCs w:val="16"/>
        </w:rPr>
        <w:t xml:space="preserve">Series </w:t>
      </w:r>
      <w:r w:rsidRPr="00954547">
        <w:rPr>
          <w:rFonts w:ascii="Verdana" w:hAnsi="Verdana"/>
          <w:sz w:val="16"/>
          <w:szCs w:val="16"/>
        </w:rPr>
        <w:t>C No. 140,</w:t>
      </w:r>
      <w:r w:rsidRPr="00954547">
        <w:rPr>
          <w:rFonts w:ascii="Verdana" w:hAnsi="Verdana"/>
          <w:i/>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111,</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250.</w:t>
      </w:r>
    </w:p>
  </w:footnote>
  <w:footnote w:id="417">
    <w:p w14:paraId="4071DB5B" w14:textId="7D33BE5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250.</w:t>
      </w:r>
    </w:p>
  </w:footnote>
  <w:footnote w:id="418">
    <w:p w14:paraId="46C6A1A6" w14:textId="28871308" w:rsidR="005F001B" w:rsidRPr="00954547" w:rsidRDefault="005F001B" w:rsidP="007619E6">
      <w:pPr>
        <w:tabs>
          <w:tab w:val="left" w:pos="567"/>
        </w:tabs>
        <w:spacing w:after="120"/>
        <w:jc w:val="both"/>
        <w:rPr>
          <w:rFonts w:ascii="Verdana" w:hAnsi="Verdana"/>
          <w:color w:val="000000" w:themeColor="text1"/>
          <w:sz w:val="16"/>
          <w:szCs w:val="16"/>
        </w:rPr>
      </w:pPr>
      <w:r w:rsidRPr="00954547">
        <w:rPr>
          <w:rStyle w:val="FootnoteReference"/>
          <w:rFonts w:ascii="Verdana" w:eastAsia="Calibri" w:hAnsi="Verdana"/>
          <w:color w:val="000000" w:themeColor="text1"/>
          <w:sz w:val="16"/>
          <w:szCs w:val="16"/>
        </w:rPr>
        <w:footnoteRef/>
      </w:r>
      <w:r w:rsidRPr="00954547">
        <w:rPr>
          <w:rFonts w:ascii="Verdana" w:hAnsi="Verdana"/>
          <w:color w:val="000000" w:themeColor="text1"/>
          <w:sz w:val="16"/>
          <w:szCs w:val="16"/>
        </w:rPr>
        <w:t xml:space="preserve"> </w:t>
      </w:r>
      <w:r w:rsidRPr="00954547">
        <w:rPr>
          <w:rFonts w:ascii="Verdana" w:hAnsi="Verdana"/>
          <w:color w:val="000000" w:themeColor="text1"/>
          <w:sz w:val="16"/>
          <w:szCs w:val="16"/>
        </w:rPr>
        <w:tab/>
      </w:r>
      <w:r w:rsidR="00A16B01" w:rsidRPr="00954547">
        <w:rPr>
          <w:rFonts w:ascii="Verdana" w:hAnsi="Verdana" w:cs="MinionPro-Bold"/>
          <w:bCs/>
          <w:color w:val="000000" w:themeColor="text1"/>
          <w:sz w:val="16"/>
          <w:szCs w:val="16"/>
        </w:rPr>
        <w:t xml:space="preserve">Convention of </w:t>
      </w:r>
      <w:r w:rsidR="00E67A8B" w:rsidRPr="00954547">
        <w:rPr>
          <w:rFonts w:ascii="Verdana" w:hAnsi="Verdana" w:cs="MinionPro-Bold"/>
          <w:bCs/>
          <w:color w:val="000000" w:themeColor="text1"/>
          <w:sz w:val="16"/>
          <w:szCs w:val="16"/>
        </w:rPr>
        <w:t>Belém</w:t>
      </w:r>
      <w:r w:rsidRPr="00954547">
        <w:rPr>
          <w:rFonts w:ascii="Verdana" w:hAnsi="Verdana" w:cs="MinionPro-Bold"/>
          <w:bCs/>
          <w:color w:val="000000" w:themeColor="text1"/>
          <w:sz w:val="16"/>
          <w:szCs w:val="16"/>
        </w:rPr>
        <w:t xml:space="preserve"> do Pará, </w:t>
      </w:r>
      <w:r w:rsidR="00A17F8C" w:rsidRPr="00954547">
        <w:rPr>
          <w:rFonts w:ascii="Verdana" w:hAnsi="Verdana" w:cs="MinionPro-Bold"/>
          <w:bCs/>
          <w:color w:val="000000" w:themeColor="text1"/>
          <w:sz w:val="16"/>
          <w:szCs w:val="16"/>
        </w:rPr>
        <w:t>Article</w:t>
      </w:r>
      <w:r w:rsidRPr="00954547">
        <w:rPr>
          <w:rFonts w:ascii="Verdana" w:hAnsi="Verdana" w:cs="MinionPro-Bold"/>
          <w:bCs/>
          <w:color w:val="000000" w:themeColor="text1"/>
          <w:sz w:val="16"/>
          <w:szCs w:val="16"/>
        </w:rPr>
        <w:t xml:space="preserve"> 1.</w:t>
      </w:r>
    </w:p>
  </w:footnote>
  <w:footnote w:id="419">
    <w:p w14:paraId="4D342B9B" w14:textId="7BA14873" w:rsidR="005F001B" w:rsidRPr="00954547" w:rsidRDefault="005F001B" w:rsidP="007619E6">
      <w:pPr>
        <w:tabs>
          <w:tab w:val="left" w:pos="567"/>
        </w:tabs>
        <w:spacing w:after="120"/>
        <w:jc w:val="both"/>
        <w:rPr>
          <w:rFonts w:ascii="Verdana" w:hAnsi="Verdana"/>
          <w:color w:val="000000" w:themeColor="text1"/>
          <w:sz w:val="16"/>
          <w:szCs w:val="16"/>
        </w:rPr>
      </w:pPr>
      <w:r w:rsidRPr="00954547">
        <w:rPr>
          <w:rStyle w:val="FootnoteReference"/>
          <w:rFonts w:ascii="Verdana" w:eastAsia="Calibri" w:hAnsi="Verdana"/>
          <w:color w:val="000000" w:themeColor="text1"/>
          <w:sz w:val="16"/>
          <w:szCs w:val="16"/>
        </w:rPr>
        <w:footnoteRef/>
      </w:r>
      <w:r w:rsidRPr="00954547">
        <w:rPr>
          <w:rFonts w:ascii="Verdana" w:hAnsi="Verdana"/>
          <w:color w:val="000000" w:themeColor="text1"/>
          <w:sz w:val="16"/>
          <w:szCs w:val="16"/>
        </w:rPr>
        <w:t xml:space="preserve"> </w:t>
      </w:r>
      <w:r w:rsidRPr="00954547">
        <w:rPr>
          <w:rFonts w:ascii="Verdana" w:hAnsi="Verdana"/>
          <w:color w:val="000000" w:themeColor="text1"/>
          <w:sz w:val="16"/>
          <w:szCs w:val="16"/>
        </w:rPr>
        <w:tab/>
      </w:r>
      <w:r w:rsidR="002F4617" w:rsidRPr="00954547">
        <w:rPr>
          <w:rFonts w:ascii="Verdana" w:hAnsi="Verdana"/>
          <w:i/>
          <w:sz w:val="16"/>
          <w:szCs w:val="16"/>
        </w:rPr>
        <w:t>Case of</w:t>
      </w:r>
      <w:r w:rsidRPr="00954547">
        <w:rPr>
          <w:rFonts w:ascii="Verdana" w:hAnsi="Verdana"/>
          <w:i/>
          <w:sz w:val="16"/>
          <w:szCs w:val="16"/>
        </w:rPr>
        <w:t xml:space="preserve"> </w:t>
      </w:r>
      <w:r w:rsidR="00A3313F" w:rsidRPr="00954547">
        <w:rPr>
          <w:rFonts w:ascii="Verdana" w:hAnsi="Verdana"/>
          <w:i/>
          <w:sz w:val="16"/>
          <w:szCs w:val="16"/>
        </w:rPr>
        <w:t>the</w:t>
      </w:r>
      <w:r w:rsidRPr="00954547">
        <w:rPr>
          <w:rFonts w:ascii="Verdana" w:hAnsi="Verdana"/>
          <w:i/>
          <w:sz w:val="16"/>
          <w:szCs w:val="16"/>
        </w:rPr>
        <w:t xml:space="preserve"> Miguel Castro Castro</w:t>
      </w:r>
      <w:r w:rsidR="00A3313F" w:rsidRPr="00954547">
        <w:rPr>
          <w:rFonts w:ascii="Verdana" w:hAnsi="Verdana"/>
          <w:i/>
          <w:sz w:val="16"/>
          <w:szCs w:val="16"/>
        </w:rPr>
        <w:t xml:space="preserve"> Prison</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A70DC4" w:rsidRPr="00954547">
        <w:rPr>
          <w:rFonts w:ascii="Verdana" w:hAnsi="Verdana"/>
          <w:i/>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A3313F" w:rsidRPr="00954547">
        <w:rPr>
          <w:rFonts w:ascii="Verdana" w:hAnsi="Verdana"/>
          <w:sz w:val="16"/>
          <w:szCs w:val="16"/>
        </w:rPr>
        <w:t>November 25,</w:t>
      </w:r>
      <w:r w:rsidRPr="00954547">
        <w:rPr>
          <w:rFonts w:ascii="Verdana" w:hAnsi="Verdana"/>
          <w:sz w:val="16"/>
          <w:szCs w:val="16"/>
        </w:rPr>
        <w:t xml:space="preserve"> 2006. </w:t>
      </w:r>
      <w:r w:rsidR="00B8393C" w:rsidRPr="00954547">
        <w:rPr>
          <w:rFonts w:ascii="Verdana" w:hAnsi="Verdana"/>
          <w:sz w:val="16"/>
          <w:szCs w:val="16"/>
        </w:rPr>
        <w:t xml:space="preserve">Series </w:t>
      </w:r>
      <w:r w:rsidRPr="00954547">
        <w:rPr>
          <w:rFonts w:ascii="Verdana" w:hAnsi="Verdana"/>
          <w:sz w:val="16"/>
          <w:szCs w:val="16"/>
        </w:rPr>
        <w:t>C No. 160</w:t>
      </w:r>
      <w:r w:rsidRPr="00954547">
        <w:rPr>
          <w:rFonts w:ascii="Verdana" w:hAnsi="Verdana" w:cs="MinionPro-Bold"/>
          <w:bCs/>
          <w:color w:val="000000" w:themeColor="text1"/>
          <w:sz w:val="16"/>
          <w:szCs w:val="16"/>
        </w:rPr>
        <w:t xml:space="preserve">, </w:t>
      </w:r>
      <w:r w:rsidR="00B10E5A" w:rsidRPr="00954547">
        <w:rPr>
          <w:rFonts w:ascii="Verdana" w:hAnsi="Verdana" w:cs="MinionPro-Bold"/>
          <w:bCs/>
          <w:color w:val="000000" w:themeColor="text1"/>
          <w:sz w:val="16"/>
          <w:szCs w:val="16"/>
        </w:rPr>
        <w:t>para.</w:t>
      </w:r>
      <w:r w:rsidRPr="00954547">
        <w:rPr>
          <w:rFonts w:ascii="Verdana" w:hAnsi="Verdana" w:cs="MinionPro-Bold"/>
          <w:bCs/>
          <w:color w:val="000000" w:themeColor="text1"/>
          <w:sz w:val="16"/>
          <w:szCs w:val="16"/>
        </w:rPr>
        <w:t xml:space="preserve"> 303,</w:t>
      </w:r>
      <w:r w:rsidR="0078694F" w:rsidRPr="00954547">
        <w:rPr>
          <w:rFonts w:ascii="Verdana" w:hAnsi="Verdana" w:cs="MinionPro-Bold"/>
          <w:bCs/>
          <w:color w:val="000000" w:themeColor="text1"/>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I.V. </w:t>
      </w:r>
      <w:r w:rsidR="009C16A1" w:rsidRPr="00954547">
        <w:rPr>
          <w:rFonts w:ascii="Verdana" w:hAnsi="Verdana"/>
          <w:i/>
          <w:sz w:val="16"/>
          <w:szCs w:val="16"/>
        </w:rPr>
        <w:t>v.</w:t>
      </w:r>
      <w:r w:rsidRPr="00954547">
        <w:rPr>
          <w:rFonts w:ascii="Verdana" w:hAnsi="Verdana"/>
          <w:i/>
          <w:sz w:val="16"/>
          <w:szCs w:val="16"/>
        </w:rPr>
        <w:t xml:space="preserve"> Bolivia,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251</w:t>
      </w:r>
      <w:r w:rsidRPr="00954547">
        <w:rPr>
          <w:rStyle w:val="Strong"/>
          <w:rFonts w:ascii="Verdana" w:hAnsi="Verdana"/>
          <w:sz w:val="16"/>
          <w:szCs w:val="16"/>
        </w:rPr>
        <w:t>,</w:t>
      </w:r>
      <w:r w:rsidRPr="00954547">
        <w:rPr>
          <w:rFonts w:ascii="Verdana" w:hAnsi="Verdana" w:cs="MinionPro-Bold"/>
          <w:bCs/>
          <w:color w:val="000000" w:themeColor="text1"/>
          <w:sz w:val="16"/>
          <w:szCs w:val="16"/>
        </w:rPr>
        <w:t xml:space="preserve"> </w:t>
      </w:r>
      <w:r w:rsidR="00A3313F" w:rsidRPr="00954547">
        <w:rPr>
          <w:rFonts w:ascii="Verdana" w:hAnsi="Verdana" w:cs="MinionPro-Bold"/>
          <w:bCs/>
          <w:color w:val="000000" w:themeColor="text1"/>
          <w:sz w:val="16"/>
          <w:szCs w:val="16"/>
        </w:rPr>
        <w:t>both citing</w:t>
      </w:r>
      <w:r w:rsidRPr="00954547">
        <w:rPr>
          <w:rFonts w:ascii="Verdana" w:hAnsi="Verdana" w:cs="MinionPro-Bold"/>
          <w:bCs/>
          <w:color w:val="000000" w:themeColor="text1"/>
          <w:sz w:val="16"/>
          <w:szCs w:val="16"/>
        </w:rPr>
        <w:t xml:space="preserve"> </w:t>
      </w:r>
      <w:r w:rsidR="000F0C04" w:rsidRPr="00954547">
        <w:rPr>
          <w:rFonts w:ascii="Verdana" w:hAnsi="Verdana"/>
          <w:color w:val="000000" w:themeColor="text1"/>
          <w:sz w:val="16"/>
          <w:szCs w:val="16"/>
        </w:rPr>
        <w:t>UN,</w:t>
      </w:r>
      <w:r w:rsidRPr="00954547">
        <w:rPr>
          <w:rFonts w:ascii="Verdana" w:hAnsi="Verdana"/>
          <w:color w:val="000000" w:themeColor="text1"/>
          <w:sz w:val="16"/>
          <w:szCs w:val="16"/>
        </w:rPr>
        <w:t xml:space="preserve"> </w:t>
      </w:r>
      <w:r w:rsidR="002A45FD" w:rsidRPr="00954547">
        <w:rPr>
          <w:rFonts w:ascii="Verdana" w:hAnsi="Verdana"/>
          <w:color w:val="000000" w:themeColor="text1"/>
          <w:sz w:val="16"/>
          <w:szCs w:val="16"/>
        </w:rPr>
        <w:t>Committee for the Elimination of Discrimination against Women</w:t>
      </w:r>
      <w:r w:rsidRPr="00954547">
        <w:rPr>
          <w:rFonts w:ascii="Verdana" w:hAnsi="Verdana"/>
          <w:color w:val="000000" w:themeColor="text1"/>
          <w:sz w:val="16"/>
          <w:szCs w:val="16"/>
        </w:rPr>
        <w:t xml:space="preserve">, </w:t>
      </w:r>
      <w:r w:rsidR="00A30817" w:rsidRPr="00954547">
        <w:rPr>
          <w:rFonts w:ascii="Verdana" w:hAnsi="Verdana"/>
          <w:color w:val="000000" w:themeColor="text1"/>
          <w:sz w:val="16"/>
          <w:szCs w:val="16"/>
        </w:rPr>
        <w:t>General recommendation</w:t>
      </w:r>
      <w:r w:rsidRPr="00954547">
        <w:rPr>
          <w:rFonts w:ascii="Verdana" w:hAnsi="Verdana"/>
          <w:color w:val="000000" w:themeColor="text1"/>
          <w:sz w:val="16"/>
          <w:szCs w:val="16"/>
        </w:rPr>
        <w:t xml:space="preserve"> No. 19, </w:t>
      </w:r>
      <w:r w:rsidR="00A3313F" w:rsidRPr="00954547">
        <w:rPr>
          <w:rFonts w:ascii="Verdana" w:hAnsi="Verdana"/>
          <w:i/>
          <w:color w:val="000000" w:themeColor="text1"/>
          <w:sz w:val="16"/>
          <w:szCs w:val="16"/>
        </w:rPr>
        <w:t>Violence against women.</w:t>
      </w:r>
      <w:r w:rsidRPr="00954547">
        <w:rPr>
          <w:rFonts w:ascii="Verdana" w:hAnsi="Verdana"/>
          <w:color w:val="000000" w:themeColor="text1"/>
          <w:sz w:val="16"/>
          <w:szCs w:val="16"/>
        </w:rPr>
        <w:t xml:space="preserve"> 1992, </w:t>
      </w:r>
      <w:r w:rsidR="00B10E5A" w:rsidRPr="00954547">
        <w:rPr>
          <w:rFonts w:ascii="Verdana" w:hAnsi="Verdana"/>
          <w:color w:val="000000" w:themeColor="text1"/>
          <w:sz w:val="16"/>
          <w:szCs w:val="16"/>
        </w:rPr>
        <w:t>para.</w:t>
      </w:r>
      <w:r w:rsidRPr="00954547">
        <w:rPr>
          <w:rFonts w:ascii="Verdana" w:hAnsi="Verdana"/>
          <w:color w:val="000000" w:themeColor="text1"/>
          <w:sz w:val="16"/>
          <w:szCs w:val="16"/>
        </w:rPr>
        <w:t xml:space="preserve"> 6.</w:t>
      </w:r>
    </w:p>
  </w:footnote>
  <w:footnote w:id="420">
    <w:p w14:paraId="19BE58BD" w14:textId="456BF84A"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5 </w:t>
      </w:r>
      <w:r w:rsidR="005E0FD1" w:rsidRPr="00954547">
        <w:rPr>
          <w:rFonts w:ascii="Verdana" w:hAnsi="Verdana"/>
          <w:sz w:val="16"/>
          <w:szCs w:val="16"/>
        </w:rPr>
        <w:t>of the Convention</w:t>
      </w:r>
      <w:r w:rsidRPr="00954547">
        <w:rPr>
          <w:rFonts w:ascii="Verdana" w:hAnsi="Verdana"/>
          <w:sz w:val="16"/>
          <w:szCs w:val="16"/>
        </w:rPr>
        <w:t>.</w:t>
      </w:r>
    </w:p>
  </w:footnote>
  <w:footnote w:id="421">
    <w:p w14:paraId="61F843F1" w14:textId="40A04FA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Article</w:t>
      </w:r>
      <w:r w:rsidRPr="00954547">
        <w:rPr>
          <w:rFonts w:ascii="Verdana" w:hAnsi="Verdana"/>
          <w:sz w:val="16"/>
          <w:szCs w:val="16"/>
        </w:rPr>
        <w:t xml:space="preserve"> </w:t>
      </w:r>
      <w:r w:rsidR="005E0FD1" w:rsidRPr="00954547">
        <w:rPr>
          <w:rFonts w:ascii="Verdana" w:hAnsi="Verdana"/>
          <w:sz w:val="16"/>
          <w:szCs w:val="16"/>
        </w:rPr>
        <w:t>8(2)</w:t>
      </w:r>
      <w:r w:rsidRPr="00954547">
        <w:rPr>
          <w:rFonts w:ascii="Verdana" w:hAnsi="Verdana"/>
          <w:sz w:val="16"/>
          <w:szCs w:val="16"/>
        </w:rPr>
        <w:t xml:space="preserve"> </w:t>
      </w:r>
      <w:r w:rsidR="005E0FD1" w:rsidRPr="00954547">
        <w:rPr>
          <w:rFonts w:ascii="Verdana" w:hAnsi="Verdana"/>
          <w:sz w:val="16"/>
          <w:szCs w:val="16"/>
        </w:rPr>
        <w:t>of the Convention</w:t>
      </w:r>
      <w:r w:rsidRPr="00954547">
        <w:rPr>
          <w:rFonts w:ascii="Verdana" w:hAnsi="Verdana"/>
          <w:sz w:val="16"/>
          <w:szCs w:val="16"/>
        </w:rPr>
        <w:t>.</w:t>
      </w:r>
    </w:p>
  </w:footnote>
  <w:footnote w:id="422">
    <w:p w14:paraId="0C536A7E" w14:textId="1691C449" w:rsidR="005F001B" w:rsidRPr="00954547" w:rsidRDefault="005F001B" w:rsidP="007619E6">
      <w:pPr>
        <w:pStyle w:val="FootnoteText"/>
        <w:tabs>
          <w:tab w:val="left" w:pos="567"/>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A17F8C" w:rsidRPr="00954547">
        <w:rPr>
          <w:rFonts w:ascii="Verdana" w:hAnsi="Verdana"/>
          <w:sz w:val="16"/>
          <w:szCs w:val="16"/>
        </w:rPr>
        <w:t xml:space="preserve">Article 1(1) </w:t>
      </w:r>
      <w:r w:rsidR="005E0FD1" w:rsidRPr="00954547">
        <w:rPr>
          <w:rFonts w:ascii="Verdana" w:hAnsi="Verdana"/>
          <w:sz w:val="16"/>
          <w:szCs w:val="16"/>
        </w:rPr>
        <w:t>of the Convention</w:t>
      </w:r>
      <w:r w:rsidRPr="00954547">
        <w:rPr>
          <w:rFonts w:ascii="Verdana" w:hAnsi="Verdana"/>
          <w:sz w:val="16"/>
          <w:szCs w:val="16"/>
        </w:rPr>
        <w:t>.</w:t>
      </w:r>
    </w:p>
  </w:footnote>
  <w:footnote w:id="423">
    <w:p w14:paraId="47209B98" w14:textId="45AA8559"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B8393C" w:rsidRPr="00954547">
        <w:rPr>
          <w:i/>
          <w:sz w:val="16"/>
          <w:szCs w:val="16"/>
          <w:lang w:val="en-US"/>
        </w:rPr>
        <w:t>Cf.</w:t>
      </w:r>
      <w:r w:rsidRPr="00954547">
        <w:rPr>
          <w:sz w:val="16"/>
          <w:szCs w:val="16"/>
          <w:lang w:val="en-US"/>
        </w:rPr>
        <w:t xml:space="preserve"> </w:t>
      </w:r>
      <w:r w:rsidR="002F4617" w:rsidRPr="00954547">
        <w:rPr>
          <w:i/>
          <w:sz w:val="16"/>
          <w:szCs w:val="16"/>
          <w:lang w:val="en-US"/>
        </w:rPr>
        <w:t>Case of</w:t>
      </w:r>
      <w:r w:rsidRPr="00954547">
        <w:rPr>
          <w:i/>
          <w:sz w:val="16"/>
          <w:szCs w:val="16"/>
          <w:lang w:val="en-US"/>
        </w:rPr>
        <w:t xml:space="preserve"> Castillo Páez </w:t>
      </w:r>
      <w:r w:rsidR="009C16A1" w:rsidRPr="00954547">
        <w:rPr>
          <w:i/>
          <w:sz w:val="16"/>
          <w:szCs w:val="16"/>
          <w:lang w:val="en-US"/>
        </w:rPr>
        <w:t>v.</w:t>
      </w:r>
      <w:r w:rsidRPr="00954547">
        <w:rPr>
          <w:i/>
          <w:sz w:val="16"/>
          <w:szCs w:val="16"/>
          <w:lang w:val="en-US"/>
        </w:rPr>
        <w:t xml:space="preserve"> </w:t>
      </w:r>
      <w:r w:rsidR="00C26F0B" w:rsidRPr="00954547">
        <w:rPr>
          <w:i/>
          <w:sz w:val="16"/>
          <w:szCs w:val="16"/>
          <w:lang w:val="en-US"/>
        </w:rPr>
        <w:t>Peru</w:t>
      </w:r>
      <w:r w:rsidRPr="00954547">
        <w:rPr>
          <w:i/>
          <w:sz w:val="16"/>
          <w:szCs w:val="16"/>
          <w:lang w:val="en-US"/>
        </w:rPr>
        <w:t xml:space="preserve">. </w:t>
      </w:r>
      <w:r w:rsidR="00E67A8B" w:rsidRPr="00954547">
        <w:rPr>
          <w:i/>
          <w:sz w:val="16"/>
          <w:szCs w:val="16"/>
          <w:lang w:val="en-US"/>
        </w:rPr>
        <w:t>Merits</w:t>
      </w:r>
      <w:r w:rsidRPr="00954547">
        <w:rPr>
          <w:i/>
          <w:sz w:val="16"/>
          <w:szCs w:val="16"/>
          <w:lang w:val="en-US"/>
        </w:rPr>
        <w:t xml:space="preserve">. </w:t>
      </w:r>
      <w:r w:rsidR="00B8393C" w:rsidRPr="00954547">
        <w:rPr>
          <w:i/>
          <w:sz w:val="16"/>
          <w:szCs w:val="16"/>
          <w:lang w:val="en-US"/>
        </w:rPr>
        <w:t>Judgment of</w:t>
      </w:r>
      <w:r w:rsidRPr="00954547">
        <w:rPr>
          <w:i/>
          <w:sz w:val="16"/>
          <w:szCs w:val="16"/>
          <w:lang w:val="en-US"/>
        </w:rPr>
        <w:t xml:space="preserve"> </w:t>
      </w:r>
      <w:r w:rsidR="00E67A8B" w:rsidRPr="00954547">
        <w:rPr>
          <w:i/>
          <w:sz w:val="16"/>
          <w:szCs w:val="16"/>
          <w:lang w:val="en-US"/>
        </w:rPr>
        <w:t>November 3,</w:t>
      </w:r>
      <w:r w:rsidRPr="00954547">
        <w:rPr>
          <w:i/>
          <w:sz w:val="16"/>
          <w:szCs w:val="16"/>
          <w:lang w:val="en-US"/>
        </w:rPr>
        <w:t xml:space="preserve"> 1997. </w:t>
      </w:r>
      <w:r w:rsidR="00B8393C" w:rsidRPr="00954547">
        <w:rPr>
          <w:sz w:val="16"/>
          <w:szCs w:val="16"/>
          <w:lang w:val="en-US"/>
        </w:rPr>
        <w:t xml:space="preserve">Series </w:t>
      </w:r>
      <w:r w:rsidRPr="00954547">
        <w:rPr>
          <w:sz w:val="16"/>
          <w:szCs w:val="16"/>
          <w:lang w:val="en-US"/>
        </w:rPr>
        <w:t xml:space="preserve">C No. 34, </w:t>
      </w:r>
      <w:r w:rsidR="00E67A8B" w:rsidRPr="00954547">
        <w:rPr>
          <w:sz w:val="16"/>
          <w:szCs w:val="16"/>
          <w:lang w:val="en-US"/>
        </w:rPr>
        <w:t xml:space="preserve">fourth operative paragraph, </w:t>
      </w:r>
      <w:r w:rsidR="0078694F" w:rsidRPr="00954547">
        <w:rPr>
          <w:sz w:val="16"/>
          <w:szCs w:val="16"/>
          <w:lang w:val="en-US"/>
        </w:rPr>
        <w:t xml:space="preserve">and </w:t>
      </w:r>
      <w:r w:rsidR="002F4617" w:rsidRPr="00954547">
        <w:rPr>
          <w:i/>
          <w:sz w:val="16"/>
          <w:szCs w:val="16"/>
          <w:lang w:val="en-US"/>
        </w:rPr>
        <w:t>Case of</w:t>
      </w:r>
      <w:r w:rsidRPr="00954547">
        <w:rPr>
          <w:i/>
          <w:sz w:val="16"/>
          <w:szCs w:val="16"/>
          <w:lang w:val="en-US"/>
        </w:rPr>
        <w:t xml:space="preserve"> Guachalá Chimbo </w:t>
      </w:r>
      <w:r w:rsidR="00B8393C" w:rsidRPr="00954547">
        <w:rPr>
          <w:i/>
          <w:sz w:val="16"/>
          <w:szCs w:val="16"/>
          <w:lang w:val="en-US"/>
        </w:rPr>
        <w:t>et al. v.</w:t>
      </w:r>
      <w:r w:rsidRPr="00954547">
        <w:rPr>
          <w:i/>
          <w:sz w:val="16"/>
          <w:szCs w:val="16"/>
          <w:lang w:val="en-US"/>
        </w:rPr>
        <w:t xml:space="preserve"> Ecuador. </w:t>
      </w:r>
      <w:r w:rsidR="00A70DC4" w:rsidRPr="00954547">
        <w:rPr>
          <w:i/>
          <w:sz w:val="16"/>
          <w:szCs w:val="16"/>
          <w:lang w:val="en-US"/>
        </w:rPr>
        <w:t>Merits, reparations and costs</w:t>
      </w:r>
      <w:r w:rsidRPr="00954547">
        <w:rPr>
          <w:i/>
          <w:sz w:val="16"/>
          <w:szCs w:val="16"/>
          <w:lang w:val="en-US"/>
        </w:rPr>
        <w:t>, supra</w:t>
      </w:r>
      <w:r w:rsidRPr="00954547">
        <w:rPr>
          <w:sz w:val="16"/>
          <w:szCs w:val="16"/>
          <w:lang w:val="en-US"/>
        </w:rPr>
        <w:t xml:space="preserve">, </w:t>
      </w:r>
      <w:r w:rsidR="00B10E5A" w:rsidRPr="00954547">
        <w:rPr>
          <w:sz w:val="16"/>
          <w:szCs w:val="16"/>
          <w:lang w:val="en-US"/>
        </w:rPr>
        <w:t>para.</w:t>
      </w:r>
      <w:r w:rsidRPr="00954547">
        <w:rPr>
          <w:i/>
          <w:sz w:val="16"/>
          <w:szCs w:val="16"/>
          <w:lang w:val="en-US"/>
        </w:rPr>
        <w:t xml:space="preserve"> </w:t>
      </w:r>
      <w:r w:rsidRPr="00954547">
        <w:rPr>
          <w:sz w:val="16"/>
          <w:szCs w:val="16"/>
          <w:lang w:val="en-US"/>
        </w:rPr>
        <w:t>217.</w:t>
      </w:r>
    </w:p>
  </w:footnote>
  <w:footnote w:id="424">
    <w:p w14:paraId="48FDEBB6" w14:textId="4FBBD3EB"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B8393C" w:rsidRPr="00954547">
        <w:rPr>
          <w:i/>
          <w:sz w:val="16"/>
          <w:szCs w:val="16"/>
          <w:lang w:val="en-US"/>
        </w:rPr>
        <w:t>Cf.</w:t>
      </w:r>
      <w:r w:rsidRPr="00954547">
        <w:rPr>
          <w:i/>
          <w:sz w:val="16"/>
          <w:szCs w:val="16"/>
          <w:lang w:val="en-US"/>
        </w:rPr>
        <w:t xml:space="preserve"> </w:t>
      </w:r>
      <w:r w:rsidR="002F4617" w:rsidRPr="00954547">
        <w:rPr>
          <w:i/>
          <w:sz w:val="16"/>
          <w:szCs w:val="16"/>
          <w:lang w:val="en-US"/>
        </w:rPr>
        <w:t>Case of</w:t>
      </w:r>
      <w:r w:rsidRPr="00954547">
        <w:rPr>
          <w:i/>
          <w:sz w:val="16"/>
          <w:szCs w:val="16"/>
          <w:lang w:val="en-US"/>
        </w:rPr>
        <w:t xml:space="preserve"> Blake </w:t>
      </w:r>
      <w:r w:rsidR="009C16A1" w:rsidRPr="00954547">
        <w:rPr>
          <w:i/>
          <w:sz w:val="16"/>
          <w:szCs w:val="16"/>
          <w:lang w:val="en-US"/>
        </w:rPr>
        <w:t>v.</w:t>
      </w:r>
      <w:r w:rsidRPr="00954547">
        <w:rPr>
          <w:i/>
          <w:sz w:val="16"/>
          <w:szCs w:val="16"/>
          <w:lang w:val="en-US"/>
        </w:rPr>
        <w:t xml:space="preserve"> Guatemala. </w:t>
      </w:r>
      <w:r w:rsidR="00E67A8B" w:rsidRPr="00954547">
        <w:rPr>
          <w:i/>
          <w:sz w:val="16"/>
          <w:szCs w:val="16"/>
          <w:lang w:val="en-US"/>
        </w:rPr>
        <w:t>Merits</w:t>
      </w:r>
      <w:r w:rsidRPr="00954547">
        <w:rPr>
          <w:i/>
          <w:sz w:val="16"/>
          <w:szCs w:val="16"/>
          <w:lang w:val="en-US"/>
        </w:rPr>
        <w:t xml:space="preserve">. </w:t>
      </w:r>
      <w:r w:rsidR="00B8393C" w:rsidRPr="00954547">
        <w:rPr>
          <w:sz w:val="16"/>
          <w:szCs w:val="16"/>
          <w:lang w:val="en-US"/>
        </w:rPr>
        <w:t>Judgment of</w:t>
      </w:r>
      <w:r w:rsidRPr="00954547">
        <w:rPr>
          <w:sz w:val="16"/>
          <w:szCs w:val="16"/>
          <w:lang w:val="en-US"/>
        </w:rPr>
        <w:t xml:space="preserve"> </w:t>
      </w:r>
      <w:r w:rsidR="00E67A8B" w:rsidRPr="00954547">
        <w:rPr>
          <w:sz w:val="16"/>
          <w:szCs w:val="16"/>
          <w:lang w:val="en-US"/>
        </w:rPr>
        <w:t>January 24,</w:t>
      </w:r>
      <w:r w:rsidRPr="00954547">
        <w:rPr>
          <w:sz w:val="16"/>
          <w:szCs w:val="16"/>
          <w:lang w:val="en-US"/>
        </w:rPr>
        <w:t xml:space="preserve"> 1998. </w:t>
      </w:r>
      <w:r w:rsidR="00B8393C" w:rsidRPr="00954547">
        <w:rPr>
          <w:sz w:val="16"/>
          <w:szCs w:val="16"/>
          <w:lang w:val="en-US"/>
        </w:rPr>
        <w:t xml:space="preserve">Series </w:t>
      </w:r>
      <w:r w:rsidRPr="00954547">
        <w:rPr>
          <w:sz w:val="16"/>
          <w:szCs w:val="16"/>
          <w:lang w:val="en-US"/>
        </w:rPr>
        <w:t xml:space="preserve">C No. 36, </w:t>
      </w:r>
      <w:r w:rsidR="00B10E5A" w:rsidRPr="00954547">
        <w:rPr>
          <w:sz w:val="16"/>
          <w:szCs w:val="16"/>
          <w:lang w:val="en-US"/>
        </w:rPr>
        <w:t>para.</w:t>
      </w:r>
      <w:r w:rsidRPr="00954547">
        <w:rPr>
          <w:sz w:val="16"/>
          <w:szCs w:val="16"/>
          <w:lang w:val="en-US"/>
        </w:rPr>
        <w:t xml:space="preserve"> 114,</w:t>
      </w:r>
      <w:r w:rsidR="0078694F" w:rsidRPr="00954547">
        <w:rPr>
          <w:sz w:val="16"/>
          <w:szCs w:val="16"/>
          <w:lang w:val="en-US"/>
        </w:rPr>
        <w:t xml:space="preserve"> and </w:t>
      </w:r>
      <w:r w:rsidR="002F4617" w:rsidRPr="00954547">
        <w:rPr>
          <w:i/>
          <w:sz w:val="16"/>
          <w:szCs w:val="16"/>
          <w:lang w:val="en-US"/>
        </w:rPr>
        <w:t>Case of</w:t>
      </w:r>
      <w:r w:rsidRPr="00954547">
        <w:rPr>
          <w:i/>
          <w:sz w:val="16"/>
          <w:szCs w:val="16"/>
          <w:lang w:val="en-US"/>
        </w:rPr>
        <w:t xml:space="preserve"> Guachalá Chimbo </w:t>
      </w:r>
      <w:r w:rsidR="00B8393C" w:rsidRPr="00954547">
        <w:rPr>
          <w:i/>
          <w:sz w:val="16"/>
          <w:szCs w:val="16"/>
          <w:lang w:val="en-US"/>
        </w:rPr>
        <w:t>et al. v.</w:t>
      </w:r>
      <w:r w:rsidRPr="00954547">
        <w:rPr>
          <w:i/>
          <w:sz w:val="16"/>
          <w:szCs w:val="16"/>
          <w:lang w:val="en-US"/>
        </w:rPr>
        <w:t xml:space="preserve"> Ecuador. </w:t>
      </w:r>
      <w:r w:rsidR="00A70DC4" w:rsidRPr="00954547">
        <w:rPr>
          <w:i/>
          <w:sz w:val="16"/>
          <w:szCs w:val="16"/>
          <w:lang w:val="en-US"/>
        </w:rPr>
        <w:t>Merits, reparations and costs</w:t>
      </w:r>
      <w:r w:rsidRPr="00954547">
        <w:rPr>
          <w:i/>
          <w:sz w:val="16"/>
          <w:szCs w:val="16"/>
          <w:lang w:val="en-US"/>
        </w:rPr>
        <w:t>, supra</w:t>
      </w:r>
      <w:r w:rsidRPr="00954547">
        <w:rPr>
          <w:sz w:val="16"/>
          <w:szCs w:val="16"/>
          <w:lang w:val="en-US"/>
        </w:rPr>
        <w:t xml:space="preserve">, </w:t>
      </w:r>
      <w:r w:rsidR="00B10E5A" w:rsidRPr="00954547">
        <w:rPr>
          <w:sz w:val="16"/>
          <w:szCs w:val="16"/>
          <w:lang w:val="en-US"/>
        </w:rPr>
        <w:t>para.</w:t>
      </w:r>
      <w:r w:rsidRPr="00954547">
        <w:rPr>
          <w:i/>
          <w:sz w:val="16"/>
          <w:szCs w:val="16"/>
          <w:lang w:val="en-US"/>
        </w:rPr>
        <w:t xml:space="preserve"> </w:t>
      </w:r>
      <w:r w:rsidRPr="00954547">
        <w:rPr>
          <w:sz w:val="16"/>
          <w:szCs w:val="16"/>
          <w:lang w:val="en-US"/>
        </w:rPr>
        <w:t>217.</w:t>
      </w:r>
    </w:p>
  </w:footnote>
  <w:footnote w:id="425">
    <w:p w14:paraId="5048889F" w14:textId="0818023E"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B8393C" w:rsidRPr="00954547">
        <w:rPr>
          <w:i/>
          <w:sz w:val="16"/>
          <w:szCs w:val="16"/>
          <w:lang w:val="en-US"/>
        </w:rPr>
        <w:t>Cf.</w:t>
      </w:r>
      <w:r w:rsidRPr="00954547">
        <w:rPr>
          <w:i/>
          <w:sz w:val="16"/>
          <w:szCs w:val="16"/>
          <w:lang w:val="en-US"/>
        </w:rPr>
        <w:t xml:space="preserve"> </w:t>
      </w:r>
      <w:r w:rsidR="002F4617" w:rsidRPr="00954547">
        <w:rPr>
          <w:i/>
          <w:sz w:val="16"/>
          <w:szCs w:val="16"/>
          <w:lang w:val="en-US"/>
        </w:rPr>
        <w:t>Case of</w:t>
      </w:r>
      <w:r w:rsidRPr="00954547">
        <w:rPr>
          <w:i/>
          <w:sz w:val="16"/>
          <w:szCs w:val="16"/>
          <w:lang w:val="en-US"/>
        </w:rPr>
        <w:t xml:space="preserve"> Bámaca Velásquez </w:t>
      </w:r>
      <w:r w:rsidR="009C16A1" w:rsidRPr="00954547">
        <w:rPr>
          <w:i/>
          <w:sz w:val="16"/>
          <w:szCs w:val="16"/>
          <w:lang w:val="en-US"/>
        </w:rPr>
        <w:t>v.</w:t>
      </w:r>
      <w:r w:rsidRPr="00954547">
        <w:rPr>
          <w:i/>
          <w:sz w:val="16"/>
          <w:szCs w:val="16"/>
          <w:lang w:val="en-US"/>
        </w:rPr>
        <w:t xml:space="preserve"> Guatemala. </w:t>
      </w:r>
      <w:r w:rsidR="00E67A8B" w:rsidRPr="00954547">
        <w:rPr>
          <w:i/>
          <w:sz w:val="16"/>
          <w:szCs w:val="16"/>
          <w:lang w:val="en-US"/>
        </w:rPr>
        <w:t>Merits</w:t>
      </w:r>
      <w:r w:rsidRPr="00954547">
        <w:rPr>
          <w:i/>
          <w:sz w:val="16"/>
          <w:szCs w:val="16"/>
          <w:lang w:val="en-US"/>
        </w:rPr>
        <w:t xml:space="preserve">. </w:t>
      </w:r>
      <w:r w:rsidR="00B8393C" w:rsidRPr="00954547">
        <w:rPr>
          <w:sz w:val="16"/>
          <w:szCs w:val="16"/>
          <w:lang w:val="en-US"/>
        </w:rPr>
        <w:t>Judgment of</w:t>
      </w:r>
      <w:r w:rsidRPr="00954547">
        <w:rPr>
          <w:sz w:val="16"/>
          <w:szCs w:val="16"/>
          <w:lang w:val="en-US"/>
        </w:rPr>
        <w:t xml:space="preserve"> </w:t>
      </w:r>
      <w:r w:rsidR="00E67A8B" w:rsidRPr="00954547">
        <w:rPr>
          <w:sz w:val="16"/>
          <w:szCs w:val="16"/>
          <w:lang w:val="en-US"/>
        </w:rPr>
        <w:t>November 25,</w:t>
      </w:r>
      <w:r w:rsidRPr="00954547">
        <w:rPr>
          <w:sz w:val="16"/>
          <w:szCs w:val="16"/>
          <w:lang w:val="en-US"/>
        </w:rPr>
        <w:t xml:space="preserve"> 2000. </w:t>
      </w:r>
      <w:r w:rsidR="00B8393C" w:rsidRPr="00954547">
        <w:rPr>
          <w:sz w:val="16"/>
          <w:szCs w:val="16"/>
          <w:lang w:val="en-US"/>
        </w:rPr>
        <w:t xml:space="preserve">Series </w:t>
      </w:r>
      <w:r w:rsidRPr="00954547">
        <w:rPr>
          <w:sz w:val="16"/>
          <w:szCs w:val="16"/>
          <w:lang w:val="en-US"/>
        </w:rPr>
        <w:t>C No. 70,</w:t>
      </w:r>
      <w:r w:rsidRPr="00954547">
        <w:rPr>
          <w:i/>
          <w:sz w:val="16"/>
          <w:szCs w:val="16"/>
          <w:lang w:val="en-US"/>
        </w:rPr>
        <w:t xml:space="preserve"> </w:t>
      </w:r>
      <w:r w:rsidR="00B10E5A" w:rsidRPr="00954547">
        <w:rPr>
          <w:sz w:val="16"/>
          <w:szCs w:val="16"/>
          <w:lang w:val="en-US"/>
        </w:rPr>
        <w:t>para.</w:t>
      </w:r>
      <w:r w:rsidRPr="00954547">
        <w:rPr>
          <w:sz w:val="16"/>
          <w:szCs w:val="16"/>
          <w:lang w:val="en-US"/>
        </w:rPr>
        <w:t xml:space="preserve"> 163,</w:t>
      </w:r>
      <w:r w:rsidR="0078694F" w:rsidRPr="00954547">
        <w:rPr>
          <w:sz w:val="16"/>
          <w:szCs w:val="16"/>
          <w:lang w:val="en-US"/>
        </w:rPr>
        <w:t xml:space="preserve"> and </w:t>
      </w:r>
      <w:r w:rsidR="002F4617" w:rsidRPr="00954547">
        <w:rPr>
          <w:i/>
          <w:sz w:val="16"/>
          <w:szCs w:val="16"/>
          <w:lang w:val="en-US"/>
        </w:rPr>
        <w:t>Case of</w:t>
      </w:r>
      <w:r w:rsidRPr="00954547">
        <w:rPr>
          <w:i/>
          <w:sz w:val="16"/>
          <w:szCs w:val="16"/>
          <w:lang w:val="en-US"/>
        </w:rPr>
        <w:t xml:space="preserve"> Guachalá Chimbo </w:t>
      </w:r>
      <w:r w:rsidR="00B8393C" w:rsidRPr="00954547">
        <w:rPr>
          <w:i/>
          <w:sz w:val="16"/>
          <w:szCs w:val="16"/>
          <w:lang w:val="en-US"/>
        </w:rPr>
        <w:t>et al. v.</w:t>
      </w:r>
      <w:r w:rsidRPr="00954547">
        <w:rPr>
          <w:i/>
          <w:sz w:val="16"/>
          <w:szCs w:val="16"/>
          <w:lang w:val="en-US"/>
        </w:rPr>
        <w:t xml:space="preserve"> Ecuador. </w:t>
      </w:r>
      <w:r w:rsidR="00A70DC4" w:rsidRPr="00954547">
        <w:rPr>
          <w:i/>
          <w:sz w:val="16"/>
          <w:szCs w:val="16"/>
          <w:lang w:val="en-US"/>
        </w:rPr>
        <w:t>Merits, reparations and costs</w:t>
      </w:r>
      <w:r w:rsidRPr="00954547">
        <w:rPr>
          <w:i/>
          <w:sz w:val="16"/>
          <w:szCs w:val="16"/>
          <w:lang w:val="en-US"/>
        </w:rPr>
        <w:t>, supra</w:t>
      </w:r>
      <w:r w:rsidRPr="00954547">
        <w:rPr>
          <w:sz w:val="16"/>
          <w:szCs w:val="16"/>
          <w:lang w:val="en-US"/>
        </w:rPr>
        <w:t xml:space="preserve">, </w:t>
      </w:r>
      <w:r w:rsidR="00B10E5A" w:rsidRPr="00954547">
        <w:rPr>
          <w:sz w:val="16"/>
          <w:szCs w:val="16"/>
          <w:lang w:val="en-US"/>
        </w:rPr>
        <w:t>para.</w:t>
      </w:r>
      <w:r w:rsidRPr="00954547">
        <w:rPr>
          <w:i/>
          <w:sz w:val="16"/>
          <w:szCs w:val="16"/>
          <w:lang w:val="en-US"/>
        </w:rPr>
        <w:t xml:space="preserve"> </w:t>
      </w:r>
      <w:r w:rsidRPr="00954547">
        <w:rPr>
          <w:sz w:val="16"/>
          <w:szCs w:val="16"/>
          <w:lang w:val="en-US"/>
        </w:rPr>
        <w:t>217.</w:t>
      </w:r>
    </w:p>
  </w:footnote>
  <w:footnote w:id="426">
    <w:p w14:paraId="09AE1DFF" w14:textId="01AFFF93"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FF2DDD" w:rsidRPr="00954547">
        <w:rPr>
          <w:sz w:val="16"/>
          <w:szCs w:val="16"/>
          <w:bdr w:val="none" w:sz="0" w:space="0" w:color="auto" w:frame="1"/>
          <w:lang w:val="en-US"/>
        </w:rPr>
        <w:t>Affidavit made by</w:t>
      </w:r>
      <w:r w:rsidRPr="00954547">
        <w:rPr>
          <w:sz w:val="16"/>
          <w:szCs w:val="16"/>
          <w:bdr w:val="none" w:sz="0" w:space="0" w:color="auto" w:frame="1"/>
          <w:lang w:val="en-US"/>
        </w:rPr>
        <w:t xml:space="preserve"> </w:t>
      </w:r>
      <w:r w:rsidR="00FF2DDD" w:rsidRPr="00954547">
        <w:rPr>
          <w:sz w:val="16"/>
          <w:szCs w:val="16"/>
          <w:bdr w:val="none" w:sz="0" w:space="0" w:color="auto" w:frame="1"/>
          <w:lang w:val="en-US"/>
        </w:rPr>
        <w:t>Manuela’s mother</w:t>
      </w:r>
      <w:r w:rsidRPr="00954547">
        <w:rPr>
          <w:sz w:val="16"/>
          <w:szCs w:val="16"/>
          <w:bdr w:val="none" w:sz="0" w:space="0" w:color="auto" w:frame="1"/>
          <w:lang w:val="en-US"/>
        </w:rPr>
        <w:t xml:space="preserve"> </w:t>
      </w:r>
      <w:r w:rsidR="00FF2DDD" w:rsidRPr="00954547">
        <w:rPr>
          <w:sz w:val="16"/>
          <w:szCs w:val="16"/>
          <w:bdr w:val="none" w:sz="0" w:space="0" w:color="auto" w:frame="1"/>
          <w:lang w:val="en-US"/>
        </w:rPr>
        <w:t>on March 5,</w:t>
      </w:r>
      <w:r w:rsidRPr="00954547">
        <w:rPr>
          <w:sz w:val="16"/>
          <w:szCs w:val="16"/>
          <w:bdr w:val="none" w:sz="0" w:space="0" w:color="auto" w:frame="1"/>
          <w:lang w:val="en-US"/>
        </w:rPr>
        <w:t xml:space="preserve"> 2021 (</w:t>
      </w:r>
      <w:r w:rsidR="001C328F" w:rsidRPr="00954547">
        <w:rPr>
          <w:sz w:val="16"/>
          <w:szCs w:val="16"/>
          <w:bdr w:val="none" w:sz="0" w:space="0" w:color="auto" w:frame="1"/>
          <w:lang w:val="en-US"/>
        </w:rPr>
        <w:t>evidence file</w:t>
      </w:r>
      <w:r w:rsidRPr="00954547">
        <w:rPr>
          <w:sz w:val="16"/>
          <w:szCs w:val="16"/>
          <w:bdr w:val="none" w:sz="0" w:space="0" w:color="auto" w:frame="1"/>
          <w:lang w:val="en-US"/>
        </w:rPr>
        <w:t xml:space="preserve">, folio </w:t>
      </w:r>
      <w:r w:rsidRPr="00954547">
        <w:rPr>
          <w:sz w:val="16"/>
          <w:szCs w:val="16"/>
          <w:lang w:val="en-US"/>
        </w:rPr>
        <w:t>3793).</w:t>
      </w:r>
    </w:p>
  </w:footnote>
  <w:footnote w:id="427">
    <w:p w14:paraId="77C17821" w14:textId="7461E69F"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FF2DDD" w:rsidRPr="00954547">
        <w:rPr>
          <w:iCs/>
          <w:sz w:val="16"/>
          <w:szCs w:val="16"/>
          <w:bdr w:val="none" w:sz="0" w:space="0" w:color="auto" w:frame="1"/>
          <w:lang w:val="en-US"/>
        </w:rPr>
        <w:t>Affidavit made by</w:t>
      </w:r>
      <w:r w:rsidRPr="00954547">
        <w:rPr>
          <w:sz w:val="16"/>
          <w:szCs w:val="16"/>
          <w:bdr w:val="none" w:sz="0" w:space="0" w:color="auto" w:frame="1"/>
          <w:lang w:val="en-US"/>
        </w:rPr>
        <w:t xml:space="preserve"> </w:t>
      </w:r>
      <w:r w:rsidR="00FF2DDD" w:rsidRPr="00954547">
        <w:rPr>
          <w:sz w:val="16"/>
          <w:szCs w:val="16"/>
          <w:bdr w:val="none" w:sz="0" w:space="0" w:color="auto" w:frame="1"/>
          <w:lang w:val="en-US"/>
        </w:rPr>
        <w:t>Manuela’s father</w:t>
      </w:r>
      <w:r w:rsidRPr="00954547">
        <w:rPr>
          <w:sz w:val="16"/>
          <w:szCs w:val="16"/>
          <w:bdr w:val="none" w:sz="0" w:space="0" w:color="auto" w:frame="1"/>
          <w:lang w:val="en-US"/>
        </w:rPr>
        <w:t xml:space="preserve"> </w:t>
      </w:r>
      <w:r w:rsidR="00FF2DDD" w:rsidRPr="00954547">
        <w:rPr>
          <w:sz w:val="16"/>
          <w:szCs w:val="16"/>
          <w:bdr w:val="none" w:sz="0" w:space="0" w:color="auto" w:frame="1"/>
          <w:lang w:val="en-US"/>
        </w:rPr>
        <w:t>on February 26,</w:t>
      </w:r>
      <w:r w:rsidRPr="00954547">
        <w:rPr>
          <w:sz w:val="16"/>
          <w:szCs w:val="16"/>
          <w:bdr w:val="none" w:sz="0" w:space="0" w:color="auto" w:frame="1"/>
          <w:lang w:val="en-US"/>
        </w:rPr>
        <w:t xml:space="preserve"> 2021 (</w:t>
      </w:r>
      <w:r w:rsidR="001C328F" w:rsidRPr="00954547">
        <w:rPr>
          <w:sz w:val="16"/>
          <w:szCs w:val="16"/>
          <w:bdr w:val="none" w:sz="0" w:space="0" w:color="auto" w:frame="1"/>
          <w:lang w:val="en-US"/>
        </w:rPr>
        <w:t>evidence file</w:t>
      </w:r>
      <w:r w:rsidRPr="00954547">
        <w:rPr>
          <w:sz w:val="16"/>
          <w:szCs w:val="16"/>
          <w:bdr w:val="none" w:sz="0" w:space="0" w:color="auto" w:frame="1"/>
          <w:lang w:val="en-US"/>
        </w:rPr>
        <w:t xml:space="preserve">, folio </w:t>
      </w:r>
      <w:r w:rsidRPr="00954547">
        <w:rPr>
          <w:sz w:val="16"/>
          <w:szCs w:val="16"/>
          <w:lang w:val="en-US"/>
        </w:rPr>
        <w:t>3799).</w:t>
      </w:r>
    </w:p>
  </w:footnote>
  <w:footnote w:id="428">
    <w:p w14:paraId="542A888B" w14:textId="2F9E9D58"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FF2DDD" w:rsidRPr="00954547">
        <w:rPr>
          <w:iCs/>
          <w:sz w:val="16"/>
          <w:szCs w:val="16"/>
          <w:bdr w:val="none" w:sz="0" w:space="0" w:color="auto" w:frame="1"/>
          <w:lang w:val="en-US"/>
        </w:rPr>
        <w:t>Affidavit made by</w:t>
      </w:r>
      <w:r w:rsidRPr="00954547">
        <w:rPr>
          <w:sz w:val="16"/>
          <w:szCs w:val="16"/>
          <w:bdr w:val="none" w:sz="0" w:space="0" w:color="auto" w:frame="1"/>
          <w:lang w:val="en-US"/>
        </w:rPr>
        <w:t xml:space="preserve"> </w:t>
      </w:r>
      <w:r w:rsidR="00FF2DDD" w:rsidRPr="00954547">
        <w:rPr>
          <w:sz w:val="16"/>
          <w:szCs w:val="16"/>
          <w:bdr w:val="none" w:sz="0" w:space="0" w:color="auto" w:frame="1"/>
          <w:lang w:val="en-US"/>
        </w:rPr>
        <w:t>Manuela’s father</w:t>
      </w:r>
      <w:r w:rsidRPr="00954547">
        <w:rPr>
          <w:sz w:val="16"/>
          <w:szCs w:val="16"/>
          <w:bdr w:val="none" w:sz="0" w:space="0" w:color="auto" w:frame="1"/>
          <w:lang w:val="en-US"/>
        </w:rPr>
        <w:t xml:space="preserve"> </w:t>
      </w:r>
      <w:r w:rsidR="00FF2DDD" w:rsidRPr="00954547">
        <w:rPr>
          <w:sz w:val="16"/>
          <w:szCs w:val="16"/>
          <w:bdr w:val="none" w:sz="0" w:space="0" w:color="auto" w:frame="1"/>
          <w:lang w:val="en-US"/>
        </w:rPr>
        <w:t>on February 26,</w:t>
      </w:r>
      <w:r w:rsidRPr="00954547">
        <w:rPr>
          <w:sz w:val="16"/>
          <w:szCs w:val="16"/>
          <w:bdr w:val="none" w:sz="0" w:space="0" w:color="auto" w:frame="1"/>
          <w:lang w:val="en-US"/>
        </w:rPr>
        <w:t xml:space="preserve"> 2021 (</w:t>
      </w:r>
      <w:r w:rsidR="001C328F" w:rsidRPr="00954547">
        <w:rPr>
          <w:sz w:val="16"/>
          <w:szCs w:val="16"/>
          <w:bdr w:val="none" w:sz="0" w:space="0" w:color="auto" w:frame="1"/>
          <w:lang w:val="en-US"/>
        </w:rPr>
        <w:t>evidence file</w:t>
      </w:r>
      <w:r w:rsidRPr="00954547">
        <w:rPr>
          <w:sz w:val="16"/>
          <w:szCs w:val="16"/>
          <w:bdr w:val="none" w:sz="0" w:space="0" w:color="auto" w:frame="1"/>
          <w:lang w:val="en-US"/>
        </w:rPr>
        <w:t xml:space="preserve">, folio </w:t>
      </w:r>
      <w:r w:rsidRPr="00954547">
        <w:rPr>
          <w:sz w:val="16"/>
          <w:szCs w:val="16"/>
          <w:lang w:val="en-US"/>
        </w:rPr>
        <w:t>3800).</w:t>
      </w:r>
    </w:p>
  </w:footnote>
  <w:footnote w:id="429">
    <w:p w14:paraId="7EC50E64" w14:textId="20B51F9B"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FF2DDD" w:rsidRPr="00954547">
        <w:rPr>
          <w:sz w:val="16"/>
          <w:szCs w:val="16"/>
          <w:bdr w:val="none" w:sz="0" w:space="0" w:color="auto" w:frame="1"/>
          <w:lang w:val="en-US"/>
        </w:rPr>
        <w:t>Affidavit made by</w:t>
      </w:r>
      <w:r w:rsidRPr="00954547">
        <w:rPr>
          <w:sz w:val="16"/>
          <w:szCs w:val="16"/>
          <w:bdr w:val="none" w:sz="0" w:space="0" w:color="auto" w:frame="1"/>
          <w:lang w:val="en-US"/>
        </w:rPr>
        <w:t xml:space="preserve"> </w:t>
      </w:r>
      <w:r w:rsidR="00FF2DDD" w:rsidRPr="00954547">
        <w:rPr>
          <w:sz w:val="16"/>
          <w:szCs w:val="16"/>
          <w:bdr w:val="none" w:sz="0" w:space="0" w:color="auto" w:frame="1"/>
          <w:lang w:val="en-US"/>
        </w:rPr>
        <w:t>Manuela’s mother</w:t>
      </w:r>
      <w:r w:rsidRPr="00954547">
        <w:rPr>
          <w:sz w:val="16"/>
          <w:szCs w:val="16"/>
          <w:bdr w:val="none" w:sz="0" w:space="0" w:color="auto" w:frame="1"/>
          <w:lang w:val="en-US"/>
        </w:rPr>
        <w:t xml:space="preserve"> </w:t>
      </w:r>
      <w:r w:rsidR="00FF2DDD" w:rsidRPr="00954547">
        <w:rPr>
          <w:sz w:val="16"/>
          <w:szCs w:val="16"/>
          <w:bdr w:val="none" w:sz="0" w:space="0" w:color="auto" w:frame="1"/>
          <w:lang w:val="en-US"/>
        </w:rPr>
        <w:t>on March 5,</w:t>
      </w:r>
      <w:r w:rsidRPr="00954547">
        <w:rPr>
          <w:sz w:val="16"/>
          <w:szCs w:val="16"/>
          <w:bdr w:val="none" w:sz="0" w:space="0" w:color="auto" w:frame="1"/>
          <w:lang w:val="en-US"/>
        </w:rPr>
        <w:t xml:space="preserve"> 2021 (</w:t>
      </w:r>
      <w:r w:rsidR="001C328F" w:rsidRPr="00954547">
        <w:rPr>
          <w:sz w:val="16"/>
          <w:szCs w:val="16"/>
          <w:bdr w:val="none" w:sz="0" w:space="0" w:color="auto" w:frame="1"/>
          <w:lang w:val="en-US"/>
        </w:rPr>
        <w:t>evidence file</w:t>
      </w:r>
      <w:r w:rsidRPr="00954547">
        <w:rPr>
          <w:sz w:val="16"/>
          <w:szCs w:val="16"/>
          <w:bdr w:val="none" w:sz="0" w:space="0" w:color="auto" w:frame="1"/>
          <w:lang w:val="en-US"/>
        </w:rPr>
        <w:t xml:space="preserve">, folio </w:t>
      </w:r>
      <w:r w:rsidRPr="00954547">
        <w:rPr>
          <w:sz w:val="16"/>
          <w:szCs w:val="16"/>
          <w:lang w:val="en-US"/>
        </w:rPr>
        <w:t>3793).</w:t>
      </w:r>
    </w:p>
  </w:footnote>
  <w:footnote w:id="430">
    <w:p w14:paraId="68C6009F" w14:textId="521E9197"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FF2DDD" w:rsidRPr="00954547">
        <w:rPr>
          <w:iCs/>
          <w:sz w:val="16"/>
          <w:szCs w:val="16"/>
          <w:bdr w:val="none" w:sz="0" w:space="0" w:color="auto" w:frame="1"/>
          <w:lang w:val="en-US"/>
        </w:rPr>
        <w:t>Affidavit made by</w:t>
      </w:r>
      <w:r w:rsidRPr="00954547">
        <w:rPr>
          <w:sz w:val="16"/>
          <w:szCs w:val="16"/>
          <w:bdr w:val="none" w:sz="0" w:space="0" w:color="auto" w:frame="1"/>
          <w:lang w:val="en-US"/>
        </w:rPr>
        <w:t xml:space="preserve"> </w:t>
      </w:r>
      <w:r w:rsidR="0060432C" w:rsidRPr="00954547">
        <w:rPr>
          <w:sz w:val="16"/>
          <w:szCs w:val="16"/>
          <w:bdr w:val="none" w:sz="0" w:space="0" w:color="auto" w:frame="1"/>
          <w:lang w:val="en-US"/>
        </w:rPr>
        <w:t>Manuela’s elder son</w:t>
      </w:r>
      <w:r w:rsidRPr="00954547">
        <w:rPr>
          <w:sz w:val="16"/>
          <w:szCs w:val="16"/>
          <w:bdr w:val="none" w:sz="0" w:space="0" w:color="auto" w:frame="1"/>
          <w:lang w:val="en-US"/>
        </w:rPr>
        <w:t xml:space="preserve"> </w:t>
      </w:r>
      <w:r w:rsidR="00FF2DDD" w:rsidRPr="00954547">
        <w:rPr>
          <w:sz w:val="16"/>
          <w:szCs w:val="16"/>
          <w:bdr w:val="none" w:sz="0" w:space="0" w:color="auto" w:frame="1"/>
          <w:lang w:val="en-US"/>
        </w:rPr>
        <w:t>on February 26,</w:t>
      </w:r>
      <w:r w:rsidRPr="00954547">
        <w:rPr>
          <w:sz w:val="16"/>
          <w:szCs w:val="16"/>
          <w:bdr w:val="none" w:sz="0" w:space="0" w:color="auto" w:frame="1"/>
          <w:lang w:val="en-US"/>
        </w:rPr>
        <w:t xml:space="preserve"> 2021 (</w:t>
      </w:r>
      <w:r w:rsidR="001C328F" w:rsidRPr="00954547">
        <w:rPr>
          <w:sz w:val="16"/>
          <w:szCs w:val="16"/>
          <w:bdr w:val="none" w:sz="0" w:space="0" w:color="auto" w:frame="1"/>
          <w:lang w:val="en-US"/>
        </w:rPr>
        <w:t>evidence file</w:t>
      </w:r>
      <w:r w:rsidRPr="00954547">
        <w:rPr>
          <w:sz w:val="16"/>
          <w:szCs w:val="16"/>
          <w:bdr w:val="none" w:sz="0" w:space="0" w:color="auto" w:frame="1"/>
          <w:lang w:val="en-US"/>
        </w:rPr>
        <w:t xml:space="preserve">, folio </w:t>
      </w:r>
      <w:r w:rsidRPr="00954547">
        <w:rPr>
          <w:sz w:val="16"/>
          <w:szCs w:val="16"/>
          <w:lang w:val="en-US"/>
        </w:rPr>
        <w:t>3803).</w:t>
      </w:r>
    </w:p>
  </w:footnote>
  <w:footnote w:id="431">
    <w:p w14:paraId="0F12BBFE" w14:textId="76E895AD"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FF2DDD" w:rsidRPr="00954547">
        <w:rPr>
          <w:iCs/>
          <w:sz w:val="16"/>
          <w:szCs w:val="16"/>
          <w:bdr w:val="none" w:sz="0" w:space="0" w:color="auto" w:frame="1"/>
          <w:lang w:val="en-US"/>
        </w:rPr>
        <w:t>Affidavit made by</w:t>
      </w:r>
      <w:r w:rsidRPr="00954547">
        <w:rPr>
          <w:sz w:val="16"/>
          <w:szCs w:val="16"/>
          <w:bdr w:val="none" w:sz="0" w:space="0" w:color="auto" w:frame="1"/>
          <w:lang w:val="en-US"/>
        </w:rPr>
        <w:t xml:space="preserve"> </w:t>
      </w:r>
      <w:r w:rsidR="0060432C" w:rsidRPr="00954547">
        <w:rPr>
          <w:sz w:val="16"/>
          <w:szCs w:val="16"/>
          <w:bdr w:val="none" w:sz="0" w:space="0" w:color="auto" w:frame="1"/>
          <w:lang w:val="en-US"/>
        </w:rPr>
        <w:t>Manuela’s elder son</w:t>
      </w:r>
      <w:r w:rsidRPr="00954547">
        <w:rPr>
          <w:sz w:val="16"/>
          <w:szCs w:val="16"/>
          <w:bdr w:val="none" w:sz="0" w:space="0" w:color="auto" w:frame="1"/>
          <w:lang w:val="en-US"/>
        </w:rPr>
        <w:t xml:space="preserve"> </w:t>
      </w:r>
      <w:r w:rsidR="00FF2DDD" w:rsidRPr="00954547">
        <w:rPr>
          <w:sz w:val="16"/>
          <w:szCs w:val="16"/>
          <w:bdr w:val="none" w:sz="0" w:space="0" w:color="auto" w:frame="1"/>
          <w:lang w:val="en-US"/>
        </w:rPr>
        <w:t>on February 26,</w:t>
      </w:r>
      <w:r w:rsidRPr="00954547">
        <w:rPr>
          <w:sz w:val="16"/>
          <w:szCs w:val="16"/>
          <w:bdr w:val="none" w:sz="0" w:space="0" w:color="auto" w:frame="1"/>
          <w:lang w:val="en-US"/>
        </w:rPr>
        <w:t xml:space="preserve"> 2021 (</w:t>
      </w:r>
      <w:r w:rsidR="001C328F" w:rsidRPr="00954547">
        <w:rPr>
          <w:sz w:val="16"/>
          <w:szCs w:val="16"/>
          <w:bdr w:val="none" w:sz="0" w:space="0" w:color="auto" w:frame="1"/>
          <w:lang w:val="en-US"/>
        </w:rPr>
        <w:t>evidence file</w:t>
      </w:r>
      <w:r w:rsidRPr="00954547">
        <w:rPr>
          <w:sz w:val="16"/>
          <w:szCs w:val="16"/>
          <w:bdr w:val="none" w:sz="0" w:space="0" w:color="auto" w:frame="1"/>
          <w:lang w:val="en-US"/>
        </w:rPr>
        <w:t xml:space="preserve">, folio </w:t>
      </w:r>
      <w:r w:rsidRPr="00954547">
        <w:rPr>
          <w:sz w:val="16"/>
          <w:szCs w:val="16"/>
          <w:lang w:val="en-US"/>
        </w:rPr>
        <w:t>3803).</w:t>
      </w:r>
    </w:p>
  </w:footnote>
  <w:footnote w:id="432">
    <w:p w14:paraId="5CC2A5C9" w14:textId="2CD463C0"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FF2DDD" w:rsidRPr="00954547">
        <w:rPr>
          <w:iCs/>
          <w:sz w:val="16"/>
          <w:szCs w:val="16"/>
          <w:bdr w:val="none" w:sz="0" w:space="0" w:color="auto" w:frame="1"/>
          <w:lang w:val="en-US"/>
        </w:rPr>
        <w:t>Affidavit made by</w:t>
      </w:r>
      <w:r w:rsidRPr="00954547">
        <w:rPr>
          <w:sz w:val="16"/>
          <w:szCs w:val="16"/>
          <w:bdr w:val="none" w:sz="0" w:space="0" w:color="auto" w:frame="1"/>
          <w:lang w:val="en-US"/>
        </w:rPr>
        <w:t xml:space="preserve"> </w:t>
      </w:r>
      <w:r w:rsidR="0060432C" w:rsidRPr="00954547">
        <w:rPr>
          <w:sz w:val="16"/>
          <w:szCs w:val="16"/>
          <w:bdr w:val="none" w:sz="0" w:space="0" w:color="auto" w:frame="1"/>
          <w:lang w:val="en-US"/>
        </w:rPr>
        <w:t>Manuela’s younger son</w:t>
      </w:r>
      <w:r w:rsidRPr="00954547">
        <w:rPr>
          <w:sz w:val="16"/>
          <w:szCs w:val="16"/>
          <w:bdr w:val="none" w:sz="0" w:space="0" w:color="auto" w:frame="1"/>
          <w:lang w:val="en-US"/>
        </w:rPr>
        <w:t xml:space="preserve"> </w:t>
      </w:r>
      <w:r w:rsidR="00FF2DDD" w:rsidRPr="00954547">
        <w:rPr>
          <w:sz w:val="16"/>
          <w:szCs w:val="16"/>
          <w:bdr w:val="none" w:sz="0" w:space="0" w:color="auto" w:frame="1"/>
          <w:lang w:val="en-US"/>
        </w:rPr>
        <w:t>on February 26,</w:t>
      </w:r>
      <w:r w:rsidRPr="00954547">
        <w:rPr>
          <w:sz w:val="16"/>
          <w:szCs w:val="16"/>
          <w:bdr w:val="none" w:sz="0" w:space="0" w:color="auto" w:frame="1"/>
          <w:lang w:val="en-US"/>
        </w:rPr>
        <w:t xml:space="preserve"> 2021 (</w:t>
      </w:r>
      <w:r w:rsidR="001C328F" w:rsidRPr="00954547">
        <w:rPr>
          <w:sz w:val="16"/>
          <w:szCs w:val="16"/>
          <w:bdr w:val="none" w:sz="0" w:space="0" w:color="auto" w:frame="1"/>
          <w:lang w:val="en-US"/>
        </w:rPr>
        <w:t>evidence file</w:t>
      </w:r>
      <w:r w:rsidRPr="00954547">
        <w:rPr>
          <w:sz w:val="16"/>
          <w:szCs w:val="16"/>
          <w:bdr w:val="none" w:sz="0" w:space="0" w:color="auto" w:frame="1"/>
          <w:lang w:val="en-US"/>
        </w:rPr>
        <w:t xml:space="preserve">, folio </w:t>
      </w:r>
      <w:r w:rsidRPr="00954547">
        <w:rPr>
          <w:sz w:val="16"/>
          <w:szCs w:val="16"/>
          <w:lang w:val="en-US"/>
        </w:rPr>
        <w:t>3807).</w:t>
      </w:r>
    </w:p>
  </w:footnote>
  <w:footnote w:id="433">
    <w:p w14:paraId="325EF7CC" w14:textId="7B9D951B" w:rsidR="005F001B" w:rsidRPr="00954547" w:rsidRDefault="005F001B" w:rsidP="007619E6">
      <w:pPr>
        <w:pStyle w:val="Numberedparagraphs"/>
        <w:numPr>
          <w:ilvl w:val="0"/>
          <w:numId w:val="0"/>
        </w:numPr>
        <w:tabs>
          <w:tab w:val="left" w:pos="567"/>
        </w:tabs>
        <w:spacing w:before="0"/>
        <w:rPr>
          <w:sz w:val="16"/>
          <w:szCs w:val="16"/>
          <w:lang w:val="en-US"/>
        </w:rPr>
      </w:pPr>
      <w:r w:rsidRPr="00954547">
        <w:rPr>
          <w:rStyle w:val="FootnoteReference"/>
          <w:sz w:val="16"/>
          <w:szCs w:val="16"/>
          <w:lang w:val="en-US"/>
        </w:rPr>
        <w:footnoteRef/>
      </w:r>
      <w:r w:rsidRPr="00954547">
        <w:rPr>
          <w:sz w:val="16"/>
          <w:szCs w:val="16"/>
          <w:lang w:val="en-US"/>
        </w:rPr>
        <w:t xml:space="preserve">  </w:t>
      </w:r>
      <w:r w:rsidRPr="00954547">
        <w:rPr>
          <w:sz w:val="16"/>
          <w:szCs w:val="16"/>
          <w:lang w:val="en-US"/>
        </w:rPr>
        <w:tab/>
      </w:r>
      <w:r w:rsidR="00A31CC8" w:rsidRPr="00954547">
        <w:rPr>
          <w:sz w:val="16"/>
          <w:szCs w:val="16"/>
          <w:lang w:val="en-US"/>
        </w:rPr>
        <w:t>Expert opini</w:t>
      </w:r>
      <w:r w:rsidR="00AE734E" w:rsidRPr="00954547">
        <w:rPr>
          <w:sz w:val="16"/>
          <w:szCs w:val="16"/>
          <w:lang w:val="en-US"/>
        </w:rPr>
        <w:t>o</w:t>
      </w:r>
      <w:r w:rsidR="00A31CC8" w:rsidRPr="00954547">
        <w:rPr>
          <w:sz w:val="16"/>
          <w:szCs w:val="16"/>
          <w:lang w:val="en-US"/>
        </w:rPr>
        <w:t>n o</w:t>
      </w:r>
      <w:r w:rsidR="00AE734E" w:rsidRPr="00954547">
        <w:rPr>
          <w:sz w:val="16"/>
          <w:szCs w:val="16"/>
          <w:lang w:val="en-US"/>
        </w:rPr>
        <w:t>n</w:t>
      </w:r>
      <w:r w:rsidR="00A31CC8" w:rsidRPr="00954547">
        <w:rPr>
          <w:sz w:val="16"/>
          <w:szCs w:val="16"/>
          <w:lang w:val="en-US"/>
        </w:rPr>
        <w:t xml:space="preserve"> the psychological impact </w:t>
      </w:r>
      <w:r w:rsidR="00AE734E" w:rsidRPr="00954547">
        <w:rPr>
          <w:sz w:val="16"/>
          <w:szCs w:val="16"/>
          <w:lang w:val="en-US"/>
        </w:rPr>
        <w:t xml:space="preserve">on the members of Manuela’s </w:t>
      </w:r>
      <w:r w:rsidR="00BC7072" w:rsidRPr="00954547">
        <w:rPr>
          <w:sz w:val="16"/>
          <w:szCs w:val="16"/>
          <w:lang w:val="en-US"/>
        </w:rPr>
        <w:t xml:space="preserve">family </w:t>
      </w:r>
      <w:r w:rsidR="00AE734E" w:rsidRPr="00954547">
        <w:rPr>
          <w:sz w:val="16"/>
          <w:szCs w:val="16"/>
          <w:lang w:val="en-US"/>
        </w:rPr>
        <w:t xml:space="preserve">provided by </w:t>
      </w:r>
      <w:r w:rsidRPr="00954547">
        <w:rPr>
          <w:sz w:val="16"/>
          <w:szCs w:val="16"/>
          <w:lang w:val="en-US"/>
        </w:rPr>
        <w:t xml:space="preserve">Rosa Margarita O'Farrill Dominguez, </w:t>
      </w:r>
      <w:r w:rsidR="00AE734E" w:rsidRPr="00954547">
        <w:rPr>
          <w:sz w:val="16"/>
          <w:szCs w:val="16"/>
          <w:lang w:val="en-US"/>
        </w:rPr>
        <w:t>Clinical psychologist and consultant on human rights  on July 17</w:t>
      </w:r>
      <w:r w:rsidR="00053A7C" w:rsidRPr="00954547">
        <w:rPr>
          <w:sz w:val="16"/>
          <w:szCs w:val="16"/>
          <w:lang w:val="en-US"/>
        </w:rPr>
        <w:t>,</w:t>
      </w:r>
      <w:r w:rsidRPr="00954547">
        <w:rPr>
          <w:sz w:val="16"/>
          <w:szCs w:val="16"/>
          <w:lang w:val="en-US"/>
        </w:rPr>
        <w:t xml:space="preserve"> 2012 (</w:t>
      </w:r>
      <w:r w:rsidR="001C328F" w:rsidRPr="00954547">
        <w:rPr>
          <w:sz w:val="16"/>
          <w:szCs w:val="16"/>
          <w:lang w:val="en-US"/>
        </w:rPr>
        <w:t>evidence file</w:t>
      </w:r>
      <w:r w:rsidRPr="00954547">
        <w:rPr>
          <w:sz w:val="16"/>
          <w:szCs w:val="16"/>
          <w:lang w:val="en-US"/>
        </w:rPr>
        <w:t>, folios 1558</w:t>
      </w:r>
      <w:r w:rsidR="00AE734E" w:rsidRPr="00954547">
        <w:rPr>
          <w:sz w:val="16"/>
          <w:szCs w:val="16"/>
          <w:lang w:val="en-US"/>
        </w:rPr>
        <w:t xml:space="preserve"> to</w:t>
      </w:r>
      <w:r w:rsidRPr="00954547">
        <w:rPr>
          <w:sz w:val="16"/>
          <w:szCs w:val="16"/>
          <w:lang w:val="en-US"/>
        </w:rPr>
        <w:t xml:space="preserve"> 1560, 1562,</w:t>
      </w:r>
      <w:r w:rsidR="0078694F" w:rsidRPr="00954547">
        <w:rPr>
          <w:sz w:val="16"/>
          <w:szCs w:val="16"/>
          <w:lang w:val="en-US"/>
        </w:rPr>
        <w:t xml:space="preserve"> and </w:t>
      </w:r>
      <w:r w:rsidRPr="00954547">
        <w:rPr>
          <w:sz w:val="16"/>
          <w:szCs w:val="16"/>
          <w:lang w:val="en-US"/>
        </w:rPr>
        <w:t>1564).</w:t>
      </w:r>
    </w:p>
  </w:footnote>
  <w:footnote w:id="434">
    <w:p w14:paraId="0760E709" w14:textId="79B5147E"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iCs/>
          <w:lang w:val="en-US"/>
        </w:rPr>
        <w:t>Cf.</w:t>
      </w:r>
      <w:r w:rsidRPr="00954547">
        <w:rPr>
          <w:i/>
          <w:iCs/>
          <w:lang w:val="en-US"/>
        </w:rPr>
        <w:t xml:space="preserve"> </w:t>
      </w:r>
      <w:r w:rsidR="002F4617" w:rsidRPr="00954547">
        <w:rPr>
          <w:i/>
          <w:iCs/>
          <w:lang w:val="en-US"/>
        </w:rPr>
        <w:t>Case of</w:t>
      </w:r>
      <w:r w:rsidRPr="00954547">
        <w:rPr>
          <w:i/>
          <w:iCs/>
          <w:lang w:val="en-US"/>
        </w:rPr>
        <w:t xml:space="preserve"> Reverón Trujillo </w:t>
      </w:r>
      <w:r w:rsidR="009C16A1" w:rsidRPr="00954547">
        <w:rPr>
          <w:i/>
          <w:iCs/>
          <w:lang w:val="en-US"/>
        </w:rPr>
        <w:t>v.</w:t>
      </w:r>
      <w:r w:rsidRPr="00954547">
        <w:rPr>
          <w:i/>
          <w:iCs/>
          <w:lang w:val="en-US"/>
        </w:rPr>
        <w:t xml:space="preserve"> Venezuela. </w:t>
      </w:r>
      <w:r w:rsidR="005315AC" w:rsidRPr="00954547">
        <w:rPr>
          <w:i/>
          <w:iCs/>
          <w:lang w:val="en-US"/>
        </w:rPr>
        <w:t>Preliminary objection, merits,</w:t>
      </w:r>
      <w:r w:rsidR="00A70DC4" w:rsidRPr="00954547">
        <w:rPr>
          <w:i/>
          <w:iCs/>
          <w:lang w:val="en-US"/>
        </w:rPr>
        <w:t xml:space="preserve"> reparations and costs</w:t>
      </w:r>
      <w:r w:rsidRPr="00954547">
        <w:rPr>
          <w:i/>
          <w:iCs/>
          <w:lang w:val="en-US"/>
        </w:rPr>
        <w:t>.</w:t>
      </w:r>
      <w:r w:rsidRPr="00954547">
        <w:rPr>
          <w:lang w:val="en-US"/>
        </w:rPr>
        <w:t xml:space="preserve"> </w:t>
      </w:r>
      <w:r w:rsidR="00B8393C" w:rsidRPr="00954547">
        <w:rPr>
          <w:lang w:val="en-US"/>
        </w:rPr>
        <w:t>Judgment of</w:t>
      </w:r>
      <w:r w:rsidRPr="00954547">
        <w:rPr>
          <w:lang w:val="en-US"/>
        </w:rPr>
        <w:t xml:space="preserve"> </w:t>
      </w:r>
      <w:r w:rsidR="00AE734E" w:rsidRPr="00954547">
        <w:rPr>
          <w:lang w:val="en-US"/>
        </w:rPr>
        <w:t>June 30,</w:t>
      </w:r>
      <w:r w:rsidRPr="00954547">
        <w:rPr>
          <w:lang w:val="en-US"/>
        </w:rPr>
        <w:t xml:space="preserve"> 2009. </w:t>
      </w:r>
      <w:r w:rsidR="00B8393C" w:rsidRPr="00954547">
        <w:rPr>
          <w:lang w:val="en-US"/>
        </w:rPr>
        <w:t xml:space="preserve">Series </w:t>
      </w:r>
      <w:r w:rsidRPr="00954547">
        <w:rPr>
          <w:lang w:val="en-US"/>
        </w:rPr>
        <w:t xml:space="preserve">C No. 197, </w:t>
      </w:r>
      <w:r w:rsidR="00B10E5A" w:rsidRPr="00954547">
        <w:rPr>
          <w:lang w:val="en-US"/>
        </w:rPr>
        <w:t>para.</w:t>
      </w:r>
      <w:r w:rsidRPr="00954547">
        <w:rPr>
          <w:lang w:val="en-US"/>
        </w:rPr>
        <w:t xml:space="preserve"> 138,</w:t>
      </w:r>
      <w:r w:rsidR="0078694F" w:rsidRPr="00954547">
        <w:rPr>
          <w:lang w:val="en-US"/>
        </w:rPr>
        <w:t xml:space="preserve"> and </w:t>
      </w:r>
      <w:r w:rsidR="002F4617" w:rsidRPr="00954547">
        <w:rPr>
          <w:i/>
          <w:iCs/>
          <w:lang w:val="en-US"/>
        </w:rPr>
        <w:t>Case of</w:t>
      </w:r>
      <w:r w:rsidRPr="00954547">
        <w:rPr>
          <w:i/>
          <w:iCs/>
          <w:lang w:val="en-US"/>
        </w:rPr>
        <w:t xml:space="preserve"> Colindres Schonenberg </w:t>
      </w:r>
      <w:r w:rsidR="009C16A1" w:rsidRPr="00954547">
        <w:rPr>
          <w:i/>
          <w:iCs/>
          <w:lang w:val="en-US"/>
        </w:rPr>
        <w:t>v.</w:t>
      </w:r>
      <w:r w:rsidRPr="00954547">
        <w:rPr>
          <w:i/>
          <w:iCs/>
          <w:lang w:val="en-US"/>
        </w:rPr>
        <w:t xml:space="preserve"> El Salvador. </w:t>
      </w:r>
      <w:r w:rsidR="00A70DC4" w:rsidRPr="00954547">
        <w:rPr>
          <w:i/>
          <w:iCs/>
          <w:lang w:val="en-US"/>
        </w:rPr>
        <w:t>Merits, reparations and costs</w:t>
      </w:r>
      <w:r w:rsidRPr="00954547">
        <w:rPr>
          <w:i/>
          <w:iCs/>
          <w:lang w:val="en-US"/>
        </w:rPr>
        <w:t xml:space="preserve">. </w:t>
      </w:r>
      <w:r w:rsidR="00B8393C" w:rsidRPr="00954547">
        <w:rPr>
          <w:lang w:val="en-US"/>
        </w:rPr>
        <w:t>Judgment of</w:t>
      </w:r>
      <w:r w:rsidRPr="00954547">
        <w:rPr>
          <w:lang w:val="en-US"/>
        </w:rPr>
        <w:t xml:space="preserve"> </w:t>
      </w:r>
      <w:r w:rsidR="00AE734E" w:rsidRPr="00954547">
        <w:rPr>
          <w:lang w:val="en-US"/>
        </w:rPr>
        <w:t>February 4,</w:t>
      </w:r>
      <w:r w:rsidRPr="00954547">
        <w:rPr>
          <w:lang w:val="en-US"/>
        </w:rPr>
        <w:t xml:space="preserve"> 2019. </w:t>
      </w:r>
      <w:r w:rsidR="00B8393C" w:rsidRPr="00954547">
        <w:rPr>
          <w:lang w:val="en-US"/>
        </w:rPr>
        <w:t xml:space="preserve">Series </w:t>
      </w:r>
      <w:r w:rsidRPr="00954547">
        <w:rPr>
          <w:lang w:val="en-US"/>
        </w:rPr>
        <w:t xml:space="preserve">C No. 373, </w:t>
      </w:r>
      <w:r w:rsidR="00B10E5A" w:rsidRPr="00954547">
        <w:rPr>
          <w:lang w:val="en-US"/>
        </w:rPr>
        <w:t>para.</w:t>
      </w:r>
      <w:r w:rsidRPr="00954547">
        <w:rPr>
          <w:lang w:val="en-US"/>
        </w:rPr>
        <w:t xml:space="preserve"> 92.</w:t>
      </w:r>
    </w:p>
  </w:footnote>
  <w:footnote w:id="435">
    <w:p w14:paraId="03F8F5DE" w14:textId="38A910F3" w:rsidR="005F001B" w:rsidRPr="00954547" w:rsidRDefault="005F001B" w:rsidP="007619E6">
      <w:pPr>
        <w:pStyle w:val="FootnoteText"/>
        <w:tabs>
          <w:tab w:val="left" w:pos="540"/>
          <w:tab w:val="left" w:pos="567"/>
        </w:tabs>
        <w:spacing w:after="120"/>
        <w:jc w:val="both"/>
        <w:rPr>
          <w:rFonts w:ascii="Verdana" w:hAnsi="Verdana"/>
          <w:sz w:val="16"/>
          <w:szCs w:val="16"/>
        </w:rPr>
      </w:pPr>
      <w:r w:rsidRPr="00954547">
        <w:rPr>
          <w:rStyle w:val="FootnoteReference"/>
          <w:rFonts w:ascii="Verdana" w:hAnsi="Verdana" w:cstheme="minorBidi"/>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Velásquez Rodríguez </w:t>
      </w:r>
      <w:r w:rsidR="009C16A1" w:rsidRPr="00954547">
        <w:rPr>
          <w:rFonts w:ascii="Verdana" w:hAnsi="Verdana"/>
          <w:i/>
          <w:iCs/>
          <w:sz w:val="16"/>
          <w:szCs w:val="16"/>
        </w:rPr>
        <w:t>v.</w:t>
      </w:r>
      <w:r w:rsidRPr="00954547">
        <w:rPr>
          <w:rFonts w:ascii="Verdana" w:hAnsi="Verdana"/>
          <w:i/>
          <w:iCs/>
          <w:sz w:val="16"/>
          <w:szCs w:val="16"/>
        </w:rPr>
        <w:t xml:space="preserve"> Honduras. </w:t>
      </w:r>
      <w:r w:rsidR="00AE734E" w:rsidRPr="00954547">
        <w:rPr>
          <w:rFonts w:ascii="Verdana" w:hAnsi="Verdana"/>
          <w:i/>
          <w:iCs/>
          <w:sz w:val="16"/>
          <w:szCs w:val="16"/>
        </w:rPr>
        <w:t>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AE734E" w:rsidRPr="00954547">
        <w:rPr>
          <w:rFonts w:ascii="Verdana" w:hAnsi="Verdana"/>
          <w:sz w:val="16"/>
          <w:szCs w:val="16"/>
        </w:rPr>
        <w:t>July 21,</w:t>
      </w:r>
      <w:r w:rsidRPr="00954547">
        <w:rPr>
          <w:rFonts w:ascii="Verdana" w:hAnsi="Verdana"/>
          <w:sz w:val="16"/>
          <w:szCs w:val="16"/>
        </w:rPr>
        <w:t xml:space="preserve"> 1989. </w:t>
      </w:r>
      <w:r w:rsidR="00B8393C" w:rsidRPr="00954547">
        <w:rPr>
          <w:rFonts w:ascii="Verdana" w:hAnsi="Verdana"/>
          <w:sz w:val="16"/>
          <w:szCs w:val="16"/>
        </w:rPr>
        <w:t xml:space="preserve">Series </w:t>
      </w:r>
      <w:r w:rsidRPr="00954547">
        <w:rPr>
          <w:rFonts w:ascii="Verdana" w:hAnsi="Verdana"/>
          <w:sz w:val="16"/>
          <w:szCs w:val="16"/>
        </w:rPr>
        <w:t xml:space="preserve">C No. 7, </w:t>
      </w:r>
      <w:r w:rsidR="0052231D" w:rsidRPr="00954547">
        <w:rPr>
          <w:rFonts w:ascii="Verdana" w:hAnsi="Verdana"/>
          <w:sz w:val="16"/>
          <w:szCs w:val="16"/>
        </w:rPr>
        <w:t>paras.</w:t>
      </w:r>
      <w:r w:rsidRPr="00954547">
        <w:rPr>
          <w:rFonts w:ascii="Verdana" w:hAnsi="Verdana"/>
          <w:sz w:val="16"/>
          <w:szCs w:val="16"/>
        </w:rPr>
        <w:t xml:space="preserve"> 24</w:t>
      </w:r>
      <w:r w:rsidR="0078694F" w:rsidRPr="00954547">
        <w:rPr>
          <w:rFonts w:ascii="Verdana" w:hAnsi="Verdana"/>
          <w:sz w:val="16"/>
          <w:szCs w:val="16"/>
        </w:rPr>
        <w:t xml:space="preserve"> and </w:t>
      </w:r>
      <w:r w:rsidRPr="00954547">
        <w:rPr>
          <w:rFonts w:ascii="Verdana" w:hAnsi="Verdana"/>
          <w:sz w:val="16"/>
          <w:szCs w:val="16"/>
        </w:rPr>
        <w:t>25,</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Garzón Guzmán </w:t>
      </w:r>
      <w:r w:rsidR="00B8393C" w:rsidRPr="00954547">
        <w:rPr>
          <w:rFonts w:ascii="Verdana" w:hAnsi="Verdana"/>
          <w:i/>
          <w:sz w:val="16"/>
          <w:szCs w:val="16"/>
        </w:rPr>
        <w:t>et al. v.</w:t>
      </w:r>
      <w:r w:rsidRPr="00954547">
        <w:rPr>
          <w:rFonts w:ascii="Verdana" w:hAnsi="Verdana"/>
          <w:i/>
          <w:sz w:val="16"/>
          <w:szCs w:val="16"/>
        </w:rPr>
        <w:t xml:space="preserve"> Ecuador. </w:t>
      </w:r>
      <w:r w:rsidR="00A70DC4" w:rsidRPr="00954547">
        <w:rPr>
          <w:rFonts w:ascii="Verdana" w:hAnsi="Verdana"/>
          <w:i/>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110D3" w:rsidRPr="00954547">
        <w:rPr>
          <w:rFonts w:ascii="Verdana" w:hAnsi="Verdana"/>
          <w:sz w:val="16"/>
          <w:szCs w:val="16"/>
        </w:rPr>
        <w:t>September 1,</w:t>
      </w:r>
      <w:r w:rsidRPr="00954547">
        <w:rPr>
          <w:rFonts w:ascii="Verdana" w:hAnsi="Verdana"/>
          <w:sz w:val="16"/>
          <w:szCs w:val="16"/>
        </w:rPr>
        <w:t xml:space="preserve"> 2021. </w:t>
      </w:r>
      <w:r w:rsidR="00B8393C" w:rsidRPr="00954547">
        <w:rPr>
          <w:rFonts w:ascii="Verdana" w:hAnsi="Verdana"/>
          <w:sz w:val="16"/>
          <w:szCs w:val="16"/>
        </w:rPr>
        <w:t xml:space="preserve">Series </w:t>
      </w:r>
      <w:r w:rsidRPr="00954547">
        <w:rPr>
          <w:rFonts w:ascii="Verdana" w:hAnsi="Verdana"/>
          <w:sz w:val="16"/>
          <w:szCs w:val="16"/>
        </w:rPr>
        <w:t xml:space="preserve">C No. 434, </w:t>
      </w:r>
      <w:r w:rsidR="00B10E5A" w:rsidRPr="00954547">
        <w:rPr>
          <w:rFonts w:ascii="Verdana" w:hAnsi="Verdana"/>
          <w:sz w:val="16"/>
          <w:szCs w:val="16"/>
        </w:rPr>
        <w:t>para.</w:t>
      </w:r>
      <w:r w:rsidRPr="00954547">
        <w:rPr>
          <w:rFonts w:ascii="Verdana" w:hAnsi="Verdana"/>
          <w:sz w:val="16"/>
          <w:szCs w:val="16"/>
        </w:rPr>
        <w:t xml:space="preserve"> 95.</w:t>
      </w:r>
    </w:p>
  </w:footnote>
  <w:footnote w:id="436">
    <w:p w14:paraId="3C1DAA59" w14:textId="25D69B96" w:rsidR="005F001B" w:rsidRPr="00954547" w:rsidRDefault="005F001B" w:rsidP="007619E6">
      <w:pPr>
        <w:pStyle w:val="FootnoteText"/>
        <w:tabs>
          <w:tab w:val="left" w:pos="540"/>
          <w:tab w:val="left" w:pos="567"/>
        </w:tabs>
        <w:spacing w:after="120"/>
        <w:jc w:val="both"/>
        <w:rPr>
          <w:rFonts w:ascii="Verdana" w:hAnsi="Verdana"/>
          <w:sz w:val="16"/>
          <w:szCs w:val="16"/>
          <w:lang w:val="es-CR"/>
        </w:rPr>
      </w:pPr>
      <w:r w:rsidRPr="00954547">
        <w:rPr>
          <w:rStyle w:val="FootnoteReference"/>
          <w:rFonts w:ascii="Verdana" w:hAnsi="Verdana" w:cstheme="minorBidi"/>
          <w:sz w:val="16"/>
          <w:szCs w:val="16"/>
        </w:rPr>
        <w:footnoteRef/>
      </w:r>
      <w:r w:rsidRPr="00954547">
        <w:rPr>
          <w:rFonts w:ascii="Verdana" w:hAnsi="Verdana"/>
          <w:sz w:val="16"/>
          <w:szCs w:val="16"/>
          <w:vertAlign w:val="superscript"/>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Ticona Estrada </w:t>
      </w:r>
      <w:r w:rsidR="00B8393C" w:rsidRPr="00954547">
        <w:rPr>
          <w:rFonts w:ascii="Verdana" w:hAnsi="Verdana"/>
          <w:i/>
          <w:iCs/>
          <w:sz w:val="16"/>
          <w:szCs w:val="16"/>
        </w:rPr>
        <w:t>et al. v.</w:t>
      </w:r>
      <w:r w:rsidRPr="00954547">
        <w:rPr>
          <w:rFonts w:ascii="Verdana" w:hAnsi="Verdana"/>
          <w:i/>
          <w:iCs/>
          <w:sz w:val="16"/>
          <w:szCs w:val="16"/>
        </w:rPr>
        <w:t xml:space="preserve"> Bolivia. </w:t>
      </w:r>
      <w:r w:rsidR="00A70DC4" w:rsidRPr="00954547">
        <w:rPr>
          <w:rFonts w:ascii="Verdana" w:hAnsi="Verdana"/>
          <w:i/>
          <w:iCs/>
          <w:sz w:val="16"/>
          <w:szCs w:val="16"/>
        </w:rPr>
        <w:t>Merits, reparations and costs</w:t>
      </w:r>
      <w:r w:rsidRPr="00954547">
        <w:rPr>
          <w:rFonts w:ascii="Verdana" w:hAnsi="Verdana"/>
          <w:i/>
          <w:iCs/>
          <w:sz w:val="16"/>
          <w:szCs w:val="16"/>
        </w:rPr>
        <w:t>.</w:t>
      </w:r>
      <w:r w:rsidRPr="00954547">
        <w:rPr>
          <w:rFonts w:ascii="Verdana" w:hAnsi="Verdana"/>
          <w:sz w:val="16"/>
          <w:szCs w:val="16"/>
        </w:rPr>
        <w:t xml:space="preserve"> </w:t>
      </w:r>
      <w:r w:rsidR="00B8393C" w:rsidRPr="00954547">
        <w:rPr>
          <w:rFonts w:ascii="Verdana" w:hAnsi="Verdana"/>
          <w:sz w:val="16"/>
          <w:szCs w:val="16"/>
          <w:lang w:val="es-CR"/>
        </w:rPr>
        <w:t>Judgment of</w:t>
      </w:r>
      <w:r w:rsidRPr="00954547">
        <w:rPr>
          <w:rFonts w:ascii="Verdana" w:hAnsi="Verdana"/>
          <w:sz w:val="16"/>
          <w:szCs w:val="16"/>
          <w:lang w:val="es-CR"/>
        </w:rPr>
        <w:t xml:space="preserve"> </w:t>
      </w:r>
      <w:r w:rsidR="00AE734E" w:rsidRPr="00954547">
        <w:rPr>
          <w:rFonts w:ascii="Verdana" w:hAnsi="Verdana"/>
          <w:sz w:val="16"/>
          <w:szCs w:val="16"/>
          <w:lang w:val="es-CR"/>
        </w:rPr>
        <w:t>November 27,</w:t>
      </w:r>
      <w:r w:rsidRPr="00954547">
        <w:rPr>
          <w:rFonts w:ascii="Verdana" w:hAnsi="Verdana"/>
          <w:sz w:val="16"/>
          <w:szCs w:val="16"/>
          <w:lang w:val="es-CR"/>
        </w:rPr>
        <w:t xml:space="preserve"> 2008. </w:t>
      </w:r>
      <w:r w:rsidR="00B8393C" w:rsidRPr="00954547">
        <w:rPr>
          <w:rFonts w:ascii="Verdana" w:hAnsi="Verdana"/>
          <w:sz w:val="16"/>
          <w:szCs w:val="16"/>
          <w:lang w:val="es-CR"/>
        </w:rPr>
        <w:t xml:space="preserve">Series </w:t>
      </w:r>
      <w:r w:rsidRPr="00954547">
        <w:rPr>
          <w:rFonts w:ascii="Verdana" w:hAnsi="Verdana"/>
          <w:sz w:val="16"/>
          <w:szCs w:val="16"/>
          <w:lang w:val="es-CR"/>
        </w:rPr>
        <w:t xml:space="preserve">C No. 191, </w:t>
      </w:r>
      <w:r w:rsidR="00B10E5A" w:rsidRPr="00954547">
        <w:rPr>
          <w:rFonts w:ascii="Verdana" w:hAnsi="Verdana"/>
          <w:sz w:val="16"/>
          <w:szCs w:val="16"/>
          <w:lang w:val="es-CR"/>
        </w:rPr>
        <w:t>para.</w:t>
      </w:r>
      <w:r w:rsidRPr="00954547">
        <w:rPr>
          <w:rFonts w:ascii="Verdana" w:hAnsi="Verdana"/>
          <w:sz w:val="16"/>
          <w:szCs w:val="16"/>
          <w:lang w:val="es-CR"/>
        </w:rPr>
        <w:t xml:space="preserve"> 110,</w:t>
      </w:r>
      <w:r w:rsidR="0078694F" w:rsidRPr="00954547">
        <w:rPr>
          <w:rFonts w:ascii="Verdana" w:hAnsi="Verdana"/>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Grijalva Bueno </w:t>
      </w:r>
      <w:r w:rsidR="009C16A1" w:rsidRPr="00954547">
        <w:rPr>
          <w:rFonts w:ascii="Verdana" w:hAnsi="Verdana"/>
          <w:i/>
          <w:sz w:val="16"/>
          <w:szCs w:val="16"/>
          <w:lang w:val="es-CR"/>
        </w:rPr>
        <w:t>v.</w:t>
      </w:r>
      <w:r w:rsidRPr="00954547">
        <w:rPr>
          <w:rFonts w:ascii="Verdana" w:hAnsi="Verdana"/>
          <w:i/>
          <w:sz w:val="16"/>
          <w:szCs w:val="16"/>
          <w:lang w:val="es-CR"/>
        </w:rPr>
        <w:t xml:space="preserve"> Ecuador,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163.</w:t>
      </w:r>
    </w:p>
  </w:footnote>
  <w:footnote w:id="437">
    <w:p w14:paraId="0D6F37D8" w14:textId="7C6E9A19" w:rsidR="005F001B" w:rsidRPr="00954547" w:rsidRDefault="005F001B" w:rsidP="00057E46">
      <w:pPr>
        <w:pStyle w:val="Footnotes"/>
        <w:rPr>
          <w:lang w:val="en-US"/>
        </w:rPr>
      </w:pPr>
      <w:r w:rsidRPr="00954547">
        <w:rPr>
          <w:rStyle w:val="FootnoteReference"/>
          <w:lang w:val="en-US"/>
        </w:rPr>
        <w:footnoteRef/>
      </w:r>
      <w:r w:rsidRPr="00954547">
        <w:t xml:space="preserve">  </w:t>
      </w:r>
      <w:r w:rsidRPr="00954547">
        <w:tab/>
      </w:r>
      <w:r w:rsidRPr="00954547">
        <w:rPr>
          <w:i/>
          <w:iCs/>
        </w:rPr>
        <w:t xml:space="preserve">Mutatis mutandis, </w:t>
      </w:r>
      <w:r w:rsidR="002F4617" w:rsidRPr="00954547">
        <w:rPr>
          <w:i/>
          <w:iCs/>
        </w:rPr>
        <w:t>Case of</w:t>
      </w:r>
      <w:r w:rsidRPr="00954547">
        <w:rPr>
          <w:i/>
          <w:iCs/>
        </w:rPr>
        <w:t xml:space="preserve"> Guzmán </w:t>
      </w:r>
      <w:r w:rsidR="00D44DFF" w:rsidRPr="00954547">
        <w:rPr>
          <w:i/>
          <w:iCs/>
        </w:rPr>
        <w:t>Albarracín et al.</w:t>
      </w:r>
      <w:r w:rsidRPr="00954547">
        <w:rPr>
          <w:i/>
          <w:iCs/>
        </w:rPr>
        <w:t xml:space="preserve"> </w:t>
      </w:r>
      <w:r w:rsidR="009C16A1" w:rsidRPr="00954547">
        <w:rPr>
          <w:i/>
          <w:iCs/>
        </w:rPr>
        <w:t>v.</w:t>
      </w:r>
      <w:r w:rsidRPr="00954547">
        <w:rPr>
          <w:i/>
          <w:iCs/>
        </w:rPr>
        <w:t xml:space="preserve"> Ecuador, supra,</w:t>
      </w:r>
      <w:r w:rsidRPr="00954547">
        <w:t xml:space="preserve"> </w:t>
      </w:r>
      <w:r w:rsidR="00B10E5A" w:rsidRPr="00954547">
        <w:t>para.</w:t>
      </w:r>
      <w:r w:rsidRPr="00954547">
        <w:t xml:space="preserve"> </w:t>
      </w:r>
      <w:r w:rsidRPr="00954547">
        <w:rPr>
          <w:lang w:val="en-US"/>
        </w:rPr>
        <w:t>215.</w:t>
      </w:r>
    </w:p>
  </w:footnote>
  <w:footnote w:id="438">
    <w:p w14:paraId="71F9C1CB" w14:textId="640B6F8D" w:rsidR="005F001B" w:rsidRPr="00954547" w:rsidRDefault="005F001B" w:rsidP="007619E6">
      <w:pPr>
        <w:pStyle w:val="FootnoteText"/>
        <w:tabs>
          <w:tab w:val="left" w:pos="540"/>
          <w:tab w:val="left" w:pos="567"/>
        </w:tabs>
        <w:spacing w:after="120"/>
        <w:jc w:val="both"/>
        <w:rPr>
          <w:rFonts w:ascii="Verdana" w:hAnsi="Verdana"/>
          <w:sz w:val="16"/>
          <w:szCs w:val="16"/>
        </w:rPr>
      </w:pPr>
      <w:r w:rsidRPr="00954547">
        <w:rPr>
          <w:rStyle w:val="FootnoteReference"/>
          <w:rFonts w:ascii="Verdana" w:hAnsi="Verdana" w:cstheme="minorBidi"/>
          <w:sz w:val="16"/>
          <w:szCs w:val="16"/>
        </w:rPr>
        <w:footnoteRef/>
      </w:r>
      <w:r w:rsidRPr="00954547">
        <w:rPr>
          <w:rFonts w:ascii="Verdana" w:hAnsi="Verdana"/>
          <w:sz w:val="16"/>
          <w:szCs w:val="16"/>
          <w:vertAlign w:val="superscript"/>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Velásquez Rodríguez </w:t>
      </w:r>
      <w:r w:rsidR="009C16A1" w:rsidRPr="00954547">
        <w:rPr>
          <w:rFonts w:ascii="Verdana" w:hAnsi="Verdana"/>
          <w:i/>
          <w:iCs/>
          <w:sz w:val="16"/>
          <w:szCs w:val="16"/>
        </w:rPr>
        <w:t>v.</w:t>
      </w:r>
      <w:r w:rsidRPr="00954547">
        <w:rPr>
          <w:rFonts w:ascii="Verdana" w:hAnsi="Verdana"/>
          <w:i/>
          <w:iCs/>
          <w:sz w:val="16"/>
          <w:szCs w:val="16"/>
        </w:rPr>
        <w:t xml:space="preserve"> Honduras. </w:t>
      </w:r>
      <w:r w:rsidR="00AE734E" w:rsidRPr="00954547">
        <w:rPr>
          <w:rFonts w:ascii="Verdana" w:hAnsi="Verdana"/>
          <w:i/>
          <w:iCs/>
          <w:sz w:val="16"/>
          <w:szCs w:val="16"/>
        </w:rPr>
        <w:t>Reparations and costs</w:t>
      </w:r>
      <w:r w:rsidRPr="00954547">
        <w:rPr>
          <w:rFonts w:ascii="Verdana" w:hAnsi="Verdana"/>
          <w:sz w:val="16"/>
          <w:szCs w:val="16"/>
        </w:rPr>
        <w:t xml:space="preserve">, </w:t>
      </w:r>
      <w:r w:rsidRPr="00954547">
        <w:rPr>
          <w:rFonts w:ascii="Verdana" w:hAnsi="Verdana"/>
          <w:i/>
          <w:sz w:val="16"/>
          <w:szCs w:val="16"/>
        </w:rPr>
        <w:t>supra</w:t>
      </w:r>
      <w:r w:rsidRPr="00954547">
        <w:rPr>
          <w:rFonts w:ascii="Verdana" w:hAnsi="Verdana"/>
          <w:sz w:val="16"/>
          <w:szCs w:val="16"/>
        </w:rPr>
        <w:t xml:space="preserve">, </w:t>
      </w:r>
      <w:r w:rsidR="0052231D" w:rsidRPr="00954547">
        <w:rPr>
          <w:rFonts w:ascii="Verdana" w:hAnsi="Verdana"/>
          <w:sz w:val="16"/>
          <w:szCs w:val="16"/>
        </w:rPr>
        <w:t>paras.</w:t>
      </w:r>
      <w:r w:rsidRPr="00954547">
        <w:rPr>
          <w:rFonts w:ascii="Verdana" w:hAnsi="Verdana"/>
          <w:sz w:val="16"/>
          <w:szCs w:val="16"/>
        </w:rPr>
        <w:t xml:space="preserve"> 25</w:t>
      </w:r>
      <w:r w:rsidR="0078694F" w:rsidRPr="00954547">
        <w:rPr>
          <w:rFonts w:ascii="Verdana" w:hAnsi="Verdana"/>
          <w:sz w:val="16"/>
          <w:szCs w:val="16"/>
        </w:rPr>
        <w:t xml:space="preserve"> and </w:t>
      </w:r>
      <w:r w:rsidRPr="00954547">
        <w:rPr>
          <w:rFonts w:ascii="Verdana" w:hAnsi="Verdana"/>
          <w:sz w:val="16"/>
          <w:szCs w:val="16"/>
        </w:rPr>
        <w:t>26,</w:t>
      </w:r>
      <w:r w:rsidR="0078694F" w:rsidRPr="00954547">
        <w:rPr>
          <w:rFonts w:ascii="Verdana" w:hAnsi="Verdana"/>
          <w:sz w:val="16"/>
          <w:szCs w:val="16"/>
        </w:rPr>
        <w:t xml:space="preserve"> and </w:t>
      </w:r>
      <w:r w:rsidR="002F4617" w:rsidRPr="00954547">
        <w:rPr>
          <w:rFonts w:ascii="Verdana" w:hAnsi="Verdana"/>
          <w:i/>
          <w:iCs/>
          <w:sz w:val="16"/>
          <w:szCs w:val="16"/>
        </w:rPr>
        <w:t>Case of</w:t>
      </w:r>
      <w:r w:rsidRPr="00954547">
        <w:rPr>
          <w:rFonts w:ascii="Verdana" w:hAnsi="Verdana"/>
          <w:i/>
          <w:iCs/>
          <w:sz w:val="16"/>
          <w:szCs w:val="16"/>
        </w:rPr>
        <w:t xml:space="preserve"> Almeida </w:t>
      </w:r>
      <w:r w:rsidR="009C16A1" w:rsidRPr="00954547">
        <w:rPr>
          <w:rFonts w:ascii="Verdana" w:hAnsi="Verdana"/>
          <w:i/>
          <w:iCs/>
          <w:sz w:val="16"/>
          <w:szCs w:val="16"/>
        </w:rPr>
        <w:t>v.</w:t>
      </w:r>
      <w:r w:rsidRPr="00954547">
        <w:rPr>
          <w:rFonts w:ascii="Verdana" w:hAnsi="Verdana"/>
          <w:i/>
          <w:iCs/>
          <w:sz w:val="16"/>
          <w:szCs w:val="16"/>
        </w:rPr>
        <w:t xml:space="preserve"> Argentina. </w:t>
      </w:r>
      <w:r w:rsidR="00A70DC4" w:rsidRPr="00954547">
        <w:rPr>
          <w:rFonts w:ascii="Verdana" w:hAnsi="Verdana"/>
          <w:i/>
          <w:iCs/>
          <w:sz w:val="16"/>
          <w:szCs w:val="16"/>
        </w:rPr>
        <w:t>Merits, reparations and costs</w:t>
      </w:r>
      <w:r w:rsidRPr="00954547">
        <w:rPr>
          <w:rFonts w:ascii="Verdana" w:hAnsi="Verdana"/>
          <w:i/>
          <w:iCs/>
          <w:sz w:val="16"/>
          <w:szCs w:val="16"/>
        </w:rPr>
        <w:t>.</w:t>
      </w:r>
      <w:r w:rsidRPr="00954547">
        <w:rPr>
          <w:rFonts w:ascii="Verdana" w:hAnsi="Verdana"/>
          <w:iCs/>
          <w:sz w:val="16"/>
          <w:szCs w:val="16"/>
        </w:rPr>
        <w:t xml:space="preserve"> </w:t>
      </w:r>
      <w:r w:rsidR="00B8393C" w:rsidRPr="00954547">
        <w:rPr>
          <w:rFonts w:ascii="Verdana" w:hAnsi="Verdana"/>
          <w:iCs/>
          <w:sz w:val="16"/>
          <w:szCs w:val="16"/>
        </w:rPr>
        <w:t>Judgment of</w:t>
      </w:r>
      <w:r w:rsidRPr="00954547">
        <w:rPr>
          <w:rFonts w:ascii="Verdana" w:hAnsi="Verdana"/>
          <w:iCs/>
          <w:sz w:val="16"/>
          <w:szCs w:val="16"/>
        </w:rPr>
        <w:t xml:space="preserve"> </w:t>
      </w:r>
      <w:r w:rsidR="00C409D9" w:rsidRPr="00954547">
        <w:rPr>
          <w:rFonts w:ascii="Verdana" w:hAnsi="Verdana"/>
          <w:iCs/>
          <w:sz w:val="16"/>
          <w:szCs w:val="16"/>
        </w:rPr>
        <w:t>November 17,</w:t>
      </w:r>
      <w:r w:rsidRPr="00954547">
        <w:rPr>
          <w:rFonts w:ascii="Verdana" w:hAnsi="Verdana"/>
          <w:iCs/>
          <w:sz w:val="16"/>
          <w:szCs w:val="16"/>
        </w:rPr>
        <w:t xml:space="preserve"> 2020. </w:t>
      </w:r>
      <w:r w:rsidR="00B8393C" w:rsidRPr="00954547">
        <w:rPr>
          <w:rFonts w:ascii="Verdana" w:hAnsi="Verdana"/>
          <w:iCs/>
          <w:sz w:val="16"/>
          <w:szCs w:val="16"/>
        </w:rPr>
        <w:t xml:space="preserve">Series </w:t>
      </w:r>
      <w:r w:rsidRPr="00954547">
        <w:rPr>
          <w:rFonts w:ascii="Verdana" w:hAnsi="Verdana"/>
          <w:iCs/>
          <w:sz w:val="16"/>
          <w:szCs w:val="16"/>
        </w:rPr>
        <w:t xml:space="preserve">C No. 416, </w:t>
      </w:r>
      <w:r w:rsidR="00B10E5A" w:rsidRPr="00954547">
        <w:rPr>
          <w:rFonts w:ascii="Verdana" w:hAnsi="Verdana"/>
          <w:iCs/>
          <w:sz w:val="16"/>
          <w:szCs w:val="16"/>
        </w:rPr>
        <w:t>para.</w:t>
      </w:r>
      <w:r w:rsidRPr="00954547">
        <w:rPr>
          <w:rFonts w:ascii="Verdana" w:hAnsi="Verdana"/>
          <w:iCs/>
          <w:sz w:val="16"/>
          <w:szCs w:val="16"/>
        </w:rPr>
        <w:t xml:space="preserve"> 57.</w:t>
      </w:r>
    </w:p>
  </w:footnote>
  <w:footnote w:id="439">
    <w:p w14:paraId="14D28697" w14:textId="5634A6DB" w:rsidR="005F001B" w:rsidRPr="00954547" w:rsidRDefault="005F001B" w:rsidP="007619E6">
      <w:pPr>
        <w:pStyle w:val="FootnoteText"/>
        <w:tabs>
          <w:tab w:val="left" w:pos="567"/>
        </w:tabs>
        <w:spacing w:after="120"/>
        <w:jc w:val="both"/>
        <w:rPr>
          <w:rStyle w:val="FootnoteReference"/>
          <w:rFonts w:ascii="Verdana" w:hAnsi="Verdana"/>
          <w:sz w:val="16"/>
          <w:szCs w:val="16"/>
        </w:rPr>
      </w:pPr>
      <w:r w:rsidRPr="00954547">
        <w:rPr>
          <w:rStyle w:val="FootnoteReference"/>
          <w:rFonts w:ascii="Verdana" w:hAnsi="Verdana" w:cstheme="minorBidi"/>
          <w:sz w:val="16"/>
          <w:szCs w:val="16"/>
        </w:rPr>
        <w:footnoteRef/>
      </w:r>
      <w:r w:rsidRPr="00954547">
        <w:rPr>
          <w:rFonts w:ascii="Verdana" w:hAnsi="Verdana"/>
          <w:sz w:val="16"/>
          <w:szCs w:val="16"/>
          <w:vertAlign w:val="superscript"/>
        </w:rPr>
        <w:t xml:space="preserve"> </w:t>
      </w:r>
      <w:r w:rsidRPr="00954547">
        <w:rPr>
          <w:rFonts w:ascii="Verdana" w:hAnsi="Verdana"/>
          <w:sz w:val="16"/>
          <w:szCs w:val="16"/>
          <w:vertAlign w:val="superscript"/>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Cantoral Benavides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AE734E" w:rsidRPr="00954547">
        <w:rPr>
          <w:rFonts w:ascii="Verdana" w:hAnsi="Verdana"/>
          <w:i/>
          <w:sz w:val="16"/>
          <w:szCs w:val="16"/>
        </w:rPr>
        <w:t>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AE734E" w:rsidRPr="00954547">
        <w:rPr>
          <w:rFonts w:ascii="Verdana" w:hAnsi="Verdana"/>
          <w:sz w:val="16"/>
          <w:szCs w:val="16"/>
        </w:rPr>
        <w:t xml:space="preserve">December 3, </w:t>
      </w:r>
      <w:r w:rsidRPr="00954547">
        <w:rPr>
          <w:rFonts w:ascii="Verdana" w:hAnsi="Verdana"/>
          <w:sz w:val="16"/>
          <w:szCs w:val="16"/>
        </w:rPr>
        <w:t xml:space="preserve">2001. </w:t>
      </w:r>
      <w:r w:rsidR="00B8393C" w:rsidRPr="00954547">
        <w:rPr>
          <w:rFonts w:ascii="Verdana" w:hAnsi="Verdana"/>
          <w:sz w:val="16"/>
          <w:szCs w:val="16"/>
        </w:rPr>
        <w:t xml:space="preserve">Series </w:t>
      </w:r>
      <w:r w:rsidRPr="00954547">
        <w:rPr>
          <w:rFonts w:ascii="Verdana" w:hAnsi="Verdana"/>
          <w:sz w:val="16"/>
          <w:szCs w:val="16"/>
        </w:rPr>
        <w:t xml:space="preserve">C No. 88, </w:t>
      </w:r>
      <w:r w:rsidR="00B10E5A" w:rsidRPr="00954547">
        <w:rPr>
          <w:rFonts w:ascii="Verdana" w:hAnsi="Verdana"/>
          <w:sz w:val="16"/>
          <w:szCs w:val="16"/>
        </w:rPr>
        <w:t>para.</w:t>
      </w:r>
      <w:r w:rsidRPr="00954547">
        <w:rPr>
          <w:rFonts w:ascii="Verdana" w:hAnsi="Verdana"/>
          <w:sz w:val="16"/>
          <w:szCs w:val="16"/>
        </w:rPr>
        <w:t xml:space="preserve"> 79,</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Garzón Guzmán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117.</w:t>
      </w:r>
    </w:p>
  </w:footnote>
  <w:footnote w:id="440">
    <w:p w14:paraId="0B4C1CA1" w14:textId="2A3E8FA7" w:rsidR="005F001B" w:rsidRPr="00954547" w:rsidRDefault="005F001B" w:rsidP="007619E6">
      <w:pPr>
        <w:pStyle w:val="FootnoteText"/>
        <w:tabs>
          <w:tab w:val="left" w:pos="567"/>
        </w:tabs>
        <w:spacing w:after="120"/>
        <w:jc w:val="both"/>
        <w:rPr>
          <w:rFonts w:ascii="Verdana" w:hAnsi="Verdana"/>
          <w:b/>
          <w:sz w:val="16"/>
          <w:szCs w:val="16"/>
        </w:rPr>
      </w:pPr>
      <w:r w:rsidRPr="00954547">
        <w:rPr>
          <w:rStyle w:val="FootnoteReference"/>
          <w:rFonts w:ascii="Verdana" w:hAnsi="Verdana"/>
          <w:sz w:val="16"/>
          <w:szCs w:val="16"/>
        </w:rPr>
        <w:footnoteRef/>
      </w:r>
      <w:r w:rsidRPr="00954547">
        <w:rPr>
          <w:rStyle w:val="FootnoteReference"/>
          <w:rFonts w:ascii="Verdana" w:hAnsi="Verdana"/>
          <w:sz w:val="16"/>
          <w:szCs w:val="16"/>
        </w:rPr>
        <w:t xml:space="preserve">  </w:t>
      </w:r>
      <w:r w:rsidRPr="00954547">
        <w:rPr>
          <w:rStyle w:val="FootnoteReference"/>
          <w:rFonts w:ascii="Verdana" w:hAnsi="Verdana"/>
          <w:sz w:val="16"/>
          <w:szCs w:val="16"/>
        </w:rPr>
        <w:tab/>
      </w:r>
      <w:r w:rsidR="00B8393C" w:rsidRPr="00954547">
        <w:rPr>
          <w:rStyle w:val="FootnoteReference"/>
          <w:rFonts w:ascii="Verdana" w:hAnsi="Verdana"/>
          <w:i/>
          <w:sz w:val="16"/>
          <w:szCs w:val="16"/>
          <w:vertAlign w:val="baseline"/>
        </w:rPr>
        <w:t>Cf.</w:t>
      </w:r>
      <w:r w:rsidRPr="00954547">
        <w:rPr>
          <w:rStyle w:val="FootnoteReference"/>
          <w:rFonts w:ascii="Verdana" w:hAnsi="Verdana"/>
          <w:i/>
          <w:sz w:val="16"/>
          <w:szCs w:val="16"/>
          <w:vertAlign w:val="baseline"/>
        </w:rPr>
        <w:t xml:space="preserve"> </w:t>
      </w:r>
      <w:r w:rsidR="002F4617" w:rsidRPr="00954547">
        <w:rPr>
          <w:rStyle w:val="FootnoteReference"/>
          <w:rFonts w:ascii="Verdana" w:hAnsi="Verdana"/>
          <w:i/>
          <w:sz w:val="16"/>
          <w:szCs w:val="16"/>
          <w:vertAlign w:val="baseline"/>
        </w:rPr>
        <w:t>Case of</w:t>
      </w:r>
      <w:r w:rsidRPr="00954547">
        <w:rPr>
          <w:rStyle w:val="FootnoteReference"/>
          <w:rFonts w:ascii="Verdana" w:hAnsi="Verdana"/>
          <w:i/>
          <w:sz w:val="16"/>
          <w:szCs w:val="16"/>
          <w:vertAlign w:val="baseline"/>
        </w:rPr>
        <w:t xml:space="preserve"> Cantoral Benavides </w:t>
      </w:r>
      <w:r w:rsidR="009C16A1" w:rsidRPr="00954547">
        <w:rPr>
          <w:rStyle w:val="FootnoteReference"/>
          <w:rFonts w:ascii="Verdana" w:hAnsi="Verdana"/>
          <w:i/>
          <w:sz w:val="16"/>
          <w:szCs w:val="16"/>
          <w:vertAlign w:val="baseline"/>
        </w:rPr>
        <w:t>v.</w:t>
      </w:r>
      <w:r w:rsidRPr="00954547">
        <w:rPr>
          <w:rStyle w:val="FootnoteReference"/>
          <w:rFonts w:ascii="Verdana" w:hAnsi="Verdana"/>
          <w:i/>
          <w:sz w:val="16"/>
          <w:szCs w:val="16"/>
          <w:vertAlign w:val="baseline"/>
        </w:rPr>
        <w:t xml:space="preserve"> </w:t>
      </w:r>
      <w:r w:rsidR="00C26F0B" w:rsidRPr="00954547">
        <w:rPr>
          <w:rStyle w:val="FootnoteReference"/>
          <w:rFonts w:ascii="Verdana" w:hAnsi="Verdana"/>
          <w:i/>
          <w:sz w:val="16"/>
          <w:szCs w:val="16"/>
          <w:vertAlign w:val="baseline"/>
        </w:rPr>
        <w:t>Peru</w:t>
      </w:r>
      <w:r w:rsidRPr="00954547">
        <w:rPr>
          <w:rStyle w:val="FootnoteReference"/>
          <w:rFonts w:ascii="Verdana" w:hAnsi="Verdana"/>
          <w:i/>
          <w:sz w:val="16"/>
          <w:szCs w:val="16"/>
          <w:vertAlign w:val="baseline"/>
        </w:rPr>
        <w:t>, supra,</w:t>
      </w:r>
      <w:r w:rsidRPr="00954547">
        <w:rPr>
          <w:rStyle w:val="FootnoteReference"/>
          <w:rFonts w:ascii="Verdana" w:hAnsi="Verdana"/>
          <w:sz w:val="16"/>
          <w:szCs w:val="16"/>
          <w:vertAlign w:val="baseline"/>
        </w:rPr>
        <w:t xml:space="preserve"> </w:t>
      </w:r>
      <w:r w:rsidR="00B10E5A" w:rsidRPr="00954547">
        <w:rPr>
          <w:rStyle w:val="FootnoteReference"/>
          <w:rFonts w:ascii="Verdana" w:hAnsi="Verdana"/>
          <w:sz w:val="16"/>
          <w:szCs w:val="16"/>
          <w:vertAlign w:val="baseline"/>
        </w:rPr>
        <w:t>para.</w:t>
      </w:r>
      <w:r w:rsidRPr="00954547">
        <w:rPr>
          <w:rStyle w:val="FootnoteReference"/>
          <w:rFonts w:ascii="Verdana" w:hAnsi="Verdana"/>
          <w:sz w:val="16"/>
          <w:szCs w:val="16"/>
          <w:vertAlign w:val="baseline"/>
        </w:rPr>
        <w:t xml:space="preserve"> 81,</w:t>
      </w:r>
      <w:r w:rsidR="0078694F" w:rsidRPr="00954547">
        <w:rPr>
          <w:rStyle w:val="FootnoteReference"/>
          <w:rFonts w:ascii="Verdana" w:hAnsi="Verdana"/>
          <w:sz w:val="16"/>
          <w:szCs w:val="16"/>
          <w:vertAlign w:val="baseline"/>
        </w:rPr>
        <w:t xml:space="preserve"> and </w:t>
      </w:r>
      <w:r w:rsidR="002F4617" w:rsidRPr="00954547">
        <w:rPr>
          <w:rStyle w:val="FootnoteReference"/>
          <w:rFonts w:ascii="Verdana" w:hAnsi="Verdana"/>
          <w:i/>
          <w:sz w:val="16"/>
          <w:szCs w:val="16"/>
          <w:vertAlign w:val="baseline"/>
        </w:rPr>
        <w:t>Case of</w:t>
      </w:r>
      <w:r w:rsidRPr="00954547">
        <w:rPr>
          <w:rStyle w:val="FootnoteReference"/>
          <w:rFonts w:ascii="Verdana" w:hAnsi="Verdana"/>
          <w:i/>
          <w:sz w:val="16"/>
          <w:szCs w:val="16"/>
          <w:vertAlign w:val="baseline"/>
        </w:rPr>
        <w:t xml:space="preserve"> Guzmán </w:t>
      </w:r>
      <w:r w:rsidR="00D44DFF" w:rsidRPr="00954547">
        <w:rPr>
          <w:rStyle w:val="FootnoteReference"/>
          <w:rFonts w:ascii="Verdana" w:hAnsi="Verdana"/>
          <w:i/>
          <w:sz w:val="16"/>
          <w:szCs w:val="16"/>
          <w:vertAlign w:val="baseline"/>
        </w:rPr>
        <w:t>Albarracín et al.</w:t>
      </w:r>
      <w:r w:rsidRPr="00954547">
        <w:rPr>
          <w:rStyle w:val="FootnoteReference"/>
          <w:rFonts w:ascii="Verdana" w:hAnsi="Verdana"/>
          <w:i/>
          <w:sz w:val="16"/>
          <w:szCs w:val="16"/>
          <w:vertAlign w:val="baseline"/>
        </w:rPr>
        <w:t xml:space="preserve"> </w:t>
      </w:r>
      <w:r w:rsidR="009C16A1" w:rsidRPr="00954547">
        <w:rPr>
          <w:rStyle w:val="FootnoteReference"/>
          <w:rFonts w:ascii="Verdana" w:hAnsi="Verdana"/>
          <w:i/>
          <w:sz w:val="16"/>
          <w:szCs w:val="16"/>
          <w:vertAlign w:val="baseline"/>
        </w:rPr>
        <w:t>v.</w:t>
      </w:r>
      <w:r w:rsidRPr="00954547">
        <w:rPr>
          <w:rStyle w:val="FootnoteReference"/>
          <w:rFonts w:ascii="Verdana" w:hAnsi="Verdana"/>
          <w:i/>
          <w:sz w:val="16"/>
          <w:szCs w:val="16"/>
          <w:vertAlign w:val="baseline"/>
        </w:rPr>
        <w:t xml:space="preserve"> Ecuador, supra</w:t>
      </w:r>
      <w:r w:rsidRPr="00954547">
        <w:rPr>
          <w:rStyle w:val="FootnoteReference"/>
          <w:rFonts w:ascii="Verdana" w:hAnsi="Verdana"/>
          <w:sz w:val="16"/>
          <w:szCs w:val="16"/>
          <w:vertAlign w:val="baseline"/>
        </w:rPr>
        <w:t xml:space="preserve">, </w:t>
      </w:r>
      <w:r w:rsidR="00B10E5A" w:rsidRPr="00954547">
        <w:rPr>
          <w:rStyle w:val="FootnoteReference"/>
          <w:rFonts w:ascii="Verdana" w:hAnsi="Verdana"/>
          <w:sz w:val="16"/>
          <w:szCs w:val="16"/>
          <w:vertAlign w:val="baseline"/>
        </w:rPr>
        <w:t>para.</w:t>
      </w:r>
      <w:r w:rsidRPr="00954547">
        <w:rPr>
          <w:rStyle w:val="FootnoteReference"/>
          <w:rFonts w:ascii="Verdana" w:hAnsi="Verdana"/>
          <w:sz w:val="16"/>
          <w:szCs w:val="16"/>
          <w:vertAlign w:val="baseline"/>
        </w:rPr>
        <w:t xml:space="preserve"> 232.</w:t>
      </w:r>
    </w:p>
  </w:footnote>
  <w:footnote w:id="441">
    <w:p w14:paraId="61B7E4F8" w14:textId="52BCA384"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iCs/>
          <w:lang w:val="en-US"/>
        </w:rPr>
        <w:t>Cf.</w:t>
      </w:r>
      <w:r w:rsidRPr="00954547">
        <w:rPr>
          <w:i/>
          <w:iCs/>
          <w:lang w:val="en-US"/>
        </w:rPr>
        <w:t>,</w:t>
      </w:r>
      <w:r w:rsidRPr="00954547">
        <w:rPr>
          <w:lang w:val="en-US"/>
        </w:rPr>
        <w:t xml:space="preserve"> </w:t>
      </w:r>
      <w:r w:rsidR="00AE734E" w:rsidRPr="00954547">
        <w:rPr>
          <w:iCs/>
          <w:lang w:val="en-US"/>
        </w:rPr>
        <w:t>for example,</w:t>
      </w:r>
      <w:r w:rsidRPr="00954547">
        <w:rPr>
          <w:lang w:val="en-US"/>
        </w:rPr>
        <w:t xml:space="preserve"> </w:t>
      </w:r>
      <w:r w:rsidR="002F4617" w:rsidRPr="00954547">
        <w:rPr>
          <w:lang w:val="en-US"/>
        </w:rPr>
        <w:t>Case of</w:t>
      </w:r>
      <w:r w:rsidRPr="00954547">
        <w:rPr>
          <w:lang w:val="en-US"/>
        </w:rPr>
        <w:t xml:space="preserve"> </w:t>
      </w:r>
      <w:r w:rsidR="00AE734E" w:rsidRPr="00954547">
        <w:rPr>
          <w:lang w:val="en-US"/>
        </w:rPr>
        <w:t>the</w:t>
      </w:r>
      <w:r w:rsidRPr="00954547">
        <w:rPr>
          <w:lang w:val="en-US"/>
        </w:rPr>
        <w:t xml:space="preserve"> Miguel Castro Castro </w:t>
      </w:r>
      <w:r w:rsidR="00AE734E" w:rsidRPr="00954547">
        <w:rPr>
          <w:lang w:val="en-US"/>
        </w:rPr>
        <w:t xml:space="preserve">Prison </w:t>
      </w:r>
      <w:r w:rsidR="009C16A1" w:rsidRPr="00954547">
        <w:rPr>
          <w:lang w:val="en-US"/>
        </w:rPr>
        <w:t>v.</w:t>
      </w:r>
      <w:r w:rsidRPr="00954547">
        <w:rPr>
          <w:lang w:val="en-US"/>
        </w:rPr>
        <w:t xml:space="preserve"> </w:t>
      </w:r>
      <w:r w:rsidR="00C26F0B" w:rsidRPr="00954547">
        <w:rPr>
          <w:lang w:val="en-US"/>
        </w:rPr>
        <w:t>Peru</w:t>
      </w:r>
      <w:r w:rsidRPr="00954547">
        <w:rPr>
          <w:lang w:val="en-US"/>
        </w:rPr>
        <w:t>,</w:t>
      </w:r>
      <w:r w:rsidRPr="00954547">
        <w:rPr>
          <w:rStyle w:val="Heading1Char"/>
          <w:i/>
          <w:sz w:val="16"/>
          <w:szCs w:val="16"/>
        </w:rPr>
        <w:t xml:space="preserve"> </w:t>
      </w:r>
      <w:r w:rsidRPr="00954547">
        <w:rPr>
          <w:rStyle w:val="FootnoteReference"/>
          <w:i/>
          <w:vertAlign w:val="baseline"/>
          <w:lang w:val="en-US"/>
        </w:rPr>
        <w:t>supra,</w:t>
      </w:r>
      <w:r w:rsidRPr="00954547">
        <w:rPr>
          <w:rStyle w:val="FootnoteReference"/>
          <w:vertAlign w:val="baseline"/>
          <w:lang w:val="en-US"/>
        </w:rPr>
        <w:t xml:space="preserve"> </w:t>
      </w:r>
      <w:r w:rsidRPr="00954547">
        <w:rPr>
          <w:lang w:val="en-US"/>
        </w:rPr>
        <w:t xml:space="preserve"> </w:t>
      </w:r>
      <w:r w:rsidR="00B10E5A" w:rsidRPr="00954547">
        <w:rPr>
          <w:lang w:val="en-US"/>
        </w:rPr>
        <w:t>para.</w:t>
      </w:r>
      <w:r w:rsidRPr="00954547">
        <w:rPr>
          <w:lang w:val="en-US"/>
        </w:rPr>
        <w:t xml:space="preserve"> 445,</w:t>
      </w:r>
      <w:r w:rsidR="0078694F" w:rsidRPr="00954547">
        <w:rPr>
          <w:lang w:val="en-US"/>
        </w:rPr>
        <w:t xml:space="preserve"> and </w:t>
      </w:r>
      <w:r w:rsidR="002F4617" w:rsidRPr="00954547">
        <w:rPr>
          <w:rStyle w:val="FootnoteReference"/>
          <w:i/>
          <w:vertAlign w:val="baseline"/>
          <w:lang w:val="en-US"/>
        </w:rPr>
        <w:t>Case of</w:t>
      </w:r>
      <w:r w:rsidRPr="00954547">
        <w:rPr>
          <w:rStyle w:val="FootnoteReference"/>
          <w:i/>
          <w:vertAlign w:val="baseline"/>
          <w:lang w:val="en-US"/>
        </w:rPr>
        <w:t xml:space="preserve"> Guzmán </w:t>
      </w:r>
      <w:r w:rsidR="00D44DFF" w:rsidRPr="00954547">
        <w:rPr>
          <w:rStyle w:val="FootnoteReference"/>
          <w:i/>
          <w:vertAlign w:val="baseline"/>
          <w:lang w:val="en-US"/>
        </w:rPr>
        <w:t>Albarracín et al.</w:t>
      </w:r>
      <w:r w:rsidRPr="00954547">
        <w:rPr>
          <w:rStyle w:val="FootnoteReference"/>
          <w:i/>
          <w:vertAlign w:val="baseline"/>
          <w:lang w:val="en-US"/>
        </w:rPr>
        <w:t xml:space="preserve"> </w:t>
      </w:r>
      <w:r w:rsidR="009C16A1" w:rsidRPr="00954547">
        <w:rPr>
          <w:rStyle w:val="FootnoteReference"/>
          <w:i/>
          <w:vertAlign w:val="baseline"/>
          <w:lang w:val="en-US"/>
        </w:rPr>
        <w:t>v.</w:t>
      </w:r>
      <w:r w:rsidRPr="00954547">
        <w:rPr>
          <w:rStyle w:val="FootnoteReference"/>
          <w:i/>
          <w:vertAlign w:val="baseline"/>
          <w:lang w:val="en-US"/>
        </w:rPr>
        <w:t xml:space="preserve"> Ecuador, supra</w:t>
      </w:r>
      <w:r w:rsidRPr="00954547">
        <w:rPr>
          <w:rStyle w:val="FootnoteReference"/>
          <w:vertAlign w:val="baseline"/>
          <w:lang w:val="en-US"/>
        </w:rPr>
        <w:t xml:space="preserve">, </w:t>
      </w:r>
      <w:r w:rsidR="00B10E5A" w:rsidRPr="00954547">
        <w:rPr>
          <w:rStyle w:val="FootnoteReference"/>
          <w:vertAlign w:val="baseline"/>
          <w:lang w:val="en-US"/>
        </w:rPr>
        <w:t>para.</w:t>
      </w:r>
      <w:r w:rsidRPr="00954547">
        <w:rPr>
          <w:lang w:val="en-US"/>
        </w:rPr>
        <w:t xml:space="preserve"> 233</w:t>
      </w:r>
    </w:p>
  </w:footnote>
  <w:footnote w:id="442">
    <w:p w14:paraId="01F30849" w14:textId="4CF621E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Radilla Pacheco </w:t>
      </w:r>
      <w:r w:rsidR="009C16A1" w:rsidRPr="00954547">
        <w:rPr>
          <w:rFonts w:ascii="Verdana" w:hAnsi="Verdana"/>
          <w:i/>
          <w:sz w:val="16"/>
          <w:szCs w:val="16"/>
          <w:lang w:val="es-CR"/>
        </w:rPr>
        <w:t>v.</w:t>
      </w:r>
      <w:r w:rsidRPr="00954547">
        <w:rPr>
          <w:rFonts w:ascii="Verdana" w:hAnsi="Verdana"/>
          <w:i/>
          <w:sz w:val="16"/>
          <w:szCs w:val="16"/>
          <w:lang w:val="es-CR"/>
        </w:rPr>
        <w:t xml:space="preserve"> </w:t>
      </w:r>
      <w:r w:rsidR="000A2350" w:rsidRPr="00954547">
        <w:rPr>
          <w:rFonts w:ascii="Verdana" w:hAnsi="Verdana"/>
          <w:i/>
          <w:sz w:val="16"/>
          <w:szCs w:val="16"/>
          <w:lang w:val="es-CR"/>
        </w:rPr>
        <w:t>Mexico</w:t>
      </w:r>
      <w:r w:rsidRPr="00954547">
        <w:rPr>
          <w:rFonts w:ascii="Verdana" w:hAnsi="Verdana"/>
          <w:i/>
          <w:sz w:val="16"/>
          <w:szCs w:val="16"/>
          <w:lang w:val="es-CR"/>
        </w:rPr>
        <w:t xml:space="preserve">, supra, </w:t>
      </w:r>
      <w:r w:rsidR="00B10E5A" w:rsidRPr="00954547">
        <w:rPr>
          <w:rFonts w:ascii="Verdana" w:hAnsi="Verdana"/>
          <w:iCs/>
          <w:sz w:val="16"/>
          <w:szCs w:val="16"/>
          <w:lang w:val="es-CR"/>
        </w:rPr>
        <w:t>para.</w:t>
      </w:r>
      <w:r w:rsidRPr="00954547">
        <w:rPr>
          <w:rFonts w:ascii="Verdana" w:hAnsi="Verdana"/>
          <w:iCs/>
          <w:sz w:val="16"/>
          <w:szCs w:val="16"/>
          <w:lang w:val="es-CR"/>
        </w:rPr>
        <w:t xml:space="preserve"> </w:t>
      </w:r>
      <w:r w:rsidRPr="00954547">
        <w:rPr>
          <w:rFonts w:ascii="Verdana" w:hAnsi="Verdana"/>
          <w:iCs/>
          <w:sz w:val="16"/>
          <w:szCs w:val="16"/>
        </w:rPr>
        <w:t>353,</w:t>
      </w:r>
      <w:r w:rsidR="0078694F" w:rsidRPr="00954547">
        <w:rPr>
          <w:rFonts w:ascii="Verdana" w:hAnsi="Verdana"/>
          <w:iCs/>
          <w:sz w:val="16"/>
          <w:szCs w:val="16"/>
        </w:rPr>
        <w:t xml:space="preserve"> and </w:t>
      </w:r>
      <w:r w:rsidR="002F4617" w:rsidRPr="00954547">
        <w:rPr>
          <w:rStyle w:val="FootnoteReference"/>
          <w:rFonts w:ascii="Verdana" w:hAnsi="Verdana"/>
          <w:i/>
          <w:sz w:val="16"/>
          <w:szCs w:val="16"/>
          <w:vertAlign w:val="baseline"/>
        </w:rPr>
        <w:t>Case of</w:t>
      </w:r>
      <w:r w:rsidRPr="00954547">
        <w:rPr>
          <w:rStyle w:val="FootnoteReference"/>
          <w:rFonts w:ascii="Verdana" w:hAnsi="Verdana"/>
          <w:i/>
          <w:sz w:val="16"/>
          <w:szCs w:val="16"/>
          <w:vertAlign w:val="baseline"/>
        </w:rPr>
        <w:t xml:space="preserve"> Guzmán </w:t>
      </w:r>
      <w:r w:rsidR="00D44DFF" w:rsidRPr="00954547">
        <w:rPr>
          <w:rStyle w:val="FootnoteReference"/>
          <w:rFonts w:ascii="Verdana" w:hAnsi="Verdana"/>
          <w:i/>
          <w:sz w:val="16"/>
          <w:szCs w:val="16"/>
          <w:vertAlign w:val="baseline"/>
        </w:rPr>
        <w:t>Albarracín et al.</w:t>
      </w:r>
      <w:r w:rsidRPr="00954547">
        <w:rPr>
          <w:rStyle w:val="FootnoteReference"/>
          <w:rFonts w:ascii="Verdana" w:hAnsi="Verdana"/>
          <w:i/>
          <w:sz w:val="16"/>
          <w:szCs w:val="16"/>
          <w:vertAlign w:val="baseline"/>
        </w:rPr>
        <w:t xml:space="preserve"> </w:t>
      </w:r>
      <w:r w:rsidR="009C16A1" w:rsidRPr="00954547">
        <w:rPr>
          <w:rStyle w:val="FootnoteReference"/>
          <w:rFonts w:ascii="Verdana" w:hAnsi="Verdana"/>
          <w:i/>
          <w:sz w:val="16"/>
          <w:szCs w:val="16"/>
          <w:vertAlign w:val="baseline"/>
        </w:rPr>
        <w:t>v.</w:t>
      </w:r>
      <w:r w:rsidRPr="00954547">
        <w:rPr>
          <w:rStyle w:val="FootnoteReference"/>
          <w:rFonts w:ascii="Verdana" w:hAnsi="Verdana"/>
          <w:i/>
          <w:sz w:val="16"/>
          <w:szCs w:val="16"/>
          <w:vertAlign w:val="baseline"/>
        </w:rPr>
        <w:t xml:space="preserve"> Ecuador, supra</w:t>
      </w:r>
      <w:r w:rsidRPr="00954547">
        <w:rPr>
          <w:rStyle w:val="FootnoteReference"/>
          <w:rFonts w:ascii="Verdana" w:hAnsi="Verdana"/>
          <w:sz w:val="16"/>
          <w:szCs w:val="16"/>
          <w:vertAlign w:val="baseline"/>
        </w:rPr>
        <w:t>,</w:t>
      </w:r>
      <w:r w:rsidRPr="00954547">
        <w:rPr>
          <w:rStyle w:val="FootnoteReference"/>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233.</w:t>
      </w:r>
    </w:p>
  </w:footnote>
  <w:footnote w:id="443">
    <w:p w14:paraId="33AE2876" w14:textId="46EF9692"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iCs/>
          <w:lang w:val="en-US"/>
        </w:rPr>
        <w:t>Cf.</w:t>
      </w:r>
      <w:r w:rsidRPr="00954547">
        <w:rPr>
          <w:i/>
          <w:iCs/>
          <w:lang w:val="en-US"/>
        </w:rPr>
        <w:t xml:space="preserve"> </w:t>
      </w:r>
      <w:r w:rsidR="002F4617" w:rsidRPr="00954547">
        <w:rPr>
          <w:i/>
          <w:iCs/>
          <w:lang w:val="en-US"/>
        </w:rPr>
        <w:t>Case of</w:t>
      </w:r>
      <w:r w:rsidRPr="00954547">
        <w:rPr>
          <w:i/>
          <w:iCs/>
          <w:lang w:val="en-US"/>
        </w:rPr>
        <w:t xml:space="preserve"> </w:t>
      </w:r>
      <w:r w:rsidR="00AF0A78" w:rsidRPr="00954547">
        <w:rPr>
          <w:i/>
          <w:iCs/>
          <w:lang w:val="en-US"/>
        </w:rPr>
        <w:t>the</w:t>
      </w:r>
      <w:r w:rsidRPr="00954547">
        <w:rPr>
          <w:i/>
          <w:iCs/>
          <w:lang w:val="en-US"/>
        </w:rPr>
        <w:t xml:space="preserve"> Gómez Paquiyauri </w:t>
      </w:r>
      <w:r w:rsidR="00AF0A78" w:rsidRPr="00954547">
        <w:rPr>
          <w:i/>
          <w:iCs/>
          <w:lang w:val="en-US"/>
        </w:rPr>
        <w:t xml:space="preserve">Brothers </w:t>
      </w:r>
      <w:r w:rsidR="009C16A1" w:rsidRPr="00954547">
        <w:rPr>
          <w:i/>
          <w:iCs/>
          <w:lang w:val="en-US"/>
        </w:rPr>
        <w:t>v.</w:t>
      </w:r>
      <w:r w:rsidRPr="00954547">
        <w:rPr>
          <w:i/>
          <w:iCs/>
          <w:lang w:val="en-US"/>
        </w:rPr>
        <w:t xml:space="preserve"> </w:t>
      </w:r>
      <w:r w:rsidR="00C26F0B" w:rsidRPr="00954547">
        <w:rPr>
          <w:i/>
          <w:iCs/>
          <w:lang w:val="en-US"/>
        </w:rPr>
        <w:t>Peru</w:t>
      </w:r>
      <w:r w:rsidRPr="00954547">
        <w:rPr>
          <w:i/>
          <w:iCs/>
          <w:lang w:val="en-US"/>
        </w:rPr>
        <w:t xml:space="preserve">. </w:t>
      </w:r>
      <w:r w:rsidR="00A70DC4" w:rsidRPr="00954547">
        <w:rPr>
          <w:i/>
          <w:iCs/>
          <w:lang w:val="en-US"/>
        </w:rPr>
        <w:t>Merits, reparations and costs</w:t>
      </w:r>
      <w:r w:rsidRPr="00954547">
        <w:rPr>
          <w:lang w:val="en-US"/>
        </w:rPr>
        <w:t xml:space="preserve">. </w:t>
      </w:r>
      <w:r w:rsidR="00B8393C" w:rsidRPr="00954547">
        <w:rPr>
          <w:lang w:val="en-US"/>
        </w:rPr>
        <w:t>Judgment of</w:t>
      </w:r>
      <w:r w:rsidRPr="00954547">
        <w:rPr>
          <w:lang w:val="en-US"/>
        </w:rPr>
        <w:t xml:space="preserve"> </w:t>
      </w:r>
      <w:r w:rsidR="00AF0A78" w:rsidRPr="00954547">
        <w:rPr>
          <w:lang w:val="en-US"/>
        </w:rPr>
        <w:t>July 8,</w:t>
      </w:r>
      <w:r w:rsidRPr="00954547">
        <w:rPr>
          <w:lang w:val="en-US"/>
        </w:rPr>
        <w:t xml:space="preserve"> 2004. </w:t>
      </w:r>
      <w:r w:rsidR="00B8393C" w:rsidRPr="00954547">
        <w:rPr>
          <w:lang w:val="en-US"/>
        </w:rPr>
        <w:t xml:space="preserve">Series </w:t>
      </w:r>
      <w:r w:rsidRPr="00954547">
        <w:rPr>
          <w:lang w:val="en-US"/>
        </w:rPr>
        <w:t>C No. 110.</w:t>
      </w:r>
      <w:r w:rsidRPr="00954547" w:rsidDel="005D66BE">
        <w:rPr>
          <w:lang w:val="en-US"/>
        </w:rPr>
        <w:t xml:space="preserve"> </w:t>
      </w:r>
      <w:r w:rsidR="00B10E5A" w:rsidRPr="00954547">
        <w:rPr>
          <w:lang w:val="en-US"/>
        </w:rPr>
        <w:t>para.</w:t>
      </w:r>
      <w:r w:rsidRPr="00954547">
        <w:rPr>
          <w:lang w:val="en-US"/>
        </w:rPr>
        <w:t xml:space="preserve"> 237</w:t>
      </w:r>
      <w:r w:rsidR="00AF0A78" w:rsidRPr="00954547">
        <w:rPr>
          <w:lang w:val="en-US"/>
        </w:rPr>
        <w:t>,</w:t>
      </w:r>
      <w:r w:rsidR="0078694F" w:rsidRPr="00954547">
        <w:rPr>
          <w:lang w:val="en-US"/>
        </w:rPr>
        <w:t xml:space="preserve"> and </w:t>
      </w:r>
      <w:r w:rsidR="002F4617" w:rsidRPr="00954547">
        <w:rPr>
          <w:i/>
          <w:iCs/>
          <w:lang w:val="en-US"/>
        </w:rPr>
        <w:t>Case of</w:t>
      </w:r>
      <w:r w:rsidRPr="00954547">
        <w:rPr>
          <w:i/>
          <w:iCs/>
          <w:lang w:val="en-US"/>
        </w:rPr>
        <w:t xml:space="preserve"> López Soto </w:t>
      </w:r>
      <w:r w:rsidR="00B8393C" w:rsidRPr="00954547">
        <w:rPr>
          <w:i/>
          <w:iCs/>
          <w:lang w:val="en-US"/>
        </w:rPr>
        <w:t>et al. v.</w:t>
      </w:r>
      <w:r w:rsidRPr="00954547">
        <w:rPr>
          <w:i/>
          <w:iCs/>
          <w:lang w:val="en-US"/>
        </w:rPr>
        <w:t xml:space="preserve"> Venezuela, supra,</w:t>
      </w:r>
      <w:r w:rsidRPr="00954547">
        <w:rPr>
          <w:lang w:val="en-US"/>
        </w:rPr>
        <w:t xml:space="preserve"> </w:t>
      </w:r>
      <w:r w:rsidR="00B10E5A" w:rsidRPr="00954547">
        <w:rPr>
          <w:lang w:val="en-US"/>
        </w:rPr>
        <w:t>para.</w:t>
      </w:r>
      <w:r w:rsidRPr="00954547">
        <w:rPr>
          <w:lang w:val="en-US"/>
        </w:rPr>
        <w:t xml:space="preserve"> 311.</w:t>
      </w:r>
    </w:p>
  </w:footnote>
  <w:footnote w:id="444">
    <w:p w14:paraId="1D0BFD0B" w14:textId="5C880C40"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iCs/>
          <w:lang w:val="en-US"/>
        </w:rPr>
        <w:t>Cf.</w:t>
      </w:r>
      <w:r w:rsidRPr="00954547">
        <w:rPr>
          <w:i/>
          <w:iCs/>
          <w:lang w:val="en-US"/>
        </w:rPr>
        <w:t xml:space="preserve"> </w:t>
      </w:r>
      <w:r w:rsidR="002F4617" w:rsidRPr="00954547">
        <w:rPr>
          <w:i/>
          <w:iCs/>
          <w:lang w:val="en-US"/>
        </w:rPr>
        <w:t>Case of</w:t>
      </w:r>
      <w:r w:rsidRPr="00954547">
        <w:rPr>
          <w:i/>
          <w:iCs/>
          <w:lang w:val="en-US"/>
        </w:rPr>
        <w:t xml:space="preserve"> Rosendo Cantú</w:t>
      </w:r>
      <w:r w:rsidR="0078694F" w:rsidRPr="00954547">
        <w:rPr>
          <w:i/>
          <w:iCs/>
          <w:lang w:val="en-US"/>
        </w:rPr>
        <w:t xml:space="preserve"> </w:t>
      </w:r>
      <w:r w:rsidR="00AF0A78" w:rsidRPr="00954547">
        <w:rPr>
          <w:i/>
          <w:iCs/>
          <w:lang w:val="en-US"/>
        </w:rPr>
        <w:t>et al.</w:t>
      </w:r>
      <w:r w:rsidRPr="00954547">
        <w:rPr>
          <w:i/>
          <w:iCs/>
          <w:lang w:val="en-US"/>
        </w:rPr>
        <w:t xml:space="preserve"> </w:t>
      </w:r>
      <w:r w:rsidR="009C16A1" w:rsidRPr="00954547">
        <w:rPr>
          <w:i/>
          <w:iCs/>
          <w:lang w:val="en-US"/>
        </w:rPr>
        <w:t>v.</w:t>
      </w:r>
      <w:r w:rsidRPr="00954547">
        <w:rPr>
          <w:i/>
          <w:iCs/>
          <w:lang w:val="en-US"/>
        </w:rPr>
        <w:t xml:space="preserve"> </w:t>
      </w:r>
      <w:r w:rsidR="000A2350" w:rsidRPr="00954547">
        <w:rPr>
          <w:i/>
          <w:iCs/>
          <w:lang w:val="en-US"/>
        </w:rPr>
        <w:t>Mexico</w:t>
      </w:r>
      <w:r w:rsidRPr="00954547">
        <w:rPr>
          <w:i/>
          <w:iCs/>
          <w:lang w:val="en-US"/>
        </w:rPr>
        <w:t>, supra,</w:t>
      </w:r>
      <w:r w:rsidRPr="00954547">
        <w:rPr>
          <w:lang w:val="en-US"/>
        </w:rPr>
        <w:t xml:space="preserve"> </w:t>
      </w:r>
      <w:r w:rsidR="00B10E5A" w:rsidRPr="00954547">
        <w:rPr>
          <w:lang w:val="en-US"/>
        </w:rPr>
        <w:t>para.</w:t>
      </w:r>
      <w:r w:rsidRPr="00954547">
        <w:rPr>
          <w:lang w:val="en-US"/>
        </w:rPr>
        <w:t xml:space="preserve"> </w:t>
      </w:r>
      <w:r w:rsidRPr="00954547">
        <w:t>253,</w:t>
      </w:r>
      <w:r w:rsidR="0078694F" w:rsidRPr="00954547">
        <w:t xml:space="preserve"> and </w:t>
      </w:r>
      <w:r w:rsidR="002F4617" w:rsidRPr="00954547">
        <w:rPr>
          <w:i/>
          <w:iCs/>
        </w:rPr>
        <w:t>Case of</w:t>
      </w:r>
      <w:r w:rsidRPr="00954547">
        <w:rPr>
          <w:i/>
          <w:iCs/>
        </w:rPr>
        <w:t xml:space="preserve"> Garzón Guzmán </w:t>
      </w:r>
      <w:r w:rsidR="00B8393C" w:rsidRPr="00954547">
        <w:rPr>
          <w:i/>
          <w:iCs/>
        </w:rPr>
        <w:t>et al. v.</w:t>
      </w:r>
      <w:r w:rsidRPr="00954547">
        <w:rPr>
          <w:i/>
          <w:iCs/>
        </w:rPr>
        <w:t xml:space="preserve"> Ecuador, supra</w:t>
      </w:r>
      <w:r w:rsidRPr="00954547">
        <w:t xml:space="preserve">, </w:t>
      </w:r>
      <w:r w:rsidR="00B10E5A" w:rsidRPr="00954547">
        <w:t>para.</w:t>
      </w:r>
      <w:r w:rsidRPr="00954547">
        <w:t xml:space="preserve"> </w:t>
      </w:r>
      <w:r w:rsidRPr="00954547">
        <w:rPr>
          <w:lang w:val="en-US"/>
        </w:rPr>
        <w:t>114.</w:t>
      </w:r>
    </w:p>
  </w:footnote>
  <w:footnote w:id="445">
    <w:p w14:paraId="6924C2D8" w14:textId="6FB40A92"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Pr="00954547">
        <w:rPr>
          <w:rFonts w:ascii="Verdana" w:eastAsiaTheme="minorHAnsi" w:hAnsi="Verdana" w:cs="Arial"/>
          <w:i/>
          <w:color w:val="auto"/>
          <w:sz w:val="16"/>
          <w:szCs w:val="16"/>
          <w:bdr w:val="none" w:sz="0" w:space="0" w:color="auto"/>
          <w:lang w:eastAsia="en-US"/>
        </w:rPr>
        <w:t xml:space="preserve">Mutatis mutandis, </w:t>
      </w:r>
      <w:r w:rsidR="002F4617" w:rsidRPr="00954547">
        <w:rPr>
          <w:rFonts w:ascii="Verdana" w:eastAsiaTheme="minorHAnsi" w:hAnsi="Verdana" w:cs="Arial"/>
          <w:i/>
          <w:color w:val="auto"/>
          <w:sz w:val="16"/>
          <w:szCs w:val="16"/>
          <w:bdr w:val="none" w:sz="0" w:space="0" w:color="auto"/>
          <w:lang w:eastAsia="en-US"/>
        </w:rPr>
        <w:t>Case of</w:t>
      </w:r>
      <w:r w:rsidRPr="00954547">
        <w:rPr>
          <w:rFonts w:ascii="Verdana" w:eastAsiaTheme="minorHAnsi" w:hAnsi="Verdana" w:cs="Arial"/>
          <w:i/>
          <w:color w:val="auto"/>
          <w:sz w:val="16"/>
          <w:szCs w:val="16"/>
          <w:bdr w:val="none" w:sz="0" w:space="0" w:color="auto"/>
          <w:lang w:eastAsia="en-US"/>
        </w:rPr>
        <w:t xml:space="preserve"> Artavia Murillo</w:t>
      </w:r>
      <w:r w:rsidR="0078694F" w:rsidRPr="00954547">
        <w:rPr>
          <w:rFonts w:ascii="Verdana" w:eastAsiaTheme="minorHAnsi" w:hAnsi="Verdana" w:cs="Arial"/>
          <w:i/>
          <w:color w:val="auto"/>
          <w:sz w:val="16"/>
          <w:szCs w:val="16"/>
          <w:bdr w:val="none" w:sz="0" w:space="0" w:color="auto"/>
          <w:lang w:eastAsia="en-US"/>
        </w:rPr>
        <w:t xml:space="preserve"> </w:t>
      </w:r>
      <w:r w:rsidR="00521777" w:rsidRPr="00954547">
        <w:rPr>
          <w:rFonts w:ascii="Verdana" w:eastAsiaTheme="minorHAnsi" w:hAnsi="Verdana" w:cs="Arial"/>
          <w:i/>
          <w:color w:val="auto"/>
          <w:sz w:val="16"/>
          <w:szCs w:val="16"/>
          <w:bdr w:val="none" w:sz="0" w:space="0" w:color="auto"/>
          <w:lang w:eastAsia="en-US"/>
        </w:rPr>
        <w:t>et al. (In vitro fertilization)</w:t>
      </w:r>
      <w:r w:rsidR="00AF0A78" w:rsidRPr="00954547">
        <w:rPr>
          <w:rFonts w:ascii="Verdana" w:eastAsiaTheme="minorHAnsi" w:hAnsi="Verdana" w:cs="Arial"/>
          <w:i/>
          <w:color w:val="auto"/>
          <w:sz w:val="16"/>
          <w:szCs w:val="16"/>
          <w:bdr w:val="none" w:sz="0" w:space="0" w:color="auto"/>
          <w:lang w:eastAsia="en-US"/>
        </w:rPr>
        <w:t xml:space="preserve"> </w:t>
      </w:r>
      <w:r w:rsidR="009C16A1" w:rsidRPr="00954547">
        <w:rPr>
          <w:rFonts w:ascii="Verdana" w:eastAsiaTheme="minorHAnsi" w:hAnsi="Verdana" w:cs="Arial"/>
          <w:i/>
          <w:color w:val="auto"/>
          <w:sz w:val="16"/>
          <w:szCs w:val="16"/>
          <w:bdr w:val="none" w:sz="0" w:space="0" w:color="auto"/>
          <w:lang w:eastAsia="en-US"/>
        </w:rPr>
        <w:t>v.</w:t>
      </w:r>
      <w:r w:rsidRPr="00954547">
        <w:rPr>
          <w:rFonts w:ascii="Verdana" w:eastAsiaTheme="minorHAnsi" w:hAnsi="Verdana" w:cs="Arial"/>
          <w:i/>
          <w:color w:val="auto"/>
          <w:sz w:val="16"/>
          <w:szCs w:val="16"/>
          <w:bdr w:val="none" w:sz="0" w:space="0" w:color="auto"/>
          <w:lang w:eastAsia="en-US"/>
        </w:rPr>
        <w:t xml:space="preserve"> Costa Rica</w:t>
      </w:r>
      <w:r w:rsidRPr="00954547">
        <w:rPr>
          <w:rFonts w:ascii="Verdana" w:hAnsi="Verdana"/>
          <w:sz w:val="16"/>
          <w:szCs w:val="16"/>
        </w:rPr>
        <w:t xml:space="preserve">. </w:t>
      </w:r>
      <w:r w:rsidR="00AF0A78" w:rsidRPr="00954547">
        <w:rPr>
          <w:rFonts w:ascii="Verdana" w:hAnsi="Verdana"/>
          <w:sz w:val="16"/>
          <w:szCs w:val="16"/>
        </w:rPr>
        <w:t xml:space="preserve">Monitoring compliance with judgment. Order </w:t>
      </w:r>
      <w:r w:rsidR="00607E12" w:rsidRPr="00954547">
        <w:rPr>
          <w:rFonts w:ascii="Verdana" w:hAnsi="Verdana"/>
          <w:sz w:val="16"/>
          <w:szCs w:val="16"/>
        </w:rPr>
        <w:t xml:space="preserve">of the </w:t>
      </w:r>
      <w:r w:rsidR="00E76B1A" w:rsidRPr="00954547">
        <w:rPr>
          <w:rFonts w:ascii="Verdana" w:hAnsi="Verdana"/>
          <w:sz w:val="16"/>
          <w:szCs w:val="16"/>
        </w:rPr>
        <w:t>Inter-American Court of Human Rights</w:t>
      </w:r>
      <w:r w:rsidRPr="00954547">
        <w:rPr>
          <w:rFonts w:ascii="Verdana" w:hAnsi="Verdana"/>
          <w:sz w:val="16"/>
          <w:szCs w:val="16"/>
        </w:rPr>
        <w:t xml:space="preserve"> </w:t>
      </w:r>
      <w:r w:rsidR="00FF2DDD" w:rsidRPr="00954547">
        <w:rPr>
          <w:rFonts w:ascii="Verdana" w:hAnsi="Verdana"/>
          <w:sz w:val="16"/>
          <w:szCs w:val="16"/>
        </w:rPr>
        <w:t>o</w:t>
      </w:r>
      <w:r w:rsidR="00AF0A78" w:rsidRPr="00954547">
        <w:rPr>
          <w:rFonts w:ascii="Verdana" w:hAnsi="Verdana"/>
          <w:sz w:val="16"/>
          <w:szCs w:val="16"/>
        </w:rPr>
        <w:t>f</w:t>
      </w:r>
      <w:r w:rsidR="00FF2DDD" w:rsidRPr="00954547">
        <w:rPr>
          <w:rFonts w:ascii="Verdana" w:hAnsi="Verdana"/>
          <w:sz w:val="16"/>
          <w:szCs w:val="16"/>
        </w:rPr>
        <w:t xml:space="preserve"> February 26,</w:t>
      </w:r>
      <w:r w:rsidRPr="00954547">
        <w:rPr>
          <w:rFonts w:ascii="Verdana" w:hAnsi="Verdana"/>
          <w:sz w:val="16"/>
          <w:szCs w:val="16"/>
        </w:rPr>
        <w:t xml:space="preserve"> 2016, </w:t>
      </w:r>
      <w:r w:rsidR="00B10E5A" w:rsidRPr="00954547">
        <w:rPr>
          <w:rFonts w:ascii="Verdana" w:hAnsi="Verdana"/>
          <w:sz w:val="16"/>
          <w:szCs w:val="16"/>
        </w:rPr>
        <w:t>para.</w:t>
      </w:r>
      <w:r w:rsidRPr="00954547">
        <w:rPr>
          <w:rFonts w:ascii="Verdana" w:hAnsi="Verdana"/>
          <w:sz w:val="16"/>
          <w:szCs w:val="16"/>
        </w:rPr>
        <w:t xml:space="preserve"> 135.</w:t>
      </w:r>
    </w:p>
  </w:footnote>
  <w:footnote w:id="446">
    <w:p w14:paraId="203315CD" w14:textId="2535378C"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lang w:val="en-US"/>
        </w:rPr>
        <w:t>Cf.</w:t>
      </w:r>
      <w:r w:rsidRPr="00954547">
        <w:rPr>
          <w:lang w:val="en-US"/>
        </w:rPr>
        <w:t xml:space="preserve"> </w:t>
      </w:r>
      <w:r w:rsidR="00397B5B" w:rsidRPr="00954547">
        <w:rPr>
          <w:lang w:val="en-US"/>
        </w:rPr>
        <w:t>Ministry of</w:t>
      </w:r>
      <w:r w:rsidRPr="00954547">
        <w:rPr>
          <w:lang w:val="en-US"/>
        </w:rPr>
        <w:t xml:space="preserve"> </w:t>
      </w:r>
      <w:r w:rsidR="00BC7072" w:rsidRPr="00954547">
        <w:rPr>
          <w:lang w:val="en-US"/>
        </w:rPr>
        <w:t>Health</w:t>
      </w:r>
      <w:r w:rsidR="009E6B43" w:rsidRPr="00954547">
        <w:rPr>
          <w:lang w:val="en-US"/>
        </w:rPr>
        <w:t xml:space="preserve"> of El </w:t>
      </w:r>
      <w:r w:rsidRPr="00954547">
        <w:rPr>
          <w:lang w:val="en-US"/>
        </w:rPr>
        <w:t xml:space="preserve">Salvador. </w:t>
      </w:r>
      <w:r w:rsidR="00057E46" w:rsidRPr="00954547">
        <w:rPr>
          <w:lang w:val="en-US"/>
        </w:rPr>
        <w:t xml:space="preserve">Clinical </w:t>
      </w:r>
      <w:r w:rsidR="00A724B4" w:rsidRPr="00954547">
        <w:rPr>
          <w:lang w:val="en-US"/>
        </w:rPr>
        <w:t>guidelines</w:t>
      </w:r>
      <w:r w:rsidR="00057E46" w:rsidRPr="00954547">
        <w:rPr>
          <w:lang w:val="en-US"/>
        </w:rPr>
        <w:t xml:space="preserve"> Gynecology and Obstetrics, February 2012 </w:t>
      </w:r>
      <w:r w:rsidRPr="00954547">
        <w:rPr>
          <w:lang w:val="en-US"/>
        </w:rPr>
        <w:t>(</w:t>
      </w:r>
      <w:r w:rsidR="001C328F" w:rsidRPr="00954547">
        <w:rPr>
          <w:lang w:val="en-US"/>
        </w:rPr>
        <w:t>evidence file</w:t>
      </w:r>
      <w:r w:rsidRPr="00954547">
        <w:rPr>
          <w:lang w:val="en-US"/>
        </w:rPr>
        <w:t xml:space="preserve">, folios 5561 </w:t>
      </w:r>
      <w:r w:rsidR="00057E46" w:rsidRPr="00954547">
        <w:rPr>
          <w:lang w:val="en-US"/>
        </w:rPr>
        <w:t>to</w:t>
      </w:r>
      <w:r w:rsidRPr="00954547">
        <w:rPr>
          <w:lang w:val="en-US"/>
        </w:rPr>
        <w:t xml:space="preserve"> 5812); </w:t>
      </w:r>
      <w:r w:rsidR="00397B5B" w:rsidRPr="00954547">
        <w:rPr>
          <w:lang w:val="en-US"/>
        </w:rPr>
        <w:t>Ministry of</w:t>
      </w:r>
      <w:r w:rsidRPr="00954547">
        <w:rPr>
          <w:lang w:val="en-US"/>
        </w:rPr>
        <w:t xml:space="preserve"> </w:t>
      </w:r>
      <w:r w:rsidR="00BC7072" w:rsidRPr="00954547">
        <w:rPr>
          <w:lang w:val="en-US"/>
        </w:rPr>
        <w:t>Health</w:t>
      </w:r>
      <w:r w:rsidR="009E6B43" w:rsidRPr="00954547">
        <w:rPr>
          <w:lang w:val="en-US"/>
        </w:rPr>
        <w:t xml:space="preserve"> of El </w:t>
      </w:r>
      <w:r w:rsidRPr="00954547">
        <w:rPr>
          <w:lang w:val="en-US"/>
        </w:rPr>
        <w:t xml:space="preserve">Salvador. </w:t>
      </w:r>
      <w:r w:rsidR="00057E46" w:rsidRPr="00954547">
        <w:rPr>
          <w:lang w:val="en-US"/>
        </w:rPr>
        <w:t xml:space="preserve">Technical guidelines for obstetric procedures and surgery, </w:t>
      </w:r>
      <w:r w:rsidRPr="00954547">
        <w:rPr>
          <w:lang w:val="en-US"/>
        </w:rPr>
        <w:t>2020 (</w:t>
      </w:r>
      <w:r w:rsidR="001C328F" w:rsidRPr="00954547">
        <w:rPr>
          <w:lang w:val="en-US"/>
        </w:rPr>
        <w:t>evidence file</w:t>
      </w:r>
      <w:r w:rsidRPr="00954547">
        <w:rPr>
          <w:lang w:val="en-US"/>
        </w:rPr>
        <w:t xml:space="preserve">, folios 5813 </w:t>
      </w:r>
      <w:r w:rsidR="00057E46" w:rsidRPr="00954547">
        <w:rPr>
          <w:lang w:val="en-US"/>
        </w:rPr>
        <w:t>to</w:t>
      </w:r>
      <w:r w:rsidRPr="00954547">
        <w:rPr>
          <w:lang w:val="en-US"/>
        </w:rPr>
        <w:t xml:space="preserve"> 5914); </w:t>
      </w:r>
      <w:r w:rsidR="00397B5B" w:rsidRPr="00954547">
        <w:rPr>
          <w:lang w:val="en-US"/>
        </w:rPr>
        <w:t>Ministry of</w:t>
      </w:r>
      <w:r w:rsidRPr="00954547">
        <w:rPr>
          <w:lang w:val="en-US"/>
        </w:rPr>
        <w:t xml:space="preserve"> </w:t>
      </w:r>
      <w:r w:rsidR="00BC7072" w:rsidRPr="00954547">
        <w:rPr>
          <w:lang w:val="en-US"/>
        </w:rPr>
        <w:t>Health</w:t>
      </w:r>
      <w:r w:rsidR="009E6B43" w:rsidRPr="00954547">
        <w:rPr>
          <w:lang w:val="en-US"/>
        </w:rPr>
        <w:t xml:space="preserve"> of El </w:t>
      </w:r>
      <w:r w:rsidRPr="00954547">
        <w:rPr>
          <w:lang w:val="en-US"/>
        </w:rPr>
        <w:t xml:space="preserve">Salvador. </w:t>
      </w:r>
      <w:r w:rsidR="00057E46" w:rsidRPr="00954547">
        <w:rPr>
          <w:lang w:val="en-US"/>
        </w:rPr>
        <w:t>Technical guidelines for the application of code orange in the health service network (</w:t>
      </w:r>
      <w:r w:rsidRPr="00954547">
        <w:rPr>
          <w:lang w:val="en-US"/>
        </w:rPr>
        <w:t>RIIS</w:t>
      </w:r>
      <w:r w:rsidR="00057E46" w:rsidRPr="00954547">
        <w:rPr>
          <w:lang w:val="en-US"/>
        </w:rPr>
        <w:t xml:space="preserve">), December </w:t>
      </w:r>
      <w:r w:rsidRPr="00954547">
        <w:rPr>
          <w:lang w:val="en-US"/>
        </w:rPr>
        <w:t>2017 (</w:t>
      </w:r>
      <w:r w:rsidR="001C328F" w:rsidRPr="00954547">
        <w:rPr>
          <w:lang w:val="en-US"/>
        </w:rPr>
        <w:t>evidence file</w:t>
      </w:r>
      <w:r w:rsidRPr="00954547">
        <w:rPr>
          <w:lang w:val="en-US"/>
        </w:rPr>
        <w:t xml:space="preserve">, folios 5915 </w:t>
      </w:r>
      <w:r w:rsidR="00057E46" w:rsidRPr="00954547">
        <w:rPr>
          <w:lang w:val="en-US"/>
        </w:rPr>
        <w:t>to</w:t>
      </w:r>
      <w:r w:rsidRPr="00954547">
        <w:rPr>
          <w:lang w:val="en-US"/>
        </w:rPr>
        <w:t xml:space="preserve"> 5943); </w:t>
      </w:r>
      <w:r w:rsidR="00397B5B" w:rsidRPr="00954547">
        <w:rPr>
          <w:lang w:val="en-US"/>
        </w:rPr>
        <w:t>Ministry of</w:t>
      </w:r>
      <w:r w:rsidRPr="00954547">
        <w:rPr>
          <w:lang w:val="en-US"/>
        </w:rPr>
        <w:t xml:space="preserve"> </w:t>
      </w:r>
      <w:r w:rsidR="00BC7072" w:rsidRPr="00954547">
        <w:rPr>
          <w:lang w:val="en-US"/>
        </w:rPr>
        <w:t>Health</w:t>
      </w:r>
      <w:r w:rsidR="009E6B43" w:rsidRPr="00954547">
        <w:rPr>
          <w:lang w:val="en-US"/>
        </w:rPr>
        <w:t xml:space="preserve"> of El </w:t>
      </w:r>
      <w:r w:rsidRPr="00954547">
        <w:rPr>
          <w:lang w:val="en-US"/>
        </w:rPr>
        <w:t xml:space="preserve">Salvador. </w:t>
      </w:r>
      <w:r w:rsidR="00B31C0D" w:rsidRPr="00954547">
        <w:rPr>
          <w:lang w:val="en-US"/>
        </w:rPr>
        <w:t>Technical guidelines for the application of code yellow in the health service network (RIIS), June</w:t>
      </w:r>
      <w:r w:rsidRPr="00954547">
        <w:rPr>
          <w:lang w:val="en-US"/>
        </w:rPr>
        <w:t xml:space="preserve"> 2016 (</w:t>
      </w:r>
      <w:r w:rsidR="001C328F" w:rsidRPr="00954547">
        <w:rPr>
          <w:lang w:val="en-US"/>
        </w:rPr>
        <w:t>evidence file</w:t>
      </w:r>
      <w:r w:rsidRPr="00954547">
        <w:rPr>
          <w:lang w:val="en-US"/>
        </w:rPr>
        <w:t xml:space="preserve">, folios 5949 </w:t>
      </w:r>
      <w:r w:rsidR="00B31C0D" w:rsidRPr="00954547">
        <w:rPr>
          <w:lang w:val="en-US"/>
        </w:rPr>
        <w:t>to</w:t>
      </w:r>
      <w:r w:rsidRPr="00954547">
        <w:rPr>
          <w:lang w:val="en-US"/>
        </w:rPr>
        <w:t xml:space="preserve"> 5972),</w:t>
      </w:r>
      <w:r w:rsidR="0078694F" w:rsidRPr="00954547">
        <w:rPr>
          <w:lang w:val="en-US"/>
        </w:rPr>
        <w:t xml:space="preserve"> and </w:t>
      </w:r>
      <w:r w:rsidR="00397B5B" w:rsidRPr="00954547">
        <w:rPr>
          <w:lang w:val="en-US"/>
        </w:rPr>
        <w:t>Ministry of</w:t>
      </w:r>
      <w:r w:rsidRPr="00954547">
        <w:rPr>
          <w:lang w:val="en-US"/>
        </w:rPr>
        <w:t xml:space="preserve"> </w:t>
      </w:r>
      <w:r w:rsidR="00BC7072" w:rsidRPr="00954547">
        <w:rPr>
          <w:lang w:val="en-US"/>
        </w:rPr>
        <w:t>Health</w:t>
      </w:r>
      <w:r w:rsidR="009E6B43" w:rsidRPr="00954547">
        <w:rPr>
          <w:lang w:val="en-US"/>
        </w:rPr>
        <w:t xml:space="preserve"> of El </w:t>
      </w:r>
      <w:r w:rsidRPr="00954547">
        <w:rPr>
          <w:lang w:val="en-US"/>
        </w:rPr>
        <w:t xml:space="preserve">Salvador. </w:t>
      </w:r>
      <w:r w:rsidR="00B31C0D" w:rsidRPr="00954547">
        <w:rPr>
          <w:lang w:val="en-US"/>
        </w:rPr>
        <w:t>Technical guidelines for the application of code red in the health service network (RIIS), July</w:t>
      </w:r>
      <w:r w:rsidRPr="00954547">
        <w:rPr>
          <w:lang w:val="en-US"/>
        </w:rPr>
        <w:t xml:space="preserve"> 2015 (</w:t>
      </w:r>
      <w:r w:rsidR="001C328F" w:rsidRPr="00954547">
        <w:rPr>
          <w:lang w:val="en-US"/>
        </w:rPr>
        <w:t>evidence file</w:t>
      </w:r>
      <w:r w:rsidRPr="00954547">
        <w:rPr>
          <w:lang w:val="en-US"/>
        </w:rPr>
        <w:t xml:space="preserve">, folios 5973 </w:t>
      </w:r>
      <w:r w:rsidR="00B31C0D" w:rsidRPr="00954547">
        <w:rPr>
          <w:lang w:val="en-US"/>
        </w:rPr>
        <w:t>to</w:t>
      </w:r>
      <w:r w:rsidRPr="00954547">
        <w:rPr>
          <w:lang w:val="en-US"/>
        </w:rPr>
        <w:t xml:space="preserve"> 6006).</w:t>
      </w:r>
    </w:p>
  </w:footnote>
  <w:footnote w:id="447">
    <w:p w14:paraId="5560DBF6" w14:textId="4E83C4AD" w:rsidR="00B31C0D" w:rsidRPr="00954547" w:rsidRDefault="00B31C0D" w:rsidP="00B31C0D">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5B0D1B" w:rsidRPr="00954547">
        <w:rPr>
          <w:rFonts w:ascii="Verdana" w:hAnsi="Verdana"/>
          <w:sz w:val="16"/>
          <w:szCs w:val="16"/>
        </w:rPr>
        <w:t>Report</w:t>
      </w:r>
      <w:r w:rsidRPr="00954547">
        <w:rPr>
          <w:rFonts w:ascii="Verdana" w:hAnsi="Verdana"/>
          <w:sz w:val="16"/>
          <w:szCs w:val="16"/>
        </w:rPr>
        <w:t xml:space="preserve"> of the treating physician of February 27, 2008 (evidence file, folio 22). </w:t>
      </w:r>
    </w:p>
  </w:footnote>
  <w:footnote w:id="448">
    <w:p w14:paraId="37752750" w14:textId="1F4E0AA8" w:rsidR="00B31C0D" w:rsidRPr="00954547" w:rsidRDefault="00B31C0D" w:rsidP="00B31C0D">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5B0D1B" w:rsidRPr="00954547">
        <w:rPr>
          <w:rFonts w:ascii="Verdana" w:hAnsi="Verdana"/>
          <w:sz w:val="16"/>
          <w:szCs w:val="16"/>
        </w:rPr>
        <w:t xml:space="preserve">Request for a search warrant </w:t>
      </w:r>
      <w:r w:rsidR="00095D93" w:rsidRPr="00954547">
        <w:rPr>
          <w:rFonts w:ascii="Verdana" w:hAnsi="Verdana"/>
          <w:color w:val="auto"/>
          <w:sz w:val="16"/>
          <w:szCs w:val="16"/>
        </w:rPr>
        <w:t>of</w:t>
      </w:r>
      <w:r w:rsidRPr="00954547">
        <w:rPr>
          <w:rFonts w:ascii="Verdana" w:hAnsi="Verdana"/>
          <w:color w:val="auto"/>
          <w:sz w:val="16"/>
          <w:szCs w:val="16"/>
        </w:rPr>
        <w:t xml:space="preserve"> February 28, 2008 (evidence file, folio 27).</w:t>
      </w:r>
    </w:p>
  </w:footnote>
  <w:footnote w:id="449">
    <w:p w14:paraId="07CFFA3D" w14:textId="35D228EE" w:rsidR="005F001B" w:rsidRPr="00954547" w:rsidRDefault="005F001B" w:rsidP="00057E46">
      <w:pPr>
        <w:pStyle w:val="Footnotes"/>
        <w:rPr>
          <w:shd w:val="clear" w:color="auto" w:fill="FFFFFF"/>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iCs/>
          <w:lang w:val="en-US"/>
        </w:rPr>
        <w:t>Cf.</w:t>
      </w:r>
      <w:r w:rsidRPr="00954547">
        <w:rPr>
          <w:i/>
          <w:iCs/>
          <w:lang w:val="en-US"/>
        </w:rPr>
        <w:t xml:space="preserve"> </w:t>
      </w:r>
      <w:r w:rsidR="002F4617" w:rsidRPr="00954547">
        <w:rPr>
          <w:i/>
          <w:iCs/>
          <w:lang w:val="en-US"/>
        </w:rPr>
        <w:t>Case of</w:t>
      </w:r>
      <w:r w:rsidRPr="00954547">
        <w:rPr>
          <w:i/>
          <w:iCs/>
          <w:lang w:val="en-US"/>
        </w:rPr>
        <w:t xml:space="preserve"> Hilaire, Constantine</w:t>
      </w:r>
      <w:r w:rsidR="0078694F" w:rsidRPr="00954547">
        <w:rPr>
          <w:i/>
          <w:iCs/>
          <w:lang w:val="en-US"/>
        </w:rPr>
        <w:t xml:space="preserve"> and </w:t>
      </w:r>
      <w:r w:rsidRPr="00954547">
        <w:rPr>
          <w:i/>
          <w:iCs/>
          <w:lang w:val="en-US"/>
        </w:rPr>
        <w:t xml:space="preserve">Benjamin </w:t>
      </w:r>
      <w:r w:rsidR="00B8393C" w:rsidRPr="00954547">
        <w:rPr>
          <w:i/>
          <w:iCs/>
          <w:lang w:val="en-US"/>
        </w:rPr>
        <w:t>et al. v.</w:t>
      </w:r>
      <w:r w:rsidRPr="00954547">
        <w:rPr>
          <w:i/>
          <w:iCs/>
          <w:lang w:val="en-US"/>
        </w:rPr>
        <w:t xml:space="preserve"> Trinidad</w:t>
      </w:r>
      <w:r w:rsidR="0078694F" w:rsidRPr="00954547">
        <w:rPr>
          <w:i/>
          <w:iCs/>
          <w:lang w:val="en-US"/>
        </w:rPr>
        <w:t xml:space="preserve"> and </w:t>
      </w:r>
      <w:r w:rsidRPr="00954547">
        <w:rPr>
          <w:i/>
          <w:iCs/>
          <w:lang w:val="en-US"/>
        </w:rPr>
        <w:t>Tobago</w:t>
      </w:r>
      <w:r w:rsidRPr="00954547">
        <w:rPr>
          <w:lang w:val="en-US"/>
        </w:rPr>
        <w:t xml:space="preserve">, supra, </w:t>
      </w:r>
      <w:r w:rsidR="00B10E5A" w:rsidRPr="00954547">
        <w:rPr>
          <w:lang w:val="en-US"/>
        </w:rPr>
        <w:t>para.</w:t>
      </w:r>
      <w:r w:rsidRPr="00954547">
        <w:rPr>
          <w:lang w:val="en-US"/>
        </w:rPr>
        <w:t xml:space="preserve"> 212,</w:t>
      </w:r>
      <w:r w:rsidR="0078694F" w:rsidRPr="00954547">
        <w:rPr>
          <w:lang w:val="en-US"/>
        </w:rPr>
        <w:t xml:space="preserve"> and </w:t>
      </w:r>
      <w:r w:rsidR="002F4617" w:rsidRPr="00954547">
        <w:rPr>
          <w:i/>
          <w:iCs/>
          <w:shd w:val="clear" w:color="auto" w:fill="FFFFFF"/>
          <w:lang w:val="en-US"/>
        </w:rPr>
        <w:t>Case of</w:t>
      </w:r>
      <w:r w:rsidRPr="00954547">
        <w:rPr>
          <w:i/>
          <w:iCs/>
          <w:shd w:val="clear" w:color="auto" w:fill="FFFFFF"/>
          <w:lang w:val="en-US"/>
        </w:rPr>
        <w:t xml:space="preserve"> Fermín Ramírez </w:t>
      </w:r>
      <w:r w:rsidR="009C16A1" w:rsidRPr="00954547">
        <w:rPr>
          <w:i/>
          <w:iCs/>
          <w:shd w:val="clear" w:color="auto" w:fill="FFFFFF"/>
          <w:lang w:val="en-US"/>
        </w:rPr>
        <w:t>v.</w:t>
      </w:r>
      <w:r w:rsidRPr="00954547">
        <w:rPr>
          <w:i/>
          <w:iCs/>
          <w:shd w:val="clear" w:color="auto" w:fill="FFFFFF"/>
          <w:lang w:val="en-US"/>
        </w:rPr>
        <w:t xml:space="preserve"> Guatemala. </w:t>
      </w:r>
      <w:r w:rsidR="00A70DC4" w:rsidRPr="00954547">
        <w:rPr>
          <w:i/>
          <w:iCs/>
          <w:shd w:val="clear" w:color="auto" w:fill="FFFFFF"/>
          <w:lang w:val="en-US"/>
        </w:rPr>
        <w:t>Merits, reparations and costs</w:t>
      </w:r>
      <w:r w:rsidRPr="00954547">
        <w:rPr>
          <w:shd w:val="clear" w:color="auto" w:fill="FFFFFF"/>
          <w:lang w:val="en-US"/>
        </w:rPr>
        <w:t xml:space="preserve">. </w:t>
      </w:r>
      <w:r w:rsidR="00B8393C" w:rsidRPr="00954547">
        <w:rPr>
          <w:shd w:val="clear" w:color="auto" w:fill="FFFFFF"/>
          <w:lang w:val="en-US"/>
        </w:rPr>
        <w:t>Judgment of</w:t>
      </w:r>
      <w:r w:rsidRPr="00954547">
        <w:rPr>
          <w:shd w:val="clear" w:color="auto" w:fill="FFFFFF"/>
          <w:lang w:val="en-US"/>
        </w:rPr>
        <w:t xml:space="preserve"> </w:t>
      </w:r>
      <w:r w:rsidR="00095D93" w:rsidRPr="00954547">
        <w:rPr>
          <w:shd w:val="clear" w:color="auto" w:fill="FFFFFF"/>
          <w:lang w:val="en-US"/>
        </w:rPr>
        <w:t>June 20,</w:t>
      </w:r>
      <w:r w:rsidRPr="00954547">
        <w:rPr>
          <w:shd w:val="clear" w:color="auto" w:fill="FFFFFF"/>
          <w:lang w:val="en-US"/>
        </w:rPr>
        <w:t xml:space="preserve"> 2005. </w:t>
      </w:r>
      <w:r w:rsidR="00B8393C" w:rsidRPr="00954547">
        <w:rPr>
          <w:shd w:val="clear" w:color="auto" w:fill="FFFFFF"/>
          <w:lang w:val="en-US"/>
        </w:rPr>
        <w:t xml:space="preserve">Series </w:t>
      </w:r>
      <w:r w:rsidRPr="00954547">
        <w:rPr>
          <w:shd w:val="clear" w:color="auto" w:fill="FFFFFF"/>
          <w:lang w:val="en-US"/>
        </w:rPr>
        <w:t xml:space="preserve">C No. 126, </w:t>
      </w:r>
      <w:r w:rsidR="00B10E5A" w:rsidRPr="00954547">
        <w:rPr>
          <w:shd w:val="clear" w:color="auto" w:fill="FFFFFF"/>
          <w:lang w:val="en-US"/>
        </w:rPr>
        <w:t>para.</w:t>
      </w:r>
      <w:r w:rsidRPr="00954547">
        <w:rPr>
          <w:shd w:val="clear" w:color="auto" w:fill="FFFFFF"/>
          <w:lang w:val="en-US"/>
        </w:rPr>
        <w:t xml:space="preserve"> 130(c).</w:t>
      </w:r>
    </w:p>
  </w:footnote>
  <w:footnote w:id="450">
    <w:p w14:paraId="72F64FB8" w14:textId="6D9440D9"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lang w:val="en-US"/>
        </w:rPr>
        <w:t>Cf.</w:t>
      </w:r>
      <w:r w:rsidRPr="00954547">
        <w:rPr>
          <w:i/>
          <w:lang w:val="en-US"/>
        </w:rPr>
        <w:t xml:space="preserve"> </w:t>
      </w:r>
      <w:r w:rsidR="00C86FE5" w:rsidRPr="00954547">
        <w:rPr>
          <w:lang w:val="en-US"/>
        </w:rPr>
        <w:t>Legislative Assembly</w:t>
      </w:r>
      <w:r w:rsidR="00607E12" w:rsidRPr="00954547">
        <w:rPr>
          <w:lang w:val="en-US"/>
        </w:rPr>
        <w:t xml:space="preserve"> of the </w:t>
      </w:r>
      <w:r w:rsidR="00B8393C" w:rsidRPr="00954547">
        <w:rPr>
          <w:lang w:val="en-US"/>
        </w:rPr>
        <w:t>Republic of</w:t>
      </w:r>
      <w:r w:rsidRPr="00954547">
        <w:rPr>
          <w:lang w:val="en-US"/>
        </w:rPr>
        <w:t xml:space="preserve"> El Salvador. </w:t>
      </w:r>
      <w:r w:rsidR="00BA4784" w:rsidRPr="00954547">
        <w:rPr>
          <w:lang w:val="en-US"/>
        </w:rPr>
        <w:t>Code of Criminal Procedure</w:t>
      </w:r>
      <w:r w:rsidRPr="00954547">
        <w:rPr>
          <w:lang w:val="en-US"/>
        </w:rPr>
        <w:t xml:space="preserve">, </w:t>
      </w:r>
      <w:r w:rsidR="006C1D51" w:rsidRPr="00954547">
        <w:rPr>
          <w:lang w:val="en-US"/>
        </w:rPr>
        <w:t>Decree Law</w:t>
      </w:r>
      <w:r w:rsidRPr="00954547">
        <w:rPr>
          <w:lang w:val="en-US"/>
        </w:rPr>
        <w:t xml:space="preserve"> No. 733, </w:t>
      </w:r>
      <w:r w:rsidR="006C1D51" w:rsidRPr="00954547">
        <w:rPr>
          <w:lang w:val="en-US"/>
        </w:rPr>
        <w:t>a</w:t>
      </w:r>
      <w:r w:rsidR="00A17F8C" w:rsidRPr="00954547">
        <w:rPr>
          <w:lang w:val="en-US"/>
        </w:rPr>
        <w:t>rticle</w:t>
      </w:r>
      <w:r w:rsidRPr="00954547">
        <w:rPr>
          <w:lang w:val="en-US"/>
        </w:rPr>
        <w:t>s 329</w:t>
      </w:r>
      <w:r w:rsidR="0078694F" w:rsidRPr="00954547">
        <w:rPr>
          <w:lang w:val="en-US"/>
        </w:rPr>
        <w:t xml:space="preserve"> and </w:t>
      </w:r>
      <w:r w:rsidRPr="00954547">
        <w:rPr>
          <w:lang w:val="en-US"/>
        </w:rPr>
        <w:t>331.</w:t>
      </w:r>
    </w:p>
  </w:footnote>
  <w:footnote w:id="451">
    <w:p w14:paraId="6F216EB3" w14:textId="24A66AFF"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Pr="00954547">
        <w:rPr>
          <w:rFonts w:ascii="Verdana" w:hAnsi="Verdana"/>
          <w:sz w:val="16"/>
          <w:szCs w:val="16"/>
        </w:rPr>
        <w:t xml:space="preserve">CEDAW, </w:t>
      </w:r>
      <w:r w:rsidR="00A30817" w:rsidRPr="00954547">
        <w:rPr>
          <w:rFonts w:ascii="Verdana" w:hAnsi="Verdana"/>
          <w:sz w:val="16"/>
          <w:szCs w:val="16"/>
        </w:rPr>
        <w:t>General recommendation</w:t>
      </w:r>
      <w:r w:rsidRPr="00954547">
        <w:rPr>
          <w:rFonts w:ascii="Verdana" w:hAnsi="Verdana"/>
          <w:sz w:val="16"/>
          <w:szCs w:val="16"/>
        </w:rPr>
        <w:t xml:space="preserve"> </w:t>
      </w:r>
      <w:r w:rsidR="00DF31AA" w:rsidRPr="00954547">
        <w:rPr>
          <w:rFonts w:ascii="Verdana" w:hAnsi="Verdana"/>
          <w:sz w:val="16"/>
          <w:szCs w:val="16"/>
        </w:rPr>
        <w:t xml:space="preserve">No. 33 on women’s access to justice, CEDAW/C/GC/33, August 3, </w:t>
      </w:r>
      <w:r w:rsidRPr="00954547">
        <w:rPr>
          <w:rFonts w:ascii="Verdana" w:hAnsi="Verdana"/>
          <w:sz w:val="16"/>
          <w:szCs w:val="16"/>
        </w:rPr>
        <w:t>2015</w:t>
      </w:r>
      <w:r w:rsidRPr="00954547">
        <w:rPr>
          <w:rFonts w:ascii="Verdana" w:hAnsi="Verdana" w:cs="Times New Roman"/>
          <w:sz w:val="16"/>
          <w:szCs w:val="16"/>
        </w:rPr>
        <w:t xml:space="preserve">, </w:t>
      </w:r>
      <w:r w:rsidR="00B10E5A" w:rsidRPr="00954547">
        <w:rPr>
          <w:rFonts w:ascii="Verdana" w:hAnsi="Verdana" w:cs="Times New Roman"/>
          <w:sz w:val="16"/>
          <w:szCs w:val="16"/>
        </w:rPr>
        <w:t>para.</w:t>
      </w:r>
      <w:r w:rsidRPr="00954547">
        <w:rPr>
          <w:rFonts w:ascii="Verdana" w:hAnsi="Verdana" w:cs="Times New Roman"/>
          <w:sz w:val="16"/>
          <w:szCs w:val="16"/>
        </w:rPr>
        <w:t xml:space="preserve"> </w:t>
      </w:r>
      <w:r w:rsidRPr="00954547">
        <w:rPr>
          <w:rFonts w:ascii="Verdana" w:hAnsi="Verdana"/>
          <w:sz w:val="16"/>
          <w:szCs w:val="16"/>
        </w:rPr>
        <w:t>29.c.</w:t>
      </w:r>
    </w:p>
  </w:footnote>
  <w:footnote w:id="452">
    <w:p w14:paraId="6A958BDE" w14:textId="46040ADC"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6C1D51" w:rsidRPr="00954547">
        <w:rPr>
          <w:rFonts w:ascii="Verdana" w:hAnsi="Verdana"/>
          <w:sz w:val="16"/>
          <w:szCs w:val="16"/>
        </w:rPr>
        <w:t>The CESCR has ruled similarly in</w:t>
      </w:r>
      <w:r w:rsidRPr="00954547">
        <w:rPr>
          <w:rFonts w:ascii="Verdana" w:hAnsi="Verdana"/>
          <w:sz w:val="16"/>
          <w:szCs w:val="16"/>
        </w:rPr>
        <w:t xml:space="preserve"> </w:t>
      </w:r>
      <w:r w:rsidR="00B74C4E" w:rsidRPr="00954547">
        <w:rPr>
          <w:rFonts w:ascii="Verdana" w:hAnsi="Verdana"/>
          <w:sz w:val="16"/>
          <w:szCs w:val="16"/>
        </w:rPr>
        <w:t>General Comment</w:t>
      </w:r>
      <w:r w:rsidRPr="00954547">
        <w:rPr>
          <w:rFonts w:ascii="Verdana" w:hAnsi="Verdana"/>
          <w:sz w:val="16"/>
          <w:szCs w:val="16"/>
        </w:rPr>
        <w:t xml:space="preserve"> No 22 </w:t>
      </w:r>
      <w:r w:rsidR="006C1D51" w:rsidRPr="00954547">
        <w:rPr>
          <w:rFonts w:ascii="Verdana" w:hAnsi="Verdana"/>
          <w:sz w:val="16"/>
          <w:szCs w:val="16"/>
        </w:rPr>
        <w:t>on the right to</w:t>
      </w:r>
      <w:r w:rsidRPr="00954547">
        <w:rPr>
          <w:rFonts w:ascii="Verdana" w:hAnsi="Verdana"/>
          <w:sz w:val="16"/>
          <w:szCs w:val="16"/>
        </w:rPr>
        <w:t xml:space="preserve"> </w:t>
      </w:r>
      <w:r w:rsidR="00674DA3" w:rsidRPr="00954547">
        <w:rPr>
          <w:rFonts w:ascii="Verdana" w:hAnsi="Verdana"/>
          <w:sz w:val="16"/>
          <w:szCs w:val="16"/>
        </w:rPr>
        <w:t>sexual and reproductive health</w:t>
      </w:r>
      <w:r w:rsidRPr="00954547">
        <w:rPr>
          <w:rFonts w:ascii="Verdana" w:hAnsi="Verdana"/>
          <w:sz w:val="16"/>
          <w:szCs w:val="16"/>
        </w:rPr>
        <w:t xml:space="preserve"> (</w:t>
      </w:r>
      <w:r w:rsidR="00A17F8C" w:rsidRPr="00954547">
        <w:rPr>
          <w:rFonts w:ascii="Verdana" w:hAnsi="Verdana"/>
          <w:sz w:val="16"/>
          <w:szCs w:val="16"/>
        </w:rPr>
        <w:t>Article</w:t>
      </w:r>
      <w:r w:rsidRPr="00954547">
        <w:rPr>
          <w:rFonts w:ascii="Verdana" w:hAnsi="Verdana"/>
          <w:sz w:val="16"/>
          <w:szCs w:val="16"/>
        </w:rPr>
        <w:t xml:space="preserve"> 12 </w:t>
      </w:r>
      <w:r w:rsidR="006C1D51" w:rsidRPr="00954547">
        <w:rPr>
          <w:rFonts w:ascii="Verdana" w:hAnsi="Verdana"/>
          <w:sz w:val="16"/>
          <w:szCs w:val="16"/>
        </w:rPr>
        <w:t>of the International Covenant on Economic, Social and Cultural Rights</w:t>
      </w:r>
      <w:r w:rsidRPr="00954547">
        <w:rPr>
          <w:rFonts w:ascii="Verdana" w:hAnsi="Verdana"/>
          <w:sz w:val="16"/>
          <w:szCs w:val="16"/>
        </w:rPr>
        <w:t xml:space="preserve">), </w:t>
      </w:r>
      <w:r w:rsidR="0052231D" w:rsidRPr="00954547">
        <w:rPr>
          <w:rFonts w:ascii="Verdana" w:hAnsi="Verdana"/>
          <w:sz w:val="16"/>
          <w:szCs w:val="16"/>
        </w:rPr>
        <w:t>paras.</w:t>
      </w:r>
      <w:r w:rsidRPr="00954547">
        <w:rPr>
          <w:rFonts w:ascii="Verdana" w:hAnsi="Verdana"/>
          <w:sz w:val="16"/>
          <w:szCs w:val="16"/>
        </w:rPr>
        <w:t xml:space="preserve"> 9</w:t>
      </w:r>
      <w:r w:rsidR="0078694F" w:rsidRPr="00954547">
        <w:rPr>
          <w:rFonts w:ascii="Verdana" w:hAnsi="Verdana"/>
          <w:sz w:val="16"/>
          <w:szCs w:val="16"/>
        </w:rPr>
        <w:t xml:space="preserve"> and </w:t>
      </w:r>
      <w:r w:rsidRPr="00954547">
        <w:rPr>
          <w:rFonts w:ascii="Verdana" w:hAnsi="Verdana"/>
          <w:sz w:val="16"/>
          <w:szCs w:val="16"/>
        </w:rPr>
        <w:t>49.</w:t>
      </w:r>
    </w:p>
  </w:footnote>
  <w:footnote w:id="453">
    <w:p w14:paraId="0C27D160" w14:textId="79BF459D" w:rsidR="005F001B" w:rsidRPr="00954547" w:rsidRDefault="005F001B" w:rsidP="00057E46">
      <w:pPr>
        <w:pStyle w:val="Footnotes"/>
        <w:rPr>
          <w:lang w:val="en-US"/>
        </w:rPr>
      </w:pPr>
      <w:r w:rsidRPr="00954547">
        <w:rPr>
          <w:rStyle w:val="FootnoteReference"/>
          <w:lang w:val="en-US"/>
        </w:rPr>
        <w:footnoteRef/>
      </w:r>
      <w:r w:rsidRPr="00954547">
        <w:rPr>
          <w:lang w:val="en-US"/>
        </w:rPr>
        <w:t xml:space="preserve">  </w:t>
      </w:r>
      <w:r w:rsidRPr="00954547">
        <w:rPr>
          <w:lang w:val="en-US"/>
        </w:rPr>
        <w:tab/>
      </w:r>
      <w:r w:rsidR="00B8393C" w:rsidRPr="00954547">
        <w:rPr>
          <w:i/>
          <w:lang w:val="en-US"/>
        </w:rPr>
        <w:t>Cf.</w:t>
      </w:r>
      <w:r w:rsidRPr="00954547">
        <w:rPr>
          <w:lang w:val="en-US"/>
        </w:rPr>
        <w:t xml:space="preserve"> </w:t>
      </w:r>
      <w:r w:rsidR="00397B5B" w:rsidRPr="00954547">
        <w:rPr>
          <w:lang w:val="en-US"/>
        </w:rPr>
        <w:t>Ministry of</w:t>
      </w:r>
      <w:r w:rsidRPr="00954547">
        <w:rPr>
          <w:lang w:val="en-US"/>
        </w:rPr>
        <w:t xml:space="preserve"> </w:t>
      </w:r>
      <w:r w:rsidR="00BC7072" w:rsidRPr="00954547">
        <w:rPr>
          <w:lang w:val="en-US"/>
        </w:rPr>
        <w:t>Health</w:t>
      </w:r>
      <w:r w:rsidR="009E6B43" w:rsidRPr="00954547">
        <w:rPr>
          <w:lang w:val="en-US"/>
        </w:rPr>
        <w:t xml:space="preserve"> of El </w:t>
      </w:r>
      <w:r w:rsidRPr="00954547">
        <w:rPr>
          <w:lang w:val="en-US"/>
        </w:rPr>
        <w:t xml:space="preserve">Salvador. </w:t>
      </w:r>
      <w:r w:rsidR="00F64874" w:rsidRPr="00954547">
        <w:rPr>
          <w:lang w:val="en-US"/>
        </w:rPr>
        <w:t>Clinical guidelines Gynecology and Obstetrics, February 2012 (evidence file, folios 5561 to 5812); Ministry of Health of El Salvador. Technical guidelines for obstetric procedures and surgery, 2020 (evidence file, folios 5813 to 5914); Ministry of Health of El Salvador. Technical guidelines for the application of code orange in the health service network (RIIS), December 2017 (evidence file, folios 5915 to 5943); Ministry of Health of El Salvador. Technical guidelines for the application of code yellow in the health service network (RIIS), June 2016 (evidence file, folios 5949 to 5972), and Ministry of Health of El Salvador. Technical guidelines for the application of code red in the health service network (RIIS), July 2015 (evidence file, folios 5973 to 6006).</w:t>
      </w:r>
    </w:p>
  </w:footnote>
  <w:footnote w:id="454">
    <w:p w14:paraId="6E5D36C3" w14:textId="5FCD1097"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Bámaca Velásquez </w:t>
      </w:r>
      <w:r w:rsidR="009C16A1" w:rsidRPr="00954547">
        <w:rPr>
          <w:rFonts w:ascii="Verdana" w:hAnsi="Verdana"/>
          <w:i/>
          <w:sz w:val="16"/>
          <w:szCs w:val="16"/>
        </w:rPr>
        <w:t>v.</w:t>
      </w:r>
      <w:r w:rsidRPr="00954547">
        <w:rPr>
          <w:rFonts w:ascii="Verdana" w:hAnsi="Verdana"/>
          <w:i/>
          <w:sz w:val="16"/>
          <w:szCs w:val="16"/>
        </w:rPr>
        <w:t xml:space="preserve"> Guatemala. </w:t>
      </w:r>
      <w:r w:rsidR="00AE734E" w:rsidRPr="00954547">
        <w:rPr>
          <w:rFonts w:ascii="Verdana" w:hAnsi="Verdana"/>
          <w:i/>
          <w:sz w:val="16"/>
          <w:szCs w:val="16"/>
        </w:rPr>
        <w:t>Reparations and costs</w:t>
      </w:r>
      <w:r w:rsidRPr="00954547">
        <w:rPr>
          <w:rFonts w:ascii="Verdana" w:hAnsi="Verdana"/>
          <w:iCs/>
          <w:sz w:val="16"/>
          <w:szCs w:val="16"/>
        </w:rPr>
        <w:t xml:space="preserve">. </w:t>
      </w:r>
      <w:r w:rsidR="00B8393C" w:rsidRPr="00954547">
        <w:rPr>
          <w:rFonts w:ascii="Verdana" w:hAnsi="Verdana"/>
          <w:iCs/>
          <w:sz w:val="16"/>
          <w:szCs w:val="16"/>
        </w:rPr>
        <w:t>Judgment of</w:t>
      </w:r>
      <w:r w:rsidRPr="00954547">
        <w:rPr>
          <w:rFonts w:ascii="Verdana" w:hAnsi="Verdana"/>
          <w:iCs/>
          <w:sz w:val="16"/>
          <w:szCs w:val="16"/>
        </w:rPr>
        <w:t xml:space="preserve"> </w:t>
      </w:r>
      <w:r w:rsidR="00397B5B" w:rsidRPr="00954547">
        <w:rPr>
          <w:rFonts w:ascii="Verdana" w:hAnsi="Verdana"/>
          <w:iCs/>
          <w:sz w:val="16"/>
          <w:szCs w:val="16"/>
        </w:rPr>
        <w:t>February 22,</w:t>
      </w:r>
      <w:r w:rsidRPr="00954547">
        <w:rPr>
          <w:rFonts w:ascii="Verdana" w:hAnsi="Verdana"/>
          <w:iCs/>
          <w:sz w:val="16"/>
          <w:szCs w:val="16"/>
        </w:rPr>
        <w:t xml:space="preserve"> 2002. </w:t>
      </w:r>
      <w:r w:rsidR="00B8393C" w:rsidRPr="00954547">
        <w:rPr>
          <w:rFonts w:ascii="Verdana" w:hAnsi="Verdana"/>
          <w:iCs/>
          <w:sz w:val="16"/>
          <w:szCs w:val="16"/>
          <w:lang w:val="es-CR"/>
        </w:rPr>
        <w:t xml:space="preserve">Series </w:t>
      </w:r>
      <w:r w:rsidRPr="00954547">
        <w:rPr>
          <w:rFonts w:ascii="Verdana" w:hAnsi="Verdana"/>
          <w:iCs/>
          <w:sz w:val="16"/>
          <w:szCs w:val="16"/>
          <w:lang w:val="es-CR"/>
        </w:rPr>
        <w:t xml:space="preserve">C No. 91, </w:t>
      </w:r>
      <w:r w:rsidR="00B10E5A" w:rsidRPr="00954547">
        <w:rPr>
          <w:rFonts w:ascii="Verdana" w:hAnsi="Verdana"/>
          <w:iCs/>
          <w:sz w:val="16"/>
          <w:szCs w:val="16"/>
          <w:lang w:val="es-CR"/>
        </w:rPr>
        <w:t>para.</w:t>
      </w:r>
      <w:r w:rsidRPr="00954547">
        <w:rPr>
          <w:rFonts w:ascii="Verdana" w:hAnsi="Verdana"/>
          <w:iCs/>
          <w:sz w:val="16"/>
          <w:szCs w:val="16"/>
          <w:lang w:val="es-CR"/>
        </w:rPr>
        <w:t xml:space="preserve"> 43,</w:t>
      </w:r>
      <w:r w:rsidR="0078694F" w:rsidRPr="00954547">
        <w:rPr>
          <w:rFonts w:ascii="Verdana" w:hAnsi="Verdana"/>
          <w:iCs/>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Garzón Guzmán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Fonts w:ascii="Verdana" w:hAnsi="Verdana"/>
          <w:sz w:val="16"/>
          <w:szCs w:val="16"/>
        </w:rPr>
        <w:t>130.</w:t>
      </w:r>
    </w:p>
  </w:footnote>
  <w:footnote w:id="455">
    <w:p w14:paraId="090ABD6C" w14:textId="2DA8F4E4" w:rsidR="005F001B" w:rsidRPr="00954547" w:rsidRDefault="005F001B" w:rsidP="007619E6">
      <w:pPr>
        <w:pStyle w:val="FootnoteText"/>
        <w:tabs>
          <w:tab w:val="left" w:pos="540"/>
          <w:tab w:val="left" w:pos="567"/>
        </w:tabs>
        <w:spacing w:after="120"/>
        <w:jc w:val="both"/>
        <w:rPr>
          <w:rFonts w:ascii="Verdana" w:hAnsi="Verdana"/>
          <w:b/>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225BB9" w:rsidRPr="00954547">
        <w:rPr>
          <w:rFonts w:ascii="Verdana" w:hAnsi="Verdana"/>
          <w:i/>
          <w:sz w:val="16"/>
          <w:szCs w:val="16"/>
        </w:rPr>
        <w:t>of the “Street Children” (Villagrán Morales 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Guatemala, supra</w:t>
      </w:r>
      <w:r w:rsidRPr="00954547">
        <w:rPr>
          <w:rFonts w:ascii="Verdana" w:hAnsi="Verdana"/>
          <w:iCs/>
          <w:sz w:val="16"/>
          <w:szCs w:val="16"/>
        </w:rPr>
        <w:t xml:space="preserve">, </w:t>
      </w:r>
      <w:r w:rsidR="00B10E5A" w:rsidRPr="00954547">
        <w:rPr>
          <w:rFonts w:ascii="Verdana" w:hAnsi="Verdana"/>
          <w:iCs/>
          <w:sz w:val="16"/>
          <w:szCs w:val="16"/>
        </w:rPr>
        <w:t>para.</w:t>
      </w:r>
      <w:r w:rsidRPr="00954547">
        <w:rPr>
          <w:rFonts w:ascii="Verdana" w:hAnsi="Verdana"/>
          <w:iCs/>
          <w:sz w:val="16"/>
          <w:szCs w:val="16"/>
        </w:rPr>
        <w:t xml:space="preserve"> </w:t>
      </w:r>
      <w:r w:rsidRPr="00954547">
        <w:rPr>
          <w:rFonts w:ascii="Verdana" w:hAnsi="Verdana"/>
          <w:iCs/>
          <w:sz w:val="16"/>
          <w:szCs w:val="16"/>
          <w:lang w:val="es-CR"/>
        </w:rPr>
        <w:t>84,</w:t>
      </w:r>
      <w:r w:rsidR="0078694F" w:rsidRPr="00954547">
        <w:rPr>
          <w:rFonts w:ascii="Verdana" w:hAnsi="Verdana"/>
          <w:iCs/>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Garzón Guzmán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Fonts w:ascii="Verdana" w:hAnsi="Verdana"/>
          <w:sz w:val="16"/>
          <w:szCs w:val="16"/>
        </w:rPr>
        <w:t>132.</w:t>
      </w:r>
    </w:p>
  </w:footnote>
  <w:footnote w:id="456">
    <w:p w14:paraId="2C0E223A" w14:textId="1906DDD0"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Garrido</w:t>
      </w:r>
      <w:r w:rsidR="0078694F" w:rsidRPr="00954547">
        <w:rPr>
          <w:rFonts w:ascii="Verdana" w:hAnsi="Verdana"/>
          <w:i/>
          <w:sz w:val="16"/>
          <w:szCs w:val="16"/>
        </w:rPr>
        <w:t xml:space="preserve"> and </w:t>
      </w:r>
      <w:r w:rsidRPr="00954547">
        <w:rPr>
          <w:rFonts w:ascii="Verdana" w:hAnsi="Verdana"/>
          <w:i/>
          <w:sz w:val="16"/>
          <w:szCs w:val="16"/>
        </w:rPr>
        <w:t xml:space="preserve">Baigorria </w:t>
      </w:r>
      <w:r w:rsidR="009C16A1" w:rsidRPr="00954547">
        <w:rPr>
          <w:rFonts w:ascii="Verdana" w:hAnsi="Verdana"/>
          <w:i/>
          <w:sz w:val="16"/>
          <w:szCs w:val="16"/>
        </w:rPr>
        <w:t>v.</w:t>
      </w:r>
      <w:r w:rsidRPr="00954547">
        <w:rPr>
          <w:rFonts w:ascii="Verdana" w:hAnsi="Verdana"/>
          <w:i/>
          <w:sz w:val="16"/>
          <w:szCs w:val="16"/>
        </w:rPr>
        <w:t xml:space="preserve"> Argentina. </w:t>
      </w:r>
      <w:r w:rsidR="00AE734E" w:rsidRPr="00954547">
        <w:rPr>
          <w:rFonts w:ascii="Verdana" w:hAnsi="Verdana"/>
          <w:i/>
          <w:sz w:val="16"/>
          <w:szCs w:val="16"/>
        </w:rPr>
        <w:t>Reparations and costs</w:t>
      </w:r>
      <w:r w:rsidRPr="00954547">
        <w:rPr>
          <w:rFonts w:ascii="Verdana" w:hAnsi="Verdana"/>
          <w:i/>
          <w:sz w:val="16"/>
          <w:szCs w:val="16"/>
        </w:rPr>
        <w:t xml:space="preserve">. </w:t>
      </w:r>
      <w:r w:rsidR="00B8393C" w:rsidRPr="00954547">
        <w:rPr>
          <w:rFonts w:ascii="Verdana" w:hAnsi="Verdana"/>
          <w:iCs/>
          <w:sz w:val="16"/>
          <w:szCs w:val="16"/>
        </w:rPr>
        <w:t>Judgment of</w:t>
      </w:r>
      <w:r w:rsidRPr="00954547">
        <w:rPr>
          <w:rFonts w:ascii="Verdana" w:hAnsi="Verdana"/>
          <w:iCs/>
          <w:sz w:val="16"/>
          <w:szCs w:val="16"/>
        </w:rPr>
        <w:t xml:space="preserve"> </w:t>
      </w:r>
      <w:r w:rsidR="00E67A8B" w:rsidRPr="00954547">
        <w:rPr>
          <w:rFonts w:ascii="Verdana" w:hAnsi="Verdana"/>
          <w:iCs/>
          <w:sz w:val="16"/>
          <w:szCs w:val="16"/>
        </w:rPr>
        <w:t>August 27,</w:t>
      </w:r>
      <w:r w:rsidRPr="00954547">
        <w:rPr>
          <w:rFonts w:ascii="Verdana" w:hAnsi="Verdana"/>
          <w:iCs/>
          <w:sz w:val="16"/>
          <w:szCs w:val="16"/>
        </w:rPr>
        <w:t xml:space="preserve"> 1998. </w:t>
      </w:r>
      <w:r w:rsidR="00B8393C" w:rsidRPr="00954547">
        <w:rPr>
          <w:rFonts w:ascii="Verdana" w:hAnsi="Verdana"/>
          <w:iCs/>
          <w:sz w:val="16"/>
          <w:szCs w:val="16"/>
        </w:rPr>
        <w:t xml:space="preserve">Series </w:t>
      </w:r>
      <w:r w:rsidRPr="00954547">
        <w:rPr>
          <w:rFonts w:ascii="Verdana" w:hAnsi="Verdana"/>
          <w:iCs/>
          <w:sz w:val="16"/>
          <w:szCs w:val="16"/>
        </w:rPr>
        <w:t xml:space="preserve">C No. 39, </w:t>
      </w:r>
      <w:r w:rsidR="00B10E5A" w:rsidRPr="00954547">
        <w:rPr>
          <w:rFonts w:ascii="Verdana" w:hAnsi="Verdana"/>
          <w:iCs/>
          <w:sz w:val="16"/>
          <w:szCs w:val="16"/>
        </w:rPr>
        <w:t>para.</w:t>
      </w:r>
      <w:r w:rsidRPr="00954547">
        <w:rPr>
          <w:rFonts w:ascii="Verdana" w:hAnsi="Verdana"/>
          <w:iCs/>
          <w:sz w:val="16"/>
          <w:szCs w:val="16"/>
        </w:rPr>
        <w:t xml:space="preserve"> 82,</w:t>
      </w:r>
      <w:r w:rsidR="0078694F" w:rsidRPr="00954547">
        <w:rPr>
          <w:rFonts w:ascii="Verdana" w:hAnsi="Verdana"/>
          <w:iCs/>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Garzón Guzmán </w:t>
      </w:r>
      <w:r w:rsidR="00B8393C" w:rsidRPr="00954547">
        <w:rPr>
          <w:rFonts w:ascii="Verdana" w:hAnsi="Verdana"/>
          <w:i/>
          <w:sz w:val="16"/>
          <w:szCs w:val="16"/>
        </w:rPr>
        <w:t>et al. v.</w:t>
      </w:r>
      <w:r w:rsidRPr="00954547">
        <w:rPr>
          <w:rFonts w:ascii="Verdana" w:hAnsi="Verdana"/>
          <w:i/>
          <w:sz w:val="16"/>
          <w:szCs w:val="16"/>
        </w:rPr>
        <w:t xml:space="preserve"> Ecuador, supra</w:t>
      </w:r>
      <w:r w:rsidRPr="00954547">
        <w:rPr>
          <w:rFonts w:ascii="Verdana" w:hAnsi="Verdana"/>
          <w:sz w:val="16"/>
          <w:szCs w:val="16"/>
        </w:rPr>
        <w:t xml:space="preserve">, </w:t>
      </w:r>
      <w:r w:rsidR="00B10E5A" w:rsidRPr="00954547">
        <w:rPr>
          <w:rFonts w:ascii="Verdana" w:hAnsi="Verdana"/>
          <w:sz w:val="16"/>
          <w:szCs w:val="16"/>
        </w:rPr>
        <w:t>para.</w:t>
      </w:r>
      <w:r w:rsidRPr="00954547">
        <w:rPr>
          <w:rFonts w:ascii="Verdana" w:hAnsi="Verdana"/>
          <w:sz w:val="16"/>
          <w:szCs w:val="16"/>
        </w:rPr>
        <w:t xml:space="preserve"> 138.</w:t>
      </w:r>
    </w:p>
  </w:footnote>
  <w:footnote w:id="457">
    <w:p w14:paraId="3543C2B9" w14:textId="67A35488" w:rsidR="005F001B" w:rsidRPr="00954547" w:rsidRDefault="005F001B" w:rsidP="007619E6">
      <w:pPr>
        <w:pStyle w:val="FootnoteText"/>
        <w:tabs>
          <w:tab w:val="left" w:pos="567"/>
        </w:tabs>
        <w:spacing w:after="120"/>
        <w:jc w:val="both"/>
        <w:rPr>
          <w:rFonts w:ascii="Verdana" w:hAnsi="Verdana"/>
          <w:bCs/>
          <w:iCs/>
          <w:sz w:val="16"/>
          <w:szCs w:val="16"/>
          <w:lang w:val="es-CR"/>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Garrido</w:t>
      </w:r>
      <w:r w:rsidR="0078694F" w:rsidRPr="00954547">
        <w:rPr>
          <w:rFonts w:ascii="Verdana" w:hAnsi="Verdana"/>
          <w:i/>
          <w:sz w:val="16"/>
          <w:szCs w:val="16"/>
        </w:rPr>
        <w:t xml:space="preserve"> and </w:t>
      </w:r>
      <w:r w:rsidRPr="00954547">
        <w:rPr>
          <w:rFonts w:ascii="Verdana" w:hAnsi="Verdana"/>
          <w:i/>
          <w:sz w:val="16"/>
          <w:szCs w:val="16"/>
        </w:rPr>
        <w:t xml:space="preserve">Baigorria </w:t>
      </w:r>
      <w:r w:rsidR="009C16A1" w:rsidRPr="00954547">
        <w:rPr>
          <w:rFonts w:ascii="Verdana" w:hAnsi="Verdana"/>
          <w:i/>
          <w:sz w:val="16"/>
          <w:szCs w:val="16"/>
        </w:rPr>
        <w:t>v.</w:t>
      </w:r>
      <w:r w:rsidRPr="00954547">
        <w:rPr>
          <w:rFonts w:ascii="Verdana" w:hAnsi="Verdana"/>
          <w:i/>
          <w:sz w:val="16"/>
          <w:szCs w:val="16"/>
        </w:rPr>
        <w:t xml:space="preserve"> Argentina, supra, </w:t>
      </w:r>
      <w:r w:rsidR="00B10E5A" w:rsidRPr="00954547">
        <w:rPr>
          <w:rFonts w:ascii="Verdana" w:hAnsi="Verdana"/>
          <w:iCs/>
          <w:sz w:val="16"/>
          <w:szCs w:val="16"/>
        </w:rPr>
        <w:t>para.</w:t>
      </w:r>
      <w:r w:rsidRPr="00954547">
        <w:rPr>
          <w:rFonts w:ascii="Verdana" w:hAnsi="Verdana"/>
          <w:iCs/>
          <w:sz w:val="16"/>
          <w:szCs w:val="16"/>
        </w:rPr>
        <w:t xml:space="preserve"> </w:t>
      </w:r>
      <w:r w:rsidRPr="00954547">
        <w:rPr>
          <w:rFonts w:ascii="Verdana" w:hAnsi="Verdana"/>
          <w:iCs/>
          <w:sz w:val="16"/>
          <w:szCs w:val="16"/>
          <w:lang w:val="es-CR"/>
        </w:rPr>
        <w:t>82,</w:t>
      </w:r>
      <w:r w:rsidR="0078694F" w:rsidRPr="00954547">
        <w:rPr>
          <w:rFonts w:ascii="Verdana" w:hAnsi="Verdana"/>
          <w:iCs/>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Garzón Guzmán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138.</w:t>
      </w:r>
    </w:p>
  </w:footnote>
  <w:footnote w:id="458">
    <w:p w14:paraId="03921358" w14:textId="099272DE" w:rsidR="005F001B" w:rsidRPr="00954547" w:rsidRDefault="005F001B" w:rsidP="007619E6">
      <w:pPr>
        <w:pStyle w:val="FootnoteText"/>
        <w:tabs>
          <w:tab w:val="left" w:pos="567"/>
        </w:tabs>
        <w:spacing w:after="120"/>
        <w:jc w:val="both"/>
        <w:rPr>
          <w:rFonts w:ascii="Verdana" w:hAnsi="Verdana"/>
          <w:sz w:val="16"/>
          <w:szCs w:val="16"/>
          <w:lang w:val="es-CR" w:bidi="en-US"/>
        </w:rPr>
      </w:pPr>
      <w:r w:rsidRPr="00954547">
        <w:rPr>
          <w:rStyle w:val="FootnoteReference"/>
          <w:rFonts w:ascii="Verdana" w:hAnsi="Verdana"/>
          <w:sz w:val="16"/>
          <w:szCs w:val="16"/>
        </w:rPr>
        <w:footnoteRef/>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Garrido</w:t>
      </w:r>
      <w:r w:rsidR="0078694F" w:rsidRPr="00954547">
        <w:rPr>
          <w:rFonts w:ascii="Verdana" w:hAnsi="Verdana"/>
          <w:i/>
          <w:sz w:val="16"/>
          <w:szCs w:val="16"/>
          <w:lang w:val="es-CR"/>
        </w:rPr>
        <w:t xml:space="preserve"> and </w:t>
      </w:r>
      <w:r w:rsidRPr="00954547">
        <w:rPr>
          <w:rFonts w:ascii="Verdana" w:hAnsi="Verdana"/>
          <w:i/>
          <w:sz w:val="16"/>
          <w:szCs w:val="16"/>
          <w:lang w:val="es-CR"/>
        </w:rPr>
        <w:t xml:space="preserve">Baigorria </w:t>
      </w:r>
      <w:r w:rsidR="009C16A1" w:rsidRPr="00954547">
        <w:rPr>
          <w:rFonts w:ascii="Verdana" w:hAnsi="Verdana"/>
          <w:i/>
          <w:sz w:val="16"/>
          <w:szCs w:val="16"/>
          <w:lang w:val="es-CR"/>
        </w:rPr>
        <w:t>v.</w:t>
      </w:r>
      <w:r w:rsidRPr="00954547">
        <w:rPr>
          <w:rFonts w:ascii="Verdana" w:hAnsi="Verdana"/>
          <w:i/>
          <w:sz w:val="16"/>
          <w:szCs w:val="16"/>
          <w:lang w:val="es-CR"/>
        </w:rPr>
        <w:t xml:space="preserve"> Argentina, supra, </w:t>
      </w:r>
      <w:r w:rsidR="00B10E5A" w:rsidRPr="00954547">
        <w:rPr>
          <w:rFonts w:ascii="Verdana" w:hAnsi="Verdana"/>
          <w:iCs/>
          <w:sz w:val="16"/>
          <w:szCs w:val="16"/>
          <w:lang w:val="es-CR"/>
        </w:rPr>
        <w:t>para.</w:t>
      </w:r>
      <w:r w:rsidRPr="00954547">
        <w:rPr>
          <w:rFonts w:ascii="Verdana" w:hAnsi="Verdana"/>
          <w:iCs/>
          <w:sz w:val="16"/>
          <w:szCs w:val="16"/>
          <w:lang w:val="es-CR"/>
        </w:rPr>
        <w:t xml:space="preserve"> 79,</w:t>
      </w:r>
      <w:r w:rsidR="0078694F" w:rsidRPr="00954547">
        <w:rPr>
          <w:rFonts w:ascii="Verdana" w:hAnsi="Verdana"/>
          <w:iCs/>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Garzón Guzmán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139.</w:t>
      </w:r>
    </w:p>
  </w:footnote>
  <w:footnote w:id="459">
    <w:p w14:paraId="15FCCC2C" w14:textId="7D0DBF0E"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Chaparro Álvarez</w:t>
      </w:r>
      <w:r w:rsidR="0078694F" w:rsidRPr="00954547">
        <w:rPr>
          <w:rFonts w:ascii="Verdana" w:hAnsi="Verdana"/>
          <w:i/>
          <w:sz w:val="16"/>
          <w:szCs w:val="16"/>
          <w:lang w:val="es-CR"/>
        </w:rPr>
        <w:t xml:space="preserve"> and </w:t>
      </w:r>
      <w:r w:rsidRPr="00954547">
        <w:rPr>
          <w:rFonts w:ascii="Verdana" w:hAnsi="Verdana"/>
          <w:i/>
          <w:sz w:val="16"/>
          <w:szCs w:val="16"/>
          <w:lang w:val="es-CR"/>
        </w:rPr>
        <w:t xml:space="preserve">Lapo Íñiguez </w:t>
      </w:r>
      <w:r w:rsidR="009C16A1" w:rsidRPr="00954547">
        <w:rPr>
          <w:rFonts w:ascii="Verdana" w:hAnsi="Verdana"/>
          <w:i/>
          <w:sz w:val="16"/>
          <w:szCs w:val="16"/>
          <w:lang w:val="es-CR"/>
        </w:rPr>
        <w:t>v.</w:t>
      </w:r>
      <w:r w:rsidRPr="00954547">
        <w:rPr>
          <w:rFonts w:ascii="Verdana" w:hAnsi="Verdana"/>
          <w:i/>
          <w:sz w:val="16"/>
          <w:szCs w:val="16"/>
          <w:lang w:val="es-CR"/>
        </w:rPr>
        <w:t xml:space="preserve"> Ecuador, supra, </w:t>
      </w:r>
      <w:r w:rsidR="00B10E5A" w:rsidRPr="00954547">
        <w:rPr>
          <w:rFonts w:ascii="Verdana" w:hAnsi="Verdana"/>
          <w:iCs/>
          <w:sz w:val="16"/>
          <w:szCs w:val="16"/>
          <w:lang w:val="es-CR"/>
        </w:rPr>
        <w:t>para.</w:t>
      </w:r>
      <w:r w:rsidRPr="00954547">
        <w:rPr>
          <w:rFonts w:ascii="Verdana" w:hAnsi="Verdana"/>
          <w:iCs/>
          <w:sz w:val="16"/>
          <w:szCs w:val="16"/>
          <w:lang w:val="es-CR"/>
        </w:rPr>
        <w:t xml:space="preserve"> 277,</w:t>
      </w:r>
      <w:r w:rsidR="0078694F" w:rsidRPr="00954547">
        <w:rPr>
          <w:rFonts w:ascii="Verdana" w:hAnsi="Verdana"/>
          <w:iCs/>
          <w:sz w:val="16"/>
          <w:szCs w:val="16"/>
          <w:lang w:val="es-CR"/>
        </w:rPr>
        <w:t xml:space="preserve"> and </w:t>
      </w:r>
      <w:r w:rsidR="002F4617" w:rsidRPr="00954547">
        <w:rPr>
          <w:rFonts w:ascii="Verdana" w:hAnsi="Verdana"/>
          <w:i/>
          <w:sz w:val="16"/>
          <w:szCs w:val="16"/>
          <w:lang w:val="es-CR"/>
        </w:rPr>
        <w:t>Case of</w:t>
      </w:r>
      <w:r w:rsidRPr="00954547">
        <w:rPr>
          <w:rFonts w:ascii="Verdana" w:hAnsi="Verdana"/>
          <w:i/>
          <w:sz w:val="16"/>
          <w:szCs w:val="16"/>
          <w:lang w:val="es-CR"/>
        </w:rPr>
        <w:t xml:space="preserve"> Garzón Guzmán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supra</w:t>
      </w:r>
      <w:r w:rsidRPr="00954547">
        <w:rPr>
          <w:rFonts w:ascii="Verdana" w:hAnsi="Verdana"/>
          <w:sz w:val="16"/>
          <w:szCs w:val="16"/>
          <w:lang w:val="es-CR"/>
        </w:rPr>
        <w:t xml:space="preserve">, </w:t>
      </w:r>
      <w:r w:rsidR="00B10E5A" w:rsidRPr="00954547">
        <w:rPr>
          <w:rFonts w:ascii="Verdana" w:hAnsi="Verdana"/>
          <w:sz w:val="16"/>
          <w:szCs w:val="16"/>
          <w:lang w:val="es-CR"/>
        </w:rPr>
        <w:t>para.</w:t>
      </w:r>
      <w:r w:rsidRPr="00954547">
        <w:rPr>
          <w:rFonts w:ascii="Verdana" w:hAnsi="Verdana"/>
          <w:sz w:val="16"/>
          <w:szCs w:val="16"/>
          <w:lang w:val="es-CR"/>
        </w:rPr>
        <w:t xml:space="preserve"> </w:t>
      </w:r>
      <w:r w:rsidRPr="00954547">
        <w:rPr>
          <w:rFonts w:ascii="Verdana" w:hAnsi="Verdana"/>
          <w:sz w:val="16"/>
          <w:szCs w:val="16"/>
        </w:rPr>
        <w:t>139.</w:t>
      </w:r>
    </w:p>
  </w:footnote>
  <w:footnote w:id="460">
    <w:p w14:paraId="2C53EE62" w14:textId="1FB7B095" w:rsidR="005F001B" w:rsidRPr="00954547" w:rsidRDefault="005F001B"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Ibsen Cárdenas </w:t>
      </w:r>
      <w:r w:rsidR="00F6091D" w:rsidRPr="00954547">
        <w:rPr>
          <w:rFonts w:ascii="Verdana" w:hAnsi="Verdana"/>
          <w:i/>
          <w:sz w:val="16"/>
          <w:szCs w:val="16"/>
        </w:rPr>
        <w:t xml:space="preserve">and </w:t>
      </w:r>
      <w:r w:rsidRPr="00954547">
        <w:rPr>
          <w:rFonts w:ascii="Verdana" w:hAnsi="Verdana"/>
          <w:i/>
          <w:sz w:val="16"/>
          <w:szCs w:val="16"/>
        </w:rPr>
        <w:t xml:space="preserve"> Ibsen Peña </w:t>
      </w:r>
      <w:r w:rsidR="009C16A1" w:rsidRPr="00954547">
        <w:rPr>
          <w:rFonts w:ascii="Verdana" w:hAnsi="Verdana"/>
          <w:i/>
          <w:sz w:val="16"/>
          <w:szCs w:val="16"/>
        </w:rPr>
        <w:t>v.</w:t>
      </w:r>
      <w:r w:rsidRPr="00954547">
        <w:rPr>
          <w:rFonts w:ascii="Verdana" w:hAnsi="Verdana"/>
          <w:i/>
          <w:sz w:val="16"/>
          <w:szCs w:val="16"/>
        </w:rPr>
        <w:t xml:space="preserve"> Bolivia.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iCs/>
          <w:sz w:val="16"/>
          <w:szCs w:val="16"/>
        </w:rPr>
        <w:t>Judgment of</w:t>
      </w:r>
      <w:r w:rsidRPr="00954547">
        <w:rPr>
          <w:rFonts w:ascii="Verdana" w:hAnsi="Verdana"/>
          <w:iCs/>
          <w:sz w:val="16"/>
          <w:szCs w:val="16"/>
        </w:rPr>
        <w:t xml:space="preserve"> </w:t>
      </w:r>
      <w:r w:rsidR="004110D3" w:rsidRPr="00954547">
        <w:rPr>
          <w:rFonts w:ascii="Verdana" w:hAnsi="Verdana"/>
          <w:iCs/>
          <w:sz w:val="16"/>
          <w:szCs w:val="16"/>
        </w:rPr>
        <w:t>September 1,</w:t>
      </w:r>
      <w:r w:rsidRPr="00954547">
        <w:rPr>
          <w:rFonts w:ascii="Verdana" w:hAnsi="Verdana"/>
          <w:iCs/>
          <w:sz w:val="16"/>
          <w:szCs w:val="16"/>
        </w:rPr>
        <w:t xml:space="preserve"> 2010. </w:t>
      </w:r>
      <w:r w:rsidR="00B8393C" w:rsidRPr="00954547">
        <w:rPr>
          <w:rFonts w:ascii="Verdana" w:hAnsi="Verdana"/>
          <w:iCs/>
          <w:sz w:val="16"/>
          <w:szCs w:val="16"/>
        </w:rPr>
        <w:t xml:space="preserve">Series </w:t>
      </w:r>
      <w:r w:rsidRPr="00954547">
        <w:rPr>
          <w:rFonts w:ascii="Verdana" w:hAnsi="Verdana"/>
          <w:iCs/>
          <w:sz w:val="16"/>
          <w:szCs w:val="16"/>
        </w:rPr>
        <w:t xml:space="preserve">C No. 217, </w:t>
      </w:r>
      <w:r w:rsidR="00B10E5A" w:rsidRPr="00954547">
        <w:rPr>
          <w:rFonts w:ascii="Verdana" w:hAnsi="Verdana"/>
          <w:iCs/>
          <w:sz w:val="16"/>
          <w:szCs w:val="16"/>
        </w:rPr>
        <w:t>para.</w:t>
      </w:r>
      <w:r w:rsidRPr="00954547">
        <w:rPr>
          <w:rFonts w:ascii="Verdana" w:hAnsi="Verdana"/>
          <w:iCs/>
          <w:sz w:val="16"/>
          <w:szCs w:val="16"/>
        </w:rPr>
        <w:t xml:space="preserve"> 29,</w:t>
      </w:r>
      <w:r w:rsidR="0078694F" w:rsidRPr="00954547">
        <w:rPr>
          <w:rFonts w:ascii="Verdana" w:hAnsi="Verdana"/>
          <w:iCs/>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Bedoya Lima</w:t>
      </w:r>
      <w:r w:rsidR="0078694F" w:rsidRPr="00954547">
        <w:rPr>
          <w:rFonts w:ascii="Verdana" w:hAnsi="Verdana"/>
          <w:i/>
          <w:sz w:val="16"/>
          <w:szCs w:val="16"/>
        </w:rPr>
        <w:t xml:space="preserve"> </w:t>
      </w:r>
      <w:r w:rsidR="00F6091D" w:rsidRPr="00954547">
        <w:rPr>
          <w:rFonts w:ascii="Verdana" w:hAnsi="Verdana"/>
          <w:i/>
          <w:sz w:val="16"/>
          <w:szCs w:val="16"/>
        </w:rPr>
        <w:t>et al.</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Colombia.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3A0C7A" w:rsidRPr="00954547">
        <w:rPr>
          <w:rFonts w:ascii="Verdana" w:hAnsi="Verdana"/>
          <w:sz w:val="16"/>
          <w:szCs w:val="16"/>
        </w:rPr>
        <w:t>August 26,</w:t>
      </w:r>
      <w:r w:rsidRPr="00954547">
        <w:rPr>
          <w:rFonts w:ascii="Verdana" w:hAnsi="Verdana"/>
          <w:sz w:val="16"/>
          <w:szCs w:val="16"/>
        </w:rPr>
        <w:t xml:space="preserve"> 2021. </w:t>
      </w:r>
      <w:r w:rsidR="00B8393C" w:rsidRPr="00954547">
        <w:rPr>
          <w:rFonts w:ascii="Verdana" w:hAnsi="Verdana"/>
          <w:sz w:val="16"/>
          <w:szCs w:val="16"/>
        </w:rPr>
        <w:t xml:space="preserve">Series </w:t>
      </w:r>
      <w:r w:rsidRPr="00954547">
        <w:rPr>
          <w:rFonts w:ascii="Verdana" w:hAnsi="Verdana"/>
          <w:sz w:val="16"/>
          <w:szCs w:val="16"/>
        </w:rPr>
        <w:t xml:space="preserve">C No. 431, </w:t>
      </w:r>
      <w:r w:rsidR="00B10E5A" w:rsidRPr="00954547">
        <w:rPr>
          <w:rFonts w:ascii="Verdana" w:hAnsi="Verdana"/>
          <w:sz w:val="16"/>
          <w:szCs w:val="16"/>
        </w:rPr>
        <w:t>para.</w:t>
      </w:r>
      <w:r w:rsidRPr="00954547">
        <w:rPr>
          <w:rFonts w:ascii="Verdana" w:hAnsi="Verdana"/>
          <w:sz w:val="16"/>
          <w:szCs w:val="16"/>
        </w:rPr>
        <w:t xml:space="preserve"> 214</w:t>
      </w:r>
      <w:r w:rsidRPr="00954547">
        <w:rPr>
          <w:rFonts w:ascii="Verdana" w:hAnsi="Verdana"/>
          <w:i/>
          <w:sz w:val="16"/>
          <w:szCs w:val="16"/>
        </w:rPr>
        <w:t>.</w:t>
      </w:r>
    </w:p>
  </w:footnote>
  <w:footnote w:id="461">
    <w:p w14:paraId="5847E6B2" w14:textId="79AC1CCE" w:rsidR="00A402C7" w:rsidRPr="00954547" w:rsidRDefault="00A402C7" w:rsidP="0009621A">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B87F9C" w:rsidRPr="00954547">
        <w:rPr>
          <w:rFonts w:ascii="Verdana" w:hAnsi="Verdana"/>
          <w:sz w:val="16"/>
          <w:szCs w:val="16"/>
        </w:rPr>
        <w:tab/>
      </w:r>
      <w:r w:rsidR="00A42A4C" w:rsidRPr="00954547">
        <w:rPr>
          <w:rFonts w:ascii="Verdana" w:hAnsi="Verdana"/>
          <w:sz w:val="16"/>
          <w:szCs w:val="16"/>
        </w:rPr>
        <w:t>Hereinafter</w:t>
      </w:r>
      <w:r w:rsidRPr="00954547">
        <w:rPr>
          <w:rFonts w:ascii="Verdana" w:hAnsi="Verdana"/>
          <w:sz w:val="16"/>
          <w:szCs w:val="16"/>
        </w:rPr>
        <w:t xml:space="preserve">, </w:t>
      </w:r>
      <w:r w:rsidR="00B87F9C" w:rsidRPr="00954547">
        <w:rPr>
          <w:rFonts w:ascii="Verdana" w:hAnsi="Verdana"/>
          <w:sz w:val="16"/>
          <w:szCs w:val="16"/>
        </w:rPr>
        <w:t>the judgment.</w:t>
      </w:r>
    </w:p>
  </w:footnote>
  <w:footnote w:id="462">
    <w:p w14:paraId="596A2F40" w14:textId="5ADA076E" w:rsidR="00A402C7" w:rsidRPr="00954547" w:rsidRDefault="00A402C7" w:rsidP="0009621A">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B87F9C" w:rsidRPr="00954547">
        <w:rPr>
          <w:rFonts w:ascii="Verdana" w:hAnsi="Verdana"/>
          <w:sz w:val="16"/>
          <w:szCs w:val="16"/>
        </w:rPr>
        <w:tab/>
      </w:r>
      <w:r w:rsidR="00A42A4C" w:rsidRPr="00954547">
        <w:rPr>
          <w:rFonts w:ascii="Verdana" w:hAnsi="Verdana"/>
          <w:sz w:val="16"/>
          <w:szCs w:val="16"/>
        </w:rPr>
        <w:t>Hereinafter</w:t>
      </w:r>
      <w:r w:rsidRPr="00954547">
        <w:rPr>
          <w:rFonts w:ascii="Verdana" w:hAnsi="Verdana"/>
          <w:sz w:val="16"/>
          <w:szCs w:val="16"/>
        </w:rPr>
        <w:t xml:space="preserve">, </w:t>
      </w:r>
      <w:r w:rsidR="00E76B1A" w:rsidRPr="00954547">
        <w:rPr>
          <w:rFonts w:ascii="Verdana" w:hAnsi="Verdana"/>
          <w:sz w:val="16"/>
          <w:szCs w:val="16"/>
        </w:rPr>
        <w:t>the Court</w:t>
      </w:r>
      <w:r w:rsidRPr="00954547">
        <w:rPr>
          <w:rFonts w:ascii="Verdana" w:hAnsi="Verdana"/>
          <w:sz w:val="16"/>
          <w:szCs w:val="16"/>
        </w:rPr>
        <w:t>.</w:t>
      </w:r>
    </w:p>
  </w:footnote>
  <w:footnote w:id="463">
    <w:p w14:paraId="6A9270D4" w14:textId="650C2ED2" w:rsidR="0009621A" w:rsidRPr="00954547" w:rsidRDefault="00A402C7" w:rsidP="00D368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B87F9C" w:rsidRPr="00954547">
        <w:rPr>
          <w:rFonts w:ascii="Verdana" w:hAnsi="Verdana"/>
          <w:sz w:val="16"/>
          <w:szCs w:val="16"/>
        </w:rPr>
        <w:tab/>
      </w:r>
      <w:r w:rsidR="00A17F8C" w:rsidRPr="00954547">
        <w:rPr>
          <w:rFonts w:ascii="Verdana" w:hAnsi="Verdana"/>
          <w:sz w:val="16"/>
          <w:szCs w:val="16"/>
          <w:lang w:eastAsia="es-CL"/>
        </w:rPr>
        <w:t>Article</w:t>
      </w:r>
      <w:r w:rsidRPr="00954547">
        <w:rPr>
          <w:rFonts w:ascii="Verdana" w:hAnsi="Verdana"/>
          <w:sz w:val="16"/>
          <w:szCs w:val="16"/>
          <w:lang w:eastAsia="es-CL"/>
        </w:rPr>
        <w:t xml:space="preserve"> 16 </w:t>
      </w:r>
      <w:r w:rsidR="0022625A" w:rsidRPr="00954547">
        <w:rPr>
          <w:rFonts w:ascii="Verdana" w:hAnsi="Verdana"/>
          <w:sz w:val="16"/>
          <w:szCs w:val="16"/>
          <w:lang w:eastAsia="es-CL"/>
        </w:rPr>
        <w:t>of the Court’s Rules of Procedure</w:t>
      </w:r>
      <w:r w:rsidRPr="00954547">
        <w:rPr>
          <w:rFonts w:ascii="Verdana" w:hAnsi="Verdana"/>
          <w:i/>
          <w:iCs/>
          <w:sz w:val="16"/>
          <w:szCs w:val="16"/>
          <w:lang w:eastAsia="es-CL"/>
        </w:rPr>
        <w:t xml:space="preserve">: </w:t>
      </w:r>
      <w:r w:rsidR="00D36815" w:rsidRPr="00954547">
        <w:rPr>
          <w:rFonts w:ascii="Verdana" w:hAnsi="Verdana"/>
          <w:i/>
          <w:iCs/>
          <w:sz w:val="16"/>
          <w:szCs w:val="16"/>
          <w:lang w:eastAsia="es-CL"/>
        </w:rPr>
        <w:t>“</w:t>
      </w:r>
      <w:r w:rsidRPr="00954547">
        <w:rPr>
          <w:rFonts w:ascii="Verdana" w:hAnsi="Verdana"/>
          <w:sz w:val="16"/>
          <w:szCs w:val="16"/>
          <w:lang w:eastAsia="es-CL"/>
        </w:rPr>
        <w:t>1.</w:t>
      </w:r>
      <w:r w:rsidRPr="00954547">
        <w:rPr>
          <w:rFonts w:ascii="Verdana" w:hAnsi="Verdana"/>
          <w:i/>
          <w:iCs/>
          <w:sz w:val="16"/>
          <w:szCs w:val="16"/>
          <w:lang w:eastAsia="es-CL"/>
        </w:rPr>
        <w:t xml:space="preserve"> </w:t>
      </w:r>
      <w:r w:rsidR="0009621A" w:rsidRPr="00954547">
        <w:rPr>
          <w:rFonts w:ascii="Verdana" w:hAnsi="Verdana"/>
          <w:sz w:val="16"/>
          <w:szCs w:val="16"/>
        </w:rPr>
        <w:t>The President shall present, point by point, the matters to be voted upon.  Each Judge shall vote either in the affirmative or the negative; there shall be no abstentions. </w:t>
      </w:r>
    </w:p>
    <w:p w14:paraId="0EFF5FDE" w14:textId="3FEF3BA5" w:rsidR="0009621A" w:rsidRPr="00954547" w:rsidRDefault="00D36815" w:rsidP="00D36815">
      <w:pPr>
        <w:widowControl w:val="0"/>
        <w:tabs>
          <w:tab w:val="left" w:pos="540"/>
        </w:tabs>
        <w:autoSpaceDE w:val="0"/>
        <w:autoSpaceDN w:val="0"/>
        <w:adjustRightInd w:val="0"/>
        <w:rPr>
          <w:rFonts w:ascii="Verdana" w:hAnsi="Verdana"/>
          <w:sz w:val="16"/>
          <w:szCs w:val="16"/>
        </w:rPr>
      </w:pPr>
      <w:r w:rsidRPr="00954547">
        <w:rPr>
          <w:rFonts w:ascii="Verdana" w:hAnsi="Verdana"/>
          <w:sz w:val="16"/>
          <w:szCs w:val="16"/>
        </w:rPr>
        <w:t xml:space="preserve">2. </w:t>
      </w:r>
      <w:r w:rsidR="0009621A" w:rsidRPr="00954547">
        <w:rPr>
          <w:rFonts w:ascii="Verdana" w:hAnsi="Verdana"/>
          <w:sz w:val="16"/>
          <w:szCs w:val="16"/>
        </w:rPr>
        <w:t>The votes shall be cast in reverse order of precedence as established in Article 13 of the Statute. </w:t>
      </w:r>
    </w:p>
    <w:p w14:paraId="760D7BDF" w14:textId="135701EA" w:rsidR="0009621A" w:rsidRPr="00954547" w:rsidRDefault="00D36815" w:rsidP="00D36815">
      <w:pPr>
        <w:widowControl w:val="0"/>
        <w:tabs>
          <w:tab w:val="left" w:pos="540"/>
        </w:tabs>
        <w:autoSpaceDE w:val="0"/>
        <w:autoSpaceDN w:val="0"/>
        <w:adjustRightInd w:val="0"/>
        <w:rPr>
          <w:rFonts w:ascii="Verdana" w:hAnsi="Verdana"/>
          <w:sz w:val="16"/>
          <w:szCs w:val="16"/>
        </w:rPr>
      </w:pPr>
      <w:r w:rsidRPr="00954547">
        <w:rPr>
          <w:rFonts w:ascii="Verdana" w:hAnsi="Verdana"/>
          <w:sz w:val="16"/>
          <w:szCs w:val="16"/>
        </w:rPr>
        <w:t xml:space="preserve">3. </w:t>
      </w:r>
      <w:r w:rsidR="0009621A" w:rsidRPr="00954547">
        <w:rPr>
          <w:rFonts w:ascii="Verdana" w:hAnsi="Verdana"/>
          <w:sz w:val="16"/>
          <w:szCs w:val="16"/>
        </w:rPr>
        <w:t>The decisions of the Court shall be adopted by a majority of the Judges present at the time of the voting. </w:t>
      </w:r>
    </w:p>
    <w:p w14:paraId="7E560B00" w14:textId="43217A36" w:rsidR="0009621A" w:rsidRPr="00954547" w:rsidRDefault="00D36815" w:rsidP="0009621A">
      <w:pPr>
        <w:widowControl w:val="0"/>
        <w:tabs>
          <w:tab w:val="left" w:pos="540"/>
          <w:tab w:val="num" w:pos="709"/>
        </w:tabs>
        <w:autoSpaceDE w:val="0"/>
        <w:autoSpaceDN w:val="0"/>
        <w:adjustRightInd w:val="0"/>
        <w:spacing w:after="120"/>
        <w:ind w:left="709" w:hanging="709"/>
        <w:jc w:val="both"/>
        <w:rPr>
          <w:rFonts w:ascii="Verdana" w:hAnsi="Verdana"/>
          <w:b/>
          <w:sz w:val="16"/>
          <w:szCs w:val="16"/>
          <w:u w:val="single"/>
        </w:rPr>
      </w:pPr>
      <w:r w:rsidRPr="00954547">
        <w:rPr>
          <w:rFonts w:ascii="Verdana" w:hAnsi="Verdana"/>
          <w:sz w:val="16"/>
          <w:szCs w:val="16"/>
        </w:rPr>
        <w:t xml:space="preserve">4. </w:t>
      </w:r>
      <w:r w:rsidR="0009621A" w:rsidRPr="00954547">
        <w:rPr>
          <w:rFonts w:ascii="Verdana" w:hAnsi="Verdana"/>
          <w:sz w:val="16"/>
          <w:szCs w:val="16"/>
        </w:rPr>
        <w:t>In the event of a tie, the President shall have a casting vote.</w:t>
      </w:r>
      <w:r w:rsidRPr="00954547">
        <w:rPr>
          <w:rFonts w:ascii="Verdana" w:hAnsi="Verdana"/>
          <w:sz w:val="16"/>
          <w:szCs w:val="16"/>
        </w:rPr>
        <w:t>”</w:t>
      </w:r>
    </w:p>
    <w:p w14:paraId="32EBD9E7" w14:textId="688E6D41" w:rsidR="00A402C7" w:rsidRPr="00954547" w:rsidRDefault="00A402C7" w:rsidP="00B87F9C">
      <w:pPr>
        <w:pStyle w:val="Heading2"/>
        <w:numPr>
          <w:ilvl w:val="0"/>
          <w:numId w:val="0"/>
        </w:numPr>
        <w:shd w:val="clear" w:color="auto" w:fill="FFFFFF"/>
        <w:tabs>
          <w:tab w:val="left" w:pos="540"/>
        </w:tabs>
        <w:spacing w:before="0" w:after="120"/>
        <w:jc w:val="both"/>
        <w:rPr>
          <w:b w:val="0"/>
          <w:bCs w:val="0"/>
          <w:i w:val="0"/>
          <w:iCs w:val="0"/>
          <w:sz w:val="16"/>
          <w:szCs w:val="16"/>
          <w:lang w:val="en-US" w:eastAsia="es-CL"/>
        </w:rPr>
      </w:pPr>
      <w:r w:rsidRPr="00954547">
        <w:rPr>
          <w:b w:val="0"/>
          <w:bCs w:val="0"/>
          <w:i w:val="0"/>
          <w:iCs w:val="0"/>
          <w:sz w:val="16"/>
          <w:szCs w:val="16"/>
          <w:lang w:val="en-US" w:eastAsia="es-CL"/>
        </w:rPr>
        <w:t>Art.</w:t>
      </w:r>
      <w:r w:rsidR="00B87F9C" w:rsidRPr="00954547">
        <w:rPr>
          <w:b w:val="0"/>
          <w:bCs w:val="0"/>
          <w:i w:val="0"/>
          <w:iCs w:val="0"/>
          <w:sz w:val="16"/>
          <w:szCs w:val="16"/>
          <w:lang w:val="en-US" w:eastAsia="es-CL"/>
        </w:rPr>
        <w:t xml:space="preserve"> </w:t>
      </w:r>
      <w:r w:rsidRPr="00954547">
        <w:rPr>
          <w:b w:val="0"/>
          <w:bCs w:val="0"/>
          <w:i w:val="0"/>
          <w:iCs w:val="0"/>
          <w:sz w:val="16"/>
          <w:szCs w:val="16"/>
          <w:lang w:val="en-US" w:eastAsia="es-CL"/>
        </w:rPr>
        <w:t>32</w:t>
      </w:r>
      <w:r w:rsidR="0022625A" w:rsidRPr="00954547">
        <w:rPr>
          <w:b w:val="0"/>
          <w:bCs w:val="0"/>
          <w:i w:val="0"/>
          <w:iCs w:val="0"/>
          <w:sz w:val="16"/>
          <w:szCs w:val="16"/>
          <w:lang w:val="en-US" w:eastAsia="es-CL"/>
        </w:rPr>
        <w:t>(</w:t>
      </w:r>
      <w:r w:rsidRPr="00954547">
        <w:rPr>
          <w:b w:val="0"/>
          <w:bCs w:val="0"/>
          <w:i w:val="0"/>
          <w:iCs w:val="0"/>
          <w:sz w:val="16"/>
          <w:szCs w:val="16"/>
          <w:lang w:val="en-US" w:eastAsia="es-CL"/>
        </w:rPr>
        <w:t>1</w:t>
      </w:r>
      <w:r w:rsidR="0022625A" w:rsidRPr="00954547">
        <w:rPr>
          <w:b w:val="0"/>
          <w:bCs w:val="0"/>
          <w:i w:val="0"/>
          <w:iCs w:val="0"/>
          <w:sz w:val="16"/>
          <w:szCs w:val="16"/>
          <w:lang w:val="en-US" w:eastAsia="es-CL"/>
        </w:rPr>
        <w:t>)(</w:t>
      </w:r>
      <w:r w:rsidRPr="00954547">
        <w:rPr>
          <w:b w:val="0"/>
          <w:bCs w:val="0"/>
          <w:i w:val="0"/>
          <w:iCs w:val="0"/>
          <w:sz w:val="16"/>
          <w:szCs w:val="16"/>
          <w:lang w:val="en-US" w:eastAsia="es-CL"/>
        </w:rPr>
        <w:t xml:space="preserve">a) </w:t>
      </w:r>
      <w:r w:rsidR="0022625A" w:rsidRPr="00954547">
        <w:rPr>
          <w:b w:val="0"/>
          <w:bCs w:val="0"/>
          <w:i w:val="0"/>
          <w:iCs w:val="0"/>
          <w:sz w:val="16"/>
          <w:szCs w:val="16"/>
          <w:lang w:val="en-US" w:eastAsia="es-CL"/>
        </w:rPr>
        <w:t>of the Court’s Rules of Procedure</w:t>
      </w:r>
      <w:r w:rsidRPr="00954547">
        <w:rPr>
          <w:b w:val="0"/>
          <w:bCs w:val="0"/>
          <w:i w:val="0"/>
          <w:iCs w:val="0"/>
          <w:sz w:val="16"/>
          <w:szCs w:val="16"/>
          <w:lang w:val="en-US" w:eastAsia="es-CL"/>
        </w:rPr>
        <w:t>: ”</w:t>
      </w:r>
      <w:r w:rsidR="00E76B1A" w:rsidRPr="00954547">
        <w:rPr>
          <w:b w:val="0"/>
          <w:bCs w:val="0"/>
          <w:i w:val="0"/>
          <w:iCs w:val="0"/>
          <w:sz w:val="16"/>
          <w:szCs w:val="16"/>
          <w:lang w:val="en-US" w:eastAsia="es-CL"/>
        </w:rPr>
        <w:t>The Court</w:t>
      </w:r>
      <w:r w:rsidRPr="00954547">
        <w:rPr>
          <w:b w:val="0"/>
          <w:bCs w:val="0"/>
          <w:i w:val="0"/>
          <w:iCs w:val="0"/>
          <w:sz w:val="16"/>
          <w:szCs w:val="16"/>
          <w:lang w:val="en-US" w:eastAsia="es-CL"/>
        </w:rPr>
        <w:t xml:space="preserve"> </w:t>
      </w:r>
      <w:r w:rsidR="00D36815" w:rsidRPr="00954547">
        <w:rPr>
          <w:b w:val="0"/>
          <w:bCs w:val="0"/>
          <w:i w:val="0"/>
          <w:iCs w:val="0"/>
          <w:sz w:val="16"/>
          <w:szCs w:val="16"/>
          <w:lang w:val="en-US" w:eastAsia="es-CL"/>
        </w:rPr>
        <w:t>shall make public</w:t>
      </w:r>
      <w:r w:rsidRPr="00954547">
        <w:rPr>
          <w:b w:val="0"/>
          <w:bCs w:val="0"/>
          <w:i w:val="0"/>
          <w:iCs w:val="0"/>
          <w:sz w:val="16"/>
          <w:szCs w:val="16"/>
          <w:lang w:val="en-US" w:eastAsia="es-CL"/>
        </w:rPr>
        <w:t xml:space="preserve">: </w:t>
      </w:r>
      <w:r w:rsidR="00D36815" w:rsidRPr="00954547">
        <w:rPr>
          <w:b w:val="0"/>
          <w:bCs w:val="0"/>
          <w:i w:val="0"/>
          <w:iCs w:val="0"/>
          <w:sz w:val="16"/>
          <w:szCs w:val="16"/>
          <w:lang w:val="en-US"/>
        </w:rPr>
        <w:t>its judgments, orders, opinions, and other decisions, including separate opinions, dissenting or concurring, whenever they fulfill the requirements set forth in Article 65(2) of these Rules.</w:t>
      </w:r>
      <w:r w:rsidRPr="00954547">
        <w:rPr>
          <w:b w:val="0"/>
          <w:bCs w:val="0"/>
          <w:i w:val="0"/>
          <w:iCs w:val="0"/>
          <w:sz w:val="16"/>
          <w:szCs w:val="16"/>
          <w:lang w:val="en-US" w:eastAsia="es-CL"/>
        </w:rPr>
        <w:t>”</w:t>
      </w:r>
    </w:p>
  </w:footnote>
  <w:footnote w:id="464">
    <w:p w14:paraId="18A4AF0F" w14:textId="77777777" w:rsidR="0022625A" w:rsidRPr="00954547" w:rsidRDefault="00A402C7" w:rsidP="0022625A">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22625A" w:rsidRPr="00954547">
        <w:rPr>
          <w:rFonts w:ascii="Verdana" w:hAnsi="Verdana"/>
          <w:sz w:val="16"/>
          <w:szCs w:val="16"/>
        </w:rPr>
        <w:tab/>
      </w:r>
      <w:r w:rsidRPr="00954547">
        <w:rPr>
          <w:rFonts w:ascii="Verdana" w:hAnsi="Verdana"/>
          <w:sz w:val="16"/>
          <w:szCs w:val="16"/>
        </w:rPr>
        <w:t xml:space="preserve">Art. </w:t>
      </w:r>
      <w:r w:rsidR="0022625A" w:rsidRPr="00954547">
        <w:rPr>
          <w:rFonts w:ascii="Verdana" w:hAnsi="Verdana"/>
          <w:sz w:val="16"/>
          <w:szCs w:val="16"/>
        </w:rPr>
        <w:t xml:space="preserve">of the Convention: “If the judgment does not represent in whole or in part the unanimous opinion of the judges, any judge shall be entitled to have his dissenting or separate opinion attached to the judgment.” </w:t>
      </w:r>
    </w:p>
    <w:p w14:paraId="27D49EF3" w14:textId="765A525D" w:rsidR="0022625A" w:rsidRPr="00954547" w:rsidRDefault="00A402C7" w:rsidP="0022625A">
      <w:pPr>
        <w:pStyle w:val="FootnoteText"/>
        <w:tabs>
          <w:tab w:val="left" w:pos="540"/>
        </w:tabs>
        <w:spacing w:after="120"/>
        <w:jc w:val="both"/>
        <w:rPr>
          <w:rFonts w:ascii="Verdana" w:hAnsi="Verdana"/>
          <w:sz w:val="16"/>
          <w:szCs w:val="16"/>
        </w:rPr>
      </w:pPr>
      <w:r w:rsidRPr="00954547">
        <w:rPr>
          <w:rFonts w:ascii="Verdana" w:hAnsi="Verdana"/>
          <w:sz w:val="16"/>
          <w:szCs w:val="16"/>
        </w:rPr>
        <w:t>Art. 24</w:t>
      </w:r>
      <w:r w:rsidR="0022625A" w:rsidRPr="00954547">
        <w:rPr>
          <w:rFonts w:ascii="Verdana" w:hAnsi="Verdana"/>
          <w:sz w:val="16"/>
          <w:szCs w:val="16"/>
        </w:rPr>
        <w:t>(</w:t>
      </w:r>
      <w:r w:rsidRPr="00954547">
        <w:rPr>
          <w:rFonts w:ascii="Verdana" w:hAnsi="Verdana"/>
          <w:sz w:val="16"/>
          <w:szCs w:val="16"/>
        </w:rPr>
        <w:t>3</w:t>
      </w:r>
      <w:r w:rsidR="0022625A" w:rsidRPr="00954547">
        <w:rPr>
          <w:rFonts w:ascii="Verdana" w:hAnsi="Verdana"/>
          <w:sz w:val="16"/>
          <w:szCs w:val="16"/>
        </w:rPr>
        <w:t>)</w:t>
      </w:r>
      <w:r w:rsidRPr="00954547">
        <w:rPr>
          <w:rFonts w:ascii="Verdana" w:hAnsi="Verdana"/>
          <w:sz w:val="16"/>
          <w:szCs w:val="16"/>
        </w:rPr>
        <w:t xml:space="preserve"> </w:t>
      </w:r>
      <w:r w:rsidR="00607E12" w:rsidRPr="00954547">
        <w:rPr>
          <w:rFonts w:ascii="Verdana" w:hAnsi="Verdana"/>
          <w:sz w:val="16"/>
          <w:szCs w:val="16"/>
        </w:rPr>
        <w:t xml:space="preserve">of the </w:t>
      </w:r>
      <w:r w:rsidR="00E76B1A" w:rsidRPr="00954547">
        <w:rPr>
          <w:rFonts w:ascii="Verdana" w:hAnsi="Verdana"/>
          <w:sz w:val="16"/>
          <w:szCs w:val="16"/>
        </w:rPr>
        <w:t>Court</w:t>
      </w:r>
      <w:r w:rsidR="0022625A" w:rsidRPr="00954547">
        <w:rPr>
          <w:rFonts w:ascii="Verdana" w:hAnsi="Verdana"/>
          <w:sz w:val="16"/>
          <w:szCs w:val="16"/>
        </w:rPr>
        <w:t>’s Statute</w:t>
      </w:r>
      <w:r w:rsidRPr="00954547">
        <w:rPr>
          <w:rFonts w:ascii="Verdana" w:hAnsi="Verdana"/>
          <w:sz w:val="16"/>
          <w:szCs w:val="16"/>
        </w:rPr>
        <w:t>: “</w:t>
      </w:r>
      <w:r w:rsidR="0022625A" w:rsidRPr="00954547">
        <w:rPr>
          <w:rFonts w:ascii="Verdana" w:hAnsi="Verdana"/>
          <w:sz w:val="16"/>
          <w:szCs w:val="16"/>
        </w:rPr>
        <w:t>The decisions, judgments and opinions of the Court shall be delivered in public session, and the parties shall be given written notification thereof. In addition, the decisions, judgments and opinions shall be published, along with judges' individual votes and opinions and with such other data or background information that the Court may deem appropriate.”</w:t>
      </w:r>
    </w:p>
    <w:p w14:paraId="14349785" w14:textId="254D76D5" w:rsidR="00A402C7" w:rsidRPr="00954547" w:rsidRDefault="0022625A" w:rsidP="0022625A">
      <w:pPr>
        <w:pStyle w:val="FootnoteText"/>
        <w:tabs>
          <w:tab w:val="left" w:pos="540"/>
        </w:tabs>
        <w:spacing w:after="120"/>
        <w:jc w:val="both"/>
        <w:rPr>
          <w:rFonts w:ascii="Verdana" w:hAnsi="Verdana"/>
          <w:sz w:val="16"/>
          <w:szCs w:val="16"/>
        </w:rPr>
      </w:pPr>
      <w:r w:rsidRPr="00954547">
        <w:rPr>
          <w:rFonts w:ascii="Verdana" w:hAnsi="Verdana"/>
          <w:sz w:val="16"/>
          <w:szCs w:val="16"/>
        </w:rPr>
        <w:t>Art. 65(2) of the Court’s Rules of Procedure: “Any Judge who has taken part in the consideration of a case is entitled to append a separate reasoned opinion to the judgment, concurring or dissenting. These opinions shall be submitted within a time limit to be fixed by the President so that the other Judges may take cognizance thereof before notice of the judgment is served. Said opinions shall only refer to the issues covered in the judgment.”</w:t>
      </w:r>
    </w:p>
  </w:footnote>
  <w:footnote w:id="465">
    <w:p w14:paraId="40A594EB" w14:textId="6FAB1385" w:rsidR="00A402C7" w:rsidRPr="00954547" w:rsidRDefault="00A402C7" w:rsidP="004F613C">
      <w:pPr>
        <w:pStyle w:val="Default"/>
        <w:tabs>
          <w:tab w:val="left" w:pos="540"/>
        </w:tabs>
        <w:spacing w:after="120"/>
        <w:jc w:val="both"/>
        <w:rPr>
          <w:sz w:val="16"/>
          <w:szCs w:val="16"/>
          <w:lang w:val="en-US"/>
        </w:rPr>
      </w:pPr>
      <w:r w:rsidRPr="00954547">
        <w:rPr>
          <w:rStyle w:val="FootnoteReference"/>
          <w:color w:val="auto"/>
          <w:sz w:val="16"/>
          <w:szCs w:val="16"/>
          <w:lang w:val="en-US"/>
        </w:rPr>
        <w:footnoteRef/>
      </w:r>
      <w:r w:rsidRPr="00954547">
        <w:rPr>
          <w:color w:val="auto"/>
          <w:sz w:val="16"/>
          <w:szCs w:val="16"/>
          <w:lang w:val="en-US"/>
        </w:rPr>
        <w:t xml:space="preserve"> </w:t>
      </w:r>
      <w:r w:rsidR="004F613C" w:rsidRPr="00954547">
        <w:rPr>
          <w:color w:val="auto"/>
          <w:sz w:val="16"/>
          <w:szCs w:val="16"/>
          <w:lang w:val="en-US"/>
        </w:rPr>
        <w:tab/>
      </w:r>
      <w:r w:rsidR="00E441DB" w:rsidRPr="00954547">
        <w:rPr>
          <w:i/>
          <w:sz w:val="16"/>
          <w:szCs w:val="16"/>
          <w:lang w:val="en-US"/>
        </w:rPr>
        <w:t>“</w:t>
      </w:r>
      <w:r w:rsidR="00F022CC" w:rsidRPr="00954547">
        <w:rPr>
          <w:sz w:val="16"/>
          <w:szCs w:val="16"/>
          <w:lang w:val="en-US"/>
        </w:rPr>
        <w:t xml:space="preserve">The State is responsible for the violation of the rights to life, personal integrity, privacy, equality before the law and health, </w:t>
      </w:r>
      <w:r w:rsidR="00F022CC" w:rsidRPr="00954547">
        <w:rPr>
          <w:color w:val="auto"/>
          <w:sz w:val="16"/>
          <w:szCs w:val="16"/>
          <w:lang w:val="en-US"/>
        </w:rPr>
        <w:t xml:space="preserve">pursuant to Articles </w:t>
      </w:r>
      <w:r w:rsidR="00F022CC" w:rsidRPr="00954547">
        <w:rPr>
          <w:sz w:val="16"/>
          <w:szCs w:val="16"/>
          <w:lang w:val="en-US"/>
        </w:rPr>
        <w:t xml:space="preserve">4, 5, 11, 24 and 26 of the </w:t>
      </w:r>
      <w:r w:rsidR="00F022CC" w:rsidRPr="00954547">
        <w:rPr>
          <w:color w:val="auto"/>
          <w:sz w:val="16"/>
          <w:szCs w:val="16"/>
          <w:lang w:val="en-US"/>
        </w:rPr>
        <w:t>American Convention on Human Rights</w:t>
      </w:r>
      <w:r w:rsidR="00F022CC" w:rsidRPr="00954547">
        <w:rPr>
          <w:sz w:val="16"/>
          <w:szCs w:val="16"/>
          <w:lang w:val="en-US"/>
        </w:rPr>
        <w:t xml:space="preserve">, in relation to the obligations to respect and to ensure the rights without discrimination and the duty to adopt domestic legal provisions established in Articles 1(1) and 2 of this instrument, and also for failing to comply with the obligations of Article 7(a) of the Inter-American Convention for the Prevention, Punishment and Eradication of Violence against Women “Convention of Belém do Pará,” to the detriment of Manuela, pursuant to paragraphs </w:t>
      </w:r>
      <w:r w:rsidR="00F022CC" w:rsidRPr="00954547">
        <w:rPr>
          <w:sz w:val="16"/>
          <w:szCs w:val="16"/>
          <w:lang w:val="en-US"/>
        </w:rPr>
        <w:fldChar w:fldCharType="begin"/>
      </w:r>
      <w:r w:rsidR="00F022CC" w:rsidRPr="00954547">
        <w:rPr>
          <w:sz w:val="16"/>
          <w:szCs w:val="16"/>
          <w:lang w:val="en-US"/>
        </w:rPr>
        <w:instrText xml:space="preserve"> REF _Ref86675714 \r \h  \* MERGEFORMAT </w:instrText>
      </w:r>
      <w:r w:rsidR="00F022CC" w:rsidRPr="00954547">
        <w:rPr>
          <w:sz w:val="16"/>
          <w:szCs w:val="16"/>
          <w:lang w:val="en-US"/>
        </w:rPr>
      </w:r>
      <w:r w:rsidR="00F022CC" w:rsidRPr="00954547">
        <w:rPr>
          <w:sz w:val="16"/>
          <w:szCs w:val="16"/>
          <w:lang w:val="en-US"/>
        </w:rPr>
        <w:fldChar w:fldCharType="separate"/>
      </w:r>
      <w:r w:rsidR="000E4488" w:rsidRPr="00954547">
        <w:rPr>
          <w:sz w:val="16"/>
          <w:szCs w:val="16"/>
          <w:lang w:val="en-US"/>
        </w:rPr>
        <w:t>180</w:t>
      </w:r>
      <w:r w:rsidR="00F022CC" w:rsidRPr="00954547">
        <w:rPr>
          <w:sz w:val="16"/>
          <w:szCs w:val="16"/>
          <w:lang w:val="en-US"/>
        </w:rPr>
        <w:fldChar w:fldCharType="end"/>
      </w:r>
      <w:r w:rsidR="00F022CC" w:rsidRPr="00954547">
        <w:rPr>
          <w:sz w:val="16"/>
          <w:szCs w:val="16"/>
          <w:lang w:val="en-US"/>
        </w:rPr>
        <w:t xml:space="preserve"> to </w:t>
      </w:r>
      <w:r w:rsidR="00F022CC" w:rsidRPr="00954547">
        <w:rPr>
          <w:sz w:val="16"/>
          <w:szCs w:val="16"/>
          <w:lang w:val="en-US"/>
        </w:rPr>
        <w:fldChar w:fldCharType="begin"/>
      </w:r>
      <w:r w:rsidR="00F022CC" w:rsidRPr="00954547">
        <w:rPr>
          <w:sz w:val="16"/>
          <w:szCs w:val="16"/>
          <w:lang w:val="en-US"/>
        </w:rPr>
        <w:instrText xml:space="preserve"> REF _Ref86675733 \r \h  \* MERGEFORMAT </w:instrText>
      </w:r>
      <w:r w:rsidR="00F022CC" w:rsidRPr="00954547">
        <w:rPr>
          <w:sz w:val="16"/>
          <w:szCs w:val="16"/>
          <w:lang w:val="en-US"/>
        </w:rPr>
      </w:r>
      <w:r w:rsidR="00F022CC" w:rsidRPr="00954547">
        <w:rPr>
          <w:sz w:val="16"/>
          <w:szCs w:val="16"/>
          <w:lang w:val="en-US"/>
        </w:rPr>
        <w:fldChar w:fldCharType="separate"/>
      </w:r>
      <w:r w:rsidR="000E4488" w:rsidRPr="00954547">
        <w:rPr>
          <w:sz w:val="16"/>
          <w:szCs w:val="16"/>
          <w:lang w:val="en-US"/>
        </w:rPr>
        <w:t>260</w:t>
      </w:r>
      <w:r w:rsidR="00F022CC" w:rsidRPr="00954547">
        <w:rPr>
          <w:sz w:val="16"/>
          <w:szCs w:val="16"/>
          <w:lang w:val="en-US"/>
        </w:rPr>
        <w:fldChar w:fldCharType="end"/>
      </w:r>
      <w:r w:rsidR="00F022CC" w:rsidRPr="00954547">
        <w:rPr>
          <w:sz w:val="16"/>
          <w:szCs w:val="16"/>
          <w:lang w:val="en-US"/>
        </w:rPr>
        <w:t xml:space="preserve"> of this judgment</w:t>
      </w:r>
      <w:r w:rsidR="00E441DB" w:rsidRPr="00954547">
        <w:rPr>
          <w:iCs/>
          <w:sz w:val="16"/>
          <w:szCs w:val="16"/>
          <w:lang w:val="en-US"/>
        </w:rPr>
        <w:t>.”</w:t>
      </w:r>
    </w:p>
  </w:footnote>
  <w:footnote w:id="466">
    <w:p w14:paraId="2B4EDFC7" w14:textId="010D1C60" w:rsidR="00A402C7" w:rsidRPr="00954547" w:rsidRDefault="00A402C7" w:rsidP="001E3C8C">
      <w:pPr>
        <w:tabs>
          <w:tab w:val="left" w:pos="480"/>
          <w:tab w:val="left" w:pos="1080"/>
          <w:tab w:val="left" w:pos="1680"/>
          <w:tab w:val="left" w:pos="5400"/>
        </w:tabs>
        <w:suppressAutoHyphens/>
        <w:jc w:val="both"/>
        <w:rPr>
          <w:rFonts w:ascii="Verdana" w:hAnsi="Verdana"/>
          <w:spacing w:val="-3"/>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004F613C" w:rsidRPr="00954547">
        <w:rPr>
          <w:rFonts w:ascii="Verdana" w:hAnsi="Verdana"/>
          <w:sz w:val="16"/>
          <w:szCs w:val="16"/>
          <w:vertAlign w:val="superscript"/>
        </w:rPr>
        <w:tab/>
      </w:r>
      <w:r w:rsidRPr="00954547">
        <w:rPr>
          <w:rFonts w:ascii="Verdana" w:hAnsi="Verdana"/>
          <w:sz w:val="16"/>
          <w:szCs w:val="16"/>
        </w:rPr>
        <w:t>“</w:t>
      </w:r>
      <w:r w:rsidR="001E3C8C" w:rsidRPr="00954547">
        <w:rPr>
          <w:rFonts w:ascii="Verdana" w:hAnsi="Verdana"/>
          <w:spacing w:val="-3"/>
          <w:sz w:val="16"/>
          <w:szCs w:val="16"/>
        </w:rPr>
        <w:t>The States Parties undertake to adopt measures, both internally and through international cooperation, especially those of an economic and technical nature, with a view to achieving progressively, by legislation or other appropriate means and subject to available resources, the full realization of the rights implicit in the economic, social, educational, scientific, and cultural standards set forth in the Charter of the Organization of American States as amended by the Protocol of Buenos Aires.”</w:t>
      </w:r>
    </w:p>
    <w:p w14:paraId="0BEB980F" w14:textId="64B9B0D4" w:rsidR="00A402C7" w:rsidRPr="00954547" w:rsidRDefault="00A42A4C" w:rsidP="004F613C">
      <w:pPr>
        <w:pStyle w:val="FootnoteText"/>
        <w:tabs>
          <w:tab w:val="left" w:pos="540"/>
        </w:tabs>
        <w:spacing w:after="120"/>
        <w:jc w:val="both"/>
        <w:rPr>
          <w:rFonts w:ascii="Verdana" w:hAnsi="Verdana" w:cs="Tahoma"/>
          <w:sz w:val="16"/>
          <w:szCs w:val="16"/>
        </w:rPr>
      </w:pPr>
      <w:r w:rsidRPr="00954547">
        <w:rPr>
          <w:rFonts w:ascii="Verdana" w:hAnsi="Verdana" w:cs="Tahoma"/>
          <w:sz w:val="16"/>
          <w:szCs w:val="16"/>
        </w:rPr>
        <w:t>Hereinafter</w:t>
      </w:r>
      <w:r w:rsidR="00A402C7" w:rsidRPr="00954547">
        <w:rPr>
          <w:rFonts w:ascii="Verdana" w:hAnsi="Verdana" w:cs="Tahoma"/>
          <w:sz w:val="16"/>
          <w:szCs w:val="16"/>
        </w:rPr>
        <w:t xml:space="preserve">, </w:t>
      </w:r>
      <w:r w:rsidR="00A17F8C" w:rsidRPr="00954547">
        <w:rPr>
          <w:rFonts w:ascii="Verdana" w:hAnsi="Verdana" w:cs="Tahoma"/>
          <w:sz w:val="16"/>
          <w:szCs w:val="16"/>
        </w:rPr>
        <w:t>Article</w:t>
      </w:r>
      <w:r w:rsidR="00A402C7" w:rsidRPr="00954547">
        <w:rPr>
          <w:rFonts w:ascii="Verdana" w:hAnsi="Verdana" w:cs="Tahoma"/>
          <w:sz w:val="16"/>
          <w:szCs w:val="16"/>
        </w:rPr>
        <w:t xml:space="preserve"> 26.</w:t>
      </w:r>
    </w:p>
  </w:footnote>
  <w:footnote w:id="467">
    <w:p w14:paraId="683524DB" w14:textId="39DE3641" w:rsidR="00A402C7" w:rsidRPr="00954547" w:rsidRDefault="00A402C7" w:rsidP="004F613C">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4F613C" w:rsidRPr="00954547">
        <w:rPr>
          <w:rFonts w:ascii="Verdana" w:hAnsi="Verdana"/>
          <w:sz w:val="16"/>
          <w:szCs w:val="16"/>
        </w:rPr>
        <w:tab/>
      </w:r>
      <w:r w:rsidR="00A42A4C" w:rsidRPr="00954547">
        <w:rPr>
          <w:rFonts w:ascii="Verdana" w:hAnsi="Verdana"/>
          <w:sz w:val="16"/>
          <w:szCs w:val="16"/>
        </w:rPr>
        <w:t>Hereinafter</w:t>
      </w:r>
      <w:r w:rsidRPr="00954547">
        <w:rPr>
          <w:rFonts w:ascii="Verdana" w:hAnsi="Verdana"/>
          <w:sz w:val="16"/>
          <w:szCs w:val="16"/>
        </w:rPr>
        <w:t xml:space="preserve">, </w:t>
      </w:r>
      <w:r w:rsidR="004308E9" w:rsidRPr="00954547">
        <w:rPr>
          <w:rFonts w:ascii="Verdana" w:hAnsi="Verdana"/>
          <w:sz w:val="16"/>
          <w:szCs w:val="16"/>
        </w:rPr>
        <w:t>the Convention</w:t>
      </w:r>
      <w:r w:rsidRPr="00954547">
        <w:rPr>
          <w:rFonts w:ascii="Verdana" w:hAnsi="Verdana"/>
          <w:sz w:val="16"/>
          <w:szCs w:val="16"/>
        </w:rPr>
        <w:t>.</w:t>
      </w:r>
    </w:p>
  </w:footnote>
  <w:footnote w:id="468">
    <w:p w14:paraId="59D3C23E" w14:textId="201358E0" w:rsidR="00A402C7" w:rsidRPr="00954547" w:rsidRDefault="00A402C7" w:rsidP="004F613C">
      <w:pPr>
        <w:pStyle w:val="Default"/>
        <w:tabs>
          <w:tab w:val="left" w:pos="540"/>
        </w:tabs>
        <w:spacing w:after="120"/>
        <w:jc w:val="both"/>
        <w:rPr>
          <w:rFonts w:eastAsia="MS Mincho"/>
          <w:i/>
          <w:sz w:val="16"/>
          <w:szCs w:val="16"/>
          <w:lang w:val="en-US" w:eastAsia="es-ES" w:bidi="en-US"/>
        </w:rPr>
      </w:pPr>
      <w:bookmarkStart w:id="204" w:name="_Hlk68525088"/>
      <w:r w:rsidRPr="00954547">
        <w:rPr>
          <w:rStyle w:val="FootnoteReference"/>
          <w:sz w:val="16"/>
          <w:szCs w:val="16"/>
          <w:lang w:val="en-US"/>
        </w:rPr>
        <w:footnoteRef/>
      </w:r>
      <w:r w:rsidRPr="00954547">
        <w:rPr>
          <w:bCs/>
          <w:i/>
          <w:color w:val="auto"/>
          <w:sz w:val="16"/>
          <w:szCs w:val="16"/>
          <w:lang w:val="en-US"/>
        </w:rPr>
        <w:t xml:space="preserve"> </w:t>
      </w:r>
      <w:r w:rsidR="004F613C" w:rsidRPr="00954547">
        <w:rPr>
          <w:bCs/>
          <w:i/>
          <w:color w:val="auto"/>
          <w:sz w:val="16"/>
          <w:szCs w:val="16"/>
          <w:lang w:val="en-US"/>
        </w:rPr>
        <w:tab/>
      </w:r>
      <w:r w:rsidR="004F613C" w:rsidRPr="00954547">
        <w:rPr>
          <w:bCs/>
          <w:iCs/>
          <w:color w:val="auto"/>
          <w:sz w:val="16"/>
          <w:szCs w:val="16"/>
          <w:lang w:val="en-US"/>
        </w:rPr>
        <w:t>Partially dissenting</w:t>
      </w:r>
      <w:r w:rsidRPr="00954547">
        <w:rPr>
          <w:bCs/>
          <w:iCs/>
          <w:color w:val="auto"/>
          <w:sz w:val="16"/>
          <w:szCs w:val="16"/>
          <w:lang w:val="en-US"/>
        </w:rPr>
        <w:t xml:space="preserve">, </w:t>
      </w:r>
      <w:r w:rsidR="002F4617" w:rsidRPr="00954547">
        <w:rPr>
          <w:bCs/>
          <w:i/>
          <w:color w:val="auto"/>
          <w:sz w:val="16"/>
          <w:szCs w:val="16"/>
          <w:lang w:val="en-US"/>
        </w:rPr>
        <w:t>Case of</w:t>
      </w:r>
      <w:r w:rsidRPr="00954547">
        <w:rPr>
          <w:bCs/>
          <w:i/>
          <w:color w:val="auto"/>
          <w:sz w:val="16"/>
          <w:szCs w:val="16"/>
          <w:lang w:val="en-US"/>
        </w:rPr>
        <w:t xml:space="preserve"> </w:t>
      </w:r>
      <w:r w:rsidR="001E3C8C" w:rsidRPr="00954547">
        <w:rPr>
          <w:bCs/>
          <w:i/>
          <w:color w:val="auto"/>
          <w:sz w:val="16"/>
          <w:szCs w:val="16"/>
          <w:lang w:val="en-US"/>
        </w:rPr>
        <w:t>the</w:t>
      </w:r>
      <w:r w:rsidRPr="00954547">
        <w:rPr>
          <w:bCs/>
          <w:i/>
          <w:color w:val="auto"/>
          <w:sz w:val="16"/>
          <w:szCs w:val="16"/>
          <w:lang w:val="en-US"/>
        </w:rPr>
        <w:t xml:space="preserve"> Maya Kaqchikel</w:t>
      </w:r>
      <w:r w:rsidR="001E3C8C" w:rsidRPr="00954547">
        <w:rPr>
          <w:bCs/>
          <w:i/>
          <w:color w:val="auto"/>
          <w:sz w:val="16"/>
          <w:szCs w:val="16"/>
          <w:lang w:val="en-US"/>
        </w:rPr>
        <w:t xml:space="preserve"> Indigenous Peoples of</w:t>
      </w:r>
      <w:r w:rsidRPr="00954547">
        <w:rPr>
          <w:bCs/>
          <w:i/>
          <w:color w:val="auto"/>
          <w:sz w:val="16"/>
          <w:szCs w:val="16"/>
          <w:lang w:val="en-US"/>
        </w:rPr>
        <w:t xml:space="preserve"> Sumpango </w:t>
      </w:r>
      <w:r w:rsidR="00B8393C" w:rsidRPr="00954547">
        <w:rPr>
          <w:bCs/>
          <w:i/>
          <w:color w:val="auto"/>
          <w:sz w:val="16"/>
          <w:szCs w:val="16"/>
          <w:lang w:val="en-US"/>
        </w:rPr>
        <w:t>et al. v.</w:t>
      </w:r>
      <w:r w:rsidRPr="00954547">
        <w:rPr>
          <w:bCs/>
          <w:i/>
          <w:color w:val="auto"/>
          <w:sz w:val="16"/>
          <w:szCs w:val="16"/>
          <w:lang w:val="en-US"/>
        </w:rPr>
        <w:t xml:space="preserve"> Guatemala, </w:t>
      </w:r>
      <w:r w:rsidR="000B21CE" w:rsidRPr="00954547">
        <w:rPr>
          <w:bCs/>
          <w:i/>
          <w:color w:val="auto"/>
          <w:sz w:val="16"/>
          <w:szCs w:val="16"/>
          <w:lang w:val="en-US"/>
        </w:rPr>
        <w:t>of October 6,</w:t>
      </w:r>
      <w:r w:rsidRPr="00954547">
        <w:rPr>
          <w:bCs/>
          <w:i/>
          <w:color w:val="auto"/>
          <w:sz w:val="16"/>
          <w:szCs w:val="16"/>
          <w:lang w:val="en-US"/>
        </w:rPr>
        <w:t xml:space="preserve"> 2021;</w:t>
      </w:r>
      <w:r w:rsidR="000B21CE" w:rsidRPr="00954547">
        <w:rPr>
          <w:bCs/>
          <w:i/>
          <w:color w:val="auto"/>
          <w:sz w:val="16"/>
          <w:szCs w:val="16"/>
          <w:lang w:val="en-US"/>
        </w:rPr>
        <w:t xml:space="preserve"> </w:t>
      </w:r>
      <w:r w:rsidR="000B21CE" w:rsidRPr="00954547">
        <w:rPr>
          <w:sz w:val="16"/>
          <w:szCs w:val="16"/>
          <w:lang w:val="en-US"/>
        </w:rPr>
        <w:t>Concurring</w:t>
      </w:r>
      <w:r w:rsidRPr="00954547">
        <w:rPr>
          <w:sz w:val="16"/>
          <w:szCs w:val="16"/>
          <w:lang w:val="en-US"/>
        </w:rPr>
        <w:t xml:space="preserve">, </w:t>
      </w:r>
      <w:r w:rsidR="002F4617" w:rsidRPr="00954547">
        <w:rPr>
          <w:i/>
          <w:sz w:val="16"/>
          <w:szCs w:val="16"/>
          <w:lang w:val="en-US"/>
        </w:rPr>
        <w:t xml:space="preserve">Case </w:t>
      </w:r>
      <w:r w:rsidR="00F044BF" w:rsidRPr="00954547">
        <w:rPr>
          <w:i/>
          <w:sz w:val="16"/>
          <w:szCs w:val="16"/>
          <w:lang w:val="en-US"/>
        </w:rPr>
        <w:t>of the Miskito Divers</w:t>
      </w:r>
      <w:r w:rsidRPr="00954547">
        <w:rPr>
          <w:i/>
          <w:sz w:val="16"/>
          <w:szCs w:val="16"/>
          <w:lang w:val="en-US"/>
        </w:rPr>
        <w:t xml:space="preserve"> (Lemoth Morris</w:t>
      </w:r>
      <w:r w:rsidR="0078694F" w:rsidRPr="00954547">
        <w:rPr>
          <w:i/>
          <w:sz w:val="16"/>
          <w:szCs w:val="16"/>
          <w:lang w:val="en-US"/>
        </w:rPr>
        <w:t xml:space="preserve"> </w:t>
      </w:r>
      <w:r w:rsidR="000B21CE" w:rsidRPr="00954547">
        <w:rPr>
          <w:i/>
          <w:sz w:val="16"/>
          <w:szCs w:val="16"/>
          <w:lang w:val="en-US"/>
        </w:rPr>
        <w:t>et al.</w:t>
      </w:r>
      <w:r w:rsidRPr="00954547">
        <w:rPr>
          <w:i/>
          <w:sz w:val="16"/>
          <w:szCs w:val="16"/>
          <w:lang w:val="en-US"/>
        </w:rPr>
        <w:t xml:space="preserve">) </w:t>
      </w:r>
      <w:r w:rsidR="009C16A1" w:rsidRPr="00954547">
        <w:rPr>
          <w:i/>
          <w:sz w:val="16"/>
          <w:szCs w:val="16"/>
          <w:lang w:val="en-US"/>
        </w:rPr>
        <w:t>v.</w:t>
      </w:r>
      <w:r w:rsidRPr="00954547">
        <w:rPr>
          <w:i/>
          <w:sz w:val="16"/>
          <w:szCs w:val="16"/>
          <w:lang w:val="en-US"/>
        </w:rPr>
        <w:t xml:space="preserve"> Honduras, </w:t>
      </w:r>
      <w:r w:rsidR="000B21CE" w:rsidRPr="00954547">
        <w:rPr>
          <w:iCs/>
          <w:sz w:val="16"/>
          <w:szCs w:val="16"/>
          <w:lang w:val="en-US"/>
        </w:rPr>
        <w:t>of August 31</w:t>
      </w:r>
      <w:r w:rsidR="000B21CE" w:rsidRPr="00954547">
        <w:rPr>
          <w:i/>
          <w:sz w:val="16"/>
          <w:szCs w:val="16"/>
          <w:lang w:val="en-US"/>
        </w:rPr>
        <w:t>,</w:t>
      </w:r>
      <w:r w:rsidRPr="00954547">
        <w:rPr>
          <w:i/>
          <w:sz w:val="16"/>
          <w:szCs w:val="16"/>
          <w:lang w:val="en-US"/>
        </w:rPr>
        <w:t xml:space="preserve"> </w:t>
      </w:r>
      <w:r w:rsidRPr="00954547">
        <w:rPr>
          <w:iCs/>
          <w:sz w:val="16"/>
          <w:szCs w:val="16"/>
          <w:lang w:val="en-US"/>
        </w:rPr>
        <w:t>2021</w:t>
      </w:r>
      <w:r w:rsidRPr="00954547">
        <w:rPr>
          <w:rFonts w:eastAsia="MS Mincho"/>
          <w:iCs/>
          <w:sz w:val="16"/>
          <w:szCs w:val="16"/>
          <w:lang w:val="en-US"/>
        </w:rPr>
        <w:t>;</w:t>
      </w:r>
      <w:r w:rsidR="000B21CE" w:rsidRPr="00954547">
        <w:rPr>
          <w:rFonts w:eastAsia="MS Mincho"/>
          <w:sz w:val="16"/>
          <w:szCs w:val="16"/>
          <w:lang w:val="en-US"/>
        </w:rPr>
        <w:t xml:space="preserve"> </w:t>
      </w:r>
      <w:r w:rsidR="004F613C" w:rsidRPr="00954547">
        <w:rPr>
          <w:sz w:val="16"/>
          <w:szCs w:val="16"/>
          <w:lang w:val="en-US"/>
        </w:rPr>
        <w:t>Partially dissenting</w:t>
      </w:r>
      <w:r w:rsidRPr="00954547">
        <w:rPr>
          <w:sz w:val="16"/>
          <w:szCs w:val="16"/>
          <w:lang w:val="en-US"/>
        </w:rPr>
        <w:t xml:space="preserve">, </w:t>
      </w:r>
      <w:r w:rsidR="002F4617" w:rsidRPr="00954547">
        <w:rPr>
          <w:rFonts w:cs="Arial"/>
          <w:i/>
          <w:sz w:val="16"/>
          <w:szCs w:val="16"/>
          <w:shd w:val="clear" w:color="auto" w:fill="FFFFFF"/>
          <w:lang w:val="en-US"/>
        </w:rPr>
        <w:t>Case of</w:t>
      </w:r>
      <w:r w:rsidRPr="00954547">
        <w:rPr>
          <w:rFonts w:cs="Arial"/>
          <w:i/>
          <w:sz w:val="16"/>
          <w:szCs w:val="16"/>
          <w:shd w:val="clear" w:color="auto" w:fill="FFFFFF"/>
          <w:lang w:val="en-US"/>
        </w:rPr>
        <w:t xml:space="preserve"> Guachalá Chimbo </w:t>
      </w:r>
      <w:r w:rsidR="00B8393C" w:rsidRPr="00954547">
        <w:rPr>
          <w:rFonts w:cs="Arial"/>
          <w:i/>
          <w:sz w:val="16"/>
          <w:szCs w:val="16"/>
          <w:shd w:val="clear" w:color="auto" w:fill="FFFFFF"/>
          <w:lang w:val="en-US"/>
        </w:rPr>
        <w:t>et al. v.</w:t>
      </w:r>
      <w:r w:rsidRPr="00954547">
        <w:rPr>
          <w:rFonts w:cs="Arial"/>
          <w:i/>
          <w:sz w:val="16"/>
          <w:szCs w:val="16"/>
          <w:shd w:val="clear" w:color="auto" w:fill="FFFFFF"/>
          <w:lang w:val="en-US"/>
        </w:rPr>
        <w:t xml:space="preserve"> Ecuador</w:t>
      </w:r>
      <w:r w:rsidRPr="00954547">
        <w:rPr>
          <w:rFonts w:cs="Arial"/>
          <w:sz w:val="16"/>
          <w:szCs w:val="16"/>
          <w:shd w:val="clear" w:color="auto" w:fill="FFFFFF"/>
          <w:lang w:val="en-US"/>
        </w:rPr>
        <w:t xml:space="preserve">, </w:t>
      </w:r>
      <w:r w:rsidR="000B21CE" w:rsidRPr="00954547">
        <w:rPr>
          <w:rFonts w:cs="Arial"/>
          <w:sz w:val="16"/>
          <w:szCs w:val="16"/>
          <w:shd w:val="clear" w:color="auto" w:fill="FFFFFF"/>
          <w:lang w:val="en-US"/>
        </w:rPr>
        <w:t>of</w:t>
      </w:r>
      <w:r w:rsidRPr="00954547">
        <w:rPr>
          <w:rFonts w:cs="Arial"/>
          <w:sz w:val="16"/>
          <w:szCs w:val="16"/>
          <w:shd w:val="clear" w:color="auto" w:fill="FFFFFF"/>
          <w:lang w:val="en-US"/>
        </w:rPr>
        <w:t xml:space="preserve"> </w:t>
      </w:r>
      <w:r w:rsidR="002871EC" w:rsidRPr="00954547">
        <w:rPr>
          <w:rFonts w:cs="Arial"/>
          <w:sz w:val="16"/>
          <w:szCs w:val="16"/>
          <w:shd w:val="clear" w:color="auto" w:fill="FFFFFF"/>
          <w:lang w:val="en-US"/>
        </w:rPr>
        <w:t>March 26,</w:t>
      </w:r>
      <w:r w:rsidRPr="00954547">
        <w:rPr>
          <w:rFonts w:cs="Arial"/>
          <w:sz w:val="16"/>
          <w:szCs w:val="16"/>
          <w:shd w:val="clear" w:color="auto" w:fill="FFFFFF"/>
          <w:lang w:val="en-US"/>
        </w:rPr>
        <w:t xml:space="preserve"> 2021; </w:t>
      </w:r>
      <w:r w:rsidR="000B21CE" w:rsidRPr="00954547">
        <w:rPr>
          <w:iCs/>
          <w:sz w:val="16"/>
          <w:szCs w:val="16"/>
          <w:lang w:val="en-US"/>
        </w:rPr>
        <w:t>Dissenting</w:t>
      </w:r>
      <w:r w:rsidRPr="00954547">
        <w:rPr>
          <w:i/>
          <w:iCs/>
          <w:sz w:val="16"/>
          <w:szCs w:val="16"/>
          <w:lang w:val="en-US"/>
        </w:rPr>
        <w:t xml:space="preserve">, </w:t>
      </w:r>
      <w:r w:rsidR="002F4617" w:rsidRPr="00954547">
        <w:rPr>
          <w:i/>
          <w:iCs/>
          <w:sz w:val="16"/>
          <w:szCs w:val="16"/>
          <w:lang w:val="en-US"/>
        </w:rPr>
        <w:t>Case of</w:t>
      </w:r>
      <w:r w:rsidRPr="00954547">
        <w:rPr>
          <w:i/>
          <w:iCs/>
          <w:sz w:val="16"/>
          <w:szCs w:val="16"/>
          <w:lang w:val="en-US"/>
        </w:rPr>
        <w:t xml:space="preserve"> Casa Nina </w:t>
      </w:r>
      <w:r w:rsidR="001E3C8C" w:rsidRPr="00954547">
        <w:rPr>
          <w:i/>
          <w:iCs/>
          <w:sz w:val="16"/>
          <w:szCs w:val="16"/>
          <w:lang w:val="en-US"/>
        </w:rPr>
        <w:t>v</w:t>
      </w:r>
      <w:r w:rsidRPr="00954547">
        <w:rPr>
          <w:i/>
          <w:iCs/>
          <w:sz w:val="16"/>
          <w:szCs w:val="16"/>
          <w:lang w:val="en-US"/>
        </w:rPr>
        <w:t xml:space="preserve">. </w:t>
      </w:r>
      <w:r w:rsidR="00C26F0B" w:rsidRPr="00954547">
        <w:rPr>
          <w:i/>
          <w:iCs/>
          <w:sz w:val="16"/>
          <w:szCs w:val="16"/>
          <w:lang w:val="en-US"/>
        </w:rPr>
        <w:t>Peru</w:t>
      </w:r>
      <w:r w:rsidRPr="00954547">
        <w:rPr>
          <w:i/>
          <w:iCs/>
          <w:sz w:val="16"/>
          <w:szCs w:val="16"/>
          <w:lang w:val="en-US"/>
        </w:rPr>
        <w:t xml:space="preserve">, </w:t>
      </w:r>
      <w:r w:rsidR="001E3C8C" w:rsidRPr="00954547">
        <w:rPr>
          <w:sz w:val="16"/>
          <w:szCs w:val="16"/>
          <w:lang w:val="en-US"/>
        </w:rPr>
        <w:t>of</w:t>
      </w:r>
      <w:r w:rsidRPr="00954547">
        <w:rPr>
          <w:sz w:val="16"/>
          <w:szCs w:val="16"/>
          <w:lang w:val="en-US"/>
        </w:rPr>
        <w:t xml:space="preserve"> </w:t>
      </w:r>
      <w:r w:rsidR="004110D3" w:rsidRPr="00954547">
        <w:rPr>
          <w:sz w:val="16"/>
          <w:szCs w:val="16"/>
          <w:lang w:val="en-US"/>
        </w:rPr>
        <w:t>November 24,</w:t>
      </w:r>
      <w:r w:rsidRPr="00954547">
        <w:rPr>
          <w:sz w:val="16"/>
          <w:szCs w:val="16"/>
          <w:lang w:val="en-US"/>
        </w:rPr>
        <w:t xml:space="preserve"> 2020</w:t>
      </w:r>
      <w:r w:rsidRPr="00954547">
        <w:rPr>
          <w:i/>
          <w:iCs/>
          <w:sz w:val="16"/>
          <w:szCs w:val="16"/>
          <w:lang w:val="en-US"/>
        </w:rPr>
        <w:t xml:space="preserve">; </w:t>
      </w:r>
      <w:r w:rsidR="004F613C" w:rsidRPr="00954547">
        <w:rPr>
          <w:iCs/>
          <w:sz w:val="16"/>
          <w:szCs w:val="16"/>
          <w:lang w:val="en-US"/>
        </w:rPr>
        <w:t>Partially dissenting</w:t>
      </w:r>
      <w:r w:rsidRPr="00954547">
        <w:rPr>
          <w:iCs/>
          <w:sz w:val="16"/>
          <w:szCs w:val="16"/>
          <w:lang w:val="en-US"/>
        </w:rPr>
        <w:t xml:space="preserve">, </w:t>
      </w:r>
      <w:r w:rsidR="002F4617" w:rsidRPr="00954547">
        <w:rPr>
          <w:i/>
          <w:iCs/>
          <w:sz w:val="16"/>
          <w:szCs w:val="16"/>
          <w:lang w:val="en-US"/>
        </w:rPr>
        <w:t xml:space="preserve">Case </w:t>
      </w:r>
      <w:r w:rsidR="000B21CE" w:rsidRPr="00954547">
        <w:rPr>
          <w:i/>
          <w:iCs/>
          <w:sz w:val="16"/>
          <w:szCs w:val="16"/>
          <w:lang w:val="en-US"/>
        </w:rPr>
        <w:t>of the Workers of the Fireworks Factory in</w:t>
      </w:r>
      <w:r w:rsidRPr="00954547">
        <w:rPr>
          <w:i/>
          <w:iCs/>
          <w:sz w:val="16"/>
          <w:szCs w:val="16"/>
          <w:lang w:val="en-US"/>
        </w:rPr>
        <w:t xml:space="preserve"> Santo Antonio de Jesús</w:t>
      </w:r>
      <w:r w:rsidR="0078694F" w:rsidRPr="00954547">
        <w:rPr>
          <w:i/>
          <w:iCs/>
          <w:sz w:val="16"/>
          <w:szCs w:val="16"/>
          <w:lang w:val="en-US"/>
        </w:rPr>
        <w:t xml:space="preserve"> and </w:t>
      </w:r>
      <w:r w:rsidR="000B21CE" w:rsidRPr="00954547">
        <w:rPr>
          <w:i/>
          <w:iCs/>
          <w:sz w:val="16"/>
          <w:szCs w:val="16"/>
          <w:lang w:val="en-US"/>
        </w:rPr>
        <w:t>their families v.</w:t>
      </w:r>
      <w:r w:rsidRPr="00954547">
        <w:rPr>
          <w:i/>
          <w:iCs/>
          <w:sz w:val="16"/>
          <w:szCs w:val="16"/>
          <w:lang w:val="en-US"/>
        </w:rPr>
        <w:t xml:space="preserve"> </w:t>
      </w:r>
      <w:r w:rsidR="000B21CE" w:rsidRPr="00954547">
        <w:rPr>
          <w:i/>
          <w:iCs/>
          <w:sz w:val="16"/>
          <w:szCs w:val="16"/>
          <w:lang w:val="en-US"/>
        </w:rPr>
        <w:t>Brazil</w:t>
      </w:r>
      <w:r w:rsidRPr="00954547">
        <w:rPr>
          <w:i/>
          <w:iCs/>
          <w:sz w:val="16"/>
          <w:szCs w:val="16"/>
          <w:lang w:val="en-US"/>
        </w:rPr>
        <w:t xml:space="preserve">, </w:t>
      </w:r>
      <w:r w:rsidR="000B21CE" w:rsidRPr="00954547">
        <w:rPr>
          <w:sz w:val="16"/>
          <w:szCs w:val="16"/>
          <w:lang w:val="en-US"/>
        </w:rPr>
        <w:t>of July 15,</w:t>
      </w:r>
      <w:r w:rsidRPr="00954547">
        <w:rPr>
          <w:sz w:val="16"/>
          <w:szCs w:val="16"/>
          <w:lang w:val="en-US"/>
        </w:rPr>
        <w:t xml:space="preserve"> 2020;</w:t>
      </w:r>
      <w:r w:rsidRPr="00954547">
        <w:rPr>
          <w:i/>
          <w:iCs/>
          <w:sz w:val="16"/>
          <w:szCs w:val="16"/>
          <w:lang w:val="en-US"/>
        </w:rPr>
        <w:t xml:space="preserve"> </w:t>
      </w:r>
      <w:r w:rsidR="000B21CE" w:rsidRPr="00954547">
        <w:rPr>
          <w:iCs/>
          <w:sz w:val="16"/>
          <w:szCs w:val="16"/>
          <w:lang w:val="en-US"/>
        </w:rPr>
        <w:t>Dissenting</w:t>
      </w:r>
      <w:r w:rsidRPr="00954547">
        <w:rPr>
          <w:i/>
          <w:iCs/>
          <w:sz w:val="16"/>
          <w:szCs w:val="16"/>
          <w:lang w:val="en-US"/>
        </w:rPr>
        <w:t xml:space="preserve">, </w:t>
      </w:r>
      <w:r w:rsidR="002F4617" w:rsidRPr="00954547">
        <w:rPr>
          <w:i/>
          <w:iCs/>
          <w:sz w:val="16"/>
          <w:szCs w:val="16"/>
          <w:lang w:val="en-US"/>
        </w:rPr>
        <w:t xml:space="preserve">Case </w:t>
      </w:r>
      <w:r w:rsidR="009C16A1" w:rsidRPr="00954547">
        <w:rPr>
          <w:i/>
          <w:iCs/>
          <w:sz w:val="16"/>
          <w:szCs w:val="16"/>
          <w:lang w:val="en-US"/>
        </w:rPr>
        <w:t>of the Indigenous Communities of the Lhaka Honhat (Our Land) Association</w:t>
      </w:r>
      <w:r w:rsidRPr="00954547">
        <w:rPr>
          <w:rFonts w:cs="Arial"/>
          <w:i/>
          <w:iCs/>
          <w:sz w:val="16"/>
          <w:szCs w:val="16"/>
          <w:shd w:val="clear" w:color="auto" w:fill="FFFFFF"/>
          <w:lang w:val="en-US"/>
        </w:rPr>
        <w:t xml:space="preserve"> </w:t>
      </w:r>
      <w:r w:rsidR="009C16A1" w:rsidRPr="00954547">
        <w:rPr>
          <w:rFonts w:cs="Arial"/>
          <w:i/>
          <w:iCs/>
          <w:sz w:val="16"/>
          <w:szCs w:val="16"/>
          <w:shd w:val="clear" w:color="auto" w:fill="FFFFFF"/>
          <w:lang w:val="en-US"/>
        </w:rPr>
        <w:t>v.</w:t>
      </w:r>
      <w:r w:rsidRPr="00954547">
        <w:rPr>
          <w:rFonts w:cs="Arial"/>
          <w:i/>
          <w:iCs/>
          <w:sz w:val="16"/>
          <w:szCs w:val="16"/>
          <w:shd w:val="clear" w:color="auto" w:fill="FFFFFF"/>
          <w:lang w:val="en-US"/>
        </w:rPr>
        <w:t xml:space="preserve"> Argentina, </w:t>
      </w:r>
      <w:r w:rsidR="001E3C8C" w:rsidRPr="00954547">
        <w:rPr>
          <w:rFonts w:cs="Arial"/>
          <w:i/>
          <w:iCs/>
          <w:sz w:val="16"/>
          <w:szCs w:val="16"/>
          <w:shd w:val="clear" w:color="auto" w:fill="FFFFFF"/>
          <w:lang w:val="en-US"/>
        </w:rPr>
        <w:t>of</w:t>
      </w:r>
      <w:r w:rsidRPr="00954547">
        <w:rPr>
          <w:rFonts w:cs="Arial"/>
          <w:i/>
          <w:iCs/>
          <w:sz w:val="16"/>
          <w:szCs w:val="16"/>
          <w:shd w:val="clear" w:color="auto" w:fill="FFFFFF"/>
          <w:lang w:val="en-US"/>
        </w:rPr>
        <w:t xml:space="preserve"> </w:t>
      </w:r>
      <w:r w:rsidR="00BF0AF9" w:rsidRPr="00954547">
        <w:rPr>
          <w:rFonts w:cs="Arial"/>
          <w:i/>
          <w:iCs/>
          <w:sz w:val="16"/>
          <w:szCs w:val="16"/>
          <w:shd w:val="clear" w:color="auto" w:fill="FFFFFF"/>
          <w:lang w:val="en-US"/>
        </w:rPr>
        <w:t>February 6,</w:t>
      </w:r>
      <w:r w:rsidRPr="00954547">
        <w:rPr>
          <w:rFonts w:cs="Arial"/>
          <w:i/>
          <w:iCs/>
          <w:sz w:val="16"/>
          <w:szCs w:val="16"/>
          <w:shd w:val="clear" w:color="auto" w:fill="FFFFFF"/>
          <w:lang w:val="en-US"/>
        </w:rPr>
        <w:t xml:space="preserve"> 2020; </w:t>
      </w:r>
      <w:r w:rsidR="004F613C" w:rsidRPr="00954547">
        <w:rPr>
          <w:rFonts w:eastAsia="Calibri" w:cs="Calibri"/>
          <w:sz w:val="16"/>
          <w:szCs w:val="16"/>
          <w:lang w:val="en-US" w:eastAsia="es-CR"/>
        </w:rPr>
        <w:t>Partially dissenting</w:t>
      </w:r>
      <w:r w:rsidRPr="00954547">
        <w:rPr>
          <w:rFonts w:eastAsia="Calibri" w:cs="Calibri"/>
          <w:sz w:val="16"/>
          <w:szCs w:val="16"/>
          <w:lang w:val="en-US" w:eastAsia="es-CR"/>
        </w:rPr>
        <w:t xml:space="preserve">, </w:t>
      </w:r>
      <w:r w:rsidR="002F4617" w:rsidRPr="00954547">
        <w:rPr>
          <w:rStyle w:val="Strong"/>
          <w:b w:val="0"/>
          <w:bCs w:val="0"/>
          <w:i/>
          <w:sz w:val="16"/>
          <w:szCs w:val="16"/>
          <w:shd w:val="clear" w:color="auto" w:fill="FFFFFF"/>
          <w:lang w:val="en-US"/>
        </w:rPr>
        <w:t>Case of</w:t>
      </w:r>
      <w:r w:rsidRPr="00954547">
        <w:rPr>
          <w:rStyle w:val="Strong"/>
          <w:b w:val="0"/>
          <w:bCs w:val="0"/>
          <w:i/>
          <w:sz w:val="16"/>
          <w:szCs w:val="16"/>
          <w:shd w:val="clear" w:color="auto" w:fill="FFFFFF"/>
          <w:lang w:val="en-US"/>
        </w:rPr>
        <w:t xml:space="preserve"> Hernández </w:t>
      </w:r>
      <w:r w:rsidR="009C16A1" w:rsidRPr="00954547">
        <w:rPr>
          <w:rStyle w:val="Strong"/>
          <w:b w:val="0"/>
          <w:bCs w:val="0"/>
          <w:i/>
          <w:sz w:val="16"/>
          <w:szCs w:val="16"/>
          <w:shd w:val="clear" w:color="auto" w:fill="FFFFFF"/>
          <w:lang w:val="en-US"/>
        </w:rPr>
        <w:t>v.</w:t>
      </w:r>
      <w:r w:rsidRPr="00954547">
        <w:rPr>
          <w:rStyle w:val="Strong"/>
          <w:b w:val="0"/>
          <w:bCs w:val="0"/>
          <w:i/>
          <w:sz w:val="16"/>
          <w:szCs w:val="16"/>
          <w:shd w:val="clear" w:color="auto" w:fill="FFFFFF"/>
          <w:lang w:val="en-US"/>
        </w:rPr>
        <w:t xml:space="preserve"> Argentina,</w:t>
      </w:r>
      <w:r w:rsidRPr="00954547">
        <w:rPr>
          <w:rStyle w:val="Strong"/>
          <w:i/>
          <w:sz w:val="16"/>
          <w:szCs w:val="16"/>
          <w:shd w:val="clear" w:color="auto" w:fill="FFFFFF"/>
          <w:lang w:val="en-US"/>
        </w:rPr>
        <w:t xml:space="preserve"> </w:t>
      </w:r>
      <w:r w:rsidR="004F613C" w:rsidRPr="00954547">
        <w:rPr>
          <w:rFonts w:eastAsia="Calibri" w:cs="Calibri"/>
          <w:iCs/>
          <w:sz w:val="16"/>
          <w:szCs w:val="16"/>
          <w:lang w:val="en-US" w:eastAsia="es-CR"/>
        </w:rPr>
        <w:t>of</w:t>
      </w:r>
      <w:r w:rsidRPr="00954547">
        <w:rPr>
          <w:rFonts w:eastAsia="Calibri" w:cs="Calibri"/>
          <w:iCs/>
          <w:sz w:val="16"/>
          <w:szCs w:val="16"/>
          <w:lang w:val="en-US" w:eastAsia="es-CR"/>
        </w:rPr>
        <w:t xml:space="preserve"> </w:t>
      </w:r>
      <w:r w:rsidR="00BF0AF9" w:rsidRPr="00954547">
        <w:rPr>
          <w:rFonts w:eastAsia="Calibri" w:cs="Calibri"/>
          <w:iCs/>
          <w:sz w:val="16"/>
          <w:szCs w:val="16"/>
          <w:lang w:val="en-US" w:eastAsia="es-CR"/>
        </w:rPr>
        <w:t>November 22,</w:t>
      </w:r>
      <w:r w:rsidRPr="00954547">
        <w:rPr>
          <w:rFonts w:eastAsia="Calibri" w:cs="Calibri"/>
          <w:iCs/>
          <w:sz w:val="16"/>
          <w:szCs w:val="16"/>
          <w:lang w:val="en-US" w:eastAsia="es-CR"/>
        </w:rPr>
        <w:t xml:space="preserve"> 2019;</w:t>
      </w:r>
      <w:r w:rsidRPr="00954547">
        <w:rPr>
          <w:rFonts w:eastAsia="Calibri" w:cs="Calibri"/>
          <w:i/>
          <w:sz w:val="16"/>
          <w:szCs w:val="16"/>
          <w:lang w:val="en-US" w:eastAsia="es-CR"/>
        </w:rPr>
        <w:t xml:space="preserve"> </w:t>
      </w:r>
      <w:r w:rsidR="004F613C" w:rsidRPr="00954547">
        <w:rPr>
          <w:rFonts w:eastAsia="MS Mincho"/>
          <w:sz w:val="16"/>
          <w:szCs w:val="16"/>
          <w:lang w:val="en-US" w:eastAsia="es-ES" w:bidi="en-US"/>
        </w:rPr>
        <w:t>Partially dissenting</w:t>
      </w:r>
      <w:r w:rsidRPr="00954547">
        <w:rPr>
          <w:rFonts w:eastAsia="MS Mincho"/>
          <w:i/>
          <w:sz w:val="16"/>
          <w:szCs w:val="16"/>
          <w:lang w:val="en-US" w:eastAsia="es-ES" w:bidi="en-US"/>
        </w:rPr>
        <w:t xml:space="preserve">, </w:t>
      </w:r>
      <w:r w:rsidR="002F4617" w:rsidRPr="00954547">
        <w:rPr>
          <w:rFonts w:eastAsia="MS Mincho"/>
          <w:i/>
          <w:sz w:val="16"/>
          <w:szCs w:val="16"/>
          <w:lang w:val="en-US" w:eastAsia="es-ES" w:bidi="en-US"/>
        </w:rPr>
        <w:t>Case of</w:t>
      </w:r>
      <w:r w:rsidRPr="00954547">
        <w:rPr>
          <w:rFonts w:eastAsia="MS Mincho"/>
          <w:i/>
          <w:sz w:val="16"/>
          <w:szCs w:val="16"/>
          <w:lang w:val="en-US" w:eastAsia="es-ES" w:bidi="en-US"/>
        </w:rPr>
        <w:t xml:space="preserve"> Muelle Flores </w:t>
      </w:r>
      <w:r w:rsidR="009C16A1" w:rsidRPr="00954547">
        <w:rPr>
          <w:rFonts w:eastAsia="MS Mincho"/>
          <w:i/>
          <w:sz w:val="16"/>
          <w:szCs w:val="16"/>
          <w:lang w:val="en-US" w:eastAsia="es-ES" w:bidi="en-US"/>
        </w:rPr>
        <w:t>v.</w:t>
      </w:r>
      <w:r w:rsidRPr="00954547">
        <w:rPr>
          <w:rFonts w:eastAsia="MS Mincho"/>
          <w:i/>
          <w:sz w:val="16"/>
          <w:szCs w:val="16"/>
          <w:lang w:val="en-US" w:eastAsia="es-ES" w:bidi="en-US"/>
        </w:rPr>
        <w:t xml:space="preserve"> </w:t>
      </w:r>
      <w:r w:rsidR="00C26F0B" w:rsidRPr="00954547">
        <w:rPr>
          <w:rFonts w:eastAsia="MS Mincho"/>
          <w:i/>
          <w:sz w:val="16"/>
          <w:szCs w:val="16"/>
          <w:lang w:val="en-US" w:eastAsia="es-ES" w:bidi="en-US"/>
        </w:rPr>
        <w:t>Peru</w:t>
      </w:r>
      <w:r w:rsidRPr="00954547">
        <w:rPr>
          <w:rFonts w:eastAsia="MS Mincho"/>
          <w:i/>
          <w:sz w:val="16"/>
          <w:szCs w:val="16"/>
          <w:lang w:val="en-US" w:eastAsia="es-ES" w:bidi="en-US"/>
        </w:rPr>
        <w:t>,</w:t>
      </w:r>
      <w:r w:rsidR="000B21CE" w:rsidRPr="00954547">
        <w:rPr>
          <w:rFonts w:eastAsia="MS Mincho"/>
          <w:i/>
          <w:sz w:val="16"/>
          <w:szCs w:val="16"/>
          <w:lang w:val="en-US" w:eastAsia="es-ES" w:bidi="en-US"/>
        </w:rPr>
        <w:t xml:space="preserve"> of </w:t>
      </w:r>
      <w:r w:rsidR="001D4E6E" w:rsidRPr="00954547">
        <w:rPr>
          <w:rFonts w:eastAsia="MS Mincho"/>
          <w:i/>
          <w:sz w:val="16"/>
          <w:szCs w:val="16"/>
          <w:lang w:val="en-US" w:eastAsia="es-ES" w:bidi="en-US"/>
        </w:rPr>
        <w:t>March 6,</w:t>
      </w:r>
      <w:r w:rsidRPr="00954547">
        <w:rPr>
          <w:rFonts w:eastAsia="MS Mincho"/>
          <w:i/>
          <w:sz w:val="16"/>
          <w:szCs w:val="16"/>
          <w:lang w:val="en-US" w:eastAsia="es-ES" w:bidi="en-US"/>
        </w:rPr>
        <w:t xml:space="preserve"> 2019</w:t>
      </w:r>
      <w:r w:rsidRPr="00954547">
        <w:rPr>
          <w:i/>
          <w:sz w:val="16"/>
          <w:szCs w:val="16"/>
          <w:lang w:val="en-US"/>
        </w:rPr>
        <w:t xml:space="preserve">; </w:t>
      </w:r>
      <w:r w:rsidR="004F613C" w:rsidRPr="00954547">
        <w:rPr>
          <w:rFonts w:eastAsia="MS Mincho"/>
          <w:sz w:val="16"/>
          <w:szCs w:val="16"/>
          <w:lang w:val="en-US" w:eastAsia="es-ES" w:bidi="en-US"/>
        </w:rPr>
        <w:t>Partially dissenting</w:t>
      </w:r>
      <w:r w:rsidRPr="00954547">
        <w:rPr>
          <w:rFonts w:eastAsia="MS Mincho"/>
          <w:sz w:val="16"/>
          <w:szCs w:val="16"/>
          <w:lang w:val="en-US" w:eastAsia="es-ES" w:bidi="en-US"/>
        </w:rPr>
        <w:t xml:space="preserve">, </w:t>
      </w:r>
      <w:r w:rsidR="002F4617" w:rsidRPr="00954547">
        <w:rPr>
          <w:rFonts w:eastAsia="MS Mincho"/>
          <w:i/>
          <w:sz w:val="16"/>
          <w:szCs w:val="16"/>
          <w:lang w:val="en-US" w:eastAsia="es-ES" w:bidi="en-US"/>
        </w:rPr>
        <w:t>Case of</w:t>
      </w:r>
      <w:r w:rsidRPr="00954547">
        <w:rPr>
          <w:rFonts w:eastAsia="MS Mincho"/>
          <w:i/>
          <w:sz w:val="16"/>
          <w:szCs w:val="16"/>
          <w:lang w:val="en-US" w:eastAsia="es-ES" w:bidi="en-US"/>
        </w:rPr>
        <w:t xml:space="preserve"> San Miguel </w:t>
      </w:r>
      <w:r w:rsidR="001D4E6E" w:rsidRPr="00954547">
        <w:rPr>
          <w:rFonts w:eastAsia="MS Mincho"/>
          <w:i/>
          <w:sz w:val="16"/>
          <w:szCs w:val="16"/>
          <w:lang w:val="en-US" w:eastAsia="es-ES" w:bidi="en-US"/>
        </w:rPr>
        <w:t>Sosa et al.</w:t>
      </w:r>
      <w:r w:rsidRPr="00954547">
        <w:rPr>
          <w:rFonts w:eastAsia="MS Mincho"/>
          <w:i/>
          <w:sz w:val="16"/>
          <w:szCs w:val="16"/>
          <w:lang w:val="en-US" w:eastAsia="es-ES" w:bidi="en-US"/>
        </w:rPr>
        <w:t xml:space="preserve"> </w:t>
      </w:r>
      <w:r w:rsidR="009C16A1" w:rsidRPr="00954547">
        <w:rPr>
          <w:rFonts w:eastAsia="MS Mincho"/>
          <w:i/>
          <w:sz w:val="16"/>
          <w:szCs w:val="16"/>
          <w:lang w:val="en-US" w:eastAsia="es-ES" w:bidi="en-US"/>
        </w:rPr>
        <w:t>v.</w:t>
      </w:r>
      <w:r w:rsidRPr="00954547">
        <w:rPr>
          <w:rFonts w:eastAsia="MS Mincho"/>
          <w:i/>
          <w:sz w:val="16"/>
          <w:szCs w:val="16"/>
          <w:lang w:val="en-US" w:eastAsia="es-ES" w:bidi="en-US"/>
        </w:rPr>
        <w:t xml:space="preserve"> Venezuela, </w:t>
      </w:r>
      <w:r w:rsidR="000B21CE" w:rsidRPr="00954547">
        <w:rPr>
          <w:rFonts w:eastAsia="MS Mincho"/>
          <w:iCs/>
          <w:sz w:val="16"/>
          <w:szCs w:val="16"/>
          <w:lang w:val="en-US" w:eastAsia="es-ES" w:bidi="en-US"/>
        </w:rPr>
        <w:t>of</w:t>
      </w:r>
      <w:r w:rsidRPr="00954547">
        <w:rPr>
          <w:rFonts w:eastAsia="MS Mincho"/>
          <w:iCs/>
          <w:sz w:val="16"/>
          <w:szCs w:val="16"/>
          <w:lang w:val="en-US" w:eastAsia="es-ES" w:bidi="en-US"/>
        </w:rPr>
        <w:t xml:space="preserve"> </w:t>
      </w:r>
      <w:r w:rsidR="001D4E6E" w:rsidRPr="00954547">
        <w:rPr>
          <w:rFonts w:eastAsia="MS Mincho"/>
          <w:iCs/>
          <w:sz w:val="16"/>
          <w:szCs w:val="16"/>
          <w:lang w:val="en-US" w:eastAsia="es-ES" w:bidi="en-US"/>
        </w:rPr>
        <w:t>February 8,</w:t>
      </w:r>
      <w:r w:rsidRPr="00954547">
        <w:rPr>
          <w:rFonts w:eastAsia="MS Mincho"/>
          <w:iCs/>
          <w:sz w:val="16"/>
          <w:szCs w:val="16"/>
          <w:lang w:val="en-US" w:eastAsia="es-ES" w:bidi="en-US"/>
        </w:rPr>
        <w:t xml:space="preserve"> 2018;</w:t>
      </w:r>
      <w:r w:rsidRPr="00954547">
        <w:rPr>
          <w:rFonts w:eastAsia="MS Mincho"/>
          <w:i/>
          <w:sz w:val="16"/>
          <w:szCs w:val="16"/>
          <w:lang w:val="en-US" w:eastAsia="es-ES" w:bidi="en-US"/>
        </w:rPr>
        <w:t xml:space="preserve"> </w:t>
      </w:r>
      <w:r w:rsidR="004F613C" w:rsidRPr="00954547">
        <w:rPr>
          <w:rFonts w:eastAsia="MS Mincho"/>
          <w:sz w:val="16"/>
          <w:szCs w:val="16"/>
          <w:lang w:val="en-US" w:eastAsia="es-ES" w:bidi="en-US"/>
        </w:rPr>
        <w:t>Partially dissenting</w:t>
      </w:r>
      <w:r w:rsidRPr="00954547">
        <w:rPr>
          <w:rFonts w:eastAsia="MS Mincho"/>
          <w:i/>
          <w:sz w:val="16"/>
          <w:szCs w:val="16"/>
          <w:lang w:val="en-US" w:eastAsia="es-ES" w:bidi="en-US"/>
        </w:rPr>
        <w:t xml:space="preserve">, </w:t>
      </w:r>
      <w:r w:rsidR="002F4617" w:rsidRPr="00954547">
        <w:rPr>
          <w:rFonts w:eastAsia="MS Mincho"/>
          <w:i/>
          <w:sz w:val="16"/>
          <w:szCs w:val="16"/>
          <w:lang w:val="en-US" w:eastAsia="es-ES" w:bidi="en-US"/>
        </w:rPr>
        <w:t>Case of</w:t>
      </w:r>
      <w:r w:rsidRPr="00954547">
        <w:rPr>
          <w:rFonts w:eastAsia="MS Mincho"/>
          <w:i/>
          <w:sz w:val="16"/>
          <w:szCs w:val="16"/>
          <w:lang w:val="en-US" w:eastAsia="es-ES" w:bidi="en-US"/>
        </w:rPr>
        <w:t xml:space="preserve"> Lagos del Campo </w:t>
      </w:r>
      <w:r w:rsidR="009C16A1" w:rsidRPr="00954547">
        <w:rPr>
          <w:rFonts w:eastAsia="MS Mincho"/>
          <w:i/>
          <w:sz w:val="16"/>
          <w:szCs w:val="16"/>
          <w:lang w:val="en-US" w:eastAsia="es-ES" w:bidi="en-US"/>
        </w:rPr>
        <w:t>v.</w:t>
      </w:r>
      <w:r w:rsidRPr="00954547">
        <w:rPr>
          <w:rFonts w:eastAsia="MS Mincho"/>
          <w:i/>
          <w:sz w:val="16"/>
          <w:szCs w:val="16"/>
          <w:lang w:val="en-US" w:eastAsia="es-ES" w:bidi="en-US"/>
        </w:rPr>
        <w:t xml:space="preserve"> </w:t>
      </w:r>
      <w:r w:rsidR="00C26F0B" w:rsidRPr="00954547">
        <w:rPr>
          <w:rFonts w:eastAsia="MS Mincho"/>
          <w:i/>
          <w:sz w:val="16"/>
          <w:szCs w:val="16"/>
          <w:lang w:val="en-US" w:eastAsia="es-ES" w:bidi="en-US"/>
        </w:rPr>
        <w:t>Peru</w:t>
      </w:r>
      <w:r w:rsidRPr="00954547">
        <w:rPr>
          <w:rFonts w:eastAsia="MS Mincho"/>
          <w:i/>
          <w:sz w:val="16"/>
          <w:szCs w:val="16"/>
          <w:lang w:val="en-US" w:eastAsia="es-ES" w:bidi="en-US"/>
        </w:rPr>
        <w:t xml:space="preserve">, </w:t>
      </w:r>
      <w:r w:rsidR="000B21CE" w:rsidRPr="00954547">
        <w:rPr>
          <w:rFonts w:eastAsia="MS Mincho"/>
          <w:iCs/>
          <w:sz w:val="16"/>
          <w:szCs w:val="16"/>
          <w:lang w:val="en-US" w:eastAsia="es-ES" w:bidi="en-US"/>
        </w:rPr>
        <w:t>of</w:t>
      </w:r>
      <w:r w:rsidRPr="00954547">
        <w:rPr>
          <w:rFonts w:eastAsia="MS Mincho"/>
          <w:iCs/>
          <w:sz w:val="16"/>
          <w:szCs w:val="16"/>
          <w:lang w:val="en-US" w:eastAsia="es-ES" w:bidi="en-US"/>
        </w:rPr>
        <w:t xml:space="preserve"> </w:t>
      </w:r>
      <w:r w:rsidR="00BF0AF9" w:rsidRPr="00954547">
        <w:rPr>
          <w:rFonts w:eastAsia="MS Mincho"/>
          <w:iCs/>
          <w:sz w:val="16"/>
          <w:szCs w:val="16"/>
          <w:lang w:val="en-US" w:eastAsia="es-ES" w:bidi="en-US"/>
        </w:rPr>
        <w:t>August 31,</w:t>
      </w:r>
      <w:r w:rsidRPr="00954547">
        <w:rPr>
          <w:rFonts w:eastAsia="MS Mincho"/>
          <w:iCs/>
          <w:sz w:val="16"/>
          <w:szCs w:val="16"/>
          <w:lang w:val="en-US" w:eastAsia="es-ES" w:bidi="en-US"/>
        </w:rPr>
        <w:t xml:space="preserve"> 2017,</w:t>
      </w:r>
      <w:r w:rsidRPr="00954547">
        <w:rPr>
          <w:rFonts w:eastAsia="MS Mincho"/>
          <w:i/>
          <w:sz w:val="16"/>
          <w:szCs w:val="16"/>
          <w:lang w:val="en-US" w:eastAsia="es-ES" w:bidi="en-US"/>
        </w:rPr>
        <w:t xml:space="preserve"> </w:t>
      </w:r>
      <w:r w:rsidR="000B21CE" w:rsidRPr="00954547">
        <w:rPr>
          <w:rFonts w:eastAsia="MS Mincho"/>
          <w:sz w:val="16"/>
          <w:szCs w:val="16"/>
          <w:lang w:val="en-US" w:eastAsia="es-ES" w:bidi="en-US"/>
        </w:rPr>
        <w:t xml:space="preserve">and Separate, </w:t>
      </w:r>
      <w:r w:rsidR="002F4617" w:rsidRPr="00954547">
        <w:rPr>
          <w:rFonts w:eastAsia="MS Mincho"/>
          <w:i/>
          <w:sz w:val="16"/>
          <w:szCs w:val="16"/>
          <w:lang w:val="en-US" w:eastAsia="es-ES" w:bidi="en-US"/>
        </w:rPr>
        <w:t xml:space="preserve">Case </w:t>
      </w:r>
      <w:r w:rsidR="001D4E6E" w:rsidRPr="00954547">
        <w:rPr>
          <w:rFonts w:eastAsia="MS Mincho"/>
          <w:i/>
          <w:sz w:val="16"/>
          <w:szCs w:val="16"/>
          <w:lang w:val="en-US" w:eastAsia="es-ES" w:bidi="en-US"/>
        </w:rPr>
        <w:t>of the Dismissed Employees of</w:t>
      </w:r>
      <w:r w:rsidRPr="00954547">
        <w:rPr>
          <w:rFonts w:eastAsia="MS Mincho"/>
          <w:i/>
          <w:sz w:val="16"/>
          <w:szCs w:val="16"/>
          <w:lang w:val="en-US" w:eastAsia="es-ES" w:bidi="en-US"/>
        </w:rPr>
        <w:t xml:space="preserve"> Petro</w:t>
      </w:r>
      <w:r w:rsidR="00C26F0B" w:rsidRPr="00954547">
        <w:rPr>
          <w:rFonts w:eastAsia="MS Mincho"/>
          <w:i/>
          <w:sz w:val="16"/>
          <w:szCs w:val="16"/>
          <w:lang w:val="en-US" w:eastAsia="es-ES" w:bidi="en-US"/>
        </w:rPr>
        <w:t>Peru</w:t>
      </w:r>
      <w:r w:rsidRPr="00954547">
        <w:rPr>
          <w:rFonts w:eastAsia="MS Mincho"/>
          <w:i/>
          <w:sz w:val="16"/>
          <w:szCs w:val="16"/>
          <w:lang w:val="en-US" w:eastAsia="es-ES" w:bidi="en-US"/>
        </w:rPr>
        <w:t xml:space="preserve"> </w:t>
      </w:r>
      <w:r w:rsidR="00B8393C" w:rsidRPr="00954547">
        <w:rPr>
          <w:rFonts w:eastAsia="MS Mincho"/>
          <w:i/>
          <w:sz w:val="16"/>
          <w:szCs w:val="16"/>
          <w:lang w:val="en-US" w:eastAsia="es-ES" w:bidi="en-US"/>
        </w:rPr>
        <w:t>et al. v.</w:t>
      </w:r>
      <w:r w:rsidRPr="00954547">
        <w:rPr>
          <w:rFonts w:eastAsia="MS Mincho"/>
          <w:i/>
          <w:sz w:val="16"/>
          <w:szCs w:val="16"/>
          <w:lang w:val="en-US" w:eastAsia="es-ES" w:bidi="en-US"/>
        </w:rPr>
        <w:t xml:space="preserve"> </w:t>
      </w:r>
      <w:r w:rsidR="00C26F0B" w:rsidRPr="00954547">
        <w:rPr>
          <w:rFonts w:eastAsia="MS Mincho"/>
          <w:i/>
          <w:sz w:val="16"/>
          <w:szCs w:val="16"/>
          <w:lang w:val="en-US" w:eastAsia="es-ES" w:bidi="en-US"/>
        </w:rPr>
        <w:t>Peru</w:t>
      </w:r>
      <w:r w:rsidRPr="00954547">
        <w:rPr>
          <w:rFonts w:eastAsia="MS Mincho"/>
          <w:i/>
          <w:sz w:val="16"/>
          <w:szCs w:val="16"/>
          <w:lang w:val="en-US" w:eastAsia="es-ES" w:bidi="en-US"/>
        </w:rPr>
        <w:t xml:space="preserve">, </w:t>
      </w:r>
      <w:r w:rsidR="000B21CE" w:rsidRPr="00954547">
        <w:rPr>
          <w:rFonts w:eastAsia="MS Mincho"/>
          <w:iCs/>
          <w:sz w:val="16"/>
          <w:szCs w:val="16"/>
          <w:lang w:val="en-US" w:eastAsia="es-ES" w:bidi="en-US"/>
        </w:rPr>
        <w:t>of</w:t>
      </w:r>
      <w:r w:rsidRPr="00954547">
        <w:rPr>
          <w:rFonts w:eastAsia="MS Mincho"/>
          <w:iCs/>
          <w:sz w:val="16"/>
          <w:szCs w:val="16"/>
          <w:lang w:val="en-US" w:eastAsia="es-ES" w:bidi="en-US"/>
        </w:rPr>
        <w:t xml:space="preserve"> </w:t>
      </w:r>
      <w:r w:rsidR="00BF0AF9" w:rsidRPr="00954547">
        <w:rPr>
          <w:rFonts w:eastAsia="MS Mincho"/>
          <w:iCs/>
          <w:sz w:val="16"/>
          <w:szCs w:val="16"/>
          <w:lang w:val="en-US" w:eastAsia="es-ES" w:bidi="en-US"/>
        </w:rPr>
        <w:t>November 23,</w:t>
      </w:r>
      <w:r w:rsidRPr="00954547">
        <w:rPr>
          <w:rFonts w:eastAsia="MS Mincho"/>
          <w:iCs/>
          <w:sz w:val="16"/>
          <w:szCs w:val="16"/>
          <w:lang w:val="en-US" w:eastAsia="es-ES" w:bidi="en-US"/>
        </w:rPr>
        <w:t xml:space="preserve"> 2017.</w:t>
      </w:r>
    </w:p>
    <w:bookmarkEnd w:id="204"/>
  </w:footnote>
  <w:footnote w:id="469">
    <w:p w14:paraId="2BCFB8D0" w14:textId="3983F6B9" w:rsidR="00A402C7" w:rsidRPr="00954547" w:rsidRDefault="00A402C7" w:rsidP="004F613C">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0B21CE" w:rsidRPr="00954547">
        <w:rPr>
          <w:rFonts w:ascii="Verdana" w:hAnsi="Verdana"/>
          <w:sz w:val="16"/>
          <w:szCs w:val="16"/>
        </w:rPr>
        <w:tab/>
      </w:r>
      <w:r w:rsidR="002F4617" w:rsidRPr="00954547">
        <w:rPr>
          <w:rFonts w:ascii="Verdana" w:hAnsi="Verdana"/>
          <w:bCs/>
          <w:i/>
          <w:sz w:val="16"/>
          <w:szCs w:val="16"/>
        </w:rPr>
        <w:t>Case of</w:t>
      </w:r>
      <w:r w:rsidRPr="00954547">
        <w:rPr>
          <w:rFonts w:ascii="Verdana" w:hAnsi="Verdana"/>
          <w:bCs/>
          <w:i/>
          <w:sz w:val="16"/>
          <w:szCs w:val="16"/>
        </w:rPr>
        <w:t xml:space="preserve"> </w:t>
      </w:r>
      <w:r w:rsidR="001E3C8C" w:rsidRPr="00954547">
        <w:rPr>
          <w:rFonts w:ascii="Verdana" w:hAnsi="Verdana"/>
          <w:bCs/>
          <w:i/>
          <w:color w:val="auto"/>
          <w:sz w:val="16"/>
          <w:szCs w:val="16"/>
        </w:rPr>
        <w:t xml:space="preserve">the Maya Kaqchikel Indigenous Peoples of </w:t>
      </w:r>
      <w:r w:rsidRPr="00954547">
        <w:rPr>
          <w:rFonts w:ascii="Verdana" w:hAnsi="Verdana"/>
          <w:bCs/>
          <w:i/>
          <w:sz w:val="16"/>
          <w:szCs w:val="16"/>
        </w:rPr>
        <w:t xml:space="preserve">Sumpango </w:t>
      </w:r>
      <w:r w:rsidR="00B8393C" w:rsidRPr="00954547">
        <w:rPr>
          <w:rFonts w:ascii="Verdana" w:hAnsi="Verdana"/>
          <w:bCs/>
          <w:i/>
          <w:sz w:val="16"/>
          <w:szCs w:val="16"/>
        </w:rPr>
        <w:t>et al. v.</w:t>
      </w:r>
      <w:r w:rsidRPr="00954547">
        <w:rPr>
          <w:rFonts w:ascii="Verdana" w:hAnsi="Verdana"/>
          <w:bCs/>
          <w:i/>
          <w:sz w:val="16"/>
          <w:szCs w:val="16"/>
        </w:rPr>
        <w:t xml:space="preserve"> Guatemala, </w:t>
      </w:r>
      <w:r w:rsidR="000B21CE" w:rsidRPr="00954547">
        <w:rPr>
          <w:rFonts w:ascii="Verdana" w:hAnsi="Verdana"/>
          <w:bCs/>
          <w:iCs/>
          <w:sz w:val="16"/>
          <w:szCs w:val="16"/>
        </w:rPr>
        <w:t>of October 6,</w:t>
      </w:r>
      <w:r w:rsidRPr="00954547">
        <w:rPr>
          <w:rFonts w:ascii="Verdana" w:hAnsi="Verdana"/>
          <w:bCs/>
          <w:iCs/>
          <w:sz w:val="16"/>
          <w:szCs w:val="16"/>
        </w:rPr>
        <w:t xml:space="preserve"> 2021.</w:t>
      </w:r>
    </w:p>
  </w:footnote>
  <w:footnote w:id="470">
    <w:p w14:paraId="5AF1D9CE" w14:textId="1C5D876B" w:rsidR="00A402C7" w:rsidRPr="00954547" w:rsidRDefault="00A402C7" w:rsidP="004F613C">
      <w:pPr>
        <w:tabs>
          <w:tab w:val="left" w:pos="142"/>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eastAsia="Batang" w:hAnsi="Verdana"/>
          <w:sz w:val="16"/>
          <w:szCs w:val="16"/>
        </w:rPr>
        <w:t xml:space="preserve"> </w:t>
      </w:r>
      <w:r w:rsidR="000B21CE" w:rsidRPr="00954547">
        <w:rPr>
          <w:rFonts w:ascii="Verdana" w:eastAsia="Batang" w:hAnsi="Verdana"/>
          <w:sz w:val="16"/>
          <w:szCs w:val="16"/>
        </w:rPr>
        <w:tab/>
      </w:r>
      <w:r w:rsidRPr="00954547">
        <w:rPr>
          <w:rFonts w:ascii="Verdana" w:eastAsia="Batang" w:hAnsi="Verdana"/>
          <w:sz w:val="16"/>
          <w:szCs w:val="16"/>
        </w:rPr>
        <w:t>Art.</w:t>
      </w:r>
      <w:r w:rsidR="001E3C8C" w:rsidRPr="00954547">
        <w:rPr>
          <w:rFonts w:ascii="Verdana" w:eastAsia="Batang" w:hAnsi="Verdana"/>
          <w:sz w:val="16"/>
          <w:szCs w:val="16"/>
        </w:rPr>
        <w:t xml:space="preserve"> </w:t>
      </w:r>
      <w:r w:rsidRPr="00954547">
        <w:rPr>
          <w:rFonts w:ascii="Verdana" w:eastAsia="Batang" w:hAnsi="Verdana"/>
          <w:sz w:val="16"/>
          <w:szCs w:val="16"/>
        </w:rPr>
        <w:t>1</w:t>
      </w:r>
      <w:r w:rsidR="000B21CE" w:rsidRPr="00954547">
        <w:rPr>
          <w:rFonts w:ascii="Verdana" w:eastAsia="Batang" w:hAnsi="Verdana"/>
          <w:sz w:val="16"/>
          <w:szCs w:val="16"/>
        </w:rPr>
        <w:t>(</w:t>
      </w:r>
      <w:r w:rsidRPr="00954547">
        <w:rPr>
          <w:rFonts w:ascii="Verdana" w:eastAsia="Batang" w:hAnsi="Verdana"/>
          <w:sz w:val="16"/>
          <w:szCs w:val="16"/>
        </w:rPr>
        <w:t>1</w:t>
      </w:r>
      <w:r w:rsidR="001E3C8C" w:rsidRPr="00954547">
        <w:rPr>
          <w:rFonts w:ascii="Verdana" w:eastAsia="Batang" w:hAnsi="Verdana"/>
          <w:sz w:val="16"/>
          <w:szCs w:val="16"/>
        </w:rPr>
        <w:t>)</w:t>
      </w:r>
      <w:r w:rsidRPr="00954547">
        <w:rPr>
          <w:rFonts w:ascii="Verdana" w:eastAsia="Batang" w:hAnsi="Verdana"/>
          <w:sz w:val="16"/>
          <w:szCs w:val="16"/>
        </w:rPr>
        <w:t>:</w:t>
      </w:r>
      <w:r w:rsidR="001E3C8C" w:rsidRPr="00954547">
        <w:rPr>
          <w:rFonts w:ascii="Verdana" w:eastAsia="Batang" w:hAnsi="Verdana"/>
          <w:sz w:val="16"/>
          <w:szCs w:val="16"/>
        </w:rPr>
        <w:t xml:space="preserve"> “Obligation to Respect Rights.</w:t>
      </w:r>
      <w:r w:rsidRPr="00954547">
        <w:rPr>
          <w:rFonts w:ascii="Verdana" w:hAnsi="Verdana"/>
          <w:i/>
          <w:iCs/>
          <w:sz w:val="16"/>
          <w:szCs w:val="16"/>
        </w:rPr>
        <w:t xml:space="preserve"> </w:t>
      </w:r>
      <w:r w:rsidR="001E3C8C" w:rsidRPr="00954547">
        <w:rPr>
          <w:rFonts w:ascii="Verdana" w:hAnsi="Verdana"/>
          <w:spacing w:val="-3"/>
          <w:sz w:val="16"/>
          <w:szCs w:val="16"/>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00FB140D" w:rsidRPr="00954547">
        <w:rPr>
          <w:rFonts w:ascii="Verdana" w:hAnsi="Verdana"/>
          <w:spacing w:val="-3"/>
          <w:sz w:val="16"/>
          <w:szCs w:val="16"/>
        </w:rPr>
        <w:t>”</w:t>
      </w:r>
    </w:p>
    <w:p w14:paraId="0B3D904D" w14:textId="12F5761C" w:rsidR="00A402C7" w:rsidRPr="00954547" w:rsidRDefault="00A402C7" w:rsidP="007619E6">
      <w:pPr>
        <w:spacing w:after="120"/>
        <w:ind w:right="48"/>
        <w:jc w:val="both"/>
        <w:rPr>
          <w:rFonts w:ascii="Verdana" w:hAnsi="Verdana"/>
          <w:i/>
          <w:iCs/>
          <w:sz w:val="16"/>
          <w:szCs w:val="16"/>
        </w:rPr>
      </w:pPr>
      <w:r w:rsidRPr="00954547">
        <w:rPr>
          <w:rFonts w:ascii="Verdana" w:hAnsi="Verdana"/>
          <w:sz w:val="16"/>
          <w:szCs w:val="16"/>
        </w:rPr>
        <w:t>Art.</w:t>
      </w:r>
      <w:r w:rsidR="000B21CE" w:rsidRPr="00954547">
        <w:rPr>
          <w:rFonts w:ascii="Verdana" w:hAnsi="Verdana"/>
          <w:sz w:val="16"/>
          <w:szCs w:val="16"/>
        </w:rPr>
        <w:t xml:space="preserve"> </w:t>
      </w:r>
      <w:r w:rsidRPr="00954547">
        <w:rPr>
          <w:rFonts w:ascii="Verdana" w:hAnsi="Verdana"/>
          <w:sz w:val="16"/>
          <w:szCs w:val="16"/>
        </w:rPr>
        <w:t>22</w:t>
      </w:r>
      <w:r w:rsidR="00FB140D" w:rsidRPr="00954547">
        <w:rPr>
          <w:rFonts w:ascii="Verdana" w:hAnsi="Verdana"/>
          <w:sz w:val="16"/>
          <w:szCs w:val="16"/>
        </w:rPr>
        <w:t>(</w:t>
      </w:r>
      <w:r w:rsidRPr="00954547">
        <w:rPr>
          <w:rFonts w:ascii="Verdana" w:hAnsi="Verdana"/>
          <w:sz w:val="16"/>
          <w:szCs w:val="16"/>
        </w:rPr>
        <w:t>4</w:t>
      </w:r>
      <w:r w:rsidR="00FB140D" w:rsidRPr="00954547">
        <w:rPr>
          <w:rFonts w:ascii="Verdana" w:hAnsi="Verdana"/>
          <w:sz w:val="16"/>
          <w:szCs w:val="16"/>
        </w:rPr>
        <w:t>)</w:t>
      </w:r>
      <w:r w:rsidRPr="00954547">
        <w:rPr>
          <w:rFonts w:ascii="Verdana" w:hAnsi="Verdana"/>
          <w:sz w:val="16"/>
          <w:szCs w:val="16"/>
        </w:rPr>
        <w:t xml:space="preserve">: </w:t>
      </w:r>
      <w:r w:rsidR="00FB140D" w:rsidRPr="00954547">
        <w:rPr>
          <w:rFonts w:ascii="Verdana" w:hAnsi="Verdana"/>
          <w:sz w:val="16"/>
          <w:szCs w:val="16"/>
        </w:rPr>
        <w:t xml:space="preserve">“Freedom of Movement and Residence. </w:t>
      </w:r>
      <w:r w:rsidR="00FB140D" w:rsidRPr="00954547">
        <w:rPr>
          <w:rFonts w:ascii="Verdana" w:hAnsi="Verdana"/>
          <w:spacing w:val="-3"/>
          <w:sz w:val="16"/>
          <w:szCs w:val="16"/>
        </w:rPr>
        <w:t>The exercise of the rights recognized in paragraph 1 may also be restricted by law in designated zones for reasons of public interest.”</w:t>
      </w:r>
    </w:p>
    <w:p w14:paraId="53D592FE" w14:textId="5D190C64" w:rsidR="00A402C7" w:rsidRPr="00954547" w:rsidRDefault="00A402C7" w:rsidP="007619E6">
      <w:pPr>
        <w:spacing w:after="120"/>
        <w:ind w:right="48"/>
        <w:jc w:val="both"/>
        <w:rPr>
          <w:rFonts w:ascii="Verdana" w:hAnsi="Verdana"/>
          <w:i/>
          <w:iCs/>
          <w:sz w:val="16"/>
          <w:szCs w:val="16"/>
        </w:rPr>
      </w:pPr>
      <w:r w:rsidRPr="00954547">
        <w:rPr>
          <w:rFonts w:ascii="Verdana" w:hAnsi="Verdana"/>
          <w:sz w:val="16"/>
          <w:szCs w:val="16"/>
        </w:rPr>
        <w:t>Art.</w:t>
      </w:r>
      <w:r w:rsidR="000B21CE" w:rsidRPr="00954547">
        <w:rPr>
          <w:rFonts w:ascii="Verdana" w:hAnsi="Verdana"/>
          <w:sz w:val="16"/>
          <w:szCs w:val="16"/>
        </w:rPr>
        <w:t xml:space="preserve"> </w:t>
      </w:r>
      <w:r w:rsidR="00A17F8C" w:rsidRPr="00954547">
        <w:rPr>
          <w:rFonts w:ascii="Verdana" w:hAnsi="Verdana"/>
          <w:sz w:val="16"/>
          <w:szCs w:val="16"/>
        </w:rPr>
        <w:t>25(1)</w:t>
      </w:r>
      <w:r w:rsidR="00FB140D" w:rsidRPr="00954547">
        <w:rPr>
          <w:rFonts w:ascii="Verdana" w:hAnsi="Verdana"/>
          <w:sz w:val="16"/>
          <w:szCs w:val="16"/>
        </w:rPr>
        <w:t>: “</w:t>
      </w:r>
      <w:r w:rsidR="00FB140D" w:rsidRPr="00954547">
        <w:rPr>
          <w:rFonts w:ascii="Verdana" w:hAnsi="Verdana"/>
          <w:spacing w:val="-3"/>
          <w:sz w:val="16"/>
          <w:szCs w:val="16"/>
        </w:rPr>
        <w:t>Right to Judicial Protection.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14:paraId="4374FCE1" w14:textId="2F7DD7ED" w:rsidR="00A402C7" w:rsidRPr="00954547" w:rsidRDefault="00A402C7" w:rsidP="007619E6">
      <w:pPr>
        <w:spacing w:after="120"/>
        <w:ind w:right="48"/>
        <w:jc w:val="both"/>
        <w:rPr>
          <w:rFonts w:ascii="Verdana" w:hAnsi="Verdana"/>
          <w:i/>
          <w:iCs/>
          <w:sz w:val="16"/>
          <w:szCs w:val="16"/>
        </w:rPr>
      </w:pPr>
      <w:r w:rsidRPr="00954547">
        <w:rPr>
          <w:rFonts w:ascii="Verdana" w:hAnsi="Verdana"/>
          <w:sz w:val="16"/>
          <w:szCs w:val="16"/>
        </w:rPr>
        <w:t>Art.</w:t>
      </w:r>
      <w:r w:rsidR="000B21CE" w:rsidRPr="00954547">
        <w:rPr>
          <w:rFonts w:ascii="Verdana" w:hAnsi="Verdana"/>
          <w:sz w:val="16"/>
          <w:szCs w:val="16"/>
        </w:rPr>
        <w:t xml:space="preserve"> </w:t>
      </w:r>
      <w:r w:rsidRPr="00954547">
        <w:rPr>
          <w:rFonts w:ascii="Verdana" w:hAnsi="Verdana"/>
          <w:sz w:val="16"/>
          <w:szCs w:val="16"/>
        </w:rPr>
        <w:t>29</w:t>
      </w:r>
      <w:r w:rsidR="000B21CE" w:rsidRPr="00954547">
        <w:rPr>
          <w:rFonts w:ascii="Verdana" w:hAnsi="Verdana"/>
          <w:sz w:val="16"/>
          <w:szCs w:val="16"/>
        </w:rPr>
        <w:t>(</w:t>
      </w:r>
      <w:r w:rsidRPr="00954547">
        <w:rPr>
          <w:rFonts w:ascii="Verdana" w:hAnsi="Verdana"/>
          <w:sz w:val="16"/>
          <w:szCs w:val="16"/>
        </w:rPr>
        <w:t>a</w:t>
      </w:r>
      <w:r w:rsidRPr="00954547">
        <w:rPr>
          <w:rFonts w:ascii="Verdana" w:hAnsi="Verdana"/>
          <w:i/>
          <w:iCs/>
          <w:sz w:val="16"/>
          <w:szCs w:val="16"/>
        </w:rPr>
        <w:t>)</w:t>
      </w:r>
      <w:r w:rsidR="00FB140D" w:rsidRPr="00954547">
        <w:rPr>
          <w:rFonts w:ascii="Verdana" w:hAnsi="Verdana"/>
          <w:sz w:val="16"/>
          <w:szCs w:val="16"/>
        </w:rPr>
        <w:t>””Restrictions regarding Interpretation. No provision of this Convention shall be interpreted as</w:t>
      </w:r>
      <w:r w:rsidRPr="00954547">
        <w:rPr>
          <w:rFonts w:ascii="Verdana" w:hAnsi="Verdana"/>
          <w:i/>
          <w:iCs/>
          <w:sz w:val="16"/>
          <w:szCs w:val="16"/>
        </w:rPr>
        <w:t>:</w:t>
      </w:r>
      <w:r w:rsidR="00FB140D" w:rsidRPr="00954547">
        <w:rPr>
          <w:rFonts w:ascii="Verdana" w:hAnsi="Verdana"/>
          <w:i/>
          <w:iCs/>
          <w:sz w:val="16"/>
          <w:szCs w:val="16"/>
        </w:rPr>
        <w:t xml:space="preserve"> </w:t>
      </w:r>
      <w:r w:rsidR="00FB140D" w:rsidRPr="00954547">
        <w:rPr>
          <w:rFonts w:ascii="Verdana" w:hAnsi="Verdana"/>
          <w:spacing w:val="-3"/>
          <w:sz w:val="16"/>
          <w:szCs w:val="16"/>
        </w:rPr>
        <w:t>permitting any State Party, group, or person to suppress the enjoyment or exercise of the rights and freedoms recognized in this Convention or to restrict them to a greater extent than is provided for herein.</w:t>
      </w:r>
      <w:r w:rsidRPr="00954547">
        <w:rPr>
          <w:rFonts w:ascii="Verdana" w:hAnsi="Verdana"/>
          <w:i/>
          <w:iCs/>
          <w:sz w:val="16"/>
          <w:szCs w:val="16"/>
        </w:rPr>
        <w:t>”</w:t>
      </w:r>
    </w:p>
    <w:p w14:paraId="7A161F13" w14:textId="2B1EC1A8" w:rsidR="00A402C7" w:rsidRPr="00954547" w:rsidRDefault="00A402C7" w:rsidP="007619E6">
      <w:pPr>
        <w:spacing w:after="120"/>
        <w:ind w:right="48"/>
        <w:jc w:val="both"/>
        <w:rPr>
          <w:rFonts w:ascii="Verdana" w:hAnsi="Verdana"/>
          <w:i/>
          <w:iCs/>
          <w:sz w:val="16"/>
          <w:szCs w:val="16"/>
        </w:rPr>
      </w:pPr>
      <w:r w:rsidRPr="00954547">
        <w:rPr>
          <w:rFonts w:ascii="Verdana" w:hAnsi="Verdana"/>
          <w:sz w:val="16"/>
          <w:szCs w:val="16"/>
        </w:rPr>
        <w:t>Art.</w:t>
      </w:r>
      <w:r w:rsidR="000B21CE" w:rsidRPr="00954547">
        <w:rPr>
          <w:rFonts w:ascii="Verdana" w:hAnsi="Verdana"/>
          <w:sz w:val="16"/>
          <w:szCs w:val="16"/>
        </w:rPr>
        <w:t xml:space="preserve"> </w:t>
      </w:r>
      <w:r w:rsidRPr="00954547">
        <w:rPr>
          <w:rFonts w:ascii="Verdana" w:hAnsi="Verdana"/>
          <w:sz w:val="16"/>
          <w:szCs w:val="16"/>
        </w:rPr>
        <w:t>30:</w:t>
      </w:r>
      <w:r w:rsidR="00FB140D" w:rsidRPr="00954547">
        <w:rPr>
          <w:rFonts w:ascii="Verdana" w:hAnsi="Verdana"/>
          <w:sz w:val="16"/>
          <w:szCs w:val="16"/>
        </w:rPr>
        <w:t xml:space="preserve"> “Scope of Restrictions. </w:t>
      </w:r>
      <w:r w:rsidR="00FB140D" w:rsidRPr="00954547">
        <w:rPr>
          <w:rFonts w:ascii="Verdana" w:hAnsi="Verdana"/>
          <w:spacing w:val="-3"/>
          <w:sz w:val="16"/>
          <w:szCs w:val="16"/>
        </w:rPr>
        <w:t>The restrictions that, pursuant to this Convention, may be placed on the enjoyment or exercise of the rights or freedoms recognized herein may not be applied except in accordance with laws enacted for reasons of general interest and in accordance with the purpose for which such restrictions have been established.”</w:t>
      </w:r>
    </w:p>
    <w:p w14:paraId="1AB29126" w14:textId="3831F079" w:rsidR="00FB140D" w:rsidRPr="00954547" w:rsidRDefault="00A402C7" w:rsidP="00FB140D">
      <w:pPr>
        <w:tabs>
          <w:tab w:val="left" w:pos="480"/>
          <w:tab w:val="left" w:pos="1080"/>
          <w:tab w:val="left" w:pos="1680"/>
          <w:tab w:val="left" w:pos="5400"/>
        </w:tabs>
        <w:suppressAutoHyphens/>
        <w:jc w:val="both"/>
        <w:rPr>
          <w:rFonts w:ascii="Verdana" w:hAnsi="Verdana"/>
          <w:spacing w:val="-3"/>
          <w:sz w:val="16"/>
          <w:szCs w:val="16"/>
        </w:rPr>
      </w:pPr>
      <w:r w:rsidRPr="00954547">
        <w:rPr>
          <w:rFonts w:ascii="Verdana" w:hAnsi="Verdana"/>
          <w:sz w:val="16"/>
          <w:szCs w:val="16"/>
        </w:rPr>
        <w:t xml:space="preserve">Art.31: </w:t>
      </w:r>
      <w:r w:rsidR="00FB140D" w:rsidRPr="00954547">
        <w:rPr>
          <w:rFonts w:ascii="Verdana" w:hAnsi="Verdana"/>
          <w:sz w:val="16"/>
          <w:szCs w:val="16"/>
        </w:rPr>
        <w:t xml:space="preserve">“Recognition of Other Rights. </w:t>
      </w:r>
      <w:r w:rsidR="00FB140D" w:rsidRPr="00954547">
        <w:rPr>
          <w:rFonts w:ascii="Verdana" w:hAnsi="Verdana"/>
          <w:spacing w:val="-3"/>
          <w:sz w:val="16"/>
          <w:szCs w:val="16"/>
        </w:rPr>
        <w:t>Other rights and freedoms recognized in accordance with the procedures established in Articles 76 and 77 may be included in the system of protection of this Convention.”</w:t>
      </w:r>
    </w:p>
    <w:p w14:paraId="17F4500B" w14:textId="53CBB8B5" w:rsidR="00A402C7" w:rsidRPr="00954547" w:rsidRDefault="00FB140D" w:rsidP="00B87F06">
      <w:pPr>
        <w:spacing w:after="120"/>
        <w:ind w:right="45"/>
        <w:jc w:val="both"/>
        <w:rPr>
          <w:rFonts w:ascii="Verdana" w:hAnsi="Verdana"/>
          <w:sz w:val="16"/>
          <w:szCs w:val="16"/>
        </w:rPr>
      </w:pPr>
      <w:r w:rsidRPr="00954547">
        <w:rPr>
          <w:rFonts w:ascii="Verdana" w:hAnsi="Verdana"/>
          <w:sz w:val="16"/>
          <w:szCs w:val="16"/>
        </w:rPr>
        <w:t>Art.48(1)(f): “When the Commission receives a petition or communication alleging violation of any of the rights protected by this Convention, it shall proceed as follows: … (f)  The Commission shall place itself at the disposal of the parties concerned with a view to reaching a friendly settlement of the matter on the basis of respect for the human rights recognized in this Convention.”</w:t>
      </w:r>
    </w:p>
  </w:footnote>
  <w:footnote w:id="471">
    <w:p w14:paraId="12AF734A" w14:textId="48CEB60F" w:rsidR="00A402C7" w:rsidRPr="00954547" w:rsidRDefault="00A402C7" w:rsidP="00E441DB">
      <w:pPr>
        <w:pStyle w:val="FootnoteText"/>
        <w:spacing w:after="120"/>
        <w:ind w:right="45"/>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004F613C" w:rsidRPr="00954547">
        <w:rPr>
          <w:rFonts w:ascii="Verdana" w:hAnsi="Verdana"/>
          <w:sz w:val="16"/>
          <w:szCs w:val="16"/>
          <w:vertAlign w:val="superscript"/>
        </w:rPr>
        <w:tab/>
      </w:r>
      <w:r w:rsidR="00B87F06" w:rsidRPr="00954547">
        <w:rPr>
          <w:rFonts w:ascii="Verdana" w:hAnsi="Verdana"/>
          <w:sz w:val="16"/>
          <w:szCs w:val="16"/>
        </w:rPr>
        <w:t>Art. 45(1): “Any State Party may, when it deposits its instrument of ratification of or adherence to this Convention, or at any later time, declare that it recognizes the competence of the Commission to receive and examine communications in which a State Party alleges that another State Party has committed a violation of a human right set forth in this Convention.”</w:t>
      </w:r>
    </w:p>
  </w:footnote>
  <w:footnote w:id="472">
    <w:p w14:paraId="6FE6A7AF" w14:textId="456B9DC6" w:rsidR="00A402C7" w:rsidRPr="00954547" w:rsidRDefault="00A402C7" w:rsidP="00B87F06">
      <w:pPr>
        <w:pStyle w:val="FootnoteText"/>
        <w:tabs>
          <w:tab w:val="left" w:pos="540"/>
        </w:tabs>
        <w:spacing w:after="120"/>
        <w:ind w:right="48"/>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004F613C" w:rsidRPr="00954547">
        <w:rPr>
          <w:rFonts w:ascii="Verdana" w:hAnsi="Verdana"/>
          <w:sz w:val="16"/>
          <w:szCs w:val="16"/>
          <w:vertAlign w:val="superscript"/>
        </w:rPr>
        <w:tab/>
      </w:r>
      <w:r w:rsidR="00B87F06" w:rsidRPr="00954547">
        <w:rPr>
          <w:rFonts w:ascii="Verdana" w:hAnsi="Verdana"/>
          <w:sz w:val="16"/>
          <w:szCs w:val="16"/>
        </w:rPr>
        <w:t>Art. 47(b) “The Commission shall consider inadmissible any petition or communication submitted under Articles 44 or 45 if: … the petition or communication does not state facts that tend to establish a violation of the rights guaranteed by this Convention.”</w:t>
      </w:r>
    </w:p>
  </w:footnote>
  <w:footnote w:id="473">
    <w:p w14:paraId="7EBBE18D" w14:textId="137A77CB" w:rsidR="00A402C7" w:rsidRPr="00954547" w:rsidRDefault="00A402C7" w:rsidP="004F613C">
      <w:pPr>
        <w:pStyle w:val="FootnoteText"/>
        <w:tabs>
          <w:tab w:val="left" w:pos="540"/>
        </w:tabs>
        <w:spacing w:after="120"/>
        <w:ind w:right="454"/>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004F613C" w:rsidRPr="00954547">
        <w:rPr>
          <w:rFonts w:ascii="Verdana" w:hAnsi="Verdana"/>
          <w:sz w:val="16"/>
          <w:szCs w:val="16"/>
          <w:vertAlign w:val="superscript"/>
        </w:rPr>
        <w:tab/>
      </w:r>
      <w:r w:rsidRPr="00954547">
        <w:rPr>
          <w:rFonts w:ascii="Verdana" w:hAnsi="Verdana"/>
          <w:i/>
          <w:iCs/>
          <w:sz w:val="16"/>
          <w:szCs w:val="16"/>
        </w:rPr>
        <w:t xml:space="preserve">Supra </w:t>
      </w:r>
      <w:r w:rsidR="00521777" w:rsidRPr="00954547">
        <w:rPr>
          <w:rFonts w:ascii="Verdana" w:hAnsi="Verdana"/>
          <w:sz w:val="16"/>
          <w:szCs w:val="16"/>
        </w:rPr>
        <w:t>footnote</w:t>
      </w:r>
      <w:r w:rsidRPr="00954547">
        <w:rPr>
          <w:rFonts w:ascii="Verdana" w:hAnsi="Verdana"/>
          <w:sz w:val="16"/>
          <w:szCs w:val="16"/>
        </w:rPr>
        <w:t xml:space="preserve"> 10, art.4</w:t>
      </w:r>
      <w:r w:rsidR="00A17F8C" w:rsidRPr="00954547">
        <w:rPr>
          <w:rFonts w:ascii="Verdana" w:hAnsi="Verdana"/>
          <w:sz w:val="16"/>
          <w:szCs w:val="16"/>
        </w:rPr>
        <w:t>8(1)</w:t>
      </w:r>
      <w:r w:rsidR="004F613C" w:rsidRPr="00954547">
        <w:rPr>
          <w:rFonts w:ascii="Verdana" w:hAnsi="Verdana"/>
          <w:sz w:val="16"/>
          <w:szCs w:val="16"/>
        </w:rPr>
        <w:t>(</w:t>
      </w:r>
      <w:r w:rsidRPr="00954547">
        <w:rPr>
          <w:rFonts w:ascii="Verdana" w:hAnsi="Verdana"/>
          <w:sz w:val="16"/>
          <w:szCs w:val="16"/>
        </w:rPr>
        <w:t>f).</w:t>
      </w:r>
    </w:p>
  </w:footnote>
  <w:footnote w:id="474">
    <w:p w14:paraId="08C8DD88" w14:textId="3C27DC6E" w:rsidR="00A402C7" w:rsidRPr="00954547" w:rsidRDefault="00A402C7" w:rsidP="004F613C">
      <w:pPr>
        <w:tabs>
          <w:tab w:val="left" w:pos="540"/>
        </w:tabs>
        <w:spacing w:after="120"/>
        <w:ind w:right="48"/>
        <w:jc w:val="both"/>
        <w:rPr>
          <w:rFonts w:ascii="Verdana" w:hAnsi="Verdana"/>
          <w:sz w:val="16"/>
          <w:szCs w:val="16"/>
        </w:rPr>
      </w:pPr>
      <w:r w:rsidRPr="00954547">
        <w:rPr>
          <w:rStyle w:val="FootnoteReference"/>
          <w:rFonts w:ascii="Verdana" w:hAnsi="Verdana"/>
          <w:sz w:val="16"/>
          <w:szCs w:val="16"/>
        </w:rPr>
        <w:footnoteRef/>
      </w:r>
      <w:r w:rsidRPr="00954547">
        <w:rPr>
          <w:rFonts w:ascii="Verdana" w:eastAsia="Batang" w:hAnsi="Verdana"/>
          <w:sz w:val="16"/>
          <w:szCs w:val="16"/>
        </w:rPr>
        <w:t xml:space="preserve"> </w:t>
      </w:r>
      <w:r w:rsidR="004F613C" w:rsidRPr="00954547">
        <w:rPr>
          <w:rFonts w:ascii="Verdana" w:eastAsia="Batang" w:hAnsi="Verdana"/>
          <w:sz w:val="16"/>
          <w:szCs w:val="16"/>
        </w:rPr>
        <w:tab/>
      </w:r>
      <w:r w:rsidRPr="00954547">
        <w:rPr>
          <w:rFonts w:ascii="Verdana" w:eastAsia="Batang" w:hAnsi="Verdana"/>
          <w:sz w:val="16"/>
          <w:szCs w:val="16"/>
        </w:rPr>
        <w:t>Art.</w:t>
      </w:r>
      <w:r w:rsidR="00A17F8C" w:rsidRPr="00954547">
        <w:rPr>
          <w:rFonts w:ascii="Verdana" w:eastAsia="Batang" w:hAnsi="Verdana"/>
          <w:sz w:val="16"/>
          <w:szCs w:val="16"/>
        </w:rPr>
        <w:t>4(1)</w:t>
      </w:r>
      <w:r w:rsidRPr="00954547">
        <w:rPr>
          <w:rFonts w:ascii="Verdana" w:eastAsia="Batang" w:hAnsi="Verdana"/>
          <w:sz w:val="16"/>
          <w:szCs w:val="16"/>
        </w:rPr>
        <w:t>: “</w:t>
      </w:r>
      <w:r w:rsidR="004F613C" w:rsidRPr="00954547">
        <w:rPr>
          <w:rFonts w:ascii="Verdana" w:hAnsi="Verdana"/>
          <w:sz w:val="16"/>
          <w:szCs w:val="16"/>
        </w:rPr>
        <w:t>Right to Life.</w:t>
      </w:r>
      <w:r w:rsidRPr="00954547">
        <w:rPr>
          <w:rFonts w:ascii="Verdana" w:hAnsi="Verdana"/>
          <w:sz w:val="16"/>
          <w:szCs w:val="16"/>
        </w:rPr>
        <w:t xml:space="preserve"> </w:t>
      </w:r>
      <w:r w:rsidR="00B87F06" w:rsidRPr="00954547">
        <w:rPr>
          <w:rFonts w:ascii="Verdana" w:hAnsi="Verdana"/>
          <w:spacing w:val="-3"/>
          <w:sz w:val="16"/>
          <w:szCs w:val="16"/>
        </w:rPr>
        <w:t>Every person has the right to have his life respected.  This right shall be protected by law and, in general, from the moment of conception.  No one shall be arbitrarily deprived of his life.”</w:t>
      </w:r>
    </w:p>
    <w:p w14:paraId="1CE74EE6" w14:textId="64D575C0" w:rsidR="00A402C7" w:rsidRPr="00954547" w:rsidRDefault="00A402C7" w:rsidP="00B87F06">
      <w:pPr>
        <w:spacing w:after="120"/>
        <w:ind w:right="44"/>
        <w:jc w:val="both"/>
        <w:rPr>
          <w:rFonts w:ascii="Verdana" w:hAnsi="Verdana"/>
          <w:sz w:val="16"/>
          <w:szCs w:val="16"/>
        </w:rPr>
      </w:pPr>
      <w:r w:rsidRPr="00954547">
        <w:rPr>
          <w:rFonts w:ascii="Verdana" w:hAnsi="Verdana"/>
          <w:sz w:val="16"/>
          <w:szCs w:val="16"/>
        </w:rPr>
        <w:t>Art. 63</w:t>
      </w:r>
      <w:r w:rsidR="004F613C" w:rsidRPr="00954547">
        <w:rPr>
          <w:rFonts w:ascii="Verdana" w:hAnsi="Verdana"/>
          <w:sz w:val="16"/>
          <w:szCs w:val="16"/>
        </w:rPr>
        <w:t>(</w:t>
      </w:r>
      <w:r w:rsidRPr="00954547">
        <w:rPr>
          <w:rFonts w:ascii="Verdana" w:hAnsi="Verdana"/>
          <w:sz w:val="16"/>
          <w:szCs w:val="16"/>
        </w:rPr>
        <w:t>1</w:t>
      </w:r>
      <w:r w:rsidR="004F613C" w:rsidRPr="00954547">
        <w:rPr>
          <w:rFonts w:ascii="Verdana" w:hAnsi="Verdana"/>
          <w:sz w:val="16"/>
          <w:szCs w:val="16"/>
        </w:rPr>
        <w:t>)</w:t>
      </w:r>
      <w:r w:rsidRPr="00954547">
        <w:rPr>
          <w:rFonts w:ascii="Verdana" w:hAnsi="Verdana"/>
          <w:sz w:val="16"/>
          <w:szCs w:val="16"/>
        </w:rPr>
        <w:t>:</w:t>
      </w:r>
      <w:r w:rsidRPr="00954547">
        <w:rPr>
          <w:rFonts w:ascii="Verdana" w:hAnsi="Verdana"/>
          <w:i/>
          <w:iCs/>
          <w:sz w:val="16"/>
          <w:szCs w:val="16"/>
        </w:rPr>
        <w:t xml:space="preserve"> “</w:t>
      </w:r>
      <w:r w:rsidR="00B87F06" w:rsidRPr="00954547">
        <w:rPr>
          <w:rFonts w:ascii="Verdana" w:hAnsi="Verdana"/>
          <w:sz w:val="16"/>
          <w:szCs w:val="16"/>
        </w:rPr>
        <w:t>Art. 63(1): “If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p>
  </w:footnote>
  <w:footnote w:id="475">
    <w:p w14:paraId="26686330" w14:textId="0047983C" w:rsidR="00A402C7" w:rsidRPr="00954547" w:rsidRDefault="00A402C7" w:rsidP="004F613C">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004F613C" w:rsidRPr="00954547">
        <w:rPr>
          <w:rFonts w:ascii="Verdana" w:hAnsi="Verdana"/>
          <w:sz w:val="16"/>
          <w:szCs w:val="16"/>
          <w:vertAlign w:val="superscript"/>
        </w:rPr>
        <w:tab/>
      </w:r>
      <w:r w:rsidR="00A42A4C" w:rsidRPr="00954547">
        <w:rPr>
          <w:rFonts w:ascii="Verdana" w:hAnsi="Verdana"/>
          <w:sz w:val="16"/>
          <w:szCs w:val="16"/>
        </w:rPr>
        <w:t>Hereinafter</w:t>
      </w:r>
      <w:r w:rsidRPr="00954547">
        <w:rPr>
          <w:rFonts w:ascii="Verdana" w:hAnsi="Verdana"/>
          <w:sz w:val="16"/>
          <w:szCs w:val="16"/>
        </w:rPr>
        <w:t xml:space="preserve">, </w:t>
      </w:r>
      <w:r w:rsidR="004F613C" w:rsidRPr="00954547">
        <w:rPr>
          <w:rFonts w:ascii="Verdana" w:hAnsi="Verdana"/>
          <w:sz w:val="16"/>
          <w:szCs w:val="16"/>
        </w:rPr>
        <w:t>the OAS.</w:t>
      </w:r>
    </w:p>
  </w:footnote>
  <w:footnote w:id="476">
    <w:p w14:paraId="0DB1F88A" w14:textId="55A7E167" w:rsidR="00A402C7" w:rsidRPr="00954547" w:rsidRDefault="00A402C7" w:rsidP="004F613C">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4F613C" w:rsidRPr="00954547">
        <w:rPr>
          <w:rFonts w:ascii="Verdana" w:hAnsi="Verdana"/>
          <w:sz w:val="16"/>
          <w:szCs w:val="16"/>
        </w:rPr>
        <w:tab/>
      </w:r>
      <w:r w:rsidRPr="00954547">
        <w:rPr>
          <w:rFonts w:ascii="Verdana" w:hAnsi="Verdana"/>
          <w:sz w:val="16"/>
          <w:szCs w:val="16"/>
        </w:rPr>
        <w:t>Art. 34.</w:t>
      </w:r>
    </w:p>
  </w:footnote>
  <w:footnote w:id="477">
    <w:p w14:paraId="7F988046" w14:textId="23261657" w:rsidR="00A402C7" w:rsidRPr="00954547" w:rsidRDefault="00A402C7" w:rsidP="004F613C">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4F613C" w:rsidRPr="00954547">
        <w:rPr>
          <w:rFonts w:ascii="Verdana" w:hAnsi="Verdana"/>
          <w:sz w:val="16"/>
          <w:szCs w:val="16"/>
        </w:rPr>
        <w:tab/>
      </w:r>
      <w:r w:rsidRPr="00954547">
        <w:rPr>
          <w:rFonts w:ascii="Verdana" w:hAnsi="Verdana"/>
          <w:sz w:val="16"/>
          <w:szCs w:val="16"/>
        </w:rPr>
        <w:t>Art. 45</w:t>
      </w:r>
      <w:r w:rsidR="00B87F06" w:rsidRPr="00954547">
        <w:rPr>
          <w:rFonts w:ascii="Verdana" w:hAnsi="Verdana"/>
          <w:sz w:val="16"/>
          <w:szCs w:val="16"/>
        </w:rPr>
        <w:t>(</w:t>
      </w:r>
      <w:r w:rsidRPr="00954547">
        <w:rPr>
          <w:rFonts w:ascii="Verdana" w:hAnsi="Verdana"/>
          <w:sz w:val="16"/>
          <w:szCs w:val="16"/>
        </w:rPr>
        <w:t>f</w:t>
      </w:r>
      <w:r w:rsidR="00B87F06" w:rsidRPr="00954547">
        <w:rPr>
          <w:rFonts w:ascii="Verdana" w:hAnsi="Verdana"/>
          <w:sz w:val="16"/>
          <w:szCs w:val="16"/>
        </w:rPr>
        <w:t>)</w:t>
      </w:r>
      <w:r w:rsidRPr="00954547">
        <w:rPr>
          <w:rFonts w:ascii="Verdana" w:hAnsi="Verdana"/>
          <w:sz w:val="16"/>
          <w:szCs w:val="16"/>
        </w:rPr>
        <w:t>.</w:t>
      </w:r>
    </w:p>
  </w:footnote>
  <w:footnote w:id="478">
    <w:p w14:paraId="187DFBD6" w14:textId="3A40A758" w:rsidR="00A402C7" w:rsidRPr="00954547" w:rsidRDefault="00A402C7" w:rsidP="004F613C">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4F613C" w:rsidRPr="00954547">
        <w:rPr>
          <w:rFonts w:ascii="Verdana" w:hAnsi="Verdana"/>
          <w:sz w:val="16"/>
          <w:szCs w:val="16"/>
        </w:rPr>
        <w:tab/>
      </w:r>
      <w:r w:rsidR="00B10E5A" w:rsidRPr="00954547">
        <w:rPr>
          <w:rFonts w:ascii="Verdana" w:hAnsi="Verdana"/>
          <w:sz w:val="16"/>
          <w:szCs w:val="16"/>
        </w:rPr>
        <w:t>Para.</w:t>
      </w:r>
      <w:r w:rsidR="004F613C" w:rsidRPr="00954547">
        <w:rPr>
          <w:rFonts w:ascii="Verdana" w:hAnsi="Verdana"/>
          <w:sz w:val="16"/>
          <w:szCs w:val="16"/>
        </w:rPr>
        <w:t xml:space="preserve"> </w:t>
      </w:r>
      <w:r w:rsidRPr="00954547">
        <w:rPr>
          <w:rFonts w:ascii="Verdana" w:hAnsi="Verdana"/>
          <w:sz w:val="16"/>
          <w:szCs w:val="16"/>
        </w:rPr>
        <w:t xml:space="preserve">3 </w:t>
      </w:r>
      <w:r w:rsidR="004F613C" w:rsidRPr="00954547">
        <w:rPr>
          <w:rFonts w:ascii="Verdana" w:hAnsi="Verdana"/>
          <w:sz w:val="16"/>
          <w:szCs w:val="16"/>
        </w:rPr>
        <w:t>of the Preamble</w:t>
      </w:r>
      <w:r w:rsidRPr="00954547">
        <w:rPr>
          <w:rFonts w:ascii="Verdana" w:hAnsi="Verdana"/>
          <w:sz w:val="16"/>
          <w:szCs w:val="16"/>
        </w:rPr>
        <w:t xml:space="preserve"> </w:t>
      </w:r>
      <w:r w:rsidR="005E0FD1" w:rsidRPr="00954547">
        <w:rPr>
          <w:rFonts w:ascii="Verdana" w:hAnsi="Verdana"/>
          <w:sz w:val="16"/>
          <w:szCs w:val="16"/>
        </w:rPr>
        <w:t>of the Convention</w:t>
      </w:r>
      <w:r w:rsidRPr="00954547">
        <w:rPr>
          <w:rFonts w:ascii="Verdana" w:hAnsi="Verdana"/>
          <w:sz w:val="16"/>
          <w:szCs w:val="16"/>
        </w:rPr>
        <w:t>.</w:t>
      </w:r>
    </w:p>
  </w:footnote>
  <w:footnote w:id="479">
    <w:p w14:paraId="343304B4" w14:textId="3F98E344" w:rsidR="00A402C7" w:rsidRPr="00954547" w:rsidRDefault="00A402C7" w:rsidP="004F613C">
      <w:pPr>
        <w:pStyle w:val="FootnoteText"/>
        <w:tabs>
          <w:tab w:val="left" w:pos="540"/>
        </w:tabs>
        <w:spacing w:after="120"/>
        <w:jc w:val="both"/>
        <w:rPr>
          <w:rFonts w:ascii="Verdana" w:hAnsi="Verdana"/>
          <w:i/>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Pr="00954547">
        <w:rPr>
          <w:rFonts w:ascii="Verdana" w:hAnsi="Verdana"/>
          <w:sz w:val="16"/>
          <w:szCs w:val="16"/>
        </w:rPr>
        <w:t xml:space="preserve"> </w:t>
      </w:r>
      <w:r w:rsidR="004F613C" w:rsidRPr="00954547">
        <w:rPr>
          <w:rFonts w:ascii="Verdana" w:hAnsi="Verdana"/>
          <w:sz w:val="16"/>
          <w:szCs w:val="16"/>
        </w:rPr>
        <w:tab/>
      </w:r>
      <w:r w:rsidRPr="00954547">
        <w:rPr>
          <w:rFonts w:ascii="Verdana" w:hAnsi="Verdana"/>
          <w:sz w:val="16"/>
          <w:szCs w:val="16"/>
        </w:rPr>
        <w:t>Art</w:t>
      </w:r>
      <w:r w:rsidR="004F613C" w:rsidRPr="00954547">
        <w:rPr>
          <w:rFonts w:ascii="Verdana" w:hAnsi="Verdana"/>
          <w:sz w:val="16"/>
          <w:szCs w:val="16"/>
        </w:rPr>
        <w:t xml:space="preserve">. </w:t>
      </w:r>
      <w:r w:rsidRPr="00954547">
        <w:rPr>
          <w:rFonts w:ascii="Verdana" w:hAnsi="Verdana"/>
          <w:sz w:val="16"/>
          <w:szCs w:val="16"/>
        </w:rPr>
        <w:t>31</w:t>
      </w:r>
      <w:r w:rsidR="00B87F06" w:rsidRPr="00954547">
        <w:rPr>
          <w:rFonts w:ascii="Verdana" w:hAnsi="Verdana"/>
          <w:sz w:val="16"/>
          <w:szCs w:val="16"/>
        </w:rPr>
        <w:t>(</w:t>
      </w:r>
      <w:r w:rsidRPr="00954547">
        <w:rPr>
          <w:rFonts w:ascii="Verdana" w:hAnsi="Verdana"/>
          <w:sz w:val="16"/>
          <w:szCs w:val="16"/>
        </w:rPr>
        <w:t>1</w:t>
      </w:r>
      <w:r w:rsidR="00B87F06" w:rsidRPr="00954547">
        <w:rPr>
          <w:rFonts w:ascii="Verdana" w:hAnsi="Verdana"/>
          <w:sz w:val="16"/>
          <w:szCs w:val="16"/>
        </w:rPr>
        <w:t>).</w:t>
      </w:r>
      <w:r w:rsidRPr="00954547">
        <w:rPr>
          <w:rFonts w:ascii="Verdana" w:hAnsi="Verdana"/>
          <w:sz w:val="16"/>
          <w:szCs w:val="16"/>
        </w:rPr>
        <w:t xml:space="preserve"> </w:t>
      </w:r>
      <w:r w:rsidR="00B87F06" w:rsidRPr="00954547">
        <w:rPr>
          <w:rFonts w:ascii="Verdana" w:hAnsi="Verdana"/>
          <w:sz w:val="16"/>
          <w:szCs w:val="16"/>
        </w:rPr>
        <w:t>A treaty shall be interpreted in good faith in accordance with the ordinary meaning to be given to the terms of the treaty in their context and in the light of its object and purpose.</w:t>
      </w:r>
      <w:r w:rsidR="00B87F06" w:rsidRPr="00954547">
        <w:rPr>
          <w:rFonts w:ascii="Verdana" w:hAnsi="Verdana"/>
          <w:i/>
          <w:iCs/>
          <w:sz w:val="16"/>
          <w:szCs w:val="16"/>
        </w:rPr>
        <w:t>”</w:t>
      </w:r>
    </w:p>
  </w:footnote>
  <w:footnote w:id="480">
    <w:p w14:paraId="24483D91" w14:textId="729BAD5A" w:rsidR="00A402C7" w:rsidRPr="00954547" w:rsidRDefault="00A402C7" w:rsidP="004F613C">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004F613C" w:rsidRPr="00954547">
        <w:rPr>
          <w:rFonts w:ascii="Verdana" w:hAnsi="Verdana"/>
          <w:sz w:val="16"/>
          <w:szCs w:val="16"/>
          <w:vertAlign w:val="superscript"/>
        </w:rPr>
        <w:tab/>
      </w:r>
      <w:r w:rsidR="002F4617" w:rsidRPr="00954547">
        <w:rPr>
          <w:rFonts w:ascii="Verdana" w:hAnsi="Verdana" w:cs="Arial"/>
          <w:i/>
          <w:sz w:val="16"/>
          <w:szCs w:val="16"/>
          <w:shd w:val="clear" w:color="auto" w:fill="FFFFFF"/>
        </w:rPr>
        <w:t xml:space="preserve">Case </w:t>
      </w:r>
      <w:r w:rsidR="009C16A1" w:rsidRPr="00954547">
        <w:rPr>
          <w:rFonts w:ascii="Verdana" w:hAnsi="Verdana" w:cs="Arial"/>
          <w:i/>
          <w:sz w:val="16"/>
          <w:szCs w:val="16"/>
          <w:shd w:val="clear" w:color="auto" w:fill="FFFFFF"/>
        </w:rPr>
        <w:t>of the Indigenous Communities of the Lhaka Honhat (Our Land) Association</w:t>
      </w:r>
      <w:r w:rsidRPr="00954547">
        <w:rPr>
          <w:rFonts w:ascii="Verdana" w:hAnsi="Verdana" w:cs="Arial"/>
          <w:i/>
          <w:sz w:val="16"/>
          <w:szCs w:val="16"/>
          <w:shd w:val="clear" w:color="auto" w:fill="FFFFFF"/>
        </w:rPr>
        <w:t xml:space="preserve"> </w:t>
      </w:r>
      <w:r w:rsidR="009C16A1" w:rsidRPr="00954547">
        <w:rPr>
          <w:rFonts w:ascii="Verdana" w:hAnsi="Verdana" w:cs="Arial"/>
          <w:i/>
          <w:sz w:val="16"/>
          <w:szCs w:val="16"/>
          <w:shd w:val="clear" w:color="auto" w:fill="FFFFFF"/>
        </w:rPr>
        <w:t>v.</w:t>
      </w:r>
      <w:r w:rsidRPr="00954547">
        <w:rPr>
          <w:rFonts w:ascii="Verdana" w:hAnsi="Verdana" w:cs="Arial"/>
          <w:i/>
          <w:sz w:val="16"/>
          <w:szCs w:val="16"/>
          <w:shd w:val="clear" w:color="auto" w:fill="FFFFFF"/>
        </w:rPr>
        <w:t xml:space="preserve"> Argentina</w:t>
      </w:r>
      <w:r w:rsidRPr="00954547">
        <w:rPr>
          <w:rFonts w:ascii="Verdana" w:hAnsi="Verdana" w:cs="Arial"/>
          <w:sz w:val="16"/>
          <w:szCs w:val="16"/>
          <w:shd w:val="clear" w:color="auto" w:fill="FFFFFF"/>
        </w:rPr>
        <w:t xml:space="preserve">, </w:t>
      </w:r>
      <w:r w:rsidRPr="00954547">
        <w:rPr>
          <w:rFonts w:ascii="Verdana" w:hAnsi="Verdana" w:cs="Arial"/>
          <w:i/>
          <w:sz w:val="16"/>
          <w:szCs w:val="16"/>
          <w:shd w:val="clear" w:color="auto" w:fill="FFFFFF"/>
        </w:rPr>
        <w:t xml:space="preserve">supra, </w:t>
      </w:r>
      <w:r w:rsidR="00521777" w:rsidRPr="00954547">
        <w:rPr>
          <w:rFonts w:ascii="Verdana" w:hAnsi="Verdana" w:cs="Arial"/>
          <w:sz w:val="16"/>
          <w:szCs w:val="16"/>
          <w:shd w:val="clear" w:color="auto" w:fill="FFFFFF"/>
        </w:rPr>
        <w:t>footnote</w:t>
      </w:r>
      <w:r w:rsidRPr="00954547">
        <w:rPr>
          <w:rFonts w:ascii="Verdana" w:hAnsi="Verdana" w:cs="Arial"/>
          <w:sz w:val="16"/>
          <w:szCs w:val="16"/>
          <w:shd w:val="clear" w:color="auto" w:fill="FFFFFF"/>
        </w:rPr>
        <w:t xml:space="preserve"> 8.</w:t>
      </w:r>
    </w:p>
  </w:footnote>
  <w:footnote w:id="481">
    <w:p w14:paraId="026EA4CB" w14:textId="37604CAF" w:rsidR="00A402C7" w:rsidRPr="00954547" w:rsidRDefault="00A402C7" w:rsidP="001520D0">
      <w:pPr>
        <w:pStyle w:val="FootnoteText"/>
        <w:tabs>
          <w:tab w:val="left" w:pos="540"/>
        </w:tabs>
        <w:spacing w:after="120"/>
        <w:jc w:val="both"/>
        <w:rPr>
          <w:rFonts w:ascii="Verdana" w:hAnsi="Verdana"/>
          <w:sz w:val="16"/>
          <w:szCs w:val="16"/>
          <w:lang w:val="pt-BR"/>
        </w:rPr>
      </w:pPr>
      <w:r w:rsidRPr="00954547">
        <w:rPr>
          <w:rStyle w:val="FootnoteReference"/>
          <w:rFonts w:ascii="Verdana" w:hAnsi="Verdana"/>
          <w:sz w:val="16"/>
          <w:szCs w:val="16"/>
        </w:rPr>
        <w:footnoteRef/>
      </w:r>
      <w:r w:rsidRPr="00954547">
        <w:rPr>
          <w:rFonts w:ascii="Verdana" w:hAnsi="Verdana"/>
          <w:sz w:val="16"/>
          <w:szCs w:val="16"/>
          <w:lang w:val="pt-BR"/>
        </w:rPr>
        <w:t xml:space="preserve"> </w:t>
      </w:r>
      <w:r w:rsidR="001520D0" w:rsidRPr="00954547">
        <w:rPr>
          <w:rFonts w:ascii="Verdana" w:hAnsi="Verdana"/>
          <w:sz w:val="16"/>
          <w:szCs w:val="16"/>
          <w:lang w:val="pt-BR"/>
        </w:rPr>
        <w:tab/>
      </w:r>
      <w:r w:rsidRPr="00954547">
        <w:rPr>
          <w:rFonts w:ascii="Verdana" w:hAnsi="Verdana"/>
          <w:i/>
          <w:sz w:val="16"/>
          <w:szCs w:val="16"/>
          <w:lang w:val="pt-BR"/>
        </w:rPr>
        <w:t>Supra</w:t>
      </w:r>
      <w:r w:rsidRPr="00954547">
        <w:rPr>
          <w:rFonts w:ascii="Verdana" w:hAnsi="Verdana"/>
          <w:sz w:val="16"/>
          <w:szCs w:val="16"/>
          <w:lang w:val="pt-BR"/>
        </w:rPr>
        <w:t xml:space="preserve">, </w:t>
      </w:r>
      <w:r w:rsidR="00521777" w:rsidRPr="00954547">
        <w:rPr>
          <w:rFonts w:ascii="Verdana" w:hAnsi="Verdana"/>
          <w:sz w:val="16"/>
          <w:szCs w:val="16"/>
          <w:lang w:val="pt-BR"/>
        </w:rPr>
        <w:t>footnote</w:t>
      </w:r>
      <w:r w:rsidRPr="00954547">
        <w:rPr>
          <w:rFonts w:ascii="Verdana" w:hAnsi="Verdana"/>
          <w:sz w:val="16"/>
          <w:szCs w:val="16"/>
          <w:lang w:val="pt-BR"/>
        </w:rPr>
        <w:t xml:space="preserve"> 5.</w:t>
      </w:r>
    </w:p>
  </w:footnote>
  <w:footnote w:id="482">
    <w:p w14:paraId="69B4AD4D" w14:textId="0C8A7F2A" w:rsidR="00A402C7" w:rsidRPr="00954547" w:rsidRDefault="00A402C7" w:rsidP="001520D0">
      <w:pPr>
        <w:pStyle w:val="FootnoteText"/>
        <w:tabs>
          <w:tab w:val="left" w:pos="540"/>
        </w:tabs>
        <w:spacing w:after="120"/>
        <w:jc w:val="both"/>
        <w:rPr>
          <w:rFonts w:ascii="Verdana" w:hAnsi="Verdana"/>
          <w:sz w:val="16"/>
          <w:szCs w:val="16"/>
          <w:lang w:val="pt-BR"/>
        </w:rPr>
      </w:pPr>
      <w:r w:rsidRPr="00954547">
        <w:rPr>
          <w:rStyle w:val="FootnoteReference"/>
          <w:rFonts w:ascii="Verdana" w:hAnsi="Verdana"/>
          <w:sz w:val="16"/>
          <w:szCs w:val="16"/>
        </w:rPr>
        <w:footnoteRef/>
      </w:r>
      <w:r w:rsidRPr="00954547">
        <w:rPr>
          <w:rFonts w:ascii="Verdana" w:hAnsi="Verdana"/>
          <w:sz w:val="16"/>
          <w:szCs w:val="16"/>
          <w:lang w:val="pt-BR"/>
        </w:rPr>
        <w:t xml:space="preserve"> </w:t>
      </w:r>
      <w:r w:rsidR="001520D0" w:rsidRPr="00954547">
        <w:rPr>
          <w:rFonts w:ascii="Verdana" w:hAnsi="Verdana"/>
          <w:sz w:val="16"/>
          <w:szCs w:val="16"/>
          <w:lang w:val="pt-BR"/>
        </w:rPr>
        <w:tab/>
      </w:r>
      <w:r w:rsidRPr="00954547">
        <w:rPr>
          <w:rFonts w:ascii="Verdana" w:hAnsi="Verdana"/>
          <w:i/>
          <w:sz w:val="16"/>
          <w:szCs w:val="16"/>
          <w:lang w:val="pt-BR"/>
        </w:rPr>
        <w:t>Supra,</w:t>
      </w:r>
      <w:r w:rsidRPr="00954547">
        <w:rPr>
          <w:rFonts w:ascii="Verdana" w:hAnsi="Verdana"/>
          <w:sz w:val="16"/>
          <w:szCs w:val="16"/>
          <w:lang w:val="pt-BR"/>
        </w:rPr>
        <w:t xml:space="preserve"> Part I.</w:t>
      </w:r>
    </w:p>
  </w:footnote>
  <w:footnote w:id="483">
    <w:p w14:paraId="09D2C346" w14:textId="65CF28D5" w:rsidR="00A402C7" w:rsidRPr="00954547" w:rsidRDefault="00A402C7" w:rsidP="001520D0">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1520D0" w:rsidRPr="00954547">
        <w:rPr>
          <w:rFonts w:ascii="Verdana" w:hAnsi="Verdana"/>
          <w:sz w:val="16"/>
          <w:szCs w:val="16"/>
        </w:rPr>
        <w:tab/>
      </w:r>
      <w:r w:rsidR="0052231D" w:rsidRPr="00954547">
        <w:rPr>
          <w:rFonts w:ascii="Verdana" w:hAnsi="Verdana"/>
          <w:sz w:val="16"/>
          <w:szCs w:val="16"/>
        </w:rPr>
        <w:t>Paras.</w:t>
      </w:r>
      <w:r w:rsidRPr="00954547">
        <w:rPr>
          <w:rFonts w:ascii="Verdana" w:hAnsi="Verdana"/>
          <w:sz w:val="16"/>
          <w:szCs w:val="16"/>
        </w:rPr>
        <w:t xml:space="preserve"> 202, 219, 259.</w:t>
      </w:r>
      <w:r w:rsidRPr="00954547">
        <w:rPr>
          <w:rFonts w:ascii="Verdana" w:hAnsi="Verdana" w:cs="Arial"/>
          <w:color w:val="494848"/>
          <w:sz w:val="16"/>
          <w:szCs w:val="16"/>
          <w:shd w:val="clear" w:color="auto" w:fill="FFFFFF"/>
        </w:rPr>
        <w:t xml:space="preserve"> 260</w:t>
      </w:r>
      <w:r w:rsidR="001520D0" w:rsidRPr="00954547">
        <w:rPr>
          <w:rFonts w:ascii="Verdana" w:hAnsi="Verdana" w:cs="Arial"/>
          <w:color w:val="494848"/>
          <w:sz w:val="16"/>
          <w:szCs w:val="16"/>
          <w:shd w:val="clear" w:color="auto" w:fill="FFFFFF"/>
        </w:rPr>
        <w:t xml:space="preserve">. </w:t>
      </w:r>
      <w:r w:rsidR="00A42A4C" w:rsidRPr="00954547">
        <w:rPr>
          <w:rFonts w:ascii="Verdana" w:hAnsi="Verdana"/>
          <w:sz w:val="16"/>
          <w:szCs w:val="16"/>
        </w:rPr>
        <w:t>Hereinafter</w:t>
      </w:r>
      <w:r w:rsidRPr="00954547">
        <w:rPr>
          <w:rFonts w:ascii="Verdana" w:hAnsi="Verdana"/>
          <w:sz w:val="16"/>
          <w:szCs w:val="16"/>
        </w:rPr>
        <w:t xml:space="preserve">, </w:t>
      </w:r>
      <w:r w:rsidR="001520D0" w:rsidRPr="00954547">
        <w:rPr>
          <w:rFonts w:ascii="Verdana" w:hAnsi="Verdana"/>
          <w:sz w:val="16"/>
          <w:szCs w:val="16"/>
        </w:rPr>
        <w:t>it will be understood that</w:t>
      </w:r>
      <w:r w:rsidRPr="00954547">
        <w:rPr>
          <w:rFonts w:ascii="Verdana" w:hAnsi="Verdana"/>
          <w:sz w:val="16"/>
          <w:szCs w:val="16"/>
        </w:rPr>
        <w:t xml:space="preserve"> “</w:t>
      </w:r>
      <w:r w:rsidR="0052231D" w:rsidRPr="00954547">
        <w:rPr>
          <w:rFonts w:ascii="Verdana" w:hAnsi="Verdana"/>
          <w:sz w:val="16"/>
          <w:szCs w:val="16"/>
        </w:rPr>
        <w:t>paras.</w:t>
      </w:r>
      <w:r w:rsidRPr="00954547">
        <w:rPr>
          <w:rFonts w:ascii="Verdana" w:hAnsi="Verdana"/>
          <w:sz w:val="16"/>
          <w:szCs w:val="16"/>
        </w:rPr>
        <w:t xml:space="preserve">” </w:t>
      </w:r>
      <w:r w:rsidR="001520D0" w:rsidRPr="00954547">
        <w:rPr>
          <w:rFonts w:ascii="Verdana" w:hAnsi="Verdana"/>
          <w:sz w:val="16"/>
          <w:szCs w:val="16"/>
        </w:rPr>
        <w:t>refers to paragraphs</w:t>
      </w:r>
      <w:r w:rsidRPr="00954547">
        <w:rPr>
          <w:rFonts w:ascii="Verdana" w:hAnsi="Verdana"/>
          <w:sz w:val="16"/>
          <w:szCs w:val="16"/>
        </w:rPr>
        <w:t xml:space="preserve"> </w:t>
      </w:r>
      <w:r w:rsidR="0052125E" w:rsidRPr="00954547">
        <w:rPr>
          <w:rFonts w:ascii="Verdana" w:hAnsi="Verdana"/>
          <w:sz w:val="16"/>
          <w:szCs w:val="16"/>
        </w:rPr>
        <w:t>of the judgment</w:t>
      </w:r>
      <w:r w:rsidRPr="00954547">
        <w:rPr>
          <w:rFonts w:ascii="Verdana" w:hAnsi="Verdana"/>
          <w:sz w:val="16"/>
          <w:szCs w:val="16"/>
        </w:rPr>
        <w:t>.</w:t>
      </w:r>
    </w:p>
  </w:footnote>
  <w:footnote w:id="484">
    <w:p w14:paraId="7599FBFD" w14:textId="7F2633AF" w:rsidR="00A402C7" w:rsidRPr="00954547" w:rsidRDefault="00A402C7" w:rsidP="001520D0">
      <w:pPr>
        <w:pStyle w:val="FootnoteText"/>
        <w:tabs>
          <w:tab w:val="left" w:pos="540"/>
        </w:tabs>
        <w:spacing w:after="120"/>
        <w:jc w:val="both"/>
        <w:rPr>
          <w:rFonts w:ascii="Verdana" w:hAnsi="Verdana"/>
          <w:i/>
          <w:sz w:val="16"/>
          <w:szCs w:val="16"/>
        </w:rPr>
      </w:pPr>
      <w:r w:rsidRPr="00954547">
        <w:rPr>
          <w:rStyle w:val="FootnoteReference"/>
          <w:rFonts w:ascii="Verdana" w:hAnsi="Verdana"/>
          <w:i/>
          <w:sz w:val="16"/>
          <w:szCs w:val="16"/>
        </w:rPr>
        <w:footnoteRef/>
      </w:r>
      <w:r w:rsidRPr="00954547">
        <w:rPr>
          <w:rFonts w:ascii="Verdana" w:hAnsi="Verdana"/>
          <w:i/>
          <w:sz w:val="16"/>
          <w:szCs w:val="16"/>
        </w:rPr>
        <w:t xml:space="preserve"> </w:t>
      </w:r>
      <w:r w:rsidR="001520D0" w:rsidRPr="00954547">
        <w:rPr>
          <w:rFonts w:ascii="Verdana" w:hAnsi="Verdana"/>
          <w:i/>
          <w:sz w:val="16"/>
          <w:szCs w:val="16"/>
        </w:rPr>
        <w:tab/>
      </w:r>
      <w:r w:rsidRPr="00954547">
        <w:rPr>
          <w:rFonts w:ascii="Verdana" w:hAnsi="Verdana"/>
          <w:i/>
          <w:sz w:val="16"/>
          <w:szCs w:val="16"/>
        </w:rPr>
        <w:t>“</w:t>
      </w:r>
      <w:r w:rsidR="00876E9A" w:rsidRPr="00954547">
        <w:rPr>
          <w:rFonts w:ascii="Verdana" w:hAnsi="Verdana"/>
          <w:sz w:val="16"/>
          <w:szCs w:val="16"/>
        </w:rPr>
        <w:t xml:space="preserve">The State shall regulate the obligation of medical professional secrecy and the confidentiality of medical records, pursuant to paragraph </w:t>
      </w:r>
      <w:r w:rsidR="00876E9A" w:rsidRPr="00954547">
        <w:rPr>
          <w:rFonts w:ascii="Verdana" w:hAnsi="Verdana"/>
          <w:sz w:val="16"/>
          <w:szCs w:val="16"/>
        </w:rPr>
        <w:fldChar w:fldCharType="begin"/>
      </w:r>
      <w:r w:rsidR="00876E9A" w:rsidRPr="00954547">
        <w:rPr>
          <w:rFonts w:ascii="Verdana" w:hAnsi="Verdana"/>
          <w:sz w:val="16"/>
          <w:szCs w:val="16"/>
        </w:rPr>
        <w:instrText xml:space="preserve"> REF _Ref86678742 \r \h  \* MERGEFORMAT </w:instrText>
      </w:r>
      <w:r w:rsidR="00876E9A" w:rsidRPr="00954547">
        <w:rPr>
          <w:rFonts w:ascii="Verdana" w:hAnsi="Verdana"/>
          <w:sz w:val="16"/>
          <w:szCs w:val="16"/>
        </w:rPr>
      </w:r>
      <w:r w:rsidR="00876E9A" w:rsidRPr="00954547">
        <w:rPr>
          <w:rFonts w:ascii="Verdana" w:hAnsi="Verdana"/>
          <w:sz w:val="16"/>
          <w:szCs w:val="16"/>
        </w:rPr>
        <w:fldChar w:fldCharType="separate"/>
      </w:r>
      <w:r w:rsidR="000E4488" w:rsidRPr="00954547">
        <w:rPr>
          <w:rFonts w:ascii="Verdana" w:hAnsi="Verdana"/>
          <w:sz w:val="16"/>
          <w:szCs w:val="16"/>
        </w:rPr>
        <w:t>286</w:t>
      </w:r>
      <w:r w:rsidR="00876E9A" w:rsidRPr="00954547">
        <w:rPr>
          <w:rFonts w:ascii="Verdana" w:hAnsi="Verdana"/>
          <w:sz w:val="16"/>
          <w:szCs w:val="16"/>
        </w:rPr>
        <w:fldChar w:fldCharType="end"/>
      </w:r>
      <w:r w:rsidR="00876E9A" w:rsidRPr="00954547">
        <w:rPr>
          <w:rFonts w:ascii="Verdana" w:hAnsi="Verdana"/>
          <w:sz w:val="16"/>
          <w:szCs w:val="16"/>
        </w:rPr>
        <w:t xml:space="preserve"> of this judgment.”</w:t>
      </w:r>
    </w:p>
  </w:footnote>
  <w:footnote w:id="485">
    <w:p w14:paraId="53F7457D" w14:textId="5B820F16" w:rsidR="00A402C7" w:rsidRPr="00954547" w:rsidRDefault="00A402C7" w:rsidP="001520D0">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1520D0" w:rsidRPr="00954547">
        <w:rPr>
          <w:rFonts w:ascii="Verdana" w:hAnsi="Verdana"/>
          <w:sz w:val="16"/>
          <w:szCs w:val="16"/>
        </w:rPr>
        <w:tab/>
      </w:r>
      <w:r w:rsidR="00B10E5A" w:rsidRPr="00954547">
        <w:rPr>
          <w:rFonts w:ascii="Verdana" w:hAnsi="Verdana"/>
          <w:sz w:val="16"/>
          <w:szCs w:val="16"/>
        </w:rPr>
        <w:t>Para.</w:t>
      </w:r>
      <w:r w:rsidRPr="00954547">
        <w:rPr>
          <w:rFonts w:ascii="Verdana" w:hAnsi="Verdana"/>
          <w:sz w:val="16"/>
          <w:szCs w:val="16"/>
        </w:rPr>
        <w:t xml:space="preserve"> </w:t>
      </w:r>
      <w:r w:rsidR="004054CA" w:rsidRPr="00954547">
        <w:rPr>
          <w:rFonts w:ascii="Verdana" w:hAnsi="Verdana"/>
          <w:sz w:val="16"/>
          <w:szCs w:val="16"/>
        </w:rPr>
        <w:t>286</w:t>
      </w:r>
      <w:r w:rsidR="005043C9" w:rsidRPr="00954547">
        <w:rPr>
          <w:rFonts w:ascii="Verdana" w:hAnsi="Verdana"/>
          <w:sz w:val="16"/>
          <w:szCs w:val="16"/>
        </w:rPr>
        <w:t>.</w:t>
      </w:r>
    </w:p>
  </w:footnote>
  <w:footnote w:id="486">
    <w:p w14:paraId="5031B2C3" w14:textId="278994DD" w:rsidR="00A402C7" w:rsidRPr="00954547" w:rsidRDefault="00A402C7" w:rsidP="001520D0">
      <w:pPr>
        <w:pStyle w:val="FootnoteText"/>
        <w:tabs>
          <w:tab w:val="left" w:pos="540"/>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1520D0" w:rsidRPr="00954547">
        <w:rPr>
          <w:rFonts w:ascii="Verdana" w:hAnsi="Verdana"/>
          <w:sz w:val="16"/>
          <w:szCs w:val="16"/>
        </w:rPr>
        <w:tab/>
      </w:r>
      <w:r w:rsidR="00B10E5A" w:rsidRPr="00954547">
        <w:rPr>
          <w:rFonts w:ascii="Verdana" w:hAnsi="Verdana"/>
          <w:sz w:val="16"/>
          <w:szCs w:val="16"/>
        </w:rPr>
        <w:t>Para.</w:t>
      </w:r>
      <w:r w:rsidR="00B87F06" w:rsidRPr="00954547">
        <w:rPr>
          <w:rFonts w:ascii="Verdana" w:hAnsi="Verdana"/>
          <w:sz w:val="16"/>
          <w:szCs w:val="16"/>
        </w:rPr>
        <w:t xml:space="preserve"> </w:t>
      </w:r>
      <w:r w:rsidR="005043C9" w:rsidRPr="00954547">
        <w:rPr>
          <w:rFonts w:ascii="Verdana" w:hAnsi="Verdana"/>
          <w:sz w:val="16"/>
          <w:szCs w:val="16"/>
        </w:rPr>
        <w:t>286.</w:t>
      </w:r>
    </w:p>
  </w:footnote>
  <w:footnote w:id="487">
    <w:p w14:paraId="1DA3C154" w14:textId="7D3835A0" w:rsidR="00A402C7" w:rsidRPr="00954547" w:rsidRDefault="00A402C7" w:rsidP="005043C9">
      <w:pPr>
        <w:pStyle w:val="Numberedparagraphs"/>
        <w:numPr>
          <w:ilvl w:val="0"/>
          <w:numId w:val="0"/>
        </w:numPr>
        <w:tabs>
          <w:tab w:val="left" w:pos="567"/>
        </w:tabs>
        <w:rPr>
          <w:rFonts w:cs="Times"/>
          <w:lang w:val="en-US" w:eastAsia="es-CR"/>
        </w:rPr>
      </w:pPr>
      <w:r w:rsidRPr="00954547">
        <w:rPr>
          <w:rStyle w:val="FootnoteReference"/>
          <w:i/>
          <w:iCs/>
          <w:sz w:val="16"/>
          <w:szCs w:val="16"/>
          <w:lang w:val="en-US"/>
        </w:rPr>
        <w:footnoteRef/>
      </w:r>
      <w:r w:rsidR="001520D0" w:rsidRPr="00954547">
        <w:rPr>
          <w:i/>
          <w:iCs/>
          <w:sz w:val="16"/>
          <w:szCs w:val="16"/>
          <w:lang w:val="en-US"/>
        </w:rPr>
        <w:t xml:space="preserve"> </w:t>
      </w:r>
      <w:r w:rsidR="001520D0" w:rsidRPr="00954547">
        <w:rPr>
          <w:i/>
          <w:sz w:val="16"/>
          <w:szCs w:val="16"/>
          <w:lang w:val="en-US"/>
        </w:rPr>
        <w:tab/>
      </w:r>
      <w:r w:rsidRPr="00954547">
        <w:rPr>
          <w:i/>
          <w:sz w:val="16"/>
          <w:szCs w:val="16"/>
          <w:lang w:val="en-US"/>
        </w:rPr>
        <w:t>“</w:t>
      </w:r>
      <w:r w:rsidR="004054CA" w:rsidRPr="00954547">
        <w:rPr>
          <w:sz w:val="16"/>
          <w:szCs w:val="16"/>
          <w:lang w:val="en-US"/>
        </w:rPr>
        <w:t xml:space="preserve">The State shall design and implement an awareness-raising and training course for judicial officials, as well as the health personnel of the Rosales National Hospital, as established in paragraphs </w:t>
      </w:r>
      <w:r w:rsidR="004054CA" w:rsidRPr="00954547">
        <w:rPr>
          <w:sz w:val="16"/>
          <w:szCs w:val="16"/>
          <w:lang w:val="en-US"/>
        </w:rPr>
        <w:fldChar w:fldCharType="begin"/>
      </w:r>
      <w:r w:rsidR="004054CA" w:rsidRPr="00954547">
        <w:rPr>
          <w:sz w:val="16"/>
          <w:szCs w:val="16"/>
          <w:lang w:val="en-US"/>
        </w:rPr>
        <w:instrText xml:space="preserve"> REF _Ref86678915 \r \h  \* MERGEFORMAT </w:instrText>
      </w:r>
      <w:r w:rsidR="004054CA" w:rsidRPr="00954547">
        <w:rPr>
          <w:sz w:val="16"/>
          <w:szCs w:val="16"/>
          <w:lang w:val="en-US"/>
        </w:rPr>
      </w:r>
      <w:r w:rsidR="004054CA" w:rsidRPr="00954547">
        <w:rPr>
          <w:sz w:val="16"/>
          <w:szCs w:val="16"/>
          <w:lang w:val="en-US"/>
        </w:rPr>
        <w:fldChar w:fldCharType="separate"/>
      </w:r>
      <w:r w:rsidR="000E4488" w:rsidRPr="00954547">
        <w:rPr>
          <w:sz w:val="16"/>
          <w:szCs w:val="16"/>
          <w:lang w:val="en-US"/>
        </w:rPr>
        <w:t>293</w:t>
      </w:r>
      <w:r w:rsidR="004054CA" w:rsidRPr="00954547">
        <w:rPr>
          <w:sz w:val="16"/>
          <w:szCs w:val="16"/>
          <w:lang w:val="en-US"/>
        </w:rPr>
        <w:fldChar w:fldCharType="end"/>
      </w:r>
      <w:r w:rsidR="004054CA" w:rsidRPr="00954547">
        <w:rPr>
          <w:sz w:val="16"/>
          <w:szCs w:val="16"/>
          <w:lang w:val="en-US"/>
        </w:rPr>
        <w:t xml:space="preserve"> and </w:t>
      </w:r>
      <w:r w:rsidR="004054CA" w:rsidRPr="00954547">
        <w:rPr>
          <w:sz w:val="16"/>
          <w:szCs w:val="16"/>
          <w:lang w:val="en-US"/>
        </w:rPr>
        <w:fldChar w:fldCharType="begin"/>
      </w:r>
      <w:r w:rsidR="004054CA" w:rsidRPr="00954547">
        <w:rPr>
          <w:sz w:val="16"/>
          <w:szCs w:val="16"/>
          <w:lang w:val="en-US"/>
        </w:rPr>
        <w:instrText xml:space="preserve"> REF _Ref86678918 \r \h  \* MERGEFORMAT </w:instrText>
      </w:r>
      <w:r w:rsidR="004054CA" w:rsidRPr="00954547">
        <w:rPr>
          <w:sz w:val="16"/>
          <w:szCs w:val="16"/>
          <w:lang w:val="en-US"/>
        </w:rPr>
      </w:r>
      <w:r w:rsidR="004054CA" w:rsidRPr="00954547">
        <w:rPr>
          <w:sz w:val="16"/>
          <w:szCs w:val="16"/>
          <w:lang w:val="en-US"/>
        </w:rPr>
        <w:fldChar w:fldCharType="separate"/>
      </w:r>
      <w:r w:rsidR="000E4488" w:rsidRPr="00954547">
        <w:rPr>
          <w:sz w:val="16"/>
          <w:szCs w:val="16"/>
          <w:lang w:val="en-US"/>
        </w:rPr>
        <w:t>294</w:t>
      </w:r>
      <w:r w:rsidR="004054CA" w:rsidRPr="00954547">
        <w:rPr>
          <w:sz w:val="16"/>
          <w:szCs w:val="16"/>
          <w:lang w:val="en-US"/>
        </w:rPr>
        <w:fldChar w:fldCharType="end"/>
      </w:r>
      <w:r w:rsidR="004054CA" w:rsidRPr="00954547">
        <w:rPr>
          <w:sz w:val="16"/>
          <w:szCs w:val="16"/>
          <w:lang w:val="en-US"/>
        </w:rPr>
        <w:t xml:space="preserve"> of this judgment</w:t>
      </w:r>
      <w:r w:rsidRPr="00954547">
        <w:rPr>
          <w:iCs/>
          <w:sz w:val="16"/>
          <w:szCs w:val="16"/>
          <w:lang w:val="en-US"/>
        </w:rPr>
        <w:t>.”</w:t>
      </w:r>
      <w:r w:rsidRPr="00954547">
        <w:rPr>
          <w:i/>
          <w:sz w:val="16"/>
          <w:szCs w:val="16"/>
          <w:lang w:val="en-US"/>
        </w:rPr>
        <w:t xml:space="preserve"> </w:t>
      </w:r>
    </w:p>
  </w:footnote>
  <w:footnote w:id="488">
    <w:p w14:paraId="2E3C68DE" w14:textId="6CB82486" w:rsidR="00A402C7" w:rsidRPr="00954547" w:rsidRDefault="00A402C7" w:rsidP="001520D0">
      <w:pPr>
        <w:pStyle w:val="FootnoteText"/>
        <w:tabs>
          <w:tab w:val="left" w:pos="540"/>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1520D0" w:rsidRPr="00954547">
        <w:rPr>
          <w:rFonts w:ascii="Verdana" w:hAnsi="Verdana"/>
          <w:sz w:val="16"/>
          <w:szCs w:val="16"/>
        </w:rPr>
        <w:tab/>
      </w:r>
      <w:r w:rsidR="00B10E5A" w:rsidRPr="00954547">
        <w:rPr>
          <w:rFonts w:ascii="Verdana" w:hAnsi="Verdana"/>
          <w:sz w:val="16"/>
          <w:szCs w:val="16"/>
        </w:rPr>
        <w:t>Para.</w:t>
      </w:r>
      <w:r w:rsidRPr="00954547">
        <w:rPr>
          <w:rFonts w:ascii="Verdana" w:hAnsi="Verdana"/>
          <w:sz w:val="16"/>
          <w:szCs w:val="16"/>
        </w:rPr>
        <w:t xml:space="preserve"> 293.</w:t>
      </w:r>
    </w:p>
  </w:footnote>
  <w:footnote w:id="489">
    <w:p w14:paraId="5E8FCCB6" w14:textId="6F5E1BFE" w:rsidR="00A402C7" w:rsidRPr="00954547" w:rsidRDefault="00A402C7" w:rsidP="00B87F06">
      <w:pPr>
        <w:pStyle w:val="FootnoteText"/>
        <w:tabs>
          <w:tab w:val="left" w:pos="540"/>
        </w:tabs>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1520D0" w:rsidRPr="00954547">
        <w:rPr>
          <w:rFonts w:ascii="Verdana" w:hAnsi="Verdana"/>
          <w:sz w:val="16"/>
          <w:szCs w:val="16"/>
        </w:rPr>
        <w:tab/>
      </w:r>
      <w:r w:rsidR="00B10E5A" w:rsidRPr="00954547">
        <w:rPr>
          <w:rFonts w:ascii="Verdana" w:hAnsi="Verdana"/>
          <w:sz w:val="16"/>
          <w:szCs w:val="16"/>
        </w:rPr>
        <w:t>Para.</w:t>
      </w:r>
      <w:r w:rsidRPr="00954547">
        <w:rPr>
          <w:rFonts w:ascii="Verdana" w:hAnsi="Verdana"/>
          <w:sz w:val="16"/>
          <w:szCs w:val="16"/>
        </w:rPr>
        <w:t xml:space="preserve"> 92.</w:t>
      </w:r>
    </w:p>
  </w:footnote>
  <w:footnote w:id="490">
    <w:p w14:paraId="4DAD4792" w14:textId="604B735D" w:rsidR="00A402C7" w:rsidRPr="00954547" w:rsidRDefault="00A402C7" w:rsidP="0052125E">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52125E" w:rsidRPr="00954547">
        <w:rPr>
          <w:rFonts w:ascii="Verdana" w:hAnsi="Verdana"/>
          <w:sz w:val="16"/>
          <w:szCs w:val="16"/>
        </w:rPr>
        <w:tab/>
      </w:r>
      <w:r w:rsidR="00B10E5A" w:rsidRPr="00954547">
        <w:rPr>
          <w:rFonts w:ascii="Verdana" w:hAnsi="Verdana"/>
          <w:sz w:val="16"/>
          <w:szCs w:val="16"/>
        </w:rPr>
        <w:t>Para.</w:t>
      </w:r>
      <w:r w:rsidR="0052125E" w:rsidRPr="00954547">
        <w:rPr>
          <w:rFonts w:ascii="Verdana" w:hAnsi="Verdana"/>
          <w:sz w:val="16"/>
          <w:szCs w:val="16"/>
        </w:rPr>
        <w:t xml:space="preserve"> </w:t>
      </w:r>
      <w:r w:rsidRPr="00954547">
        <w:rPr>
          <w:rFonts w:ascii="Verdana" w:hAnsi="Verdana"/>
          <w:sz w:val="16"/>
          <w:szCs w:val="16"/>
        </w:rPr>
        <w:t xml:space="preserve">30 </w:t>
      </w:r>
      <w:r w:rsidR="0052125E" w:rsidRPr="00954547">
        <w:rPr>
          <w:rFonts w:ascii="Verdana" w:hAnsi="Verdana"/>
          <w:sz w:val="16"/>
          <w:szCs w:val="16"/>
        </w:rPr>
        <w:t>of the judgment</w:t>
      </w:r>
      <w:r w:rsidRPr="00954547">
        <w:rPr>
          <w:rFonts w:ascii="Verdana" w:hAnsi="Verdana"/>
          <w:sz w:val="16"/>
          <w:szCs w:val="16"/>
        </w:rPr>
        <w:t>.</w:t>
      </w:r>
    </w:p>
  </w:footnote>
  <w:footnote w:id="491">
    <w:p w14:paraId="0B9F83A2" w14:textId="70CF2C12" w:rsidR="00A402C7" w:rsidRPr="00954547" w:rsidRDefault="00A402C7" w:rsidP="00896FCB">
      <w:pPr>
        <w:pStyle w:val="Default"/>
        <w:tabs>
          <w:tab w:val="left" w:pos="540"/>
        </w:tabs>
        <w:spacing w:after="120"/>
        <w:jc w:val="both"/>
        <w:rPr>
          <w:sz w:val="16"/>
          <w:szCs w:val="16"/>
          <w:lang w:val="en-US"/>
        </w:rPr>
      </w:pPr>
      <w:r w:rsidRPr="00954547">
        <w:rPr>
          <w:rStyle w:val="FootnoteReference"/>
          <w:sz w:val="16"/>
          <w:szCs w:val="16"/>
          <w:lang w:val="en-US"/>
        </w:rPr>
        <w:footnoteRef/>
      </w:r>
      <w:r w:rsidRPr="00954547">
        <w:rPr>
          <w:sz w:val="16"/>
          <w:szCs w:val="16"/>
          <w:lang w:val="en-US"/>
        </w:rPr>
        <w:t xml:space="preserve"> </w:t>
      </w:r>
      <w:r w:rsidR="0052125E" w:rsidRPr="00954547">
        <w:rPr>
          <w:sz w:val="16"/>
          <w:szCs w:val="16"/>
          <w:lang w:val="en-US"/>
        </w:rPr>
        <w:tab/>
      </w:r>
      <w:r w:rsidR="00E76B1A" w:rsidRPr="00954547">
        <w:rPr>
          <w:sz w:val="16"/>
          <w:szCs w:val="16"/>
          <w:lang w:val="en-US"/>
        </w:rPr>
        <w:t>The Inter-American Commission</w:t>
      </w:r>
      <w:r w:rsidR="00A42A4C" w:rsidRPr="00954547">
        <w:rPr>
          <w:sz w:val="16"/>
          <w:szCs w:val="16"/>
          <w:lang w:val="en-US"/>
        </w:rPr>
        <w:t xml:space="preserve"> on </w:t>
      </w:r>
      <w:r w:rsidR="00E76B1A" w:rsidRPr="00954547">
        <w:rPr>
          <w:sz w:val="16"/>
          <w:szCs w:val="16"/>
          <w:lang w:val="en-US"/>
        </w:rPr>
        <w:t>Human Rights</w:t>
      </w:r>
      <w:r w:rsidRPr="00954547">
        <w:rPr>
          <w:sz w:val="16"/>
          <w:szCs w:val="16"/>
          <w:lang w:val="en-US"/>
        </w:rPr>
        <w:t xml:space="preserve"> </w:t>
      </w:r>
      <w:r w:rsidR="00605272" w:rsidRPr="00954547">
        <w:rPr>
          <w:sz w:val="16"/>
          <w:szCs w:val="16"/>
          <w:lang w:val="en-US"/>
        </w:rPr>
        <w:t>refers to this fact as</w:t>
      </w:r>
      <w:r w:rsidRPr="00954547">
        <w:rPr>
          <w:sz w:val="16"/>
          <w:szCs w:val="16"/>
          <w:lang w:val="en-US"/>
        </w:rPr>
        <w:t xml:space="preserve"> “</w:t>
      </w:r>
      <w:r w:rsidR="00720FF6" w:rsidRPr="00954547">
        <w:rPr>
          <w:sz w:val="16"/>
          <w:szCs w:val="16"/>
          <w:lang w:val="en-US"/>
        </w:rPr>
        <w:t>the criminalization of abortion</w:t>
      </w:r>
      <w:r w:rsidRPr="00954547">
        <w:rPr>
          <w:sz w:val="16"/>
          <w:szCs w:val="16"/>
          <w:lang w:val="en-US"/>
        </w:rPr>
        <w:t xml:space="preserve">” </w:t>
      </w:r>
      <w:r w:rsidR="005A68A5" w:rsidRPr="00954547">
        <w:rPr>
          <w:sz w:val="16"/>
          <w:szCs w:val="16"/>
          <w:lang w:val="en-US"/>
        </w:rPr>
        <w:t>(p</w:t>
      </w:r>
      <w:r w:rsidR="00B10E5A" w:rsidRPr="00954547">
        <w:rPr>
          <w:sz w:val="16"/>
          <w:szCs w:val="16"/>
          <w:lang w:val="en-US"/>
        </w:rPr>
        <w:t>ara.</w:t>
      </w:r>
      <w:r w:rsidRPr="00954547">
        <w:rPr>
          <w:sz w:val="16"/>
          <w:szCs w:val="16"/>
          <w:lang w:val="en-US"/>
        </w:rPr>
        <w:t xml:space="preserve"> 1 </w:t>
      </w:r>
      <w:r w:rsidR="0052125E" w:rsidRPr="00954547">
        <w:rPr>
          <w:sz w:val="16"/>
          <w:szCs w:val="16"/>
          <w:lang w:val="en-US"/>
        </w:rPr>
        <w:t>of the judgment</w:t>
      </w:r>
      <w:r w:rsidR="005A68A5" w:rsidRPr="00954547">
        <w:rPr>
          <w:sz w:val="16"/>
          <w:szCs w:val="16"/>
          <w:lang w:val="en-US"/>
        </w:rPr>
        <w:t>)</w:t>
      </w:r>
      <w:r w:rsidRPr="00954547">
        <w:rPr>
          <w:sz w:val="16"/>
          <w:szCs w:val="16"/>
          <w:lang w:val="en-US"/>
        </w:rPr>
        <w:t xml:space="preserve">. </w:t>
      </w:r>
      <w:r w:rsidR="00605272" w:rsidRPr="00954547">
        <w:rPr>
          <w:sz w:val="16"/>
          <w:szCs w:val="16"/>
          <w:lang w:val="en-US"/>
        </w:rPr>
        <w:t xml:space="preserve">The judgment reiterates this expression </w:t>
      </w:r>
      <w:r w:rsidR="0052125E" w:rsidRPr="00954547">
        <w:rPr>
          <w:sz w:val="16"/>
          <w:szCs w:val="16"/>
          <w:lang w:val="en-US"/>
        </w:rPr>
        <w:t>i</w:t>
      </w:r>
      <w:r w:rsidR="00BB5831" w:rsidRPr="00954547">
        <w:rPr>
          <w:sz w:val="16"/>
          <w:szCs w:val="16"/>
          <w:lang w:val="en-US"/>
        </w:rPr>
        <w:t>n</w:t>
      </w:r>
      <w:r w:rsidR="0052125E" w:rsidRPr="00954547">
        <w:rPr>
          <w:sz w:val="16"/>
          <w:szCs w:val="16"/>
          <w:lang w:val="en-US"/>
        </w:rPr>
        <w:t xml:space="preserve"> para. </w:t>
      </w:r>
      <w:r w:rsidR="00BB5831" w:rsidRPr="00954547">
        <w:rPr>
          <w:sz w:val="16"/>
          <w:szCs w:val="16"/>
          <w:lang w:val="en-US"/>
        </w:rPr>
        <w:t>41</w:t>
      </w:r>
      <w:r w:rsidRPr="00954547">
        <w:rPr>
          <w:sz w:val="16"/>
          <w:szCs w:val="16"/>
          <w:lang w:val="en-US"/>
        </w:rPr>
        <w:t>.</w:t>
      </w:r>
    </w:p>
  </w:footnote>
  <w:footnote w:id="492">
    <w:p w14:paraId="178A5ED1" w14:textId="0E7A6685" w:rsidR="00A402C7" w:rsidRPr="00954547" w:rsidRDefault="00A402C7" w:rsidP="00896FCB">
      <w:pPr>
        <w:pStyle w:val="FootnoteText"/>
        <w:tabs>
          <w:tab w:val="left" w:pos="540"/>
        </w:tabs>
        <w:spacing w:after="120"/>
        <w:jc w:val="both"/>
        <w:rPr>
          <w:rFonts w:ascii="Verdana" w:hAnsi="Verdana"/>
          <w:sz w:val="16"/>
          <w:szCs w:val="16"/>
          <w:vertAlign w:val="superscript"/>
        </w:rPr>
      </w:pPr>
      <w:r w:rsidRPr="00954547">
        <w:rPr>
          <w:rStyle w:val="FootnoteReference"/>
          <w:rFonts w:ascii="Verdana" w:hAnsi="Verdana"/>
          <w:sz w:val="16"/>
          <w:szCs w:val="16"/>
        </w:rPr>
        <w:footnoteRef/>
      </w:r>
      <w:r w:rsidRPr="00954547">
        <w:rPr>
          <w:rFonts w:ascii="Verdana" w:hAnsi="Verdana"/>
          <w:sz w:val="16"/>
          <w:szCs w:val="16"/>
          <w:vertAlign w:val="superscript"/>
        </w:rPr>
        <w:t xml:space="preserve"> </w:t>
      </w:r>
      <w:r w:rsidR="0052125E" w:rsidRPr="00954547">
        <w:rPr>
          <w:rFonts w:ascii="Verdana" w:hAnsi="Verdana"/>
          <w:sz w:val="16"/>
          <w:szCs w:val="16"/>
          <w:vertAlign w:val="superscript"/>
        </w:rPr>
        <w:tab/>
      </w:r>
      <w:r w:rsidR="00B10E5A" w:rsidRPr="00954547">
        <w:rPr>
          <w:rFonts w:ascii="Verdana" w:hAnsi="Verdana"/>
          <w:sz w:val="16"/>
          <w:szCs w:val="16"/>
        </w:rPr>
        <w:t>Para.</w:t>
      </w:r>
      <w:r w:rsidRPr="00954547">
        <w:rPr>
          <w:rFonts w:ascii="Verdana" w:hAnsi="Verdana"/>
          <w:sz w:val="16"/>
          <w:szCs w:val="16"/>
        </w:rPr>
        <w:t xml:space="preserve"> 41. </w:t>
      </w:r>
    </w:p>
  </w:footnote>
  <w:footnote w:id="493">
    <w:p w14:paraId="32643AEA" w14:textId="018E1954" w:rsidR="00A402C7" w:rsidRPr="00954547" w:rsidRDefault="00A402C7" w:rsidP="00896FCB">
      <w:pPr>
        <w:tabs>
          <w:tab w:val="left" w:pos="-1440"/>
          <w:tab w:val="left" w:pos="-720"/>
          <w:tab w:val="left" w:pos="0"/>
          <w:tab w:val="left" w:pos="540"/>
          <w:tab w:val="left" w:pos="720"/>
          <w:tab w:val="left" w:pos="1296"/>
          <w:tab w:val="left" w:pos="2160"/>
        </w:tabs>
        <w:suppressAutoHyphens/>
        <w:spacing w:after="120"/>
        <w:jc w:val="both"/>
        <w:rPr>
          <w:rFonts w:ascii="Verdana" w:hAnsi="Verdana"/>
          <w:spacing w:val="-3"/>
          <w:sz w:val="16"/>
          <w:szCs w:val="16"/>
        </w:rPr>
      </w:pPr>
      <w:r w:rsidRPr="00954547">
        <w:rPr>
          <w:rStyle w:val="FootnoteReference"/>
          <w:rFonts w:ascii="Verdana" w:hAnsi="Verdana"/>
          <w:sz w:val="16"/>
          <w:szCs w:val="16"/>
          <w:vertAlign w:val="subscript"/>
        </w:rPr>
        <w:footnoteRef/>
      </w:r>
      <w:r w:rsidRPr="00954547">
        <w:rPr>
          <w:rFonts w:ascii="Verdana" w:hAnsi="Verdana"/>
          <w:sz w:val="16"/>
          <w:szCs w:val="16"/>
          <w:vertAlign w:val="subscript"/>
        </w:rPr>
        <w:t xml:space="preserve"> </w:t>
      </w:r>
      <w:r w:rsidR="0052125E" w:rsidRPr="00954547">
        <w:rPr>
          <w:rFonts w:ascii="Verdana" w:hAnsi="Verdana"/>
          <w:sz w:val="16"/>
          <w:szCs w:val="16"/>
          <w:vertAlign w:val="subscript"/>
        </w:rPr>
        <w:tab/>
      </w:r>
      <w:r w:rsidR="00B10E5A" w:rsidRPr="00954547">
        <w:rPr>
          <w:rFonts w:ascii="Verdana" w:hAnsi="Verdana"/>
          <w:sz w:val="16"/>
          <w:szCs w:val="16"/>
        </w:rPr>
        <w:t>Para.</w:t>
      </w:r>
      <w:r w:rsidRPr="00954547">
        <w:rPr>
          <w:rFonts w:ascii="Verdana" w:hAnsi="Verdana"/>
          <w:sz w:val="16"/>
          <w:szCs w:val="16"/>
        </w:rPr>
        <w:t xml:space="preserve"> 3 </w:t>
      </w:r>
      <w:r w:rsidR="001520D0" w:rsidRPr="00954547">
        <w:rPr>
          <w:rFonts w:ascii="Verdana" w:hAnsi="Verdana"/>
          <w:sz w:val="16"/>
          <w:szCs w:val="16"/>
        </w:rPr>
        <w:t>of the Preamble to</w:t>
      </w:r>
      <w:r w:rsidR="005E0FD1" w:rsidRPr="00954547">
        <w:rPr>
          <w:rFonts w:ascii="Verdana" w:hAnsi="Verdana"/>
          <w:sz w:val="16"/>
          <w:szCs w:val="16"/>
        </w:rPr>
        <w:t xml:space="preserve"> the Convention</w:t>
      </w:r>
      <w:r w:rsidRPr="00954547">
        <w:rPr>
          <w:rFonts w:ascii="Verdana" w:hAnsi="Verdana"/>
          <w:sz w:val="16"/>
          <w:szCs w:val="16"/>
        </w:rPr>
        <w:t xml:space="preserve">: </w:t>
      </w:r>
      <w:r w:rsidRPr="00954547">
        <w:rPr>
          <w:rFonts w:ascii="Verdana" w:hAnsi="Verdana"/>
          <w:i/>
          <w:sz w:val="16"/>
          <w:szCs w:val="16"/>
        </w:rPr>
        <w:t>“</w:t>
      </w:r>
      <w:r w:rsidR="00896FCB" w:rsidRPr="00954547">
        <w:rPr>
          <w:rFonts w:ascii="Verdana" w:hAnsi="Verdana"/>
          <w:spacing w:val="-3"/>
          <w:sz w:val="16"/>
          <w:szCs w:val="16"/>
        </w:rPr>
        <w:t>Recognizing that  the essential rights of man are not derived from one's being a national of a certain state, but are based upon attributes of the human personality, and that they therefore justify international protection in the form of a convention reinforcing or complementing the protection provided by the domestic law of the American States.”</w:t>
      </w:r>
    </w:p>
  </w:footnote>
  <w:footnote w:id="494">
    <w:p w14:paraId="2AB66DFE" w14:textId="77777777" w:rsidR="00AB30F4" w:rsidRPr="00954547" w:rsidRDefault="00AB30F4" w:rsidP="00AB30F4">
      <w:pPr>
        <w:pStyle w:val="Heading1"/>
        <w:shd w:val="clear" w:color="auto" w:fill="FFFFFF"/>
        <w:tabs>
          <w:tab w:val="left" w:pos="540"/>
        </w:tabs>
        <w:spacing w:before="0" w:after="120"/>
        <w:jc w:val="both"/>
        <w:rPr>
          <w:rFonts w:eastAsia="Times New Roman" w:cs="Arial"/>
          <w:b w:val="0"/>
          <w:bCs w:val="0"/>
          <w:i/>
          <w:color w:val="333333"/>
          <w:kern w:val="36"/>
          <w:sz w:val="16"/>
          <w:szCs w:val="16"/>
          <w:bdr w:val="none" w:sz="0" w:space="0" w:color="auto" w:frame="1"/>
          <w:lang w:eastAsia="es-CL"/>
        </w:rPr>
      </w:pPr>
      <w:r w:rsidRPr="00954547">
        <w:rPr>
          <w:rStyle w:val="FootnoteReference"/>
          <w:b w:val="0"/>
          <w:bCs w:val="0"/>
          <w:i/>
          <w:sz w:val="16"/>
          <w:szCs w:val="16"/>
        </w:rPr>
        <w:footnoteRef/>
      </w:r>
      <w:r w:rsidRPr="00954547">
        <w:rPr>
          <w:b w:val="0"/>
          <w:bCs w:val="0"/>
          <w:color w:val="333333"/>
          <w:sz w:val="16"/>
          <w:szCs w:val="16"/>
          <w:shd w:val="clear" w:color="auto" w:fill="FFFFFF"/>
        </w:rPr>
        <w:t xml:space="preserve"> </w:t>
      </w:r>
      <w:r w:rsidRPr="00954547">
        <w:rPr>
          <w:b w:val="0"/>
          <w:bCs w:val="0"/>
          <w:color w:val="333333"/>
          <w:sz w:val="16"/>
          <w:szCs w:val="16"/>
          <w:shd w:val="clear" w:color="auto" w:fill="FFFFFF"/>
        </w:rPr>
        <w:tab/>
        <w:t>Art. 14(2),</w:t>
      </w:r>
      <w:r w:rsidRPr="00954547">
        <w:rPr>
          <w:b w:val="0"/>
          <w:bCs w:val="0"/>
          <w:i/>
          <w:color w:val="333333"/>
          <w:sz w:val="16"/>
          <w:szCs w:val="16"/>
          <w:shd w:val="clear" w:color="auto" w:fill="FFFFFF"/>
        </w:rPr>
        <w:t xml:space="preserve"> </w:t>
      </w:r>
      <w:r w:rsidRPr="00954547">
        <w:rPr>
          <w:b w:val="0"/>
          <w:bCs w:val="0"/>
          <w:sz w:val="16"/>
          <w:szCs w:val="16"/>
        </w:rPr>
        <w:t>Responsibility of States for Internationally Wrongful Acts</w:t>
      </w:r>
      <w:r w:rsidRPr="00954547">
        <w:rPr>
          <w:b w:val="0"/>
          <w:bCs w:val="0"/>
          <w:color w:val="333333"/>
          <w:sz w:val="16"/>
          <w:szCs w:val="16"/>
          <w:shd w:val="clear" w:color="auto" w:fill="FFFFFF"/>
        </w:rPr>
        <w:t xml:space="preserve"> (</w:t>
      </w:r>
      <w:r w:rsidRPr="00954547">
        <w:rPr>
          <w:rFonts w:eastAsia="Times New Roman" w:cs="Arial"/>
          <w:b w:val="0"/>
          <w:bCs w:val="0"/>
          <w:color w:val="333333"/>
          <w:kern w:val="36"/>
          <w:sz w:val="16"/>
          <w:szCs w:val="16"/>
          <w:bdr w:val="none" w:sz="0" w:space="0" w:color="auto" w:frame="1"/>
          <w:lang w:eastAsia="es-CL"/>
        </w:rPr>
        <w:t>AG/56/83)</w:t>
      </w:r>
      <w:r w:rsidRPr="00954547">
        <w:rPr>
          <w:rFonts w:eastAsia="Times New Roman" w:cs="Arial"/>
          <w:b w:val="0"/>
          <w:bCs w:val="0"/>
          <w:i/>
          <w:color w:val="333333"/>
          <w:kern w:val="36"/>
          <w:sz w:val="16"/>
          <w:szCs w:val="16"/>
          <w:bdr w:val="none" w:sz="0" w:space="0" w:color="auto" w:frame="1"/>
          <w:lang w:eastAsia="es-CL"/>
        </w:rPr>
        <w:t>: “</w:t>
      </w:r>
      <w:r w:rsidRPr="00954547">
        <w:rPr>
          <w:b w:val="0"/>
          <w:bCs w:val="0"/>
          <w:sz w:val="16"/>
          <w:szCs w:val="16"/>
        </w:rPr>
        <w:t>The breach of an international obligation by an act of a State having a continuing character extends over the entire period during which the act continues and remains not in conformity with the international obligation.”</w:t>
      </w:r>
    </w:p>
  </w:footnote>
  <w:footnote w:id="495">
    <w:p w14:paraId="33A683DD" w14:textId="4BBCDB9F" w:rsidR="00AB30F4" w:rsidRPr="00954547" w:rsidRDefault="00AB30F4" w:rsidP="00AB30F4">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color w:val="333333"/>
          <w:sz w:val="16"/>
          <w:szCs w:val="16"/>
          <w:shd w:val="clear" w:color="auto" w:fill="FFFFFF"/>
        </w:rPr>
        <w:t xml:space="preserve"> </w:t>
      </w:r>
      <w:r w:rsidRPr="00954547">
        <w:rPr>
          <w:rFonts w:ascii="Verdana" w:hAnsi="Verdana"/>
          <w:color w:val="333333"/>
          <w:sz w:val="16"/>
          <w:szCs w:val="16"/>
          <w:shd w:val="clear" w:color="auto" w:fill="FFFFFF"/>
        </w:rPr>
        <w:tab/>
        <w:t>Art.</w:t>
      </w:r>
      <w:r w:rsidR="00393094" w:rsidRPr="00954547">
        <w:rPr>
          <w:rFonts w:ascii="Verdana" w:hAnsi="Verdana"/>
          <w:color w:val="333333"/>
          <w:sz w:val="16"/>
          <w:szCs w:val="16"/>
          <w:shd w:val="clear" w:color="auto" w:fill="FFFFFF"/>
        </w:rPr>
        <w:t xml:space="preserve"> </w:t>
      </w:r>
      <w:r w:rsidRPr="00954547">
        <w:rPr>
          <w:rFonts w:ascii="Verdana" w:hAnsi="Verdana"/>
          <w:color w:val="333333"/>
          <w:sz w:val="16"/>
          <w:szCs w:val="16"/>
          <w:shd w:val="clear" w:color="auto" w:fill="FFFFFF"/>
        </w:rPr>
        <w:t xml:space="preserve">15(1), </w:t>
      </w:r>
      <w:r w:rsidRPr="00954547">
        <w:rPr>
          <w:rFonts w:ascii="Verdana" w:hAnsi="Verdana"/>
          <w:i/>
          <w:color w:val="333333"/>
          <w:sz w:val="16"/>
          <w:szCs w:val="16"/>
          <w:shd w:val="clear" w:color="auto" w:fill="FFFFFF"/>
        </w:rPr>
        <w:t>Idem</w:t>
      </w:r>
      <w:r w:rsidRPr="00954547">
        <w:rPr>
          <w:rFonts w:ascii="Verdana" w:hAnsi="Verdana"/>
          <w:color w:val="333333"/>
          <w:sz w:val="16"/>
          <w:szCs w:val="16"/>
          <w:shd w:val="clear" w:color="auto" w:fill="FFFFFF"/>
        </w:rPr>
        <w:t>: “</w:t>
      </w:r>
      <w:r w:rsidRPr="00954547">
        <w:rPr>
          <w:rFonts w:ascii="Verdana" w:hAnsi="Verdana"/>
          <w:sz w:val="16"/>
          <w:szCs w:val="16"/>
        </w:rPr>
        <w:t>The breach of an international obligation by a State through a series of actions or omissions defined in aggregate as wrongful occurs when the action or omission occurs which, taken with the other actions or omissions, is sufficient to constitute the wrongful act.”</w:t>
      </w:r>
    </w:p>
  </w:footnote>
  <w:footnote w:id="496">
    <w:p w14:paraId="161D7FEB" w14:textId="77777777" w:rsidR="00AB30F4" w:rsidRPr="00954547" w:rsidRDefault="00AB30F4" w:rsidP="00AB30F4">
      <w:pPr>
        <w:pStyle w:val="FootnoteText"/>
        <w:tabs>
          <w:tab w:val="left" w:pos="540"/>
        </w:tabs>
        <w:spacing w:after="120"/>
        <w:jc w:val="both"/>
        <w:rPr>
          <w:rFonts w:ascii="Verdana" w:hAnsi="Verdana"/>
          <w:color w:val="333333"/>
          <w:sz w:val="16"/>
          <w:szCs w:val="16"/>
          <w:shd w:val="clear" w:color="auto" w:fill="FFFFFF"/>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t xml:space="preserve">Art.14(3), </w:t>
      </w:r>
      <w:r w:rsidRPr="00954547">
        <w:rPr>
          <w:rFonts w:ascii="Verdana" w:hAnsi="Verdana"/>
          <w:i/>
          <w:sz w:val="16"/>
          <w:szCs w:val="16"/>
        </w:rPr>
        <w:t>Idem</w:t>
      </w:r>
      <w:r w:rsidRPr="00954547">
        <w:rPr>
          <w:rFonts w:ascii="Verdana" w:hAnsi="Verdana"/>
          <w:sz w:val="16"/>
          <w:szCs w:val="16"/>
        </w:rPr>
        <w:t>: The breach of an international obligation requiring a State to prevent a given event occurs when the event occurs and extends over the entire period during which the event continues and remains not in conformity with that obligation.</w:t>
      </w:r>
      <w:r w:rsidRPr="00954547">
        <w:rPr>
          <w:rFonts w:ascii="Verdana" w:hAnsi="Verdana"/>
          <w:i/>
          <w:color w:val="333333"/>
          <w:sz w:val="16"/>
          <w:szCs w:val="16"/>
          <w:shd w:val="clear" w:color="auto" w:fill="FFFFFF"/>
        </w:rPr>
        <w:t>”</w:t>
      </w:r>
    </w:p>
  </w:footnote>
  <w:footnote w:id="497">
    <w:p w14:paraId="22111694" w14:textId="77777777" w:rsidR="00AB30F4" w:rsidRPr="00954547" w:rsidRDefault="00AB30F4" w:rsidP="00AB30F4">
      <w:pPr>
        <w:pStyle w:val="FootnoteText"/>
        <w:tabs>
          <w:tab w:val="left" w:pos="540"/>
        </w:tabs>
        <w:spacing w:after="120"/>
        <w:jc w:val="both"/>
        <w:rPr>
          <w:rFonts w:ascii="Verdana" w:hAnsi="Verdana"/>
          <w:color w:val="333333"/>
          <w:sz w:val="16"/>
          <w:szCs w:val="16"/>
          <w:shd w:val="clear" w:color="auto" w:fill="FFFFFF"/>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t xml:space="preserve">Art.14(1), </w:t>
      </w:r>
      <w:r w:rsidRPr="00954547">
        <w:rPr>
          <w:rFonts w:ascii="Verdana" w:hAnsi="Verdana"/>
          <w:i/>
          <w:sz w:val="16"/>
          <w:szCs w:val="16"/>
        </w:rPr>
        <w:t>Idem:</w:t>
      </w:r>
      <w:r w:rsidRPr="00954547">
        <w:rPr>
          <w:rFonts w:ascii="Verdana" w:hAnsi="Verdana"/>
          <w:sz w:val="16"/>
          <w:szCs w:val="16"/>
        </w:rPr>
        <w:t xml:space="preserve"> “The breach of an international obligation by an act of a State not having a continuing character occurs at the moment when the act is performed, even if its effects continue.”</w:t>
      </w:r>
    </w:p>
  </w:footnote>
  <w:footnote w:id="498">
    <w:p w14:paraId="2904ABA9" w14:textId="77777777" w:rsidR="00114601" w:rsidRPr="00954547" w:rsidRDefault="00114601" w:rsidP="00114601">
      <w:pPr>
        <w:pStyle w:val="FootnoteText"/>
        <w:tabs>
          <w:tab w:val="left" w:pos="540"/>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Pr="00954547">
        <w:rPr>
          <w:rFonts w:ascii="Verdana" w:hAnsi="Verdana"/>
          <w:i/>
          <w:sz w:val="16"/>
          <w:szCs w:val="16"/>
        </w:rPr>
        <w:t>Supra</w:t>
      </w:r>
      <w:r w:rsidRPr="00954547">
        <w:rPr>
          <w:rFonts w:ascii="Verdana" w:hAnsi="Verdana"/>
          <w:sz w:val="16"/>
          <w:szCs w:val="16"/>
        </w:rPr>
        <w:t xml:space="preserve">, footnote 32. </w:t>
      </w:r>
    </w:p>
  </w:footnote>
  <w:footnote w:id="499">
    <w:p w14:paraId="48D72B42" w14:textId="573CCC6C" w:rsidR="00A402C7" w:rsidRPr="00954547" w:rsidRDefault="00A402C7" w:rsidP="00896FCB">
      <w:pPr>
        <w:pStyle w:val="FootnoteText"/>
        <w:tabs>
          <w:tab w:val="left" w:pos="540"/>
        </w:tabs>
        <w:spacing w:after="120"/>
        <w:jc w:val="both"/>
        <w:rPr>
          <w:rFonts w:ascii="Verdana" w:eastAsia="Times New Roman" w:hAnsi="Verdana" w:cs="Tahoma"/>
          <w:i/>
          <w:sz w:val="16"/>
          <w:szCs w:val="16"/>
          <w:lang w:eastAsia="es-CL"/>
        </w:rPr>
      </w:pPr>
      <w:r w:rsidRPr="00954547">
        <w:rPr>
          <w:rStyle w:val="FootnoteReference"/>
          <w:rFonts w:ascii="Verdana" w:hAnsi="Verdana"/>
          <w:sz w:val="16"/>
          <w:szCs w:val="16"/>
        </w:rPr>
        <w:footnoteRef/>
      </w:r>
      <w:r w:rsidRPr="00954547">
        <w:rPr>
          <w:rFonts w:ascii="Verdana" w:hAnsi="Verdana"/>
          <w:sz w:val="16"/>
          <w:szCs w:val="16"/>
        </w:rPr>
        <w:t xml:space="preserve"> </w:t>
      </w:r>
      <w:r w:rsidR="00896FCB" w:rsidRPr="00954547">
        <w:rPr>
          <w:rFonts w:ascii="Verdana" w:hAnsi="Verdana"/>
          <w:sz w:val="16"/>
          <w:szCs w:val="16"/>
        </w:rPr>
        <w:tab/>
      </w:r>
      <w:r w:rsidRPr="00954547">
        <w:rPr>
          <w:rFonts w:ascii="Verdana" w:hAnsi="Verdana"/>
          <w:sz w:val="16"/>
          <w:szCs w:val="16"/>
        </w:rPr>
        <w:t>Art.</w:t>
      </w:r>
      <w:r w:rsidR="0052125E" w:rsidRPr="00954547">
        <w:rPr>
          <w:rFonts w:ascii="Verdana" w:hAnsi="Verdana"/>
          <w:sz w:val="16"/>
          <w:szCs w:val="16"/>
        </w:rPr>
        <w:t xml:space="preserve"> </w:t>
      </w:r>
      <w:r w:rsidRPr="00954547">
        <w:rPr>
          <w:rFonts w:ascii="Verdana" w:hAnsi="Verdana"/>
          <w:sz w:val="16"/>
          <w:szCs w:val="16"/>
        </w:rPr>
        <w:t>62</w:t>
      </w:r>
      <w:r w:rsidR="0052125E" w:rsidRPr="00954547">
        <w:rPr>
          <w:rFonts w:ascii="Verdana" w:hAnsi="Verdana"/>
          <w:sz w:val="16"/>
          <w:szCs w:val="16"/>
        </w:rPr>
        <w:t>(</w:t>
      </w:r>
      <w:r w:rsidRPr="00954547">
        <w:rPr>
          <w:rFonts w:ascii="Verdana" w:hAnsi="Verdana"/>
          <w:sz w:val="16"/>
          <w:szCs w:val="16"/>
        </w:rPr>
        <w:t>3</w:t>
      </w:r>
      <w:r w:rsidR="0052125E" w:rsidRPr="00954547">
        <w:rPr>
          <w:rFonts w:ascii="Verdana" w:hAnsi="Verdana"/>
          <w:sz w:val="16"/>
          <w:szCs w:val="16"/>
        </w:rPr>
        <w:t>)</w:t>
      </w:r>
      <w:r w:rsidRPr="00954547">
        <w:rPr>
          <w:rFonts w:ascii="Verdana" w:hAnsi="Verdana"/>
          <w:sz w:val="16"/>
          <w:szCs w:val="16"/>
        </w:rPr>
        <w:t xml:space="preserve">: </w:t>
      </w:r>
      <w:r w:rsidR="00896FCB" w:rsidRPr="00954547">
        <w:rPr>
          <w:rFonts w:ascii="Verdana" w:hAnsi="Verdana"/>
          <w:sz w:val="16"/>
          <w:szCs w:val="16"/>
        </w:rPr>
        <w:t>“</w:t>
      </w:r>
      <w:r w:rsidR="00896FCB" w:rsidRPr="00954547">
        <w:rPr>
          <w:rFonts w:ascii="Verdana" w:hAnsi="Verdana"/>
          <w:spacing w:val="-3"/>
          <w:sz w:val="16"/>
          <w:szCs w:val="16"/>
        </w:rPr>
        <w:t>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r w:rsidR="00896FCB" w:rsidRPr="00954547">
        <w:rPr>
          <w:rFonts w:ascii="Verdana" w:hAnsi="Verdana"/>
          <w:sz w:val="16"/>
          <w:szCs w:val="16"/>
        </w:rPr>
        <w:t>”</w:t>
      </w:r>
    </w:p>
  </w:footnote>
  <w:footnote w:id="500">
    <w:p w14:paraId="034A95D8" w14:textId="527B1E2E" w:rsidR="00A402C7" w:rsidRPr="00954547" w:rsidRDefault="00A402C7" w:rsidP="007619E6">
      <w:pPr>
        <w:pStyle w:val="Heading1"/>
        <w:shd w:val="clear" w:color="auto" w:fill="FFFFFF"/>
        <w:spacing w:before="0" w:after="120"/>
        <w:jc w:val="both"/>
        <w:rPr>
          <w:rFonts w:eastAsia="Times New Roman" w:cs="Arial"/>
          <w:b w:val="0"/>
          <w:bCs w:val="0"/>
          <w:kern w:val="36"/>
          <w:sz w:val="16"/>
          <w:szCs w:val="16"/>
          <w:lang w:eastAsia="es-CL"/>
        </w:rPr>
      </w:pPr>
      <w:r w:rsidRPr="00954547">
        <w:rPr>
          <w:rStyle w:val="FootnoteReference"/>
          <w:b w:val="0"/>
          <w:bCs w:val="0"/>
          <w:sz w:val="16"/>
          <w:szCs w:val="16"/>
        </w:rPr>
        <w:footnoteRef/>
      </w:r>
      <w:r w:rsidRPr="00954547">
        <w:rPr>
          <w:b w:val="0"/>
          <w:bCs w:val="0"/>
          <w:sz w:val="16"/>
          <w:szCs w:val="16"/>
        </w:rPr>
        <w:t xml:space="preserve"> </w:t>
      </w:r>
      <w:r w:rsidR="00896FCB" w:rsidRPr="00954547">
        <w:rPr>
          <w:b w:val="0"/>
          <w:bCs w:val="0"/>
          <w:sz w:val="16"/>
          <w:szCs w:val="16"/>
        </w:rPr>
        <w:tab/>
      </w:r>
      <w:r w:rsidRPr="00954547">
        <w:rPr>
          <w:b w:val="0"/>
          <w:bCs w:val="0"/>
          <w:sz w:val="16"/>
          <w:szCs w:val="16"/>
        </w:rPr>
        <w:t>Art.</w:t>
      </w:r>
      <w:r w:rsidR="004110D3" w:rsidRPr="00954547">
        <w:rPr>
          <w:b w:val="0"/>
          <w:bCs w:val="0"/>
          <w:sz w:val="16"/>
          <w:szCs w:val="16"/>
        </w:rPr>
        <w:t xml:space="preserve"> </w:t>
      </w:r>
      <w:r w:rsidRPr="00954547">
        <w:rPr>
          <w:b w:val="0"/>
          <w:bCs w:val="0"/>
          <w:sz w:val="16"/>
          <w:szCs w:val="16"/>
        </w:rPr>
        <w:t xml:space="preserve">2 </w:t>
      </w:r>
      <w:r w:rsidR="004110D3" w:rsidRPr="00954547">
        <w:rPr>
          <w:b w:val="0"/>
          <w:bCs w:val="0"/>
          <w:sz w:val="16"/>
          <w:szCs w:val="16"/>
        </w:rPr>
        <w:t>of the draft Articles on the Responsibility of States for Internationally Wrongful Acts</w:t>
      </w:r>
      <w:r w:rsidRPr="00954547">
        <w:rPr>
          <w:b w:val="0"/>
          <w:bCs w:val="0"/>
          <w:sz w:val="16"/>
          <w:szCs w:val="16"/>
        </w:rPr>
        <w:t xml:space="preserve">, </w:t>
      </w:r>
      <w:r w:rsidR="0052125E" w:rsidRPr="00954547">
        <w:rPr>
          <w:b w:val="0"/>
          <w:bCs w:val="0"/>
          <w:sz w:val="16"/>
          <w:szCs w:val="16"/>
        </w:rPr>
        <w:t>annex to</w:t>
      </w:r>
      <w:r w:rsidRPr="00954547">
        <w:rPr>
          <w:b w:val="0"/>
          <w:bCs w:val="0"/>
          <w:sz w:val="16"/>
          <w:szCs w:val="16"/>
        </w:rPr>
        <w:t xml:space="preserve"> </w:t>
      </w:r>
      <w:r w:rsidRPr="00954547">
        <w:rPr>
          <w:rFonts w:eastAsia="Times New Roman" w:cs="Arial"/>
          <w:b w:val="0"/>
          <w:bCs w:val="0"/>
          <w:kern w:val="36"/>
          <w:sz w:val="16"/>
          <w:szCs w:val="16"/>
          <w:bdr w:val="none" w:sz="0" w:space="0" w:color="auto" w:frame="1"/>
          <w:lang w:eastAsia="es-CL"/>
        </w:rPr>
        <w:t>(AG/56/83)</w:t>
      </w:r>
      <w:r w:rsidR="0052125E" w:rsidRPr="00954547">
        <w:rPr>
          <w:rFonts w:eastAsia="Times New Roman" w:cs="Arial"/>
          <w:b w:val="0"/>
          <w:bCs w:val="0"/>
          <w:kern w:val="36"/>
          <w:sz w:val="16"/>
          <w:szCs w:val="16"/>
          <w:bdr w:val="none" w:sz="0" w:space="0" w:color="auto" w:frame="1"/>
          <w:lang w:eastAsia="es-CL"/>
        </w:rPr>
        <w:t>.</w:t>
      </w:r>
    </w:p>
  </w:footnote>
  <w:footnote w:id="501">
    <w:p w14:paraId="5F633FAE" w14:textId="5841A779" w:rsidR="00A402C7" w:rsidRPr="00954547" w:rsidRDefault="00A402C7" w:rsidP="007619E6">
      <w:pPr>
        <w:pStyle w:val="FootnoteText"/>
        <w:spacing w:after="120"/>
        <w:jc w:val="both"/>
        <w:rPr>
          <w:rFonts w:ascii="Verdana" w:hAnsi="Verdana" w:cs="Arial"/>
          <w:sz w:val="16"/>
          <w:szCs w:val="16"/>
          <w:shd w:val="clear" w:color="auto" w:fill="FFFFFF"/>
        </w:rPr>
      </w:pPr>
      <w:r w:rsidRPr="00954547">
        <w:rPr>
          <w:rStyle w:val="FootnoteReference"/>
          <w:rFonts w:ascii="Verdana" w:hAnsi="Verdana"/>
          <w:sz w:val="16"/>
          <w:szCs w:val="16"/>
        </w:rPr>
        <w:footnoteRef/>
      </w:r>
      <w:r w:rsidRPr="00954547">
        <w:rPr>
          <w:rFonts w:ascii="Verdana" w:hAnsi="Verdana"/>
          <w:sz w:val="16"/>
          <w:szCs w:val="16"/>
        </w:rPr>
        <w:t xml:space="preserve"> </w:t>
      </w:r>
      <w:r w:rsidR="00896FCB" w:rsidRPr="00954547">
        <w:rPr>
          <w:rFonts w:ascii="Verdana" w:hAnsi="Verdana"/>
          <w:sz w:val="16"/>
          <w:szCs w:val="16"/>
        </w:rPr>
        <w:tab/>
      </w:r>
      <w:r w:rsidR="0052125E" w:rsidRPr="00954547">
        <w:rPr>
          <w:rFonts w:ascii="Verdana" w:hAnsi="Verdana"/>
          <w:sz w:val="16"/>
          <w:szCs w:val="16"/>
        </w:rPr>
        <w:t>Dissenting opinion of</w:t>
      </w:r>
      <w:r w:rsidRPr="00954547">
        <w:rPr>
          <w:rFonts w:ascii="Verdana" w:hAnsi="Verdana"/>
          <w:i/>
          <w:sz w:val="16"/>
          <w:szCs w:val="16"/>
        </w:rPr>
        <w:t xml:space="preserve"> </w:t>
      </w:r>
      <w:r w:rsidR="00A42A4C" w:rsidRPr="00954547">
        <w:rPr>
          <w:rFonts w:ascii="Verdana" w:hAnsi="Verdana"/>
          <w:iCs/>
          <w:sz w:val="16"/>
          <w:szCs w:val="16"/>
        </w:rPr>
        <w:t>Judge</w:t>
      </w:r>
      <w:r w:rsidRPr="00954547">
        <w:rPr>
          <w:rFonts w:ascii="Verdana" w:hAnsi="Verdana"/>
          <w:iCs/>
          <w:sz w:val="16"/>
          <w:szCs w:val="16"/>
        </w:rPr>
        <w:t xml:space="preserve"> Eduardo Vio Grossi,</w:t>
      </w:r>
      <w:r w:rsidRPr="00954547">
        <w:rPr>
          <w:rFonts w:ascii="Verdana" w:hAnsi="Verdana"/>
          <w:i/>
          <w:sz w:val="16"/>
          <w:szCs w:val="16"/>
        </w:rPr>
        <w:t xml:space="preserve"> </w:t>
      </w:r>
      <w:r w:rsidR="002F4617" w:rsidRPr="00954547">
        <w:rPr>
          <w:rFonts w:ascii="Verdana" w:hAnsi="Verdana" w:cs="Arial"/>
          <w:i/>
          <w:sz w:val="16"/>
          <w:szCs w:val="16"/>
          <w:shd w:val="clear" w:color="auto" w:fill="FFFFFF"/>
        </w:rPr>
        <w:t>Case of</w:t>
      </w:r>
      <w:r w:rsidRPr="00954547">
        <w:rPr>
          <w:rFonts w:ascii="Verdana" w:hAnsi="Verdana" w:cs="Arial"/>
          <w:i/>
          <w:sz w:val="16"/>
          <w:szCs w:val="16"/>
          <w:shd w:val="clear" w:color="auto" w:fill="FFFFFF"/>
        </w:rPr>
        <w:t xml:space="preserve"> Artavia Murillo</w:t>
      </w:r>
      <w:r w:rsidR="0078694F" w:rsidRPr="00954547">
        <w:rPr>
          <w:rFonts w:ascii="Verdana" w:hAnsi="Verdana" w:cs="Arial"/>
          <w:i/>
          <w:sz w:val="16"/>
          <w:szCs w:val="16"/>
          <w:shd w:val="clear" w:color="auto" w:fill="FFFFFF"/>
        </w:rPr>
        <w:t xml:space="preserve"> </w:t>
      </w:r>
      <w:r w:rsidR="00521777" w:rsidRPr="00954547">
        <w:rPr>
          <w:rFonts w:ascii="Verdana" w:hAnsi="Verdana" w:cs="Arial"/>
          <w:i/>
          <w:sz w:val="16"/>
          <w:szCs w:val="16"/>
          <w:shd w:val="clear" w:color="auto" w:fill="FFFFFF"/>
        </w:rPr>
        <w:t>et al. (In vitro fertilization)</w:t>
      </w:r>
      <w:r w:rsidR="0052125E" w:rsidRPr="00954547">
        <w:rPr>
          <w:rFonts w:ascii="Verdana" w:hAnsi="Verdana" w:cs="Arial"/>
          <w:i/>
          <w:sz w:val="16"/>
          <w:szCs w:val="16"/>
          <w:shd w:val="clear" w:color="auto" w:fill="FFFFFF"/>
        </w:rPr>
        <w:t xml:space="preserve"> </w:t>
      </w:r>
      <w:r w:rsidR="009C16A1" w:rsidRPr="00954547">
        <w:rPr>
          <w:rFonts w:ascii="Verdana" w:hAnsi="Verdana" w:cs="Arial"/>
          <w:i/>
          <w:sz w:val="16"/>
          <w:szCs w:val="16"/>
          <w:shd w:val="clear" w:color="auto" w:fill="FFFFFF"/>
        </w:rPr>
        <w:t>v.</w:t>
      </w:r>
      <w:r w:rsidRPr="00954547">
        <w:rPr>
          <w:rFonts w:ascii="Verdana" w:hAnsi="Verdana" w:cs="Arial"/>
          <w:i/>
          <w:sz w:val="16"/>
          <w:szCs w:val="16"/>
          <w:shd w:val="clear" w:color="auto" w:fill="FFFFFF"/>
        </w:rPr>
        <w:t xml:space="preserve"> Costa Rica. </w:t>
      </w:r>
      <w:r w:rsidR="004C640C" w:rsidRPr="00954547">
        <w:rPr>
          <w:rFonts w:ascii="Verdana" w:hAnsi="Verdana" w:cs="Arial"/>
          <w:i/>
          <w:sz w:val="16"/>
          <w:szCs w:val="16"/>
          <w:shd w:val="clear" w:color="auto" w:fill="FFFFFF"/>
        </w:rPr>
        <w:t>Preliminary objections, merits</w:t>
      </w:r>
      <w:r w:rsidR="00A70DC4" w:rsidRPr="00954547">
        <w:rPr>
          <w:rFonts w:ascii="Verdana" w:hAnsi="Verdana" w:cs="Arial"/>
          <w:i/>
          <w:sz w:val="16"/>
          <w:szCs w:val="16"/>
          <w:shd w:val="clear" w:color="auto" w:fill="FFFFFF"/>
        </w:rPr>
        <w:t>, reparations and costs</w:t>
      </w:r>
      <w:r w:rsidRPr="00954547">
        <w:rPr>
          <w:rFonts w:ascii="Verdana" w:hAnsi="Verdana" w:cs="Arial"/>
          <w:i/>
          <w:sz w:val="16"/>
          <w:szCs w:val="16"/>
          <w:shd w:val="clear" w:color="auto" w:fill="FFFFFF"/>
        </w:rPr>
        <w:t xml:space="preserve">. </w:t>
      </w:r>
      <w:r w:rsidR="00B8393C" w:rsidRPr="00954547">
        <w:rPr>
          <w:rFonts w:ascii="Verdana" w:hAnsi="Verdana" w:cs="Arial"/>
          <w:iCs/>
          <w:sz w:val="16"/>
          <w:szCs w:val="16"/>
          <w:shd w:val="clear" w:color="auto" w:fill="FFFFFF"/>
        </w:rPr>
        <w:t>Judgment of</w:t>
      </w:r>
      <w:r w:rsidRPr="00954547">
        <w:rPr>
          <w:rFonts w:ascii="Verdana" w:hAnsi="Verdana" w:cs="Arial"/>
          <w:iCs/>
          <w:sz w:val="16"/>
          <w:szCs w:val="16"/>
          <w:shd w:val="clear" w:color="auto" w:fill="FFFFFF"/>
        </w:rPr>
        <w:t xml:space="preserve"> </w:t>
      </w:r>
      <w:r w:rsidR="0052125E" w:rsidRPr="00954547">
        <w:rPr>
          <w:rFonts w:ascii="Verdana" w:hAnsi="Verdana" w:cs="Arial"/>
          <w:iCs/>
          <w:sz w:val="16"/>
          <w:szCs w:val="16"/>
          <w:shd w:val="clear" w:color="auto" w:fill="FFFFFF"/>
        </w:rPr>
        <w:t>November 28,</w:t>
      </w:r>
      <w:r w:rsidRPr="00954547">
        <w:rPr>
          <w:rFonts w:ascii="Verdana" w:hAnsi="Verdana" w:cs="Arial"/>
          <w:iCs/>
          <w:sz w:val="16"/>
          <w:szCs w:val="16"/>
          <w:shd w:val="clear" w:color="auto" w:fill="FFFFFF"/>
        </w:rPr>
        <w:t xml:space="preserve"> 2012.</w:t>
      </w:r>
    </w:p>
  </w:footnote>
  <w:footnote w:id="502">
    <w:p w14:paraId="7D8EE999" w14:textId="69C2A1D9" w:rsidR="00A402C7" w:rsidRPr="00954547" w:rsidRDefault="00A402C7" w:rsidP="007619E6">
      <w:pPr>
        <w:pStyle w:val="FootnoteText"/>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896FCB" w:rsidRPr="00954547">
        <w:rPr>
          <w:rFonts w:ascii="Verdana" w:hAnsi="Verdana"/>
          <w:sz w:val="16"/>
          <w:szCs w:val="16"/>
        </w:rPr>
        <w:tab/>
      </w:r>
      <w:r w:rsidRPr="00954547">
        <w:rPr>
          <w:rFonts w:ascii="Verdana" w:hAnsi="Verdana"/>
          <w:i/>
          <w:sz w:val="16"/>
          <w:szCs w:val="16"/>
        </w:rPr>
        <w:t>Supra,</w:t>
      </w:r>
      <w:r w:rsidRPr="00954547">
        <w:rPr>
          <w:rFonts w:ascii="Verdana" w:hAnsi="Verdana"/>
          <w:sz w:val="16"/>
          <w:szCs w:val="16"/>
        </w:rPr>
        <w:t xml:space="preserve"> </w:t>
      </w:r>
      <w:r w:rsidR="00521777" w:rsidRPr="00954547">
        <w:rPr>
          <w:rFonts w:ascii="Verdana" w:hAnsi="Verdana"/>
          <w:sz w:val="16"/>
          <w:szCs w:val="16"/>
        </w:rPr>
        <w:t>footnote</w:t>
      </w:r>
      <w:r w:rsidRPr="00954547">
        <w:rPr>
          <w:rFonts w:ascii="Verdana" w:hAnsi="Verdana"/>
          <w:sz w:val="16"/>
          <w:szCs w:val="16"/>
        </w:rPr>
        <w:t xml:space="preserve"> 32.</w:t>
      </w:r>
    </w:p>
  </w:footnote>
  <w:footnote w:id="503">
    <w:p w14:paraId="6EA49F4B" w14:textId="6AC7FA50" w:rsidR="00A402C7" w:rsidRPr="00954547" w:rsidRDefault="00A402C7" w:rsidP="007619E6">
      <w:pPr>
        <w:pStyle w:val="FootnoteText"/>
        <w:spacing w:after="120"/>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00896FCB" w:rsidRPr="00954547">
        <w:rPr>
          <w:rFonts w:ascii="Verdana" w:hAnsi="Verdana"/>
          <w:sz w:val="16"/>
          <w:szCs w:val="16"/>
        </w:rPr>
        <w:tab/>
      </w:r>
      <w:r w:rsidR="0052231D" w:rsidRPr="00954547">
        <w:rPr>
          <w:rFonts w:ascii="Verdana" w:hAnsi="Verdana"/>
          <w:sz w:val="16"/>
          <w:szCs w:val="16"/>
        </w:rPr>
        <w:t>Paras.</w:t>
      </w:r>
      <w:r w:rsidR="0052125E" w:rsidRPr="00954547">
        <w:rPr>
          <w:rFonts w:ascii="Verdana" w:hAnsi="Verdana"/>
          <w:sz w:val="16"/>
          <w:szCs w:val="16"/>
        </w:rPr>
        <w:t xml:space="preserve"> </w:t>
      </w:r>
      <w:r w:rsidRPr="00954547">
        <w:rPr>
          <w:rFonts w:ascii="Verdana" w:hAnsi="Verdana"/>
          <w:sz w:val="16"/>
          <w:szCs w:val="16"/>
        </w:rPr>
        <w:t>42</w:t>
      </w:r>
      <w:r w:rsidR="0078694F" w:rsidRPr="00954547">
        <w:rPr>
          <w:rFonts w:ascii="Verdana" w:hAnsi="Verdana"/>
          <w:sz w:val="16"/>
          <w:szCs w:val="16"/>
        </w:rPr>
        <w:t xml:space="preserve"> and </w:t>
      </w:r>
      <w:r w:rsidRPr="00954547">
        <w:rPr>
          <w:rFonts w:ascii="Verdana" w:hAnsi="Verdana"/>
          <w:sz w:val="16"/>
          <w:szCs w:val="16"/>
        </w:rPr>
        <w:t>43.</w:t>
      </w:r>
    </w:p>
  </w:footnote>
  <w:footnote w:id="504">
    <w:p w14:paraId="3C80053F" w14:textId="14DAD244" w:rsidR="00A402C7" w:rsidRPr="00954547" w:rsidRDefault="00A402C7" w:rsidP="007619E6">
      <w:pPr>
        <w:pStyle w:val="FootnoteText"/>
        <w:spacing w:after="120"/>
        <w:jc w:val="both"/>
        <w:rPr>
          <w:rFonts w:ascii="Verdana" w:hAnsi="Verdana" w:cs="Arial"/>
          <w:sz w:val="16"/>
          <w:szCs w:val="16"/>
          <w:shd w:val="clear" w:color="auto" w:fill="FFFFFF"/>
        </w:rPr>
      </w:pPr>
      <w:r w:rsidRPr="00954547">
        <w:rPr>
          <w:rStyle w:val="FootnoteReference"/>
          <w:rFonts w:ascii="Verdana" w:hAnsi="Verdana"/>
          <w:sz w:val="16"/>
          <w:szCs w:val="16"/>
        </w:rPr>
        <w:footnoteRef/>
      </w:r>
      <w:r w:rsidR="00521777" w:rsidRPr="00954547">
        <w:rPr>
          <w:rFonts w:ascii="Verdana" w:hAnsi="Verdana"/>
          <w:i/>
          <w:sz w:val="16"/>
          <w:szCs w:val="16"/>
        </w:rPr>
        <w:t xml:space="preserve"> </w:t>
      </w:r>
      <w:r w:rsidR="00896FCB" w:rsidRPr="00954547">
        <w:rPr>
          <w:rFonts w:ascii="Verdana" w:hAnsi="Verdana"/>
          <w:i/>
          <w:sz w:val="16"/>
          <w:szCs w:val="16"/>
        </w:rPr>
        <w:tab/>
      </w:r>
      <w:r w:rsidR="002F4617" w:rsidRPr="00954547">
        <w:rPr>
          <w:rFonts w:ascii="Verdana" w:hAnsi="Verdana" w:cs="Arial"/>
          <w:i/>
          <w:sz w:val="16"/>
          <w:szCs w:val="16"/>
          <w:shd w:val="clear" w:color="auto" w:fill="FFFFFF"/>
        </w:rPr>
        <w:t>Case of</w:t>
      </w:r>
      <w:r w:rsidRPr="00954547">
        <w:rPr>
          <w:rFonts w:ascii="Verdana" w:hAnsi="Verdana" w:cs="Arial"/>
          <w:i/>
          <w:sz w:val="16"/>
          <w:szCs w:val="16"/>
          <w:shd w:val="clear" w:color="auto" w:fill="FFFFFF"/>
        </w:rPr>
        <w:t xml:space="preserve"> Artavia Murillo</w:t>
      </w:r>
      <w:r w:rsidR="0078694F" w:rsidRPr="00954547">
        <w:rPr>
          <w:rFonts w:ascii="Verdana" w:hAnsi="Verdana" w:cs="Arial"/>
          <w:i/>
          <w:sz w:val="16"/>
          <w:szCs w:val="16"/>
          <w:shd w:val="clear" w:color="auto" w:fill="FFFFFF"/>
        </w:rPr>
        <w:t xml:space="preserve"> </w:t>
      </w:r>
      <w:r w:rsidR="00521777" w:rsidRPr="00954547">
        <w:rPr>
          <w:rFonts w:ascii="Verdana" w:hAnsi="Verdana" w:cs="Arial"/>
          <w:i/>
          <w:sz w:val="16"/>
          <w:szCs w:val="16"/>
          <w:shd w:val="clear" w:color="auto" w:fill="FFFFFF"/>
        </w:rPr>
        <w:t>et al. (In vitro fertilization)</w:t>
      </w:r>
      <w:r w:rsidR="0052125E" w:rsidRPr="00954547">
        <w:rPr>
          <w:rFonts w:ascii="Verdana" w:hAnsi="Verdana" w:cs="Arial"/>
          <w:i/>
          <w:sz w:val="16"/>
          <w:szCs w:val="16"/>
          <w:shd w:val="clear" w:color="auto" w:fill="FFFFFF"/>
        </w:rPr>
        <w:t xml:space="preserve"> </w:t>
      </w:r>
      <w:r w:rsidR="009C16A1" w:rsidRPr="00954547">
        <w:rPr>
          <w:rFonts w:ascii="Verdana" w:hAnsi="Verdana" w:cs="Arial"/>
          <w:i/>
          <w:sz w:val="16"/>
          <w:szCs w:val="16"/>
          <w:shd w:val="clear" w:color="auto" w:fill="FFFFFF"/>
        </w:rPr>
        <w:t>v.</w:t>
      </w:r>
      <w:r w:rsidRPr="00954547">
        <w:rPr>
          <w:rFonts w:ascii="Verdana" w:hAnsi="Verdana" w:cs="Arial"/>
          <w:i/>
          <w:sz w:val="16"/>
          <w:szCs w:val="16"/>
          <w:shd w:val="clear" w:color="auto" w:fill="FFFFFF"/>
        </w:rPr>
        <w:t xml:space="preserve"> Costa Rica. </w:t>
      </w:r>
      <w:r w:rsidR="004C640C" w:rsidRPr="00954547">
        <w:rPr>
          <w:rFonts w:ascii="Verdana" w:hAnsi="Verdana" w:cs="Arial"/>
          <w:iCs/>
          <w:sz w:val="16"/>
          <w:szCs w:val="16"/>
          <w:shd w:val="clear" w:color="auto" w:fill="FFFFFF"/>
        </w:rPr>
        <w:t>Preliminary objections, merits</w:t>
      </w:r>
      <w:r w:rsidR="00A70DC4" w:rsidRPr="00954547">
        <w:rPr>
          <w:rFonts w:ascii="Verdana" w:hAnsi="Verdana" w:cs="Arial"/>
          <w:iCs/>
          <w:sz w:val="16"/>
          <w:szCs w:val="16"/>
          <w:shd w:val="clear" w:color="auto" w:fill="FFFFFF"/>
        </w:rPr>
        <w:t>, reparations and costs</w:t>
      </w:r>
      <w:r w:rsidRPr="00954547">
        <w:rPr>
          <w:rFonts w:ascii="Verdana" w:hAnsi="Verdana" w:cs="Arial"/>
          <w:iCs/>
          <w:sz w:val="16"/>
          <w:szCs w:val="16"/>
          <w:shd w:val="clear" w:color="auto" w:fill="FFFFFF"/>
        </w:rPr>
        <w:t xml:space="preserve">. </w:t>
      </w:r>
      <w:r w:rsidR="00B8393C" w:rsidRPr="00954547">
        <w:rPr>
          <w:rFonts w:ascii="Verdana" w:hAnsi="Verdana" w:cs="Arial"/>
          <w:iCs/>
          <w:sz w:val="16"/>
          <w:szCs w:val="16"/>
          <w:shd w:val="clear" w:color="auto" w:fill="FFFFFF"/>
        </w:rPr>
        <w:t>Judgment of</w:t>
      </w:r>
      <w:r w:rsidRPr="00954547">
        <w:rPr>
          <w:rFonts w:ascii="Verdana" w:hAnsi="Verdana" w:cs="Arial"/>
          <w:iCs/>
          <w:sz w:val="16"/>
          <w:szCs w:val="16"/>
          <w:shd w:val="clear" w:color="auto" w:fill="FFFFFF"/>
        </w:rPr>
        <w:t xml:space="preserve"> </w:t>
      </w:r>
      <w:r w:rsidR="0052125E" w:rsidRPr="00954547">
        <w:rPr>
          <w:rFonts w:ascii="Verdana" w:hAnsi="Verdana" w:cs="Arial"/>
          <w:iCs/>
          <w:sz w:val="16"/>
          <w:szCs w:val="16"/>
          <w:shd w:val="clear" w:color="auto" w:fill="FFFFFF"/>
        </w:rPr>
        <w:t>November 28,</w:t>
      </w:r>
      <w:r w:rsidRPr="00954547">
        <w:rPr>
          <w:rFonts w:ascii="Verdana" w:hAnsi="Verdana" w:cs="Arial"/>
          <w:iCs/>
          <w:sz w:val="16"/>
          <w:szCs w:val="16"/>
          <w:shd w:val="clear" w:color="auto" w:fill="FFFFFF"/>
        </w:rPr>
        <w:t xml:space="preserve"> 2012, </w:t>
      </w:r>
      <w:r w:rsidR="00B10E5A" w:rsidRPr="00954547">
        <w:rPr>
          <w:rFonts w:ascii="Verdana" w:hAnsi="Verdana" w:cs="Arial"/>
          <w:iCs/>
          <w:sz w:val="16"/>
          <w:szCs w:val="16"/>
          <w:shd w:val="clear" w:color="auto" w:fill="FFFFFF"/>
        </w:rPr>
        <w:t>para</w:t>
      </w:r>
      <w:r w:rsidR="00B10E5A" w:rsidRPr="00954547">
        <w:rPr>
          <w:rFonts w:ascii="Verdana" w:hAnsi="Verdana" w:cs="Arial"/>
          <w:sz w:val="16"/>
          <w:szCs w:val="16"/>
          <w:shd w:val="clear" w:color="auto" w:fill="FFFFFF"/>
        </w:rPr>
        <w:t>.</w:t>
      </w:r>
      <w:r w:rsidRPr="00954547">
        <w:rPr>
          <w:rFonts w:ascii="Verdana" w:hAnsi="Verdana" w:cs="Arial"/>
          <w:sz w:val="16"/>
          <w:szCs w:val="16"/>
          <w:shd w:val="clear" w:color="auto" w:fill="FFFFFF"/>
        </w:rPr>
        <w:t xml:space="preserve"> 264</w:t>
      </w:r>
    </w:p>
  </w:footnote>
  <w:footnote w:id="505">
    <w:p w14:paraId="66A47F92" w14:textId="77777777" w:rsidR="009567D9" w:rsidRPr="00954547" w:rsidRDefault="009567D9" w:rsidP="009567D9">
      <w:pPr>
        <w:pStyle w:val="FootnoteText"/>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i/>
          <w:sz w:val="16"/>
          <w:szCs w:val="16"/>
        </w:rPr>
        <w:t xml:space="preserve"> </w:t>
      </w:r>
      <w:r w:rsidRPr="00954547">
        <w:rPr>
          <w:rFonts w:ascii="Verdana" w:hAnsi="Verdana"/>
          <w:i/>
          <w:sz w:val="16"/>
          <w:szCs w:val="16"/>
        </w:rPr>
        <w:tab/>
        <w:t>Supra</w:t>
      </w:r>
      <w:r w:rsidRPr="00954547">
        <w:rPr>
          <w:rFonts w:ascii="Verdana" w:hAnsi="Verdana"/>
          <w:sz w:val="16"/>
          <w:szCs w:val="16"/>
        </w:rPr>
        <w:t>, footnote 41.</w:t>
      </w:r>
    </w:p>
  </w:footnote>
  <w:footnote w:id="506">
    <w:p w14:paraId="716F4E13" w14:textId="1D348200" w:rsidR="005D0AC0" w:rsidRPr="00954547" w:rsidRDefault="005D0AC0" w:rsidP="0049034A">
      <w:pPr>
        <w:pStyle w:val="FootnoteText"/>
        <w:tabs>
          <w:tab w:val="left" w:pos="567"/>
        </w:tabs>
        <w:spacing w:after="60"/>
        <w:jc w:val="both"/>
        <w:rPr>
          <w:rFonts w:ascii="Verdana" w:hAnsi="Verdana"/>
          <w:sz w:val="16"/>
          <w:szCs w:val="16"/>
          <w:shd w:val="clear" w:color="auto" w:fill="FFFFFF"/>
        </w:rPr>
      </w:pPr>
      <w:r w:rsidRPr="00954547">
        <w:rPr>
          <w:rStyle w:val="FootnoteReference"/>
          <w:rFonts w:ascii="Verdana" w:hAnsi="Verdana"/>
          <w:sz w:val="16"/>
          <w:szCs w:val="16"/>
        </w:rPr>
        <w:footnoteRef/>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Style w:val="Strong"/>
          <w:rFonts w:ascii="Verdana" w:hAnsi="Verdana"/>
          <w:b w:val="0"/>
          <w:bCs w:val="0"/>
          <w:i/>
          <w:sz w:val="16"/>
          <w:szCs w:val="16"/>
        </w:rPr>
        <w:t>Case of</w:t>
      </w:r>
      <w:r w:rsidRPr="00954547">
        <w:rPr>
          <w:rStyle w:val="Strong"/>
          <w:rFonts w:ascii="Verdana" w:hAnsi="Verdana"/>
          <w:b w:val="0"/>
          <w:bCs w:val="0"/>
          <w:i/>
          <w:sz w:val="16"/>
          <w:szCs w:val="16"/>
        </w:rPr>
        <w:t xml:space="preserve"> Lagos del Campo </w:t>
      </w:r>
      <w:r w:rsidR="009C16A1" w:rsidRPr="00954547">
        <w:rPr>
          <w:rStyle w:val="Strong"/>
          <w:rFonts w:ascii="Verdana" w:hAnsi="Verdana"/>
          <w:b w:val="0"/>
          <w:bCs w:val="0"/>
          <w:i/>
          <w:sz w:val="16"/>
          <w:szCs w:val="16"/>
        </w:rPr>
        <w:t>v.</w:t>
      </w:r>
      <w:r w:rsidRPr="00954547">
        <w:rPr>
          <w:rStyle w:val="Strong"/>
          <w:rFonts w:ascii="Verdana" w:hAnsi="Verdana"/>
          <w:b w:val="0"/>
          <w:bCs w:val="0"/>
          <w:i/>
          <w:sz w:val="16"/>
          <w:szCs w:val="16"/>
        </w:rPr>
        <w:t xml:space="preserve"> </w:t>
      </w:r>
      <w:r w:rsidR="00C26F0B" w:rsidRPr="00954547">
        <w:rPr>
          <w:rStyle w:val="Strong"/>
          <w:rFonts w:ascii="Verdana" w:hAnsi="Verdana"/>
          <w:b w:val="0"/>
          <w:bCs w:val="0"/>
          <w:i/>
          <w:sz w:val="16"/>
          <w:szCs w:val="16"/>
        </w:rPr>
        <w:t>Peru</w:t>
      </w:r>
      <w:r w:rsidRPr="00954547">
        <w:rPr>
          <w:rStyle w:val="Strong"/>
          <w:rFonts w:ascii="Verdana" w:hAnsi="Verdana"/>
          <w:b w:val="0"/>
          <w:bCs w:val="0"/>
          <w:i/>
          <w:sz w:val="16"/>
          <w:szCs w:val="16"/>
        </w:rPr>
        <w:t>.</w:t>
      </w:r>
      <w:r w:rsidRPr="00954547">
        <w:rPr>
          <w:rStyle w:val="Strong"/>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August 31,</w:t>
      </w:r>
      <w:r w:rsidRPr="00954547">
        <w:rPr>
          <w:rFonts w:ascii="Verdana" w:hAnsi="Verdana"/>
          <w:sz w:val="16"/>
          <w:szCs w:val="16"/>
        </w:rPr>
        <w:t xml:space="preserve"> 2017. </w:t>
      </w:r>
      <w:r w:rsidR="00B8393C" w:rsidRPr="00954547">
        <w:rPr>
          <w:rFonts w:ascii="Verdana" w:hAnsi="Verdana"/>
          <w:sz w:val="16"/>
          <w:szCs w:val="16"/>
        </w:rPr>
        <w:t xml:space="preserve">Series </w:t>
      </w:r>
      <w:r w:rsidRPr="00954547">
        <w:rPr>
          <w:rFonts w:ascii="Verdana" w:hAnsi="Verdana"/>
          <w:sz w:val="16"/>
          <w:szCs w:val="16"/>
        </w:rPr>
        <w:t>C No. 340.</w:t>
      </w:r>
      <w:r w:rsidRPr="00954547">
        <w:rPr>
          <w:rFonts w:ascii="Verdana" w:hAnsi="Verdana"/>
          <w:i/>
          <w:sz w:val="16"/>
          <w:szCs w:val="16"/>
        </w:rPr>
        <w:t xml:space="preserve"> </w:t>
      </w:r>
      <w:r w:rsidR="002871EC" w:rsidRPr="00954547">
        <w:rPr>
          <w:rStyle w:val="Strong"/>
          <w:rFonts w:ascii="Verdana" w:hAnsi="Verdana"/>
          <w:b w:val="0"/>
          <w:bCs w:val="0"/>
          <w:sz w:val="16"/>
          <w:szCs w:val="16"/>
        </w:rPr>
        <w:t>Partially dissenting opinion of</w:t>
      </w:r>
      <w:r w:rsidRPr="00954547">
        <w:rPr>
          <w:rStyle w:val="Strong"/>
          <w:rFonts w:ascii="Verdana" w:hAnsi="Verdana"/>
          <w:b w:val="0"/>
          <w:bCs w:val="0"/>
          <w:sz w:val="16"/>
          <w:szCs w:val="16"/>
        </w:rPr>
        <w:t xml:space="preserve"> </w:t>
      </w:r>
      <w:r w:rsidR="00A42A4C" w:rsidRPr="00954547">
        <w:rPr>
          <w:rStyle w:val="Strong"/>
          <w:rFonts w:ascii="Verdana" w:hAnsi="Verdana"/>
          <w:b w:val="0"/>
          <w:bCs w:val="0"/>
          <w:sz w:val="16"/>
          <w:szCs w:val="16"/>
        </w:rPr>
        <w:t>Judge</w:t>
      </w:r>
      <w:r w:rsidRPr="00954547">
        <w:rPr>
          <w:rStyle w:val="Strong"/>
          <w:rFonts w:ascii="Verdana" w:hAnsi="Verdana"/>
          <w:b w:val="0"/>
          <w:bCs w:val="0"/>
          <w:sz w:val="16"/>
          <w:szCs w:val="16"/>
        </w:rPr>
        <w:t xml:space="preserve"> Humberto Antonio Sierra Porto.</w:t>
      </w:r>
      <w:r w:rsidRPr="00954547">
        <w:rPr>
          <w:rStyle w:val="Strong"/>
          <w:rFonts w:ascii="Verdana" w:hAnsi="Verdana"/>
          <w:b w:val="0"/>
          <w:bCs w:val="0"/>
          <w:sz w:val="16"/>
          <w:szCs w:val="16"/>
          <w:shd w:val="clear" w:color="auto" w:fill="FFFFFF"/>
        </w:rPr>
        <w:t xml:space="preserve"> </w:t>
      </w:r>
    </w:p>
  </w:footnote>
  <w:footnote w:id="507">
    <w:p w14:paraId="56131720" w14:textId="017A373F" w:rsidR="005D0AC0" w:rsidRPr="00954547" w:rsidRDefault="005D0AC0" w:rsidP="0049034A">
      <w:pPr>
        <w:pStyle w:val="FootnoteText"/>
        <w:tabs>
          <w:tab w:val="left" w:pos="567"/>
        </w:tabs>
        <w:spacing w:after="60"/>
        <w:jc w:val="both"/>
        <w:rPr>
          <w:rFonts w:ascii="Verdana" w:hAnsi="Verdana"/>
          <w:sz w:val="16"/>
          <w:szCs w:val="16"/>
          <w:shd w:val="clear" w:color="auto" w:fill="FFFFFF"/>
        </w:rPr>
      </w:pPr>
      <w:r w:rsidRPr="00954547">
        <w:rPr>
          <w:rStyle w:val="FootnoteReference"/>
          <w:rFonts w:ascii="Verdana" w:hAnsi="Verdana"/>
          <w:sz w:val="16"/>
          <w:szCs w:val="16"/>
        </w:rPr>
        <w:footnoteRef/>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1D4E6E" w:rsidRPr="00954547">
        <w:rPr>
          <w:rFonts w:ascii="Verdana" w:hAnsi="Verdana"/>
          <w:i/>
          <w:sz w:val="16"/>
          <w:szCs w:val="16"/>
        </w:rPr>
        <w:t>of the Dismissed Employees of</w:t>
      </w:r>
      <w:r w:rsidRPr="00954547">
        <w:rPr>
          <w:rFonts w:ascii="Verdana" w:hAnsi="Verdana"/>
          <w:i/>
          <w:sz w:val="16"/>
          <w:szCs w:val="16"/>
        </w:rPr>
        <w:t xml:space="preserve"> Petro</w:t>
      </w:r>
      <w:r w:rsidR="00C26F0B" w:rsidRPr="00954547">
        <w:rPr>
          <w:rFonts w:ascii="Verdana" w:hAnsi="Verdana"/>
          <w:i/>
          <w:sz w:val="16"/>
          <w:szCs w:val="16"/>
        </w:rPr>
        <w:t>Peru</w:t>
      </w:r>
      <w:r w:rsidRPr="00954547">
        <w:rPr>
          <w:rFonts w:ascii="Verdana" w:hAnsi="Verdana"/>
          <w:i/>
          <w:sz w:val="16"/>
          <w:szCs w:val="16"/>
        </w:rPr>
        <w:t xml:space="preserve"> </w:t>
      </w:r>
      <w:r w:rsidR="00B8393C" w:rsidRPr="00954547">
        <w:rPr>
          <w:rFonts w:ascii="Verdana" w:hAnsi="Verdana"/>
          <w:i/>
          <w:sz w:val="16"/>
          <w:szCs w:val="16"/>
        </w:rPr>
        <w:t>et al. 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November 23,</w:t>
      </w:r>
      <w:r w:rsidRPr="00954547">
        <w:rPr>
          <w:rFonts w:ascii="Verdana" w:hAnsi="Verdana"/>
          <w:sz w:val="16"/>
          <w:szCs w:val="16"/>
        </w:rPr>
        <w:t xml:space="preserve"> 2017. </w:t>
      </w:r>
      <w:r w:rsidR="00B8393C" w:rsidRPr="00954547">
        <w:rPr>
          <w:rFonts w:ascii="Verdana" w:hAnsi="Verdana"/>
          <w:sz w:val="16"/>
          <w:szCs w:val="16"/>
        </w:rPr>
        <w:t xml:space="preserve">Series </w:t>
      </w:r>
      <w:r w:rsidRPr="00954547">
        <w:rPr>
          <w:rFonts w:ascii="Verdana" w:hAnsi="Verdana"/>
          <w:sz w:val="16"/>
          <w:szCs w:val="16"/>
        </w:rPr>
        <w:t>C No. 344</w:t>
      </w:r>
      <w:r w:rsidRPr="00954547">
        <w:rPr>
          <w:rFonts w:ascii="Verdana" w:hAnsi="Verdana"/>
          <w:i/>
          <w:sz w:val="16"/>
          <w:szCs w:val="16"/>
        </w:rPr>
        <w:t>.</w:t>
      </w:r>
      <w:r w:rsidRPr="00954547">
        <w:rPr>
          <w:rFonts w:ascii="Verdana" w:hAnsi="Verdana"/>
          <w:sz w:val="16"/>
          <w:szCs w:val="16"/>
        </w:rPr>
        <w:t xml:space="preserve"> </w:t>
      </w:r>
      <w:r w:rsidR="002871EC" w:rsidRPr="00954547">
        <w:rPr>
          <w:rStyle w:val="Strong"/>
          <w:rFonts w:ascii="Verdana" w:hAnsi="Verdana"/>
          <w:b w:val="0"/>
          <w:bCs w:val="0"/>
          <w:sz w:val="16"/>
          <w:szCs w:val="16"/>
        </w:rPr>
        <w:t>Partially dissenting opinion of</w:t>
      </w:r>
      <w:r w:rsidRPr="00954547">
        <w:rPr>
          <w:rStyle w:val="Strong"/>
          <w:rFonts w:ascii="Verdana" w:hAnsi="Verdana"/>
          <w:b w:val="0"/>
          <w:bCs w:val="0"/>
          <w:sz w:val="16"/>
          <w:szCs w:val="16"/>
        </w:rPr>
        <w:t xml:space="preserve"> </w:t>
      </w:r>
      <w:r w:rsidR="00A42A4C" w:rsidRPr="00954547">
        <w:rPr>
          <w:rStyle w:val="Strong"/>
          <w:rFonts w:ascii="Verdana" w:hAnsi="Verdana"/>
          <w:b w:val="0"/>
          <w:bCs w:val="0"/>
          <w:sz w:val="16"/>
          <w:szCs w:val="16"/>
        </w:rPr>
        <w:t>Judge</w:t>
      </w:r>
      <w:r w:rsidRPr="00954547">
        <w:rPr>
          <w:rStyle w:val="Strong"/>
          <w:rFonts w:ascii="Verdana" w:hAnsi="Verdana"/>
          <w:b w:val="0"/>
          <w:bCs w:val="0"/>
          <w:sz w:val="16"/>
          <w:szCs w:val="16"/>
        </w:rPr>
        <w:t xml:space="preserve"> Humberto</w:t>
      </w:r>
      <w:r w:rsidRPr="00954547">
        <w:rPr>
          <w:rStyle w:val="Strong"/>
          <w:rFonts w:ascii="Verdana" w:hAnsi="Verdana"/>
          <w:b w:val="0"/>
          <w:bCs w:val="0"/>
          <w:sz w:val="16"/>
          <w:szCs w:val="16"/>
          <w:shd w:val="clear" w:color="auto" w:fill="FFFFFF"/>
        </w:rPr>
        <w:t xml:space="preserve"> </w:t>
      </w:r>
      <w:r w:rsidRPr="00954547">
        <w:rPr>
          <w:rStyle w:val="Strong"/>
          <w:rFonts w:ascii="Verdana" w:hAnsi="Verdana"/>
          <w:b w:val="0"/>
          <w:bCs w:val="0"/>
          <w:sz w:val="16"/>
          <w:szCs w:val="16"/>
        </w:rPr>
        <w:t>Antonio Sierra Porto.</w:t>
      </w:r>
      <w:r w:rsidRPr="00954547">
        <w:rPr>
          <w:rStyle w:val="Strong"/>
          <w:rFonts w:ascii="Verdana" w:hAnsi="Verdana"/>
          <w:b w:val="0"/>
          <w:bCs w:val="0"/>
          <w:sz w:val="16"/>
          <w:szCs w:val="16"/>
          <w:shd w:val="clear" w:color="auto" w:fill="FFFFFF"/>
        </w:rPr>
        <w:t xml:space="preserve"> </w:t>
      </w:r>
    </w:p>
  </w:footnote>
  <w:footnote w:id="508">
    <w:p w14:paraId="356B19F1" w14:textId="75A97B34"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Style w:val="Strong"/>
          <w:rFonts w:ascii="Verdana" w:hAnsi="Verdana"/>
          <w:b w:val="0"/>
          <w:bCs w:val="0"/>
          <w:i/>
          <w:sz w:val="16"/>
          <w:szCs w:val="16"/>
        </w:rPr>
        <w:t>Case of</w:t>
      </w:r>
      <w:r w:rsidRPr="00954547">
        <w:rPr>
          <w:rStyle w:val="Strong"/>
          <w:rFonts w:ascii="Verdana" w:hAnsi="Verdana"/>
          <w:b w:val="0"/>
          <w:bCs w:val="0"/>
          <w:i/>
          <w:sz w:val="16"/>
          <w:szCs w:val="16"/>
        </w:rPr>
        <w:t xml:space="preserve"> San Miguel </w:t>
      </w:r>
      <w:r w:rsidR="001D4E6E" w:rsidRPr="00954547">
        <w:rPr>
          <w:rStyle w:val="Strong"/>
          <w:rFonts w:ascii="Verdana" w:hAnsi="Verdana"/>
          <w:b w:val="0"/>
          <w:bCs w:val="0"/>
          <w:i/>
          <w:sz w:val="16"/>
          <w:szCs w:val="16"/>
        </w:rPr>
        <w:t>Sosa et al.</w:t>
      </w:r>
      <w:r w:rsidRPr="00954547">
        <w:rPr>
          <w:rStyle w:val="Strong"/>
          <w:rFonts w:ascii="Verdana" w:hAnsi="Verdana"/>
          <w:b w:val="0"/>
          <w:bCs w:val="0"/>
          <w:i/>
          <w:sz w:val="16"/>
          <w:szCs w:val="16"/>
        </w:rPr>
        <w:t xml:space="preserve"> </w:t>
      </w:r>
      <w:r w:rsidR="009C16A1" w:rsidRPr="00954547">
        <w:rPr>
          <w:rStyle w:val="Strong"/>
          <w:rFonts w:ascii="Verdana" w:hAnsi="Verdana"/>
          <w:b w:val="0"/>
          <w:bCs w:val="0"/>
          <w:i/>
          <w:sz w:val="16"/>
          <w:szCs w:val="16"/>
        </w:rPr>
        <w:t>v.</w:t>
      </w:r>
      <w:r w:rsidRPr="00954547">
        <w:rPr>
          <w:rStyle w:val="Strong"/>
          <w:rFonts w:ascii="Verdana" w:hAnsi="Verdana"/>
          <w:b w:val="0"/>
          <w:bCs w:val="0"/>
          <w:i/>
          <w:sz w:val="16"/>
          <w:szCs w:val="16"/>
        </w:rPr>
        <w:t xml:space="preserve"> Venezuela. </w:t>
      </w:r>
      <w:r w:rsidR="00A70DC4" w:rsidRPr="00954547">
        <w:rPr>
          <w:rStyle w:val="Strong"/>
          <w:rFonts w:ascii="Verdana" w:hAnsi="Verdana"/>
          <w:b w:val="0"/>
          <w:bCs w:val="0"/>
          <w:i/>
          <w:sz w:val="16"/>
          <w:szCs w:val="16"/>
        </w:rPr>
        <w:t>Merits, reparations and costs</w:t>
      </w:r>
      <w:r w:rsidRPr="00954547">
        <w:rPr>
          <w:rStyle w:val="Strong"/>
          <w:rFonts w:ascii="Verdana" w:hAnsi="Verdana"/>
          <w:b w:val="0"/>
          <w:bCs w:val="0"/>
          <w:i/>
          <w:sz w:val="16"/>
          <w:szCs w:val="16"/>
        </w:rPr>
        <w:t>.</w:t>
      </w:r>
      <w:r w:rsidRPr="00954547">
        <w:rPr>
          <w:rStyle w:val="Strong"/>
          <w:rFonts w:ascii="Verdana" w:hAnsi="Verdana"/>
          <w:b w:val="0"/>
          <w:bCs w:val="0"/>
          <w:sz w:val="16"/>
          <w:szCs w:val="16"/>
        </w:rPr>
        <w:t xml:space="preserve"> </w:t>
      </w:r>
      <w:r w:rsidR="00B8393C" w:rsidRPr="00954547">
        <w:rPr>
          <w:rStyle w:val="Strong"/>
          <w:rFonts w:ascii="Verdana" w:hAnsi="Verdana"/>
          <w:b w:val="0"/>
          <w:bCs w:val="0"/>
          <w:sz w:val="16"/>
          <w:szCs w:val="16"/>
        </w:rPr>
        <w:t>Judgment of</w:t>
      </w:r>
      <w:r w:rsidRPr="00954547">
        <w:rPr>
          <w:rStyle w:val="Strong"/>
          <w:rFonts w:ascii="Verdana" w:hAnsi="Verdana"/>
          <w:b w:val="0"/>
          <w:bCs w:val="0"/>
          <w:sz w:val="16"/>
          <w:szCs w:val="16"/>
        </w:rPr>
        <w:t xml:space="preserve"> </w:t>
      </w:r>
      <w:r w:rsidR="001D4E6E" w:rsidRPr="00954547">
        <w:rPr>
          <w:rStyle w:val="Strong"/>
          <w:rFonts w:ascii="Verdana" w:hAnsi="Verdana"/>
          <w:b w:val="0"/>
          <w:bCs w:val="0"/>
          <w:sz w:val="16"/>
          <w:szCs w:val="16"/>
        </w:rPr>
        <w:t>February 8,</w:t>
      </w:r>
      <w:r w:rsidRPr="00954547">
        <w:rPr>
          <w:rStyle w:val="Strong"/>
          <w:rFonts w:ascii="Verdana" w:hAnsi="Verdana"/>
          <w:b w:val="0"/>
          <w:bCs w:val="0"/>
          <w:sz w:val="16"/>
          <w:szCs w:val="16"/>
          <w:shd w:val="clear" w:color="auto" w:fill="FFFFFF"/>
        </w:rPr>
        <w:t xml:space="preserve"> </w:t>
      </w:r>
      <w:r w:rsidRPr="00954547">
        <w:rPr>
          <w:rStyle w:val="Strong"/>
          <w:rFonts w:ascii="Verdana" w:hAnsi="Verdana"/>
          <w:b w:val="0"/>
          <w:bCs w:val="0"/>
          <w:sz w:val="16"/>
          <w:szCs w:val="16"/>
        </w:rPr>
        <w:t xml:space="preserve">2018. </w:t>
      </w:r>
      <w:r w:rsidR="00B8393C" w:rsidRPr="00954547">
        <w:rPr>
          <w:rStyle w:val="Strong"/>
          <w:rFonts w:ascii="Verdana" w:hAnsi="Verdana"/>
          <w:b w:val="0"/>
          <w:bCs w:val="0"/>
          <w:sz w:val="16"/>
          <w:szCs w:val="16"/>
        </w:rPr>
        <w:t xml:space="preserve">Series </w:t>
      </w:r>
      <w:r w:rsidRPr="00954547">
        <w:rPr>
          <w:rStyle w:val="Strong"/>
          <w:rFonts w:ascii="Verdana" w:hAnsi="Verdana"/>
          <w:b w:val="0"/>
          <w:bCs w:val="0"/>
          <w:sz w:val="16"/>
          <w:szCs w:val="16"/>
        </w:rPr>
        <w:t xml:space="preserve">C No. 348. </w:t>
      </w:r>
      <w:r w:rsidR="002871EC" w:rsidRPr="00954547">
        <w:rPr>
          <w:rStyle w:val="Strong"/>
          <w:rFonts w:ascii="Verdana" w:hAnsi="Verdana"/>
          <w:b w:val="0"/>
          <w:bCs w:val="0"/>
          <w:sz w:val="16"/>
          <w:szCs w:val="16"/>
        </w:rPr>
        <w:t>Partially dissenting opinion of</w:t>
      </w:r>
      <w:r w:rsidRPr="00954547">
        <w:rPr>
          <w:rStyle w:val="Strong"/>
          <w:rFonts w:ascii="Verdana" w:hAnsi="Verdana"/>
          <w:b w:val="0"/>
          <w:bCs w:val="0"/>
          <w:sz w:val="16"/>
          <w:szCs w:val="16"/>
        </w:rPr>
        <w:t xml:space="preserve"> </w:t>
      </w:r>
      <w:r w:rsidR="00A42A4C" w:rsidRPr="00954547">
        <w:rPr>
          <w:rStyle w:val="Strong"/>
          <w:rFonts w:ascii="Verdana" w:hAnsi="Verdana"/>
          <w:b w:val="0"/>
          <w:bCs w:val="0"/>
          <w:sz w:val="16"/>
          <w:szCs w:val="16"/>
        </w:rPr>
        <w:t>Judge</w:t>
      </w:r>
      <w:r w:rsidRPr="00954547">
        <w:rPr>
          <w:rStyle w:val="Strong"/>
          <w:rFonts w:ascii="Verdana" w:hAnsi="Verdana"/>
          <w:b w:val="0"/>
          <w:bCs w:val="0"/>
          <w:sz w:val="16"/>
          <w:szCs w:val="16"/>
        </w:rPr>
        <w:t xml:space="preserve"> Humberto Antonio Sierra Porto.</w:t>
      </w:r>
    </w:p>
  </w:footnote>
  <w:footnote w:id="509">
    <w:p w14:paraId="68CEFAEE" w14:textId="5EDDB72F"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Cuscul Pivaral </w:t>
      </w:r>
      <w:r w:rsidR="00B8393C" w:rsidRPr="00954547">
        <w:rPr>
          <w:rFonts w:ascii="Verdana" w:hAnsi="Verdana"/>
          <w:i/>
          <w:sz w:val="16"/>
          <w:szCs w:val="16"/>
        </w:rPr>
        <w:t>et al. v.</w:t>
      </w:r>
      <w:r w:rsidRPr="00954547">
        <w:rPr>
          <w:rFonts w:ascii="Verdana" w:hAnsi="Verdana"/>
          <w:i/>
          <w:sz w:val="16"/>
          <w:szCs w:val="16"/>
        </w:rPr>
        <w:t xml:space="preserve"> Guatemala.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August 23,</w:t>
      </w:r>
      <w:r w:rsidRPr="00954547">
        <w:rPr>
          <w:rFonts w:ascii="Verdana" w:hAnsi="Verdana"/>
          <w:sz w:val="16"/>
          <w:szCs w:val="16"/>
        </w:rPr>
        <w:t xml:space="preserve"> 2018. </w:t>
      </w:r>
      <w:r w:rsidR="00B8393C" w:rsidRPr="00954547">
        <w:rPr>
          <w:rFonts w:ascii="Verdana" w:hAnsi="Verdana"/>
          <w:sz w:val="16"/>
          <w:szCs w:val="16"/>
        </w:rPr>
        <w:t xml:space="preserve">Series </w:t>
      </w:r>
      <w:r w:rsidRPr="00954547">
        <w:rPr>
          <w:rFonts w:ascii="Verdana" w:hAnsi="Verdana"/>
          <w:sz w:val="16"/>
          <w:szCs w:val="16"/>
        </w:rPr>
        <w:t xml:space="preserve">C No. 359. </w:t>
      </w:r>
      <w:r w:rsidR="00BF0AF9" w:rsidRPr="00954547">
        <w:rPr>
          <w:rStyle w:val="Strong"/>
          <w:rFonts w:ascii="Verdana" w:hAnsi="Verdana"/>
          <w:b w:val="0"/>
          <w:bCs w:val="0"/>
          <w:sz w:val="16"/>
          <w:szCs w:val="16"/>
        </w:rPr>
        <w:t>Partially dissenting opinion of Judge Humberto Antonio Sierra Porto.</w:t>
      </w:r>
    </w:p>
  </w:footnote>
  <w:footnote w:id="510">
    <w:p w14:paraId="677D6821" w14:textId="79DCFF3A"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Muelle Flores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1D4E6E" w:rsidRPr="00954547">
        <w:rPr>
          <w:rFonts w:ascii="Verdana" w:hAnsi="Verdana"/>
          <w:sz w:val="16"/>
          <w:szCs w:val="16"/>
        </w:rPr>
        <w:t>March 6,</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375. </w:t>
      </w:r>
      <w:r w:rsidR="00BF0AF9" w:rsidRPr="00954547">
        <w:rPr>
          <w:rStyle w:val="Strong"/>
          <w:rFonts w:ascii="Verdana" w:hAnsi="Verdana"/>
          <w:b w:val="0"/>
          <w:bCs w:val="0"/>
          <w:sz w:val="16"/>
          <w:szCs w:val="16"/>
        </w:rPr>
        <w:t>Partially dissenting opinion of Judge Humberto Antonio Sierra Porto.</w:t>
      </w:r>
    </w:p>
  </w:footnote>
  <w:footnote w:id="511">
    <w:p w14:paraId="5110BADD" w14:textId="4DA113A1"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1D4E6E" w:rsidRPr="00954547">
        <w:rPr>
          <w:rFonts w:ascii="Verdana" w:hAnsi="Verdana"/>
          <w:i/>
          <w:sz w:val="16"/>
          <w:szCs w:val="16"/>
        </w:rPr>
        <w:t>of the National Association of Discharged and Retired Employees of the National Tax Administration Superintendence</w:t>
      </w:r>
      <w:r w:rsidRPr="00954547">
        <w:rPr>
          <w:rFonts w:ascii="Verdana" w:hAnsi="Verdana"/>
          <w:i/>
          <w:sz w:val="16"/>
          <w:szCs w:val="16"/>
        </w:rPr>
        <w:t xml:space="preserve"> (ANCEJUB-SUNAT)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November 21,</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394. </w:t>
      </w:r>
      <w:r w:rsidR="00BF0AF9" w:rsidRPr="00954547">
        <w:rPr>
          <w:rStyle w:val="Strong"/>
          <w:rFonts w:ascii="Verdana" w:hAnsi="Verdana"/>
          <w:b w:val="0"/>
          <w:bCs w:val="0"/>
          <w:sz w:val="16"/>
          <w:szCs w:val="16"/>
        </w:rPr>
        <w:t>Partially dissenting opinion of Judge Humberto Antonio Sierra Porto.</w:t>
      </w:r>
    </w:p>
  </w:footnote>
  <w:footnote w:id="512">
    <w:p w14:paraId="09DD9A50" w14:textId="6EFCD8D7"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Hernández </w:t>
      </w:r>
      <w:r w:rsidR="009C16A1" w:rsidRPr="00954547">
        <w:rPr>
          <w:rFonts w:ascii="Verdana" w:hAnsi="Verdana"/>
          <w:i/>
          <w:sz w:val="16"/>
          <w:szCs w:val="16"/>
        </w:rPr>
        <w:t>v.</w:t>
      </w:r>
      <w:r w:rsidRPr="00954547">
        <w:rPr>
          <w:rFonts w:ascii="Verdana" w:hAnsi="Verdana"/>
          <w:i/>
          <w:sz w:val="16"/>
          <w:szCs w:val="16"/>
        </w:rPr>
        <w:t xml:space="preserve"> Argentina.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November 22,</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395. </w:t>
      </w:r>
      <w:r w:rsidR="002871EC" w:rsidRPr="00954547">
        <w:rPr>
          <w:rStyle w:val="Strong"/>
          <w:rFonts w:ascii="Verdana" w:hAnsi="Verdana"/>
          <w:b w:val="0"/>
          <w:bCs w:val="0"/>
          <w:sz w:val="16"/>
          <w:szCs w:val="16"/>
        </w:rPr>
        <w:t>Partially dissenting opinion of Judge Humberto Antonio Sierra Porto.</w:t>
      </w:r>
    </w:p>
  </w:footnote>
  <w:footnote w:id="513">
    <w:p w14:paraId="1575A35E" w14:textId="00B9ADA4"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9C16A1" w:rsidRPr="00954547">
        <w:rPr>
          <w:rFonts w:ascii="Verdana" w:hAnsi="Verdana"/>
          <w:i/>
          <w:sz w:val="16"/>
          <w:szCs w:val="16"/>
        </w:rPr>
        <w:t>of the Indigenous Communities of the Lhaka Honhat (Our Land) Association</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Argentina. </w:t>
      </w:r>
      <w:r w:rsidR="00A70DC4" w:rsidRPr="00954547">
        <w:rPr>
          <w:rFonts w:ascii="Verdana" w:hAnsi="Verdana"/>
          <w:i/>
          <w:sz w:val="16"/>
          <w:szCs w:val="16"/>
        </w:rPr>
        <w:t>Merits,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February 6,</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 xml:space="preserve">C No. 400. </w:t>
      </w:r>
      <w:r w:rsidR="002871EC" w:rsidRPr="00954547">
        <w:rPr>
          <w:rStyle w:val="Strong"/>
          <w:rFonts w:ascii="Verdana" w:hAnsi="Verdana"/>
          <w:b w:val="0"/>
          <w:bCs w:val="0"/>
          <w:sz w:val="16"/>
          <w:szCs w:val="16"/>
        </w:rPr>
        <w:t>Partially dissenting opinion of Judge Humberto Antonio Sierra Porto.</w:t>
      </w:r>
    </w:p>
  </w:footnote>
  <w:footnote w:id="514">
    <w:p w14:paraId="5D08F861" w14:textId="45B8E5C6"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Guachalá Chimbo </w:t>
      </w:r>
      <w:r w:rsidR="00B8393C" w:rsidRPr="00954547">
        <w:rPr>
          <w:rFonts w:ascii="Verdana" w:hAnsi="Verdana"/>
          <w:i/>
          <w:iCs/>
          <w:sz w:val="16"/>
          <w:szCs w:val="16"/>
        </w:rPr>
        <w:t>et al. v.</w:t>
      </w:r>
      <w:r w:rsidRPr="00954547">
        <w:rPr>
          <w:rFonts w:ascii="Verdana" w:hAnsi="Verdana"/>
          <w:i/>
          <w:iCs/>
          <w:sz w:val="16"/>
          <w:szCs w:val="16"/>
        </w:rPr>
        <w:t xml:space="preserve"> Ecuador. </w:t>
      </w:r>
      <w:r w:rsidR="00A70DC4" w:rsidRPr="00954547">
        <w:rPr>
          <w:rFonts w:ascii="Verdana" w:hAnsi="Verdana"/>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2871EC" w:rsidRPr="00954547">
        <w:rPr>
          <w:rFonts w:ascii="Verdana" w:hAnsi="Verdana"/>
          <w:sz w:val="16"/>
          <w:szCs w:val="16"/>
        </w:rPr>
        <w:t>March 26,</w:t>
      </w:r>
      <w:r w:rsidRPr="00954547">
        <w:rPr>
          <w:rFonts w:ascii="Verdana" w:hAnsi="Verdana"/>
          <w:sz w:val="16"/>
          <w:szCs w:val="16"/>
        </w:rPr>
        <w:t xml:space="preserve"> 2021. </w:t>
      </w:r>
      <w:r w:rsidR="00B8393C" w:rsidRPr="00954547">
        <w:rPr>
          <w:rFonts w:ascii="Verdana" w:hAnsi="Verdana"/>
          <w:sz w:val="16"/>
          <w:szCs w:val="16"/>
        </w:rPr>
        <w:t xml:space="preserve">Series </w:t>
      </w:r>
      <w:r w:rsidRPr="00954547">
        <w:rPr>
          <w:rFonts w:ascii="Verdana" w:hAnsi="Verdana"/>
          <w:sz w:val="16"/>
          <w:szCs w:val="16"/>
        </w:rPr>
        <w:t xml:space="preserve">C No. 423. </w:t>
      </w:r>
      <w:r w:rsidR="002871EC" w:rsidRPr="00954547">
        <w:rPr>
          <w:rStyle w:val="Strong"/>
          <w:rFonts w:ascii="Verdana" w:hAnsi="Verdana"/>
          <w:b w:val="0"/>
          <w:bCs w:val="0"/>
          <w:sz w:val="16"/>
          <w:szCs w:val="16"/>
        </w:rPr>
        <w:t>Partially dissenting opinion of</w:t>
      </w:r>
      <w:r w:rsidRPr="00954547">
        <w:rPr>
          <w:rStyle w:val="Strong"/>
          <w:rFonts w:ascii="Verdana" w:hAnsi="Verdana"/>
          <w:b w:val="0"/>
          <w:bCs w:val="0"/>
          <w:sz w:val="16"/>
          <w:szCs w:val="16"/>
        </w:rPr>
        <w:t xml:space="preserve"> </w:t>
      </w:r>
      <w:r w:rsidR="00A42A4C" w:rsidRPr="00954547">
        <w:rPr>
          <w:rStyle w:val="Strong"/>
          <w:rFonts w:ascii="Verdana" w:hAnsi="Verdana"/>
          <w:b w:val="0"/>
          <w:bCs w:val="0"/>
          <w:sz w:val="16"/>
          <w:szCs w:val="16"/>
        </w:rPr>
        <w:t>Judge</w:t>
      </w:r>
      <w:r w:rsidRPr="00954547">
        <w:rPr>
          <w:rStyle w:val="Strong"/>
          <w:rFonts w:ascii="Verdana" w:hAnsi="Verdana"/>
          <w:b w:val="0"/>
          <w:bCs w:val="0"/>
          <w:sz w:val="16"/>
          <w:szCs w:val="16"/>
        </w:rPr>
        <w:t xml:space="preserve"> Humberto Antonio Sierra Porto.</w:t>
      </w:r>
    </w:p>
  </w:footnote>
  <w:footnote w:id="515">
    <w:p w14:paraId="3C2D9A06" w14:textId="35EE2ED4" w:rsidR="005D0AC0" w:rsidRPr="00954547" w:rsidRDefault="005D0AC0" w:rsidP="0049034A">
      <w:pPr>
        <w:pStyle w:val="FootnoteText"/>
        <w:tabs>
          <w:tab w:val="left" w:pos="567"/>
        </w:tabs>
        <w:spacing w:after="60"/>
        <w:jc w:val="both"/>
        <w:rPr>
          <w:rFonts w:ascii="Verdana" w:hAnsi="Verdana"/>
          <w:sz w:val="16"/>
          <w:szCs w:val="16"/>
          <w:shd w:val="clear" w:color="auto" w:fill="FFFFFF"/>
        </w:rPr>
      </w:pPr>
      <w:r w:rsidRPr="00954547">
        <w:rPr>
          <w:rStyle w:val="FootnoteReference"/>
          <w:rFonts w:ascii="Verdana" w:hAnsi="Verdana"/>
          <w:sz w:val="16"/>
          <w:szCs w:val="16"/>
        </w:rPr>
        <w:footnoteRef/>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Style w:val="Strong"/>
          <w:rFonts w:ascii="Verdana" w:hAnsi="Verdana"/>
          <w:b w:val="0"/>
          <w:bCs w:val="0"/>
          <w:i/>
          <w:sz w:val="16"/>
          <w:szCs w:val="16"/>
          <w:lang w:val="es-CR"/>
        </w:rPr>
        <w:t>Case of</w:t>
      </w:r>
      <w:r w:rsidRPr="00954547">
        <w:rPr>
          <w:rStyle w:val="Strong"/>
          <w:rFonts w:ascii="Verdana" w:hAnsi="Verdana"/>
          <w:b w:val="0"/>
          <w:bCs w:val="0"/>
          <w:i/>
          <w:sz w:val="16"/>
          <w:szCs w:val="16"/>
          <w:lang w:val="es-CR"/>
        </w:rPr>
        <w:t xml:space="preserve"> Gonzales Lluy </w:t>
      </w:r>
      <w:r w:rsidR="00B8393C" w:rsidRPr="00954547">
        <w:rPr>
          <w:rStyle w:val="Strong"/>
          <w:rFonts w:ascii="Verdana" w:hAnsi="Verdana"/>
          <w:b w:val="0"/>
          <w:bCs w:val="0"/>
          <w:i/>
          <w:sz w:val="16"/>
          <w:szCs w:val="16"/>
          <w:lang w:val="es-CR"/>
        </w:rPr>
        <w:t>et al. v.</w:t>
      </w:r>
      <w:r w:rsidRPr="00954547">
        <w:rPr>
          <w:rStyle w:val="Strong"/>
          <w:rFonts w:ascii="Verdana" w:hAnsi="Verdana"/>
          <w:b w:val="0"/>
          <w:bCs w:val="0"/>
          <w:i/>
          <w:sz w:val="16"/>
          <w:szCs w:val="16"/>
          <w:lang w:val="es-CR"/>
        </w:rPr>
        <w:t xml:space="preserve"> Ecuador</w:t>
      </w:r>
      <w:r w:rsidRPr="00954547">
        <w:rPr>
          <w:rStyle w:val="Strong"/>
          <w:rFonts w:ascii="Verdana" w:hAnsi="Verdana"/>
          <w:b w:val="0"/>
          <w:bCs w:val="0"/>
          <w:sz w:val="16"/>
          <w:szCs w:val="16"/>
          <w:lang w:val="es-CR"/>
        </w:rPr>
        <w:t>.</w:t>
      </w:r>
      <w:r w:rsidRPr="00954547">
        <w:rPr>
          <w:rStyle w:val="Strong"/>
          <w:rFonts w:ascii="Verdana" w:hAnsi="Verdana"/>
          <w:i/>
          <w:sz w:val="16"/>
          <w:szCs w:val="16"/>
          <w:lang w:val="es-CR"/>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shd w:val="clear" w:color="auto" w:fill="FFFFFF"/>
        </w:rPr>
        <w:t xml:space="preserve"> </w:t>
      </w:r>
      <w:r w:rsidR="004110D3" w:rsidRPr="00954547">
        <w:rPr>
          <w:rFonts w:ascii="Verdana" w:hAnsi="Verdana"/>
          <w:sz w:val="16"/>
          <w:szCs w:val="16"/>
        </w:rPr>
        <w:t>September 1,</w:t>
      </w:r>
      <w:r w:rsidRPr="00954547">
        <w:rPr>
          <w:rFonts w:ascii="Verdana" w:hAnsi="Verdana"/>
          <w:sz w:val="16"/>
          <w:szCs w:val="16"/>
        </w:rPr>
        <w:t xml:space="preserve"> 2015. </w:t>
      </w:r>
      <w:r w:rsidR="00B8393C" w:rsidRPr="00954547">
        <w:rPr>
          <w:rFonts w:ascii="Verdana" w:hAnsi="Verdana"/>
          <w:sz w:val="16"/>
          <w:szCs w:val="16"/>
        </w:rPr>
        <w:t xml:space="preserve">Series </w:t>
      </w:r>
      <w:r w:rsidRPr="00954547">
        <w:rPr>
          <w:rFonts w:ascii="Verdana" w:hAnsi="Verdana"/>
          <w:sz w:val="16"/>
          <w:szCs w:val="16"/>
        </w:rPr>
        <w:t>C No. 298.</w:t>
      </w:r>
      <w:r w:rsidRPr="00954547">
        <w:rPr>
          <w:rStyle w:val="Strong"/>
          <w:rFonts w:ascii="Verdana" w:hAnsi="Verdana"/>
          <w:sz w:val="16"/>
          <w:szCs w:val="16"/>
        </w:rPr>
        <w:t xml:space="preserve"> </w:t>
      </w:r>
      <w:r w:rsidR="00BF0AF9" w:rsidRPr="00954547">
        <w:rPr>
          <w:rStyle w:val="Strong"/>
          <w:rFonts w:ascii="Verdana" w:hAnsi="Verdana"/>
          <w:b w:val="0"/>
          <w:bCs w:val="0"/>
          <w:sz w:val="16"/>
          <w:szCs w:val="16"/>
        </w:rPr>
        <w:t>Concurring opinion of</w:t>
      </w:r>
      <w:r w:rsidRPr="00954547">
        <w:rPr>
          <w:rStyle w:val="Strong"/>
          <w:rFonts w:ascii="Verdana" w:hAnsi="Verdana"/>
          <w:b w:val="0"/>
          <w:bCs w:val="0"/>
          <w:sz w:val="16"/>
          <w:szCs w:val="16"/>
        </w:rPr>
        <w:t xml:space="preserve"> </w:t>
      </w:r>
      <w:r w:rsidR="00A42A4C" w:rsidRPr="00954547">
        <w:rPr>
          <w:rStyle w:val="Strong"/>
          <w:rFonts w:ascii="Verdana" w:hAnsi="Verdana"/>
          <w:b w:val="0"/>
          <w:bCs w:val="0"/>
          <w:sz w:val="16"/>
          <w:szCs w:val="16"/>
        </w:rPr>
        <w:t>Judge</w:t>
      </w:r>
      <w:r w:rsidRPr="00954547">
        <w:rPr>
          <w:rStyle w:val="Strong"/>
          <w:rFonts w:ascii="Verdana" w:hAnsi="Verdana"/>
          <w:b w:val="0"/>
          <w:bCs w:val="0"/>
          <w:sz w:val="16"/>
          <w:szCs w:val="16"/>
        </w:rPr>
        <w:t xml:space="preserve"> Humberto Antonio Sierra Porto.</w:t>
      </w:r>
      <w:r w:rsidRPr="00954547">
        <w:rPr>
          <w:rStyle w:val="Strong"/>
          <w:rFonts w:ascii="Verdana" w:hAnsi="Verdana"/>
          <w:b w:val="0"/>
          <w:bCs w:val="0"/>
          <w:sz w:val="16"/>
          <w:szCs w:val="16"/>
          <w:shd w:val="clear" w:color="auto" w:fill="FFFFFF"/>
        </w:rPr>
        <w:t xml:space="preserve"> </w:t>
      </w:r>
    </w:p>
  </w:footnote>
  <w:footnote w:id="516">
    <w:p w14:paraId="3C7AAA87" w14:textId="25612A0A" w:rsidR="005D0AC0" w:rsidRPr="00954547" w:rsidRDefault="005D0AC0" w:rsidP="0049034A">
      <w:pPr>
        <w:tabs>
          <w:tab w:val="left" w:pos="567"/>
        </w:tabs>
        <w:spacing w:after="60"/>
        <w:jc w:val="both"/>
        <w:rPr>
          <w:rFonts w:ascii="Verdana" w:hAnsi="Verdana"/>
          <w:sz w:val="16"/>
          <w:szCs w:val="16"/>
          <w:shd w:val="clear" w:color="auto" w:fill="FFFFFF"/>
        </w:rPr>
      </w:pPr>
      <w:r w:rsidRPr="00954547">
        <w:rPr>
          <w:rStyle w:val="FootnoteReference"/>
          <w:rFonts w:ascii="Verdana" w:hAnsi="Verdana"/>
          <w:sz w:val="16"/>
          <w:szCs w:val="16"/>
        </w:rPr>
        <w:footnoteRef/>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Style w:val="Strong"/>
          <w:rFonts w:ascii="Verdana" w:hAnsi="Verdana" w:cs="Verdana"/>
          <w:b w:val="0"/>
          <w:bCs w:val="0"/>
          <w:i/>
          <w:sz w:val="16"/>
          <w:szCs w:val="16"/>
        </w:rPr>
        <w:t>Case of</w:t>
      </w:r>
      <w:r w:rsidRPr="00954547">
        <w:rPr>
          <w:rStyle w:val="Strong"/>
          <w:rFonts w:ascii="Verdana" w:hAnsi="Verdana" w:cs="Verdana"/>
          <w:b w:val="0"/>
          <w:bCs w:val="0"/>
          <w:i/>
          <w:sz w:val="16"/>
          <w:szCs w:val="16"/>
        </w:rPr>
        <w:t xml:space="preserve"> Poblete Vilches </w:t>
      </w:r>
      <w:r w:rsidR="00B8393C" w:rsidRPr="00954547">
        <w:rPr>
          <w:rStyle w:val="Strong"/>
          <w:rFonts w:ascii="Verdana" w:hAnsi="Verdana" w:cs="Verdana"/>
          <w:b w:val="0"/>
          <w:bCs w:val="0"/>
          <w:i/>
          <w:sz w:val="16"/>
          <w:szCs w:val="16"/>
        </w:rPr>
        <w:t>et al. v.</w:t>
      </w:r>
      <w:r w:rsidRPr="00954547">
        <w:rPr>
          <w:rStyle w:val="Strong"/>
          <w:rFonts w:ascii="Verdana" w:hAnsi="Verdana" w:cs="Verdana"/>
          <w:b w:val="0"/>
          <w:bCs w:val="0"/>
          <w:i/>
          <w:sz w:val="16"/>
          <w:szCs w:val="16"/>
        </w:rPr>
        <w:t xml:space="preserve"> Chile. </w:t>
      </w:r>
      <w:r w:rsidR="00A70DC4" w:rsidRPr="00954547">
        <w:rPr>
          <w:rStyle w:val="Strong"/>
          <w:rFonts w:ascii="Verdana" w:hAnsi="Verdana" w:cs="Verdana"/>
          <w:b w:val="0"/>
          <w:bCs w:val="0"/>
          <w:i/>
          <w:sz w:val="16"/>
          <w:szCs w:val="16"/>
        </w:rPr>
        <w:t>Merits, reparations and costs</w:t>
      </w:r>
      <w:r w:rsidRPr="00954547">
        <w:rPr>
          <w:rStyle w:val="Strong"/>
          <w:rFonts w:ascii="Verdana" w:hAnsi="Verdana" w:cs="Verdana"/>
          <w:b w:val="0"/>
          <w:bCs w:val="0"/>
          <w:sz w:val="16"/>
          <w:szCs w:val="16"/>
        </w:rPr>
        <w:t xml:space="preserve">. </w:t>
      </w:r>
      <w:r w:rsidR="00B8393C" w:rsidRPr="00954547">
        <w:rPr>
          <w:rStyle w:val="Strong"/>
          <w:rFonts w:ascii="Verdana" w:hAnsi="Verdana" w:cs="Verdana"/>
          <w:b w:val="0"/>
          <w:bCs w:val="0"/>
          <w:sz w:val="16"/>
          <w:szCs w:val="16"/>
        </w:rPr>
        <w:t>Judgment of</w:t>
      </w:r>
      <w:r w:rsidRPr="00954547">
        <w:rPr>
          <w:rStyle w:val="Strong"/>
          <w:rFonts w:ascii="Verdana" w:hAnsi="Verdana" w:cs="Verdana"/>
          <w:b w:val="0"/>
          <w:bCs w:val="0"/>
          <w:sz w:val="16"/>
          <w:szCs w:val="16"/>
        </w:rPr>
        <w:t xml:space="preserve"> </w:t>
      </w:r>
      <w:r w:rsidR="004110D3" w:rsidRPr="00954547">
        <w:rPr>
          <w:rStyle w:val="Strong"/>
          <w:rFonts w:ascii="Verdana" w:hAnsi="Verdana" w:cs="Verdana"/>
          <w:b w:val="0"/>
          <w:bCs w:val="0"/>
          <w:sz w:val="16"/>
          <w:szCs w:val="16"/>
        </w:rPr>
        <w:t>March 8,</w:t>
      </w:r>
      <w:r w:rsidRPr="00954547">
        <w:rPr>
          <w:rStyle w:val="Strong"/>
          <w:rFonts w:ascii="Verdana" w:hAnsi="Verdana" w:cs="Verdana"/>
          <w:b w:val="0"/>
          <w:bCs w:val="0"/>
          <w:sz w:val="16"/>
          <w:szCs w:val="16"/>
        </w:rPr>
        <w:t xml:space="preserve"> 2018. </w:t>
      </w:r>
      <w:r w:rsidR="00B8393C" w:rsidRPr="00954547">
        <w:rPr>
          <w:rStyle w:val="Strong"/>
          <w:rFonts w:ascii="Verdana" w:hAnsi="Verdana" w:cs="Verdana"/>
          <w:b w:val="0"/>
          <w:bCs w:val="0"/>
          <w:sz w:val="16"/>
          <w:szCs w:val="16"/>
        </w:rPr>
        <w:t xml:space="preserve">Series </w:t>
      </w:r>
      <w:r w:rsidRPr="00954547">
        <w:rPr>
          <w:rStyle w:val="Strong"/>
          <w:rFonts w:ascii="Verdana" w:hAnsi="Verdana" w:cs="Verdana"/>
          <w:b w:val="0"/>
          <w:bCs w:val="0"/>
          <w:sz w:val="16"/>
          <w:szCs w:val="16"/>
        </w:rPr>
        <w:t>C No. 349.</w:t>
      </w:r>
      <w:r w:rsidRPr="00954547">
        <w:rPr>
          <w:rStyle w:val="Strong"/>
          <w:rFonts w:ascii="Verdana" w:hAnsi="Verdana"/>
          <w:b w:val="0"/>
          <w:bCs w:val="0"/>
          <w:sz w:val="16"/>
          <w:szCs w:val="16"/>
        </w:rPr>
        <w:t xml:space="preserve"> </w:t>
      </w:r>
      <w:r w:rsidR="00BF0AF9" w:rsidRPr="00954547">
        <w:rPr>
          <w:rStyle w:val="Strong"/>
          <w:rFonts w:ascii="Verdana" w:hAnsi="Verdana"/>
          <w:b w:val="0"/>
          <w:bCs w:val="0"/>
          <w:sz w:val="16"/>
          <w:szCs w:val="16"/>
        </w:rPr>
        <w:t>Concurring opinion of</w:t>
      </w:r>
      <w:r w:rsidRPr="00954547">
        <w:rPr>
          <w:rStyle w:val="Strong"/>
          <w:rFonts w:ascii="Verdana" w:hAnsi="Verdana"/>
          <w:b w:val="0"/>
          <w:bCs w:val="0"/>
          <w:sz w:val="16"/>
          <w:szCs w:val="16"/>
        </w:rPr>
        <w:t xml:space="preserve"> </w:t>
      </w:r>
      <w:r w:rsidR="00A42A4C" w:rsidRPr="00954547">
        <w:rPr>
          <w:rStyle w:val="Strong"/>
          <w:rFonts w:ascii="Verdana" w:hAnsi="Verdana"/>
          <w:b w:val="0"/>
          <w:bCs w:val="0"/>
          <w:sz w:val="16"/>
          <w:szCs w:val="16"/>
        </w:rPr>
        <w:t>Judge</w:t>
      </w:r>
      <w:r w:rsidRPr="00954547">
        <w:rPr>
          <w:rStyle w:val="Strong"/>
          <w:rFonts w:ascii="Verdana" w:hAnsi="Verdana"/>
          <w:b w:val="0"/>
          <w:bCs w:val="0"/>
          <w:sz w:val="16"/>
          <w:szCs w:val="16"/>
        </w:rPr>
        <w:t xml:space="preserve"> Humberto Antonio Sierra Porto.</w:t>
      </w:r>
    </w:p>
  </w:footnote>
  <w:footnote w:id="517">
    <w:p w14:paraId="48ECC86C" w14:textId="48E687CC"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Casa Nina </w:t>
      </w:r>
      <w:r w:rsidR="009C16A1" w:rsidRPr="00954547">
        <w:rPr>
          <w:rFonts w:ascii="Verdana" w:hAnsi="Verdana"/>
          <w:i/>
          <w:iCs/>
          <w:sz w:val="16"/>
          <w:szCs w:val="16"/>
        </w:rPr>
        <w:t>v.</w:t>
      </w:r>
      <w:r w:rsidRPr="00954547">
        <w:rPr>
          <w:rFonts w:ascii="Verdana" w:hAnsi="Verdana"/>
          <w:i/>
          <w:iCs/>
          <w:sz w:val="16"/>
          <w:szCs w:val="16"/>
        </w:rPr>
        <w:t xml:space="preserve"> </w:t>
      </w:r>
      <w:r w:rsidR="00C26F0B" w:rsidRPr="00954547">
        <w:rPr>
          <w:rFonts w:ascii="Verdana" w:hAnsi="Verdana"/>
          <w:i/>
          <w:iCs/>
          <w:sz w:val="16"/>
          <w:szCs w:val="16"/>
        </w:rPr>
        <w:t>Peru</w:t>
      </w:r>
      <w:r w:rsidRPr="00954547">
        <w:rPr>
          <w:rFonts w:ascii="Verdana" w:hAnsi="Verdana"/>
          <w:i/>
          <w:iCs/>
          <w:sz w:val="16"/>
          <w:szCs w:val="16"/>
        </w:rPr>
        <w:t>.</w:t>
      </w:r>
      <w:r w:rsidRPr="00954547">
        <w:rPr>
          <w:rFonts w:ascii="Verdana" w:hAnsi="Verdana"/>
          <w:sz w:val="16"/>
          <w:szCs w:val="16"/>
        </w:rPr>
        <w:t xml:space="preserve"> </w:t>
      </w:r>
      <w:r w:rsidR="004C640C" w:rsidRPr="00954547">
        <w:rPr>
          <w:rFonts w:ascii="Verdana" w:hAnsi="Verdana"/>
          <w:sz w:val="16"/>
          <w:szCs w:val="16"/>
        </w:rPr>
        <w:t>Preliminary objections, merits</w:t>
      </w:r>
      <w:r w:rsidR="00A70DC4" w:rsidRPr="00954547">
        <w:rPr>
          <w:rFonts w:ascii="Verdana" w:hAnsi="Verdana"/>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110D3" w:rsidRPr="00954547">
        <w:rPr>
          <w:rFonts w:ascii="Verdana" w:hAnsi="Verdana"/>
          <w:sz w:val="16"/>
          <w:szCs w:val="16"/>
        </w:rPr>
        <w:t>November 24,</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 xml:space="preserve">C No. 419. </w:t>
      </w:r>
      <w:r w:rsidR="004110D3" w:rsidRPr="00954547">
        <w:rPr>
          <w:rFonts w:ascii="Verdana" w:hAnsi="Verdana"/>
          <w:sz w:val="16"/>
          <w:szCs w:val="16"/>
        </w:rPr>
        <w:t>Concurring</w:t>
      </w:r>
      <w:r w:rsidR="0078694F" w:rsidRPr="00954547">
        <w:rPr>
          <w:rFonts w:ascii="Verdana" w:hAnsi="Verdana"/>
          <w:sz w:val="16"/>
          <w:szCs w:val="16"/>
        </w:rPr>
        <w:t xml:space="preserve"> and </w:t>
      </w:r>
      <w:r w:rsidR="004110D3" w:rsidRPr="00954547">
        <w:rPr>
          <w:rStyle w:val="Strong"/>
          <w:rFonts w:ascii="Verdana" w:hAnsi="Verdana"/>
          <w:b w:val="0"/>
          <w:bCs w:val="0"/>
          <w:sz w:val="16"/>
          <w:szCs w:val="16"/>
        </w:rPr>
        <w:t>p</w:t>
      </w:r>
      <w:r w:rsidR="00BF0AF9" w:rsidRPr="00954547">
        <w:rPr>
          <w:rStyle w:val="Strong"/>
          <w:rFonts w:ascii="Verdana" w:hAnsi="Verdana"/>
          <w:b w:val="0"/>
          <w:bCs w:val="0"/>
          <w:sz w:val="16"/>
          <w:szCs w:val="16"/>
        </w:rPr>
        <w:t>artially dissenting opinion of Judge Humberto Antonio Sierra Porto.</w:t>
      </w:r>
    </w:p>
  </w:footnote>
  <w:footnote w:id="518">
    <w:p w14:paraId="3ED1A6BC" w14:textId="1CFA19C8" w:rsidR="005D0AC0" w:rsidRPr="00954547" w:rsidRDefault="005A05B2"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005D0AC0" w:rsidRPr="00954547">
        <w:rPr>
          <w:rStyle w:val="FootnoteReference"/>
          <w:rFonts w:ascii="Verdana" w:hAnsi="Verdana"/>
          <w:sz w:val="16"/>
          <w:szCs w:val="16"/>
        </w:rPr>
        <w:footnoteRef/>
      </w:r>
      <w:r w:rsidR="005D0AC0" w:rsidRPr="00954547">
        <w:rPr>
          <w:rFonts w:ascii="Verdana" w:hAnsi="Verdana"/>
          <w:sz w:val="16"/>
          <w:szCs w:val="16"/>
        </w:rPr>
        <w:t xml:space="preserve"> </w:t>
      </w:r>
      <w:r w:rsidR="005D0AC0" w:rsidRPr="00954547">
        <w:rPr>
          <w:rFonts w:ascii="Verdana" w:hAnsi="Verdana"/>
          <w:sz w:val="16"/>
          <w:szCs w:val="16"/>
        </w:rPr>
        <w:tab/>
      </w:r>
      <w:r w:rsidR="00B8393C" w:rsidRPr="00954547">
        <w:rPr>
          <w:rFonts w:ascii="Verdana" w:hAnsi="Verdana"/>
          <w:i/>
          <w:sz w:val="16"/>
          <w:szCs w:val="16"/>
        </w:rPr>
        <w:t>Cf.</w:t>
      </w:r>
      <w:r w:rsidR="005D0AC0" w:rsidRPr="00954547">
        <w:rPr>
          <w:rFonts w:ascii="Verdana" w:hAnsi="Verdana"/>
          <w:i/>
          <w:sz w:val="16"/>
          <w:szCs w:val="16"/>
        </w:rPr>
        <w:t xml:space="preserve"> </w:t>
      </w:r>
      <w:r w:rsidR="002F4617" w:rsidRPr="00954547">
        <w:rPr>
          <w:rFonts w:ascii="Verdana" w:hAnsi="Verdana"/>
          <w:i/>
          <w:sz w:val="16"/>
          <w:szCs w:val="16"/>
        </w:rPr>
        <w:t>Case of</w:t>
      </w:r>
      <w:r w:rsidR="005D0AC0" w:rsidRPr="00954547">
        <w:rPr>
          <w:rFonts w:ascii="Verdana" w:hAnsi="Verdana"/>
          <w:i/>
          <w:sz w:val="16"/>
          <w:szCs w:val="16"/>
        </w:rPr>
        <w:t xml:space="preserve"> Vera Rojas </w:t>
      </w:r>
      <w:r w:rsidR="00B8393C" w:rsidRPr="00954547">
        <w:rPr>
          <w:rFonts w:ascii="Verdana" w:hAnsi="Verdana"/>
          <w:i/>
          <w:sz w:val="16"/>
          <w:szCs w:val="16"/>
        </w:rPr>
        <w:t>et al. v.</w:t>
      </w:r>
      <w:r w:rsidR="005D0AC0" w:rsidRPr="00954547">
        <w:rPr>
          <w:rFonts w:ascii="Verdana" w:hAnsi="Verdana"/>
          <w:i/>
          <w:sz w:val="16"/>
          <w:szCs w:val="16"/>
        </w:rPr>
        <w:t xml:space="preserve"> Chile.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005D0AC0" w:rsidRPr="00954547">
        <w:rPr>
          <w:rFonts w:ascii="Verdana" w:hAnsi="Verdana"/>
          <w:sz w:val="16"/>
          <w:szCs w:val="16"/>
        </w:rPr>
        <w:t xml:space="preserve">. </w:t>
      </w:r>
      <w:r w:rsidR="00B8393C" w:rsidRPr="00954547">
        <w:rPr>
          <w:rFonts w:ascii="Verdana" w:hAnsi="Verdana"/>
          <w:sz w:val="16"/>
          <w:szCs w:val="16"/>
        </w:rPr>
        <w:t>Judgment of</w:t>
      </w:r>
      <w:r w:rsidR="005D0AC0" w:rsidRPr="00954547">
        <w:rPr>
          <w:rFonts w:ascii="Verdana" w:hAnsi="Verdana"/>
          <w:sz w:val="16"/>
          <w:szCs w:val="16"/>
        </w:rPr>
        <w:t xml:space="preserve"> </w:t>
      </w:r>
      <w:r w:rsidR="004110D3" w:rsidRPr="00954547">
        <w:rPr>
          <w:rFonts w:ascii="Verdana" w:hAnsi="Verdana"/>
          <w:sz w:val="16"/>
          <w:szCs w:val="16"/>
        </w:rPr>
        <w:t>September 1,</w:t>
      </w:r>
      <w:r w:rsidR="005D0AC0" w:rsidRPr="00954547">
        <w:rPr>
          <w:rFonts w:ascii="Verdana" w:hAnsi="Verdana"/>
          <w:sz w:val="16"/>
          <w:szCs w:val="16"/>
        </w:rPr>
        <w:t xml:space="preserve"> 2021. </w:t>
      </w:r>
      <w:r w:rsidR="00B8393C" w:rsidRPr="00954547">
        <w:rPr>
          <w:rFonts w:ascii="Verdana" w:hAnsi="Verdana"/>
          <w:sz w:val="16"/>
          <w:szCs w:val="16"/>
        </w:rPr>
        <w:t xml:space="preserve">Series </w:t>
      </w:r>
      <w:r w:rsidR="005D0AC0" w:rsidRPr="00954547">
        <w:rPr>
          <w:rFonts w:ascii="Verdana" w:hAnsi="Verdana"/>
          <w:sz w:val="16"/>
          <w:szCs w:val="16"/>
        </w:rPr>
        <w:t xml:space="preserve">C No. </w:t>
      </w:r>
      <w:r w:rsidR="00BF0AF9" w:rsidRPr="00954547">
        <w:rPr>
          <w:rFonts w:ascii="Verdana" w:hAnsi="Verdana"/>
          <w:sz w:val="16"/>
          <w:szCs w:val="16"/>
        </w:rPr>
        <w:t>Concurring opinion of</w:t>
      </w:r>
      <w:r w:rsidR="005D0AC0" w:rsidRPr="00954547">
        <w:rPr>
          <w:rStyle w:val="Strong"/>
          <w:rFonts w:ascii="Verdana" w:hAnsi="Verdana"/>
          <w:b w:val="0"/>
          <w:bCs w:val="0"/>
          <w:sz w:val="16"/>
          <w:szCs w:val="16"/>
        </w:rPr>
        <w:t xml:space="preserve"> </w:t>
      </w:r>
      <w:r w:rsidR="00A42A4C" w:rsidRPr="00954547">
        <w:rPr>
          <w:rStyle w:val="Strong"/>
          <w:rFonts w:ascii="Verdana" w:hAnsi="Verdana"/>
          <w:b w:val="0"/>
          <w:bCs w:val="0"/>
          <w:sz w:val="16"/>
          <w:szCs w:val="16"/>
        </w:rPr>
        <w:t>Judge</w:t>
      </w:r>
      <w:r w:rsidR="005D0AC0" w:rsidRPr="00954547">
        <w:rPr>
          <w:rStyle w:val="Strong"/>
          <w:rFonts w:ascii="Verdana" w:hAnsi="Verdana"/>
          <w:b w:val="0"/>
          <w:bCs w:val="0"/>
          <w:sz w:val="16"/>
          <w:szCs w:val="16"/>
        </w:rPr>
        <w:t xml:space="preserve"> Humberto Antonio Sierra Porto</w:t>
      </w:r>
      <w:r w:rsidR="005D0AC0" w:rsidRPr="00954547">
        <w:rPr>
          <w:rStyle w:val="Strong"/>
          <w:rFonts w:ascii="Verdana" w:hAnsi="Verdana"/>
          <w:sz w:val="16"/>
          <w:szCs w:val="16"/>
        </w:rPr>
        <w:t>.</w:t>
      </w:r>
    </w:p>
  </w:footnote>
  <w:footnote w:id="519">
    <w:p w14:paraId="0BF6496D" w14:textId="1D73C306"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2F4617" w:rsidRPr="00954547">
        <w:rPr>
          <w:rStyle w:val="Strong"/>
          <w:rFonts w:ascii="Verdana" w:hAnsi="Verdana"/>
          <w:b w:val="0"/>
          <w:bCs w:val="0"/>
          <w:i/>
          <w:sz w:val="16"/>
          <w:szCs w:val="16"/>
        </w:rPr>
        <w:t>Case of</w:t>
      </w:r>
      <w:r w:rsidRPr="00954547">
        <w:rPr>
          <w:rStyle w:val="Strong"/>
          <w:rFonts w:ascii="Verdana" w:hAnsi="Verdana"/>
          <w:b w:val="0"/>
          <w:bCs w:val="0"/>
          <w:i/>
          <w:sz w:val="16"/>
          <w:szCs w:val="16"/>
        </w:rPr>
        <w:t xml:space="preserve"> Lagos del Campo </w:t>
      </w:r>
      <w:r w:rsidR="009C16A1" w:rsidRPr="00954547">
        <w:rPr>
          <w:rStyle w:val="Strong"/>
          <w:rFonts w:ascii="Verdana" w:hAnsi="Verdana"/>
          <w:b w:val="0"/>
          <w:bCs w:val="0"/>
          <w:i/>
          <w:sz w:val="16"/>
          <w:szCs w:val="16"/>
        </w:rPr>
        <w:t>v.</w:t>
      </w:r>
      <w:r w:rsidRPr="00954547">
        <w:rPr>
          <w:rStyle w:val="Strong"/>
          <w:rFonts w:ascii="Verdana" w:hAnsi="Verdana"/>
          <w:b w:val="0"/>
          <w:bCs w:val="0"/>
          <w:i/>
          <w:sz w:val="16"/>
          <w:szCs w:val="16"/>
        </w:rPr>
        <w:t xml:space="preserve"> </w:t>
      </w:r>
      <w:r w:rsidR="00C26F0B" w:rsidRPr="00954547">
        <w:rPr>
          <w:rStyle w:val="Strong"/>
          <w:rFonts w:ascii="Verdana" w:hAnsi="Verdana"/>
          <w:b w:val="0"/>
          <w:bCs w:val="0"/>
          <w:i/>
          <w:sz w:val="16"/>
          <w:szCs w:val="16"/>
        </w:rPr>
        <w:t>Peru</w:t>
      </w:r>
      <w:r w:rsidRPr="00954547">
        <w:rPr>
          <w:rStyle w:val="Strong"/>
          <w:rFonts w:ascii="Verdana" w:hAnsi="Verdana"/>
          <w:b w:val="0"/>
          <w:bCs w:val="0"/>
          <w:i/>
          <w:sz w:val="16"/>
          <w:szCs w:val="16"/>
        </w:rPr>
        <w:t>.</w:t>
      </w:r>
      <w:r w:rsidRPr="00954547">
        <w:rPr>
          <w:rStyle w:val="Strong"/>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August 31,</w:t>
      </w:r>
      <w:r w:rsidRPr="00954547">
        <w:rPr>
          <w:rFonts w:ascii="Verdana" w:hAnsi="Verdana"/>
          <w:sz w:val="16"/>
          <w:szCs w:val="16"/>
        </w:rPr>
        <w:t xml:space="preserve"> 2017. </w:t>
      </w:r>
      <w:r w:rsidR="00B8393C" w:rsidRPr="00954547">
        <w:rPr>
          <w:rFonts w:ascii="Verdana" w:hAnsi="Verdana"/>
          <w:sz w:val="16"/>
          <w:szCs w:val="16"/>
        </w:rPr>
        <w:t xml:space="preserve">Series </w:t>
      </w:r>
      <w:r w:rsidRPr="00954547">
        <w:rPr>
          <w:rFonts w:ascii="Verdana" w:hAnsi="Verdana"/>
          <w:sz w:val="16"/>
          <w:szCs w:val="16"/>
        </w:rPr>
        <w:t>C No. 340.</w:t>
      </w:r>
      <w:r w:rsidRPr="00954547">
        <w:rPr>
          <w:rFonts w:ascii="Verdana" w:hAnsi="Verdana"/>
          <w:i/>
          <w:sz w:val="16"/>
          <w:szCs w:val="16"/>
        </w:rPr>
        <w:t xml:space="preserve"> </w:t>
      </w:r>
      <w:r w:rsidR="00BF0AF9" w:rsidRPr="00954547">
        <w:rPr>
          <w:rStyle w:val="Strong"/>
          <w:rFonts w:ascii="Verdana" w:hAnsi="Verdana"/>
          <w:b w:val="0"/>
          <w:bCs w:val="0"/>
          <w:sz w:val="16"/>
          <w:szCs w:val="16"/>
        </w:rPr>
        <w:t>Partially dissenting opinion of Judge Humberto Antonio Sierra Porto.</w:t>
      </w:r>
    </w:p>
  </w:footnote>
  <w:footnote w:id="520">
    <w:p w14:paraId="026B86E2" w14:textId="413F7C2D"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Muelle Flores </w:t>
      </w:r>
      <w:r w:rsidR="009C16A1" w:rsidRPr="00954547">
        <w:rPr>
          <w:rFonts w:ascii="Verdana" w:hAnsi="Verdana"/>
          <w:i/>
          <w:iCs/>
          <w:sz w:val="16"/>
          <w:szCs w:val="16"/>
        </w:rPr>
        <w:t>v.</w:t>
      </w:r>
      <w:r w:rsidRPr="00954547">
        <w:rPr>
          <w:rFonts w:ascii="Verdana" w:hAnsi="Verdana"/>
          <w:i/>
          <w:iCs/>
          <w:sz w:val="16"/>
          <w:szCs w:val="16"/>
        </w:rPr>
        <w:t xml:space="preserve"> </w:t>
      </w:r>
      <w:r w:rsidR="00C26F0B" w:rsidRPr="00954547">
        <w:rPr>
          <w:rFonts w:ascii="Verdana" w:hAnsi="Verdana"/>
          <w:i/>
          <w:iCs/>
          <w:sz w:val="16"/>
          <w:szCs w:val="16"/>
        </w:rPr>
        <w:t>Peru</w:t>
      </w:r>
      <w:r w:rsidRPr="00954547">
        <w:rPr>
          <w:rFonts w:ascii="Verdana" w:hAnsi="Verdana"/>
          <w:sz w:val="16"/>
          <w:szCs w:val="16"/>
        </w:rPr>
        <w:t xml:space="preserve">. </w:t>
      </w:r>
      <w:r w:rsidR="004C640C" w:rsidRPr="00954547">
        <w:rPr>
          <w:rFonts w:ascii="Verdana" w:hAnsi="Verdana"/>
          <w:sz w:val="16"/>
          <w:szCs w:val="16"/>
        </w:rPr>
        <w:t>Preliminary objections, merits</w:t>
      </w:r>
      <w:r w:rsidR="00A70DC4" w:rsidRPr="00954547">
        <w:rPr>
          <w:rFonts w:ascii="Verdana" w:hAnsi="Verdana"/>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1D4E6E" w:rsidRPr="00954547">
        <w:rPr>
          <w:rFonts w:ascii="Verdana" w:hAnsi="Verdana"/>
          <w:sz w:val="16"/>
          <w:szCs w:val="16"/>
        </w:rPr>
        <w:t>March 6,</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375. </w:t>
      </w:r>
      <w:r w:rsidR="00BF0AF9" w:rsidRPr="00954547">
        <w:rPr>
          <w:rStyle w:val="Strong"/>
          <w:rFonts w:ascii="Verdana" w:hAnsi="Verdana"/>
          <w:b w:val="0"/>
          <w:bCs w:val="0"/>
          <w:sz w:val="16"/>
          <w:szCs w:val="16"/>
        </w:rPr>
        <w:t>Partially dissenting opinion of Judge Humberto Antonio Sierra Porto.</w:t>
      </w:r>
    </w:p>
  </w:footnote>
  <w:footnote w:id="521">
    <w:p w14:paraId="72224CFD" w14:textId="2735AB12"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Cuscul Pivaral </w:t>
      </w:r>
      <w:r w:rsidR="00B8393C" w:rsidRPr="00954547">
        <w:rPr>
          <w:rFonts w:ascii="Verdana" w:hAnsi="Verdana"/>
          <w:i/>
          <w:iCs/>
          <w:sz w:val="16"/>
          <w:szCs w:val="16"/>
        </w:rPr>
        <w:t>et al. v.</w:t>
      </w:r>
      <w:r w:rsidRPr="00954547">
        <w:rPr>
          <w:rFonts w:ascii="Verdana" w:hAnsi="Verdana"/>
          <w:i/>
          <w:iCs/>
          <w:sz w:val="16"/>
          <w:szCs w:val="16"/>
        </w:rPr>
        <w:t xml:space="preserve"> Guatemala. </w:t>
      </w:r>
      <w:r w:rsidR="005315AC" w:rsidRPr="00954547">
        <w:rPr>
          <w:rFonts w:ascii="Verdana" w:hAnsi="Verdana"/>
          <w:sz w:val="16"/>
          <w:szCs w:val="16"/>
        </w:rPr>
        <w:t>Preliminary objection, merits,</w:t>
      </w:r>
      <w:r w:rsidR="00A70DC4" w:rsidRPr="00954547">
        <w:rPr>
          <w:rFonts w:ascii="Verdana" w:hAnsi="Verdana"/>
          <w:sz w:val="16"/>
          <w:szCs w:val="16"/>
        </w:rPr>
        <w:t xml:space="preserve">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August 23,</w:t>
      </w:r>
      <w:r w:rsidRPr="00954547">
        <w:rPr>
          <w:rFonts w:ascii="Verdana" w:hAnsi="Verdana"/>
          <w:sz w:val="16"/>
          <w:szCs w:val="16"/>
        </w:rPr>
        <w:t xml:space="preserve"> 2018. </w:t>
      </w:r>
      <w:r w:rsidR="00B8393C" w:rsidRPr="00954547">
        <w:rPr>
          <w:rFonts w:ascii="Verdana" w:hAnsi="Verdana"/>
          <w:sz w:val="16"/>
          <w:szCs w:val="16"/>
        </w:rPr>
        <w:t xml:space="preserve">Series </w:t>
      </w:r>
      <w:r w:rsidRPr="00954547">
        <w:rPr>
          <w:rFonts w:ascii="Verdana" w:hAnsi="Verdana"/>
          <w:sz w:val="16"/>
          <w:szCs w:val="16"/>
        </w:rPr>
        <w:t xml:space="preserve">C No. 359. </w:t>
      </w:r>
      <w:r w:rsidR="00BF0AF9" w:rsidRPr="00954547">
        <w:rPr>
          <w:rStyle w:val="Strong"/>
          <w:rFonts w:ascii="Verdana" w:hAnsi="Verdana"/>
          <w:b w:val="0"/>
          <w:bCs w:val="0"/>
          <w:sz w:val="16"/>
          <w:szCs w:val="16"/>
        </w:rPr>
        <w:t>Partially dissenting opinion of Judge Humberto Antonio Sierra Porto.</w:t>
      </w:r>
    </w:p>
  </w:footnote>
  <w:footnote w:id="522">
    <w:p w14:paraId="28F06B4B" w14:textId="795BFF35" w:rsidR="005D0AC0" w:rsidRPr="00954547" w:rsidRDefault="005D0AC0" w:rsidP="0049034A">
      <w:pPr>
        <w:tabs>
          <w:tab w:val="left" w:pos="567"/>
        </w:tabs>
        <w:spacing w:after="60"/>
        <w:jc w:val="both"/>
        <w:rPr>
          <w:rFonts w:ascii="Verdana" w:hAnsi="Verdana"/>
          <w:sz w:val="16"/>
          <w:szCs w:val="16"/>
          <w:shd w:val="clear" w:color="auto" w:fill="FFFFFF"/>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Poblete Vilches </w:t>
      </w:r>
      <w:r w:rsidR="00B8393C" w:rsidRPr="00954547">
        <w:rPr>
          <w:rFonts w:ascii="Verdana" w:hAnsi="Verdana"/>
          <w:i/>
          <w:iCs/>
          <w:sz w:val="16"/>
          <w:szCs w:val="16"/>
        </w:rPr>
        <w:t>et al. v.</w:t>
      </w:r>
      <w:r w:rsidRPr="00954547">
        <w:rPr>
          <w:rFonts w:ascii="Verdana" w:hAnsi="Verdana"/>
          <w:i/>
          <w:iCs/>
          <w:sz w:val="16"/>
          <w:szCs w:val="16"/>
        </w:rPr>
        <w:t xml:space="preserve"> Chile</w:t>
      </w:r>
      <w:r w:rsidRPr="00954547">
        <w:rPr>
          <w:rFonts w:ascii="Verdana" w:hAnsi="Verdana"/>
          <w:sz w:val="16"/>
          <w:szCs w:val="16"/>
        </w:rPr>
        <w:t xml:space="preserve">. </w:t>
      </w:r>
      <w:r w:rsidR="00A70DC4" w:rsidRPr="00954547">
        <w:rPr>
          <w:rFonts w:ascii="Verdana" w:hAnsi="Verdana"/>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110D3" w:rsidRPr="00954547">
        <w:rPr>
          <w:rFonts w:ascii="Verdana" w:hAnsi="Verdana"/>
          <w:sz w:val="16"/>
          <w:szCs w:val="16"/>
        </w:rPr>
        <w:t>March 8,</w:t>
      </w:r>
      <w:r w:rsidRPr="00954547">
        <w:rPr>
          <w:rFonts w:ascii="Verdana" w:hAnsi="Verdana"/>
          <w:sz w:val="16"/>
          <w:szCs w:val="16"/>
        </w:rPr>
        <w:t xml:space="preserve"> 2018. </w:t>
      </w:r>
      <w:r w:rsidR="00B8393C" w:rsidRPr="00954547">
        <w:rPr>
          <w:rFonts w:ascii="Verdana" w:hAnsi="Verdana"/>
          <w:sz w:val="16"/>
          <w:szCs w:val="16"/>
        </w:rPr>
        <w:t xml:space="preserve">Series </w:t>
      </w:r>
      <w:r w:rsidRPr="00954547">
        <w:rPr>
          <w:rFonts w:ascii="Verdana" w:hAnsi="Verdana"/>
          <w:sz w:val="16"/>
          <w:szCs w:val="16"/>
        </w:rPr>
        <w:t xml:space="preserve">C No. 349. </w:t>
      </w:r>
      <w:r w:rsidR="00BF0AF9" w:rsidRPr="00954547">
        <w:rPr>
          <w:rStyle w:val="Strong"/>
          <w:rFonts w:ascii="Verdana" w:hAnsi="Verdana"/>
          <w:b w:val="0"/>
          <w:bCs w:val="0"/>
          <w:sz w:val="16"/>
          <w:szCs w:val="16"/>
        </w:rPr>
        <w:t>Concurring opinion of</w:t>
      </w:r>
      <w:r w:rsidRPr="00954547">
        <w:rPr>
          <w:rStyle w:val="Strong"/>
          <w:rFonts w:ascii="Verdana" w:hAnsi="Verdana"/>
          <w:b w:val="0"/>
          <w:bCs w:val="0"/>
          <w:sz w:val="16"/>
          <w:szCs w:val="16"/>
        </w:rPr>
        <w:t xml:space="preserve"> </w:t>
      </w:r>
      <w:r w:rsidR="00A42A4C" w:rsidRPr="00954547">
        <w:rPr>
          <w:rStyle w:val="Strong"/>
          <w:rFonts w:ascii="Verdana" w:hAnsi="Verdana"/>
          <w:b w:val="0"/>
          <w:bCs w:val="0"/>
          <w:sz w:val="16"/>
          <w:szCs w:val="16"/>
        </w:rPr>
        <w:t>Judge</w:t>
      </w:r>
      <w:r w:rsidRPr="00954547">
        <w:rPr>
          <w:rStyle w:val="Strong"/>
          <w:rFonts w:ascii="Verdana" w:hAnsi="Verdana"/>
          <w:b w:val="0"/>
          <w:bCs w:val="0"/>
          <w:sz w:val="16"/>
          <w:szCs w:val="16"/>
        </w:rPr>
        <w:t xml:space="preserve"> Humberto Antonio Sierra Porto.</w:t>
      </w:r>
    </w:p>
  </w:footnote>
  <w:footnote w:id="523">
    <w:p w14:paraId="2A50DD83" w14:textId="26D7926D"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iCs/>
          <w:sz w:val="16"/>
          <w:szCs w:val="16"/>
        </w:rPr>
        <w:t>Cf.</w:t>
      </w:r>
      <w:r w:rsidRPr="00954547">
        <w:rPr>
          <w:rFonts w:ascii="Verdana" w:hAnsi="Verdana"/>
          <w:i/>
          <w:iCs/>
          <w:sz w:val="16"/>
          <w:szCs w:val="16"/>
        </w:rPr>
        <w:t xml:space="preserve"> </w:t>
      </w:r>
      <w:r w:rsidR="002F4617" w:rsidRPr="00954547">
        <w:rPr>
          <w:rFonts w:ascii="Verdana" w:hAnsi="Verdana"/>
          <w:i/>
          <w:iCs/>
          <w:sz w:val="16"/>
          <w:szCs w:val="16"/>
        </w:rPr>
        <w:t xml:space="preserve">Case </w:t>
      </w:r>
      <w:r w:rsidR="001D4E6E" w:rsidRPr="00954547">
        <w:rPr>
          <w:rFonts w:ascii="Verdana" w:hAnsi="Verdana"/>
          <w:i/>
          <w:iCs/>
          <w:sz w:val="16"/>
          <w:szCs w:val="16"/>
        </w:rPr>
        <w:t>of the Dismissed Employees of</w:t>
      </w:r>
      <w:r w:rsidRPr="00954547">
        <w:rPr>
          <w:rFonts w:ascii="Verdana" w:hAnsi="Verdana"/>
          <w:i/>
          <w:iCs/>
          <w:sz w:val="16"/>
          <w:szCs w:val="16"/>
        </w:rPr>
        <w:t xml:space="preserve"> Petro</w:t>
      </w:r>
      <w:r w:rsidR="00C26F0B" w:rsidRPr="00954547">
        <w:rPr>
          <w:rFonts w:ascii="Verdana" w:hAnsi="Verdana"/>
          <w:i/>
          <w:iCs/>
          <w:sz w:val="16"/>
          <w:szCs w:val="16"/>
        </w:rPr>
        <w:t>Peru</w:t>
      </w:r>
      <w:r w:rsidRPr="00954547">
        <w:rPr>
          <w:rFonts w:ascii="Verdana" w:hAnsi="Verdana"/>
          <w:i/>
          <w:iCs/>
          <w:sz w:val="16"/>
          <w:szCs w:val="16"/>
        </w:rPr>
        <w:t xml:space="preserve"> </w:t>
      </w:r>
      <w:r w:rsidR="00B8393C" w:rsidRPr="00954547">
        <w:rPr>
          <w:rFonts w:ascii="Verdana" w:hAnsi="Verdana"/>
          <w:i/>
          <w:iCs/>
          <w:sz w:val="16"/>
          <w:szCs w:val="16"/>
        </w:rPr>
        <w:t>et al. v.</w:t>
      </w:r>
      <w:r w:rsidRPr="00954547">
        <w:rPr>
          <w:rFonts w:ascii="Verdana" w:hAnsi="Verdana"/>
          <w:i/>
          <w:iCs/>
          <w:sz w:val="16"/>
          <w:szCs w:val="16"/>
        </w:rPr>
        <w:t xml:space="preserve"> </w:t>
      </w:r>
      <w:r w:rsidR="00C26F0B" w:rsidRPr="00954547">
        <w:rPr>
          <w:rFonts w:ascii="Verdana" w:hAnsi="Verdana"/>
          <w:i/>
          <w:iCs/>
          <w:sz w:val="16"/>
          <w:szCs w:val="16"/>
        </w:rPr>
        <w:t>Peru</w:t>
      </w:r>
      <w:r w:rsidRPr="00954547">
        <w:rPr>
          <w:rFonts w:ascii="Verdana" w:hAnsi="Verdana"/>
          <w:i/>
          <w:iCs/>
          <w:sz w:val="16"/>
          <w:szCs w:val="16"/>
        </w:rPr>
        <w:t>.</w:t>
      </w:r>
      <w:r w:rsidRPr="00954547">
        <w:rPr>
          <w:rFonts w:ascii="Verdana" w:hAnsi="Verdana"/>
          <w:sz w:val="16"/>
          <w:szCs w:val="16"/>
        </w:rPr>
        <w:t xml:space="preserve"> </w:t>
      </w:r>
      <w:r w:rsidR="004C640C" w:rsidRPr="00954547">
        <w:rPr>
          <w:rFonts w:ascii="Verdana" w:hAnsi="Verdana"/>
          <w:sz w:val="16"/>
          <w:szCs w:val="16"/>
        </w:rPr>
        <w:t>Preliminary objections, merits</w:t>
      </w:r>
      <w:r w:rsidR="00A70DC4" w:rsidRPr="00954547">
        <w:rPr>
          <w:rFonts w:ascii="Verdana" w:hAnsi="Verdana"/>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November 23,</w:t>
      </w:r>
      <w:r w:rsidRPr="00954547">
        <w:rPr>
          <w:rFonts w:ascii="Verdana" w:hAnsi="Verdana"/>
          <w:sz w:val="16"/>
          <w:szCs w:val="16"/>
        </w:rPr>
        <w:t xml:space="preserve"> 2017. </w:t>
      </w:r>
      <w:r w:rsidR="00B8393C" w:rsidRPr="00954547">
        <w:rPr>
          <w:rFonts w:ascii="Verdana" w:hAnsi="Verdana"/>
          <w:sz w:val="16"/>
          <w:szCs w:val="16"/>
        </w:rPr>
        <w:t xml:space="preserve">Series </w:t>
      </w:r>
      <w:r w:rsidRPr="00954547">
        <w:rPr>
          <w:rFonts w:ascii="Verdana" w:hAnsi="Verdana"/>
          <w:sz w:val="16"/>
          <w:szCs w:val="16"/>
        </w:rPr>
        <w:t>C No. 344.</w:t>
      </w:r>
      <w:r w:rsidRPr="00954547">
        <w:rPr>
          <w:rStyle w:val="Strong"/>
          <w:rFonts w:ascii="Verdana" w:hAnsi="Verdana"/>
          <w:sz w:val="16"/>
          <w:szCs w:val="16"/>
        </w:rPr>
        <w:t xml:space="preserve"> </w:t>
      </w:r>
      <w:r w:rsidR="00BF0AF9" w:rsidRPr="00954547">
        <w:rPr>
          <w:rStyle w:val="Strong"/>
          <w:rFonts w:ascii="Verdana" w:hAnsi="Verdana"/>
          <w:b w:val="0"/>
          <w:bCs w:val="0"/>
          <w:sz w:val="16"/>
          <w:szCs w:val="16"/>
        </w:rPr>
        <w:t>Partially dissenting opinion of Judge Humberto Antonio Sierra Porto.</w:t>
      </w:r>
    </w:p>
  </w:footnote>
  <w:footnote w:id="524">
    <w:p w14:paraId="7B4EA614" w14:textId="69F6396F" w:rsidR="005D0AC0" w:rsidRPr="00954547" w:rsidRDefault="005D0AC0" w:rsidP="0049034A">
      <w:pPr>
        <w:pStyle w:val="FootnoteText"/>
        <w:tabs>
          <w:tab w:val="left" w:pos="567"/>
        </w:tabs>
        <w:spacing w:after="6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1D4E6E" w:rsidRPr="00954547">
        <w:rPr>
          <w:rFonts w:ascii="Verdana" w:hAnsi="Verdana"/>
          <w:i/>
          <w:sz w:val="16"/>
          <w:szCs w:val="16"/>
        </w:rPr>
        <w:t>of the National Association of Discharged and Retired Employees of the National Tax Administration Superintendence</w:t>
      </w:r>
      <w:r w:rsidRPr="00954547">
        <w:rPr>
          <w:rFonts w:ascii="Verdana" w:hAnsi="Verdana"/>
          <w:i/>
          <w:sz w:val="16"/>
          <w:szCs w:val="16"/>
        </w:rPr>
        <w:t xml:space="preserve"> (ANCEJUB-SUNAT) </w:t>
      </w:r>
      <w:r w:rsidR="009C16A1" w:rsidRPr="00954547">
        <w:rPr>
          <w:rFonts w:ascii="Verdana" w:hAnsi="Verdana"/>
          <w:i/>
          <w:sz w:val="16"/>
          <w:szCs w:val="16"/>
        </w:rPr>
        <w:t>v.</w:t>
      </w:r>
      <w:r w:rsidRPr="00954547">
        <w:rPr>
          <w:rFonts w:ascii="Verdana" w:hAnsi="Verdana"/>
          <w:i/>
          <w:sz w:val="16"/>
          <w:szCs w:val="16"/>
        </w:rPr>
        <w:t xml:space="preserve"> </w:t>
      </w:r>
      <w:r w:rsidR="00C26F0B" w:rsidRPr="00954547">
        <w:rPr>
          <w:rFonts w:ascii="Verdana" w:hAnsi="Verdana"/>
          <w:i/>
          <w:sz w:val="16"/>
          <w:szCs w:val="16"/>
        </w:rPr>
        <w:t>Peru</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November 21,</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394. </w:t>
      </w:r>
      <w:r w:rsidR="00BF0AF9" w:rsidRPr="00954547">
        <w:rPr>
          <w:rStyle w:val="Strong"/>
          <w:rFonts w:ascii="Verdana" w:hAnsi="Verdana"/>
          <w:b w:val="0"/>
          <w:bCs w:val="0"/>
          <w:sz w:val="16"/>
          <w:szCs w:val="16"/>
        </w:rPr>
        <w:t>Partially dissenting opinion of Judge Humberto Antonio Sierra Porto</w:t>
      </w:r>
      <w:r w:rsidR="00BF0AF9" w:rsidRPr="00954547">
        <w:rPr>
          <w:rStyle w:val="Strong"/>
          <w:rFonts w:ascii="Verdana" w:hAnsi="Verdana"/>
          <w:sz w:val="16"/>
          <w:szCs w:val="16"/>
        </w:rPr>
        <w:t xml:space="preserve">, </w:t>
      </w:r>
      <w:r w:rsidR="00B10E5A" w:rsidRPr="00954547">
        <w:rPr>
          <w:rStyle w:val="Strong"/>
          <w:rFonts w:ascii="Verdana" w:hAnsi="Verdana"/>
          <w:b w:val="0"/>
          <w:bCs w:val="0"/>
          <w:sz w:val="16"/>
          <w:szCs w:val="16"/>
        </w:rPr>
        <w:t>para.</w:t>
      </w:r>
      <w:r w:rsidRPr="00954547">
        <w:rPr>
          <w:rStyle w:val="Strong"/>
          <w:rFonts w:ascii="Verdana" w:hAnsi="Verdana"/>
          <w:b w:val="0"/>
          <w:bCs w:val="0"/>
          <w:sz w:val="16"/>
          <w:szCs w:val="16"/>
        </w:rPr>
        <w:t xml:space="preserve"> 6;</w:t>
      </w:r>
      <w:r w:rsidRPr="00954547">
        <w:rPr>
          <w:rStyle w:val="Strong"/>
          <w:rFonts w:ascii="Verdana" w:hAnsi="Verdana"/>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Hernández </w:t>
      </w:r>
      <w:r w:rsidR="009C16A1" w:rsidRPr="00954547">
        <w:rPr>
          <w:rFonts w:ascii="Verdana" w:hAnsi="Verdana"/>
          <w:i/>
          <w:sz w:val="16"/>
          <w:szCs w:val="16"/>
        </w:rPr>
        <w:t>v.</w:t>
      </w:r>
      <w:r w:rsidRPr="00954547">
        <w:rPr>
          <w:rFonts w:ascii="Verdana" w:hAnsi="Verdana"/>
          <w:i/>
          <w:sz w:val="16"/>
          <w:szCs w:val="16"/>
        </w:rPr>
        <w:t xml:space="preserve"> Argentina. </w:t>
      </w:r>
      <w:r w:rsidR="005315AC" w:rsidRPr="00954547">
        <w:rPr>
          <w:rFonts w:ascii="Verdana" w:hAnsi="Verdana"/>
          <w:i/>
          <w:sz w:val="16"/>
          <w:szCs w:val="16"/>
        </w:rPr>
        <w:t>Preliminary objection, merits,</w:t>
      </w:r>
      <w:r w:rsidR="00A70DC4" w:rsidRPr="00954547">
        <w:rPr>
          <w:rFonts w:ascii="Verdana" w:hAnsi="Verdana"/>
          <w:i/>
          <w:sz w:val="16"/>
          <w:szCs w:val="16"/>
        </w:rPr>
        <w:t xml:space="preserve"> reparations and costs</w:t>
      </w:r>
      <w:r w:rsidRPr="00954547">
        <w:rPr>
          <w:rFonts w:ascii="Verdana" w:hAnsi="Verdana"/>
          <w:i/>
          <w:sz w:val="16"/>
          <w:szCs w:val="16"/>
        </w:rPr>
        <w:t>.</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BF0AF9" w:rsidRPr="00954547">
        <w:rPr>
          <w:rFonts w:ascii="Verdana" w:hAnsi="Verdana"/>
          <w:sz w:val="16"/>
          <w:szCs w:val="16"/>
        </w:rPr>
        <w:t>November 22,</w:t>
      </w:r>
      <w:r w:rsidRPr="00954547">
        <w:rPr>
          <w:rFonts w:ascii="Verdana" w:hAnsi="Verdana"/>
          <w:sz w:val="16"/>
          <w:szCs w:val="16"/>
        </w:rPr>
        <w:t xml:space="preserve"> 2019. </w:t>
      </w:r>
      <w:r w:rsidR="00B8393C" w:rsidRPr="00954547">
        <w:rPr>
          <w:rFonts w:ascii="Verdana" w:hAnsi="Verdana"/>
          <w:sz w:val="16"/>
          <w:szCs w:val="16"/>
        </w:rPr>
        <w:t xml:space="preserve">Series </w:t>
      </w:r>
      <w:r w:rsidRPr="00954547">
        <w:rPr>
          <w:rFonts w:ascii="Verdana" w:hAnsi="Verdana"/>
          <w:sz w:val="16"/>
          <w:szCs w:val="16"/>
        </w:rPr>
        <w:t xml:space="preserve">C No. 395. </w:t>
      </w:r>
      <w:r w:rsidR="00BF0AF9" w:rsidRPr="00954547">
        <w:rPr>
          <w:rStyle w:val="Strong"/>
          <w:rFonts w:ascii="Verdana" w:hAnsi="Verdana"/>
          <w:b w:val="0"/>
          <w:bCs w:val="0"/>
          <w:sz w:val="16"/>
          <w:szCs w:val="16"/>
        </w:rPr>
        <w:t>Partially dissenting opinion of Judge Humberto Antonio Sierra Porto</w:t>
      </w:r>
      <w:r w:rsidRPr="00954547">
        <w:rPr>
          <w:rStyle w:val="Strong"/>
          <w:rFonts w:ascii="Verdana" w:hAnsi="Verdana"/>
          <w:sz w:val="16"/>
          <w:szCs w:val="16"/>
        </w:rPr>
        <w:t xml:space="preserve">, </w:t>
      </w:r>
      <w:r w:rsidR="00B10E5A" w:rsidRPr="00954547">
        <w:rPr>
          <w:rStyle w:val="Strong"/>
          <w:rFonts w:ascii="Verdana" w:hAnsi="Verdana"/>
          <w:b w:val="0"/>
          <w:bCs w:val="0"/>
          <w:sz w:val="16"/>
          <w:szCs w:val="16"/>
        </w:rPr>
        <w:t>para.</w:t>
      </w:r>
      <w:r w:rsidRPr="00954547">
        <w:rPr>
          <w:rStyle w:val="Strong"/>
          <w:rFonts w:ascii="Verdana" w:hAnsi="Verdana"/>
          <w:b w:val="0"/>
          <w:bCs w:val="0"/>
          <w:sz w:val="16"/>
          <w:szCs w:val="16"/>
        </w:rPr>
        <w:t xml:space="preserve"> 17</w:t>
      </w:r>
      <w:r w:rsidRPr="00954547">
        <w:rPr>
          <w:rStyle w:val="Strong"/>
          <w:rFonts w:ascii="Verdana" w:hAnsi="Verdana"/>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Casa Nina </w:t>
      </w:r>
      <w:r w:rsidR="009C16A1" w:rsidRPr="00954547">
        <w:rPr>
          <w:rFonts w:ascii="Verdana" w:hAnsi="Verdana"/>
          <w:i/>
          <w:iCs/>
          <w:sz w:val="16"/>
          <w:szCs w:val="16"/>
        </w:rPr>
        <w:t>v.</w:t>
      </w:r>
      <w:r w:rsidRPr="00954547">
        <w:rPr>
          <w:rFonts w:ascii="Verdana" w:hAnsi="Verdana"/>
          <w:i/>
          <w:iCs/>
          <w:sz w:val="16"/>
          <w:szCs w:val="16"/>
        </w:rPr>
        <w:t xml:space="preserve"> </w:t>
      </w:r>
      <w:r w:rsidR="00C26F0B" w:rsidRPr="00954547">
        <w:rPr>
          <w:rFonts w:ascii="Verdana" w:hAnsi="Verdana"/>
          <w:i/>
          <w:iCs/>
          <w:sz w:val="16"/>
          <w:szCs w:val="16"/>
        </w:rPr>
        <w:t>Peru</w:t>
      </w:r>
      <w:r w:rsidRPr="00954547">
        <w:rPr>
          <w:rFonts w:ascii="Verdana" w:hAnsi="Verdana"/>
          <w:sz w:val="16"/>
          <w:szCs w:val="16"/>
        </w:rPr>
        <w:t xml:space="preserve">. </w:t>
      </w:r>
      <w:r w:rsidR="004C640C" w:rsidRPr="00954547">
        <w:rPr>
          <w:rFonts w:ascii="Verdana" w:hAnsi="Verdana"/>
          <w:sz w:val="16"/>
          <w:szCs w:val="16"/>
        </w:rPr>
        <w:t>Preliminary objections, merits</w:t>
      </w:r>
      <w:r w:rsidR="00A70DC4" w:rsidRPr="00954547">
        <w:rPr>
          <w:rFonts w:ascii="Verdana" w:hAnsi="Verdana"/>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110D3" w:rsidRPr="00954547">
        <w:rPr>
          <w:rFonts w:ascii="Verdana" w:hAnsi="Verdana"/>
          <w:sz w:val="16"/>
          <w:szCs w:val="16"/>
        </w:rPr>
        <w:t>November 24,</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C No. 419.</w:t>
      </w:r>
      <w:r w:rsidR="00BF0AF9" w:rsidRPr="00954547">
        <w:rPr>
          <w:rStyle w:val="Strong"/>
          <w:rFonts w:ascii="Verdana" w:hAnsi="Verdana"/>
          <w:b w:val="0"/>
          <w:bCs w:val="0"/>
          <w:sz w:val="16"/>
          <w:szCs w:val="16"/>
        </w:rPr>
        <w:t xml:space="preserve"> Partially dissenting opinion of Judge Humberto Antonio Sierra Porto</w:t>
      </w:r>
      <w:r w:rsidRPr="00954547">
        <w:rPr>
          <w:rStyle w:val="Strong"/>
          <w:rFonts w:ascii="Verdana" w:hAnsi="Verdana"/>
          <w:sz w:val="16"/>
          <w:szCs w:val="16"/>
        </w:rPr>
        <w:t xml:space="preserve">, </w:t>
      </w:r>
      <w:r w:rsidR="00B10E5A" w:rsidRPr="00954547">
        <w:rPr>
          <w:rStyle w:val="Strong"/>
          <w:rFonts w:ascii="Verdana" w:hAnsi="Verdana"/>
          <w:b w:val="0"/>
          <w:bCs w:val="0"/>
          <w:sz w:val="16"/>
          <w:szCs w:val="16"/>
        </w:rPr>
        <w:t>para.</w:t>
      </w:r>
      <w:r w:rsidRPr="00954547">
        <w:rPr>
          <w:rStyle w:val="Strong"/>
          <w:rFonts w:ascii="Verdana" w:hAnsi="Verdana"/>
          <w:b w:val="0"/>
          <w:bCs w:val="0"/>
          <w:sz w:val="16"/>
          <w:szCs w:val="16"/>
        </w:rPr>
        <w:t xml:space="preserve"> 7,</w:t>
      </w:r>
      <w:r w:rsidR="0078694F" w:rsidRPr="00954547">
        <w:rPr>
          <w:rStyle w:val="Strong"/>
          <w:rFonts w:ascii="Verdana" w:hAnsi="Verdana"/>
          <w:b w:val="0"/>
          <w:bCs w:val="0"/>
          <w:sz w:val="16"/>
          <w:szCs w:val="16"/>
        </w:rPr>
        <w:t xml:space="preserve"> and</w:t>
      </w:r>
      <w:r w:rsidR="0078694F" w:rsidRPr="00954547">
        <w:rPr>
          <w:rStyle w:val="Strong"/>
          <w:rFonts w:ascii="Verdana" w:hAnsi="Verdana"/>
          <w:sz w:val="16"/>
          <w:szCs w:val="16"/>
        </w:rPr>
        <w:t xml:space="preserve"> </w:t>
      </w:r>
      <w:r w:rsidR="002F4617" w:rsidRPr="00954547">
        <w:rPr>
          <w:rFonts w:ascii="Verdana" w:hAnsi="Verdana"/>
          <w:i/>
          <w:iCs/>
          <w:sz w:val="16"/>
          <w:szCs w:val="16"/>
        </w:rPr>
        <w:t>Case of</w:t>
      </w:r>
      <w:r w:rsidRPr="00954547">
        <w:rPr>
          <w:rFonts w:ascii="Verdana" w:hAnsi="Verdana"/>
          <w:i/>
          <w:iCs/>
          <w:sz w:val="16"/>
          <w:szCs w:val="16"/>
        </w:rPr>
        <w:t xml:space="preserve"> Guachalá Chimbo </w:t>
      </w:r>
      <w:r w:rsidR="00B8393C" w:rsidRPr="00954547">
        <w:rPr>
          <w:rFonts w:ascii="Verdana" w:hAnsi="Verdana"/>
          <w:i/>
          <w:iCs/>
          <w:sz w:val="16"/>
          <w:szCs w:val="16"/>
        </w:rPr>
        <w:t>et al. v.</w:t>
      </w:r>
      <w:r w:rsidRPr="00954547">
        <w:rPr>
          <w:rFonts w:ascii="Verdana" w:hAnsi="Verdana"/>
          <w:i/>
          <w:iCs/>
          <w:sz w:val="16"/>
          <w:szCs w:val="16"/>
        </w:rPr>
        <w:t xml:space="preserve"> Ecuador</w:t>
      </w:r>
      <w:r w:rsidRPr="00954547">
        <w:rPr>
          <w:rFonts w:ascii="Verdana" w:hAnsi="Verdana"/>
          <w:sz w:val="16"/>
          <w:szCs w:val="16"/>
        </w:rPr>
        <w:t xml:space="preserve">. </w:t>
      </w:r>
      <w:r w:rsidR="00A70DC4" w:rsidRPr="00954547">
        <w:rPr>
          <w:rFonts w:ascii="Verdana" w:hAnsi="Verdana"/>
          <w:sz w:val="16"/>
          <w:szCs w:val="16"/>
        </w:rPr>
        <w:t>Merits,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2871EC" w:rsidRPr="00954547">
        <w:rPr>
          <w:rFonts w:ascii="Verdana" w:hAnsi="Verdana"/>
          <w:sz w:val="16"/>
          <w:szCs w:val="16"/>
        </w:rPr>
        <w:t>March 26,</w:t>
      </w:r>
      <w:r w:rsidRPr="00954547">
        <w:rPr>
          <w:rFonts w:ascii="Verdana" w:hAnsi="Verdana"/>
          <w:sz w:val="16"/>
          <w:szCs w:val="16"/>
        </w:rPr>
        <w:t xml:space="preserve"> 2021. </w:t>
      </w:r>
      <w:r w:rsidR="00B8393C" w:rsidRPr="00954547">
        <w:rPr>
          <w:rFonts w:ascii="Verdana" w:hAnsi="Verdana"/>
          <w:sz w:val="16"/>
          <w:szCs w:val="16"/>
        </w:rPr>
        <w:t xml:space="preserve">Series </w:t>
      </w:r>
      <w:r w:rsidRPr="00954547">
        <w:rPr>
          <w:rFonts w:ascii="Verdana" w:hAnsi="Verdana"/>
          <w:sz w:val="16"/>
          <w:szCs w:val="16"/>
        </w:rPr>
        <w:t xml:space="preserve">C No. 423. </w:t>
      </w:r>
      <w:r w:rsidR="00BF0AF9" w:rsidRPr="00954547">
        <w:rPr>
          <w:rStyle w:val="Strong"/>
          <w:rFonts w:ascii="Verdana" w:hAnsi="Verdana"/>
          <w:b w:val="0"/>
          <w:bCs w:val="0"/>
          <w:sz w:val="16"/>
          <w:szCs w:val="16"/>
        </w:rPr>
        <w:t>Partially dissenting opinion of Judge Humberto Antonio Sierra Porto</w:t>
      </w:r>
      <w:r w:rsidR="00BF0AF9" w:rsidRPr="00954547">
        <w:rPr>
          <w:rStyle w:val="Strong"/>
          <w:rFonts w:ascii="Verdana" w:hAnsi="Verdana"/>
          <w:sz w:val="16"/>
          <w:szCs w:val="16"/>
        </w:rPr>
        <w:t xml:space="preserve"> </w:t>
      </w:r>
      <w:r w:rsidR="00B10E5A" w:rsidRPr="00954547">
        <w:rPr>
          <w:rStyle w:val="Strong"/>
          <w:rFonts w:ascii="Verdana" w:hAnsi="Verdana"/>
          <w:b w:val="0"/>
          <w:bCs w:val="0"/>
          <w:sz w:val="16"/>
          <w:szCs w:val="16"/>
        </w:rPr>
        <w:t>para.</w:t>
      </w:r>
      <w:r w:rsidRPr="00954547">
        <w:rPr>
          <w:rStyle w:val="Strong"/>
          <w:rFonts w:ascii="Verdana" w:hAnsi="Verdana"/>
          <w:b w:val="0"/>
          <w:bCs w:val="0"/>
          <w:sz w:val="16"/>
          <w:szCs w:val="16"/>
        </w:rPr>
        <w:t xml:space="preserve"> 6.</w:t>
      </w:r>
      <w:r w:rsidRPr="00954547">
        <w:rPr>
          <w:rStyle w:val="Strong"/>
          <w:rFonts w:ascii="Verdana" w:hAnsi="Verdana"/>
          <w:sz w:val="16"/>
          <w:szCs w:val="16"/>
        </w:rPr>
        <w:t xml:space="preserve"> </w:t>
      </w:r>
    </w:p>
  </w:footnote>
  <w:footnote w:id="525">
    <w:p w14:paraId="106E4025" w14:textId="7DBC64FC" w:rsidR="005B47F3" w:rsidRPr="00954547" w:rsidRDefault="005B47F3" w:rsidP="00357596">
      <w:pPr>
        <w:pStyle w:val="FootnoteText"/>
        <w:tabs>
          <w:tab w:val="left" w:pos="567"/>
        </w:tabs>
        <w:spacing w:after="120"/>
        <w:ind w:left="2" w:hanging="2"/>
        <w:jc w:val="both"/>
        <w:rPr>
          <w:rFonts w:ascii="Verdana" w:eastAsia="Times New Roman" w:hAnsi="Verdana" w:cs="Times New Roman"/>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sz w:val="16"/>
          <w:szCs w:val="16"/>
        </w:rPr>
        <w:t xml:space="preserve"> </w:t>
      </w:r>
      <w:r w:rsidR="008A467A" w:rsidRPr="00954547">
        <w:rPr>
          <w:rFonts w:ascii="Verdana" w:hAnsi="Verdana"/>
          <w:sz w:val="16"/>
          <w:szCs w:val="16"/>
        </w:rPr>
        <w:t xml:space="preserve">Among others, </w:t>
      </w:r>
      <w:r w:rsidR="00A737D6" w:rsidRPr="00954547">
        <w:rPr>
          <w:rFonts w:ascii="Verdana" w:eastAsia="Times New Roman" w:hAnsi="Verdana" w:cs="Times New Roman"/>
          <w:sz w:val="16"/>
          <w:szCs w:val="16"/>
        </w:rPr>
        <w:t>c</w:t>
      </w:r>
      <w:r w:rsidR="000B21CE" w:rsidRPr="00954547">
        <w:rPr>
          <w:rFonts w:ascii="Verdana" w:eastAsia="Times New Roman" w:hAnsi="Verdana" w:cs="Times New Roman"/>
          <w:sz w:val="16"/>
          <w:szCs w:val="16"/>
        </w:rPr>
        <w:t>oncurring</w:t>
      </w:r>
      <w:r w:rsidR="008A467A" w:rsidRPr="00954547">
        <w:rPr>
          <w:rFonts w:ascii="Verdana" w:eastAsia="Times New Roman" w:hAnsi="Verdana" w:cs="Times New Roman"/>
          <w:sz w:val="16"/>
          <w:szCs w:val="16"/>
        </w:rPr>
        <w:t xml:space="preserve"> opi</w:t>
      </w:r>
      <w:r w:rsidR="00357596" w:rsidRPr="00954547">
        <w:rPr>
          <w:rFonts w:ascii="Verdana" w:eastAsia="Times New Roman" w:hAnsi="Verdana" w:cs="Times New Roman"/>
          <w:sz w:val="16"/>
          <w:szCs w:val="16"/>
        </w:rPr>
        <w:t>ni</w:t>
      </w:r>
      <w:r w:rsidR="008A467A" w:rsidRPr="00954547">
        <w:rPr>
          <w:rFonts w:ascii="Verdana" w:eastAsia="Times New Roman" w:hAnsi="Verdana" w:cs="Times New Roman"/>
          <w:sz w:val="16"/>
          <w:szCs w:val="16"/>
        </w:rPr>
        <w:t xml:space="preserve">on to the judgment of </w:t>
      </w:r>
      <w:r w:rsidR="00BF0AF9" w:rsidRPr="00954547">
        <w:rPr>
          <w:rFonts w:ascii="Verdana" w:eastAsia="Times New Roman" w:hAnsi="Verdana" w:cs="Times New Roman"/>
          <w:sz w:val="16"/>
          <w:szCs w:val="16"/>
        </w:rPr>
        <w:t>November 21,</w:t>
      </w:r>
      <w:r w:rsidRPr="00954547">
        <w:rPr>
          <w:rFonts w:ascii="Verdana" w:eastAsia="Times New Roman" w:hAnsi="Verdana" w:cs="Times New Roman"/>
          <w:sz w:val="16"/>
          <w:szCs w:val="16"/>
        </w:rPr>
        <w:t xml:space="preserve"> 2019</w:t>
      </w:r>
      <w:r w:rsidR="00357596" w:rsidRPr="00954547">
        <w:rPr>
          <w:rFonts w:ascii="Verdana" w:eastAsia="Times New Roman" w:hAnsi="Verdana" w:cs="Times New Roman"/>
          <w:sz w:val="16"/>
          <w:szCs w:val="16"/>
        </w:rPr>
        <w:t>,</w:t>
      </w:r>
      <w:r w:rsidRPr="00954547">
        <w:rPr>
          <w:rFonts w:ascii="Verdana" w:eastAsia="Times New Roman" w:hAnsi="Verdana" w:cs="Times New Roman"/>
          <w:sz w:val="16"/>
          <w:szCs w:val="16"/>
        </w:rPr>
        <w:t xml:space="preserve"> </w:t>
      </w:r>
      <w:r w:rsidR="00357596" w:rsidRPr="00954547">
        <w:rPr>
          <w:rFonts w:ascii="Verdana" w:eastAsia="Times New Roman" w:hAnsi="Verdana" w:cs="Times New Roman"/>
          <w:sz w:val="16"/>
          <w:szCs w:val="16"/>
        </w:rPr>
        <w:t>in</w:t>
      </w:r>
      <w:r w:rsidR="001464F7" w:rsidRPr="00954547">
        <w:rPr>
          <w:rFonts w:ascii="Verdana" w:eastAsia="Times New Roman" w:hAnsi="Verdana" w:cs="Times New Roman"/>
          <w:sz w:val="16"/>
          <w:szCs w:val="16"/>
        </w:rPr>
        <w:t xml:space="preserve"> the </w:t>
      </w:r>
      <w:r w:rsidR="001D4E6E" w:rsidRPr="00954547">
        <w:rPr>
          <w:rFonts w:ascii="Verdana" w:eastAsia="Times New Roman" w:hAnsi="Verdana" w:cs="Times New Roman"/>
          <w:i/>
          <w:iCs/>
          <w:sz w:val="16"/>
          <w:szCs w:val="16"/>
        </w:rPr>
        <w:t xml:space="preserve">Case </w:t>
      </w:r>
      <w:r w:rsidR="001D4E6E" w:rsidRPr="00954547">
        <w:rPr>
          <w:rFonts w:ascii="Verdana" w:hAnsi="Verdana"/>
          <w:i/>
          <w:sz w:val="16"/>
          <w:szCs w:val="16"/>
        </w:rPr>
        <w:t>of the National Association of Discharged and Retired Employees of the National Tax Administration Superintendence</w:t>
      </w:r>
      <w:r w:rsidRPr="00954547">
        <w:rPr>
          <w:rFonts w:ascii="Verdana" w:eastAsia="Times New Roman" w:hAnsi="Verdana" w:cs="Times New Roman"/>
          <w:sz w:val="16"/>
          <w:szCs w:val="16"/>
        </w:rPr>
        <w:t xml:space="preserve"> (Ancejub-Sunat) </w:t>
      </w:r>
      <w:r w:rsidR="009C16A1" w:rsidRPr="00954547">
        <w:rPr>
          <w:rFonts w:ascii="Verdana" w:eastAsia="Times New Roman" w:hAnsi="Verdana" w:cs="Times New Roman"/>
          <w:sz w:val="16"/>
          <w:szCs w:val="16"/>
        </w:rPr>
        <w:t>v.</w:t>
      </w:r>
      <w:r w:rsidRPr="00954547">
        <w:rPr>
          <w:rFonts w:ascii="Verdana" w:eastAsia="Times New Roman" w:hAnsi="Verdana" w:cs="Times New Roman"/>
          <w:sz w:val="16"/>
          <w:szCs w:val="16"/>
        </w:rPr>
        <w:t xml:space="preserve"> </w:t>
      </w:r>
      <w:r w:rsidR="00C26F0B" w:rsidRPr="00954547">
        <w:rPr>
          <w:rFonts w:ascii="Verdana" w:eastAsia="Times New Roman" w:hAnsi="Verdana" w:cs="Times New Roman"/>
          <w:sz w:val="16"/>
          <w:szCs w:val="16"/>
        </w:rPr>
        <w:t>Peru</w:t>
      </w:r>
      <w:r w:rsidRPr="00954547">
        <w:rPr>
          <w:rFonts w:ascii="Verdana" w:eastAsia="Times New Roman" w:hAnsi="Verdana" w:cs="Times New Roman"/>
          <w:sz w:val="16"/>
          <w:szCs w:val="16"/>
        </w:rPr>
        <w:t xml:space="preserve">; </w:t>
      </w:r>
      <w:r w:rsidR="00357596" w:rsidRPr="00954547">
        <w:rPr>
          <w:rFonts w:ascii="Verdana" w:eastAsia="Times New Roman" w:hAnsi="Verdana" w:cs="Times New Roman"/>
          <w:sz w:val="16"/>
          <w:szCs w:val="16"/>
        </w:rPr>
        <w:t>to the judgment of</w:t>
      </w:r>
      <w:r w:rsidRPr="00954547">
        <w:rPr>
          <w:rFonts w:ascii="Verdana" w:eastAsia="Times New Roman" w:hAnsi="Verdana" w:cs="Times New Roman"/>
          <w:sz w:val="16"/>
          <w:szCs w:val="16"/>
        </w:rPr>
        <w:t xml:space="preserve"> </w:t>
      </w:r>
      <w:r w:rsidR="00BF0AF9" w:rsidRPr="00954547">
        <w:rPr>
          <w:rFonts w:ascii="Verdana" w:eastAsia="Times New Roman" w:hAnsi="Verdana" w:cs="Times New Roman"/>
          <w:sz w:val="16"/>
          <w:szCs w:val="16"/>
        </w:rPr>
        <w:t>November 22,</w:t>
      </w:r>
      <w:r w:rsidRPr="00954547">
        <w:rPr>
          <w:rFonts w:ascii="Verdana" w:eastAsia="Times New Roman" w:hAnsi="Verdana" w:cs="Times New Roman"/>
          <w:sz w:val="16"/>
          <w:szCs w:val="16"/>
        </w:rPr>
        <w:t xml:space="preserve"> 2019</w:t>
      </w:r>
      <w:r w:rsidR="00357596" w:rsidRPr="00954547">
        <w:rPr>
          <w:rFonts w:ascii="Verdana" w:eastAsia="Times New Roman" w:hAnsi="Verdana" w:cs="Times New Roman"/>
          <w:sz w:val="16"/>
          <w:szCs w:val="16"/>
        </w:rPr>
        <w:t>, in</w:t>
      </w:r>
      <w:r w:rsidR="001464F7" w:rsidRPr="00954547">
        <w:rPr>
          <w:rFonts w:ascii="Verdana" w:eastAsia="Times New Roman" w:hAnsi="Verdana" w:cs="Times New Roman"/>
          <w:sz w:val="16"/>
          <w:szCs w:val="16"/>
        </w:rPr>
        <w:t xml:space="preserve"> the </w:t>
      </w:r>
      <w:r w:rsidR="00357596" w:rsidRPr="00954547">
        <w:rPr>
          <w:rFonts w:ascii="Verdana" w:eastAsia="Times New Roman" w:hAnsi="Verdana" w:cs="Times New Roman"/>
          <w:i/>
          <w:iCs/>
          <w:sz w:val="16"/>
          <w:szCs w:val="16"/>
        </w:rPr>
        <w:t>C</w:t>
      </w:r>
      <w:r w:rsidR="001464F7" w:rsidRPr="00954547">
        <w:rPr>
          <w:rFonts w:ascii="Verdana" w:eastAsia="Times New Roman" w:hAnsi="Verdana" w:cs="Times New Roman"/>
          <w:i/>
          <w:iCs/>
          <w:sz w:val="16"/>
          <w:szCs w:val="16"/>
        </w:rPr>
        <w:t>ase</w:t>
      </w:r>
      <w:r w:rsidR="00357596" w:rsidRPr="00954547">
        <w:rPr>
          <w:rFonts w:ascii="Verdana" w:eastAsia="Times New Roman" w:hAnsi="Verdana" w:cs="Times New Roman"/>
          <w:i/>
          <w:iCs/>
          <w:sz w:val="16"/>
          <w:szCs w:val="16"/>
        </w:rPr>
        <w:t xml:space="preserve"> of</w:t>
      </w:r>
      <w:r w:rsidRPr="00954547">
        <w:rPr>
          <w:rFonts w:ascii="Verdana" w:eastAsia="Times New Roman" w:hAnsi="Verdana" w:cs="Times New Roman"/>
          <w:i/>
          <w:iCs/>
          <w:sz w:val="16"/>
          <w:szCs w:val="16"/>
        </w:rPr>
        <w:t xml:space="preserve"> Hernández </w:t>
      </w:r>
      <w:r w:rsidR="009C16A1" w:rsidRPr="00954547">
        <w:rPr>
          <w:rFonts w:ascii="Verdana" w:eastAsia="Times New Roman" w:hAnsi="Verdana" w:cs="Times New Roman"/>
          <w:i/>
          <w:iCs/>
          <w:sz w:val="16"/>
          <w:szCs w:val="16"/>
        </w:rPr>
        <w:t>v.</w:t>
      </w:r>
      <w:r w:rsidRPr="00954547">
        <w:rPr>
          <w:rFonts w:ascii="Verdana" w:eastAsia="Times New Roman" w:hAnsi="Verdana" w:cs="Times New Roman"/>
          <w:i/>
          <w:iCs/>
          <w:sz w:val="16"/>
          <w:szCs w:val="16"/>
        </w:rPr>
        <w:t xml:space="preserve"> Argentina</w:t>
      </w:r>
      <w:r w:rsidR="00A737D6" w:rsidRPr="00954547">
        <w:rPr>
          <w:rFonts w:ascii="Verdana" w:eastAsia="Times New Roman" w:hAnsi="Verdana" w:cs="Times New Roman"/>
          <w:i/>
          <w:iCs/>
          <w:sz w:val="16"/>
          <w:szCs w:val="16"/>
        </w:rPr>
        <w:t>;</w:t>
      </w:r>
      <w:r w:rsidRPr="00954547">
        <w:rPr>
          <w:rFonts w:ascii="Verdana" w:eastAsia="Times New Roman" w:hAnsi="Verdana" w:cs="Times New Roman"/>
          <w:sz w:val="16"/>
          <w:szCs w:val="16"/>
        </w:rPr>
        <w:t xml:space="preserve"> </w:t>
      </w:r>
      <w:r w:rsidR="00357596" w:rsidRPr="00954547">
        <w:rPr>
          <w:rFonts w:ascii="Verdana" w:eastAsia="Times New Roman" w:hAnsi="Verdana" w:cs="Times New Roman"/>
          <w:sz w:val="16"/>
          <w:szCs w:val="16"/>
        </w:rPr>
        <w:t xml:space="preserve">to the judgment of February 6, 2020, in the </w:t>
      </w:r>
      <w:r w:rsidR="002F4617" w:rsidRPr="00954547">
        <w:rPr>
          <w:rFonts w:ascii="Verdana" w:hAnsi="Verdana"/>
          <w:i/>
          <w:iCs/>
          <w:sz w:val="16"/>
          <w:szCs w:val="16"/>
        </w:rPr>
        <w:t xml:space="preserve">Case </w:t>
      </w:r>
      <w:r w:rsidR="009C16A1" w:rsidRPr="00954547">
        <w:rPr>
          <w:rFonts w:ascii="Verdana" w:hAnsi="Verdana"/>
          <w:i/>
          <w:iCs/>
          <w:sz w:val="16"/>
          <w:szCs w:val="16"/>
        </w:rPr>
        <w:t>of the Indigenous Communities of the Lhaka Honhat (Our Land) Association</w:t>
      </w:r>
      <w:r w:rsidRPr="00954547">
        <w:rPr>
          <w:rFonts w:ascii="Verdana" w:hAnsi="Verdana"/>
          <w:i/>
          <w:iCs/>
          <w:sz w:val="16"/>
          <w:szCs w:val="16"/>
        </w:rPr>
        <w:t xml:space="preserve"> </w:t>
      </w:r>
      <w:r w:rsidR="009C16A1" w:rsidRPr="00954547">
        <w:rPr>
          <w:rFonts w:ascii="Verdana" w:hAnsi="Verdana"/>
          <w:i/>
          <w:iCs/>
          <w:sz w:val="16"/>
          <w:szCs w:val="16"/>
        </w:rPr>
        <w:t>v.</w:t>
      </w:r>
      <w:r w:rsidRPr="00954547">
        <w:rPr>
          <w:rFonts w:ascii="Verdana" w:hAnsi="Verdana"/>
          <w:i/>
          <w:iCs/>
          <w:sz w:val="16"/>
          <w:szCs w:val="16"/>
        </w:rPr>
        <w:t xml:space="preserve"> Argentina</w:t>
      </w:r>
      <w:r w:rsidR="00357596" w:rsidRPr="00954547">
        <w:rPr>
          <w:rFonts w:ascii="Verdana" w:hAnsi="Verdana"/>
          <w:sz w:val="16"/>
          <w:szCs w:val="16"/>
        </w:rPr>
        <w:t xml:space="preserve">, </w:t>
      </w:r>
      <w:r w:rsidR="0078694F" w:rsidRPr="00954547">
        <w:rPr>
          <w:rFonts w:ascii="Verdana" w:hAnsi="Verdana"/>
          <w:sz w:val="16"/>
          <w:szCs w:val="16"/>
        </w:rPr>
        <w:t xml:space="preserve">and </w:t>
      </w:r>
      <w:r w:rsidR="00357596" w:rsidRPr="00954547">
        <w:rPr>
          <w:rFonts w:ascii="Verdana" w:hAnsi="Verdana"/>
          <w:sz w:val="16"/>
          <w:szCs w:val="16"/>
        </w:rPr>
        <w:t>to the judgment of</w:t>
      </w:r>
      <w:r w:rsidR="000B21CE" w:rsidRPr="00954547">
        <w:rPr>
          <w:rFonts w:ascii="Verdana" w:hAnsi="Verdana"/>
          <w:sz w:val="16"/>
          <w:szCs w:val="16"/>
        </w:rPr>
        <w:t xml:space="preserve"> July 15,</w:t>
      </w:r>
      <w:r w:rsidRPr="00954547">
        <w:rPr>
          <w:rFonts w:ascii="Verdana" w:hAnsi="Verdana"/>
          <w:sz w:val="16"/>
          <w:szCs w:val="16"/>
        </w:rPr>
        <w:t xml:space="preserve"> 2020</w:t>
      </w:r>
      <w:r w:rsidR="00357596" w:rsidRPr="00954547">
        <w:rPr>
          <w:rFonts w:ascii="Verdana" w:hAnsi="Verdana"/>
          <w:sz w:val="16"/>
          <w:szCs w:val="16"/>
        </w:rPr>
        <w:t>,</w:t>
      </w:r>
      <w:r w:rsidRPr="00954547">
        <w:rPr>
          <w:rFonts w:ascii="Verdana" w:hAnsi="Verdana"/>
          <w:sz w:val="16"/>
          <w:szCs w:val="16"/>
        </w:rPr>
        <w:t xml:space="preserve"> </w:t>
      </w:r>
      <w:r w:rsidR="00357596" w:rsidRPr="00954547">
        <w:rPr>
          <w:rFonts w:ascii="Verdana" w:hAnsi="Verdana"/>
          <w:sz w:val="16"/>
          <w:szCs w:val="16"/>
        </w:rPr>
        <w:t>in</w:t>
      </w:r>
      <w:r w:rsidR="001464F7" w:rsidRPr="00954547">
        <w:rPr>
          <w:rFonts w:ascii="Verdana" w:hAnsi="Verdana"/>
          <w:sz w:val="16"/>
          <w:szCs w:val="16"/>
        </w:rPr>
        <w:t xml:space="preserve"> the </w:t>
      </w:r>
      <w:r w:rsidR="00A737D6" w:rsidRPr="00954547">
        <w:rPr>
          <w:rFonts w:ascii="Verdana" w:hAnsi="Verdana"/>
          <w:i/>
          <w:iCs/>
          <w:sz w:val="16"/>
          <w:szCs w:val="16"/>
        </w:rPr>
        <w:t>C</w:t>
      </w:r>
      <w:r w:rsidR="001464F7" w:rsidRPr="00954547">
        <w:rPr>
          <w:rFonts w:ascii="Verdana" w:hAnsi="Verdana"/>
          <w:i/>
          <w:iCs/>
          <w:sz w:val="16"/>
          <w:szCs w:val="16"/>
        </w:rPr>
        <w:t>ase</w:t>
      </w:r>
      <w:r w:rsidR="00357596" w:rsidRPr="00954547">
        <w:rPr>
          <w:rFonts w:ascii="Verdana" w:hAnsi="Verdana"/>
          <w:i/>
          <w:iCs/>
          <w:sz w:val="16"/>
          <w:szCs w:val="16"/>
        </w:rPr>
        <w:t xml:space="preserve"> the Workers of the Fireworks Factory in </w:t>
      </w:r>
      <w:r w:rsidRPr="00954547">
        <w:rPr>
          <w:rFonts w:ascii="Verdana" w:hAnsi="Verdana"/>
          <w:i/>
          <w:iCs/>
          <w:sz w:val="16"/>
          <w:szCs w:val="16"/>
        </w:rPr>
        <w:t>Santo Antonio de Jesús</w:t>
      </w:r>
      <w:r w:rsidR="0078694F" w:rsidRPr="00954547">
        <w:rPr>
          <w:rFonts w:ascii="Verdana" w:hAnsi="Verdana"/>
          <w:i/>
          <w:iCs/>
          <w:sz w:val="16"/>
          <w:szCs w:val="16"/>
        </w:rPr>
        <w:t xml:space="preserve"> and </w:t>
      </w:r>
      <w:r w:rsidR="00357596" w:rsidRPr="00954547">
        <w:rPr>
          <w:rFonts w:ascii="Verdana" w:hAnsi="Verdana"/>
          <w:i/>
          <w:iCs/>
          <w:sz w:val="16"/>
          <w:szCs w:val="16"/>
        </w:rPr>
        <w:t>their families</w:t>
      </w:r>
      <w:r w:rsidRPr="00954547">
        <w:rPr>
          <w:rFonts w:ascii="Verdana" w:hAnsi="Verdana"/>
          <w:i/>
          <w:iCs/>
          <w:sz w:val="16"/>
          <w:szCs w:val="16"/>
        </w:rPr>
        <w:t xml:space="preserve"> </w:t>
      </w:r>
      <w:r w:rsidR="009C16A1" w:rsidRPr="00954547">
        <w:rPr>
          <w:rFonts w:ascii="Verdana" w:hAnsi="Verdana"/>
          <w:i/>
          <w:iCs/>
          <w:sz w:val="16"/>
          <w:szCs w:val="16"/>
        </w:rPr>
        <w:t>v.</w:t>
      </w:r>
      <w:r w:rsidRPr="00954547">
        <w:rPr>
          <w:rFonts w:ascii="Verdana" w:hAnsi="Verdana"/>
          <w:i/>
          <w:iCs/>
          <w:sz w:val="16"/>
          <w:szCs w:val="16"/>
        </w:rPr>
        <w:t xml:space="preserve"> </w:t>
      </w:r>
      <w:r w:rsidR="000B21CE" w:rsidRPr="00954547">
        <w:rPr>
          <w:rFonts w:ascii="Verdana" w:hAnsi="Verdana"/>
          <w:i/>
          <w:iCs/>
          <w:sz w:val="16"/>
          <w:szCs w:val="16"/>
        </w:rPr>
        <w:t>Brazil</w:t>
      </w:r>
      <w:r w:rsidRPr="00954547">
        <w:rPr>
          <w:rFonts w:ascii="Verdana" w:hAnsi="Verdana"/>
          <w:i/>
          <w:iCs/>
          <w:sz w:val="16"/>
          <w:szCs w:val="16"/>
        </w:rPr>
        <w:t>.</w:t>
      </w:r>
    </w:p>
  </w:footnote>
  <w:footnote w:id="526">
    <w:p w14:paraId="709F87D5" w14:textId="08D8C5A5" w:rsidR="005B47F3" w:rsidRPr="00954547" w:rsidRDefault="005B47F3" w:rsidP="007619E6">
      <w:pPr>
        <w:pStyle w:val="FootnoteText"/>
        <w:tabs>
          <w:tab w:val="left" w:pos="567"/>
        </w:tabs>
        <w:spacing w:after="120"/>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2F4617" w:rsidRPr="00954547">
        <w:rPr>
          <w:rFonts w:ascii="Verdana" w:hAnsi="Verdana"/>
          <w:i/>
          <w:sz w:val="16"/>
          <w:szCs w:val="16"/>
        </w:rPr>
        <w:t xml:space="preserve">Case </w:t>
      </w:r>
      <w:r w:rsidR="00FC4D38" w:rsidRPr="00954547">
        <w:rPr>
          <w:rFonts w:ascii="Verdana" w:hAnsi="Verdana"/>
          <w:i/>
          <w:sz w:val="16"/>
          <w:szCs w:val="16"/>
        </w:rPr>
        <w:t xml:space="preserve">of the Workers of the </w:t>
      </w:r>
      <w:r w:rsidR="00420435" w:rsidRPr="00954547">
        <w:rPr>
          <w:rFonts w:ascii="Verdana" w:hAnsi="Verdana"/>
          <w:i/>
          <w:sz w:val="16"/>
          <w:szCs w:val="16"/>
        </w:rPr>
        <w:t>Fireworks</w:t>
      </w:r>
      <w:r w:rsidR="00FC4D38" w:rsidRPr="00954547">
        <w:rPr>
          <w:rFonts w:ascii="Verdana" w:hAnsi="Verdana"/>
          <w:i/>
          <w:sz w:val="16"/>
          <w:szCs w:val="16"/>
        </w:rPr>
        <w:t xml:space="preserve"> Factory of</w:t>
      </w:r>
      <w:r w:rsidRPr="00954547">
        <w:rPr>
          <w:rFonts w:ascii="Verdana" w:hAnsi="Verdana"/>
          <w:i/>
          <w:sz w:val="16"/>
          <w:szCs w:val="16"/>
        </w:rPr>
        <w:t xml:space="preserve"> Santo Antônio de Jesus</w:t>
      </w:r>
      <w:r w:rsidR="006E4BFA" w:rsidRPr="00954547">
        <w:rPr>
          <w:rFonts w:ascii="Verdana" w:hAnsi="Verdana"/>
          <w:i/>
          <w:sz w:val="16"/>
          <w:szCs w:val="16"/>
        </w:rPr>
        <w:t xml:space="preserve"> and their families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8A23FA" w:rsidRPr="00954547">
        <w:rPr>
          <w:rFonts w:ascii="Verdana" w:hAnsi="Verdana"/>
          <w:sz w:val="16"/>
          <w:szCs w:val="16"/>
        </w:rPr>
        <w:t>July 15,</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 xml:space="preserve">C No. 407, </w:t>
      </w:r>
      <w:r w:rsidR="00BF0AF9" w:rsidRPr="00954547">
        <w:rPr>
          <w:rFonts w:ascii="Verdana" w:hAnsi="Verdana"/>
          <w:sz w:val="16"/>
          <w:szCs w:val="16"/>
        </w:rPr>
        <w:t>Concurring opinion of</w:t>
      </w:r>
      <w:r w:rsidRPr="00954547">
        <w:rPr>
          <w:rFonts w:ascii="Verdana" w:hAnsi="Verdana"/>
          <w:sz w:val="16"/>
          <w:szCs w:val="16"/>
        </w:rPr>
        <w:t xml:space="preserve"> </w:t>
      </w:r>
      <w:r w:rsidR="00A42A4C" w:rsidRPr="00954547">
        <w:rPr>
          <w:rFonts w:ascii="Verdana" w:hAnsi="Verdana"/>
          <w:sz w:val="16"/>
          <w:szCs w:val="16"/>
        </w:rPr>
        <w:t>Judge</w:t>
      </w:r>
      <w:r w:rsidRPr="00954547">
        <w:rPr>
          <w:rFonts w:ascii="Verdana" w:hAnsi="Verdana"/>
          <w:sz w:val="16"/>
          <w:szCs w:val="16"/>
        </w:rPr>
        <w:t xml:space="preserve"> Ricardo C. Pérez Manrique</w:t>
      </w:r>
    </w:p>
  </w:footnote>
  <w:footnote w:id="527">
    <w:p w14:paraId="730E5F24" w14:textId="77777777" w:rsidR="008A23FA" w:rsidRPr="00954547" w:rsidRDefault="005B47F3" w:rsidP="008A23FA">
      <w:pPr>
        <w:pStyle w:val="FootnoteText"/>
        <w:tabs>
          <w:tab w:val="left" w:pos="567"/>
        </w:tabs>
        <w:ind w:hanging="2"/>
        <w:jc w:val="both"/>
        <w:rPr>
          <w:rFonts w:ascii="Verdana" w:hAnsi="Verdana" w:cs="Times New Roman"/>
          <w:color w:val="auto"/>
          <w:sz w:val="16"/>
          <w:szCs w:val="16"/>
        </w:rPr>
      </w:pPr>
      <w:r w:rsidRPr="00954547">
        <w:rPr>
          <w:rStyle w:val="FootnoteReference"/>
          <w:rFonts w:ascii="Verdana" w:hAnsi="Verdana"/>
          <w:color w:val="auto"/>
          <w:sz w:val="16"/>
          <w:szCs w:val="16"/>
        </w:rPr>
        <w:footnoteRef/>
      </w:r>
      <w:r w:rsidRPr="00954547">
        <w:rPr>
          <w:rFonts w:ascii="Verdana" w:hAnsi="Verdana"/>
          <w:color w:val="auto"/>
          <w:sz w:val="16"/>
          <w:szCs w:val="16"/>
        </w:rPr>
        <w:t xml:space="preserve"> </w:t>
      </w:r>
      <w:r w:rsidRPr="00954547">
        <w:rPr>
          <w:rFonts w:ascii="Verdana" w:hAnsi="Verdana"/>
          <w:color w:val="auto"/>
          <w:sz w:val="16"/>
          <w:szCs w:val="16"/>
        </w:rPr>
        <w:tab/>
      </w:r>
      <w:r w:rsidR="00B8393C" w:rsidRPr="00954547">
        <w:rPr>
          <w:rFonts w:ascii="Verdana" w:hAnsi="Verdana"/>
          <w:i/>
          <w:color w:val="auto"/>
          <w:sz w:val="16"/>
          <w:szCs w:val="16"/>
        </w:rPr>
        <w:t>Cf.</w:t>
      </w:r>
      <w:r w:rsidRPr="00954547">
        <w:rPr>
          <w:rFonts w:ascii="Verdana" w:hAnsi="Verdana"/>
          <w:i/>
          <w:color w:val="auto"/>
          <w:sz w:val="16"/>
          <w:szCs w:val="16"/>
        </w:rPr>
        <w:t xml:space="preserve"> </w:t>
      </w:r>
      <w:r w:rsidRPr="00954547">
        <w:rPr>
          <w:rFonts w:ascii="Verdana" w:hAnsi="Verdana" w:cs="Times New Roman"/>
          <w:color w:val="auto"/>
          <w:sz w:val="16"/>
          <w:szCs w:val="16"/>
        </w:rPr>
        <w:t xml:space="preserve">Kimberle Crenshaw, «Demarginalizing the Intersection of Race and Sex: A Black Feminist Critique of Antidiscrimination Doctrine, Feminist Theory and Antiracist Politics», University of Chicago Legal Forum 1, </w:t>
      </w:r>
      <w:r w:rsidR="008A23FA" w:rsidRPr="00954547">
        <w:rPr>
          <w:rFonts w:ascii="Verdana" w:hAnsi="Verdana" w:cs="Times New Roman"/>
          <w:color w:val="auto"/>
          <w:sz w:val="16"/>
          <w:szCs w:val="16"/>
        </w:rPr>
        <w:t>No.</w:t>
      </w:r>
      <w:r w:rsidRPr="00954547">
        <w:rPr>
          <w:rFonts w:ascii="Verdana" w:hAnsi="Verdana" w:cs="Times New Roman"/>
          <w:color w:val="auto"/>
          <w:sz w:val="16"/>
          <w:szCs w:val="16"/>
        </w:rPr>
        <w:t xml:space="preserve"> 8, 1989, </w:t>
      </w:r>
      <w:r w:rsidR="005E56C5" w:rsidRPr="00954547">
        <w:rPr>
          <w:rFonts w:ascii="Verdana" w:hAnsi="Verdana" w:cs="Times New Roman"/>
          <w:color w:val="auto"/>
          <w:sz w:val="16"/>
          <w:szCs w:val="16"/>
        </w:rPr>
        <w:t>p.</w:t>
      </w:r>
      <w:r w:rsidRPr="00954547">
        <w:rPr>
          <w:rFonts w:ascii="Verdana" w:hAnsi="Verdana" w:cs="Times New Roman"/>
          <w:color w:val="auto"/>
          <w:sz w:val="16"/>
          <w:szCs w:val="16"/>
        </w:rPr>
        <w:t xml:space="preserve"> 149. </w:t>
      </w:r>
      <w:r w:rsidR="002F4617" w:rsidRPr="00954547">
        <w:rPr>
          <w:rFonts w:ascii="Verdana" w:hAnsi="Verdana" w:cs="Times New Roman"/>
          <w:color w:val="auto"/>
          <w:sz w:val="16"/>
          <w:szCs w:val="16"/>
        </w:rPr>
        <w:t>Available at</w:t>
      </w:r>
      <w:r w:rsidRPr="00954547">
        <w:rPr>
          <w:rFonts w:ascii="Verdana" w:hAnsi="Verdana" w:cs="Times New Roman"/>
          <w:color w:val="auto"/>
          <w:sz w:val="16"/>
          <w:szCs w:val="16"/>
        </w:rPr>
        <w:t>:</w:t>
      </w:r>
      <w:r w:rsidR="008A23FA" w:rsidRPr="00954547">
        <w:rPr>
          <w:rFonts w:ascii="Verdana" w:hAnsi="Verdana" w:cs="Times New Roman"/>
          <w:color w:val="auto"/>
          <w:sz w:val="16"/>
          <w:szCs w:val="16"/>
        </w:rPr>
        <w:t xml:space="preserve"> </w:t>
      </w:r>
    </w:p>
    <w:p w14:paraId="0ED2EB74" w14:textId="6694BC72" w:rsidR="005B47F3" w:rsidRPr="00954547" w:rsidRDefault="005B47F3" w:rsidP="008A23FA">
      <w:pPr>
        <w:pStyle w:val="FootnoteText"/>
        <w:tabs>
          <w:tab w:val="left" w:pos="567"/>
        </w:tabs>
        <w:spacing w:after="120"/>
        <w:ind w:hanging="2"/>
        <w:jc w:val="both"/>
        <w:rPr>
          <w:rFonts w:ascii="Verdana" w:hAnsi="Verdana" w:cs="Times New Roman"/>
          <w:color w:val="auto"/>
          <w:sz w:val="16"/>
          <w:szCs w:val="16"/>
        </w:rPr>
      </w:pPr>
      <w:r w:rsidRPr="00954547">
        <w:rPr>
          <w:rFonts w:ascii="Verdana" w:hAnsi="Verdana" w:cs="Times New Roman"/>
          <w:color w:val="auto"/>
          <w:sz w:val="16"/>
          <w:szCs w:val="16"/>
        </w:rPr>
        <w:t xml:space="preserve"> </w:t>
      </w:r>
      <w:hyperlink r:id="rId32" w:history="1">
        <w:r w:rsidRPr="00954547">
          <w:rPr>
            <w:rStyle w:val="Hyperlink"/>
            <w:rFonts w:ascii="Verdana" w:hAnsi="Verdana" w:cs="Times New Roman"/>
            <w:sz w:val="16"/>
            <w:szCs w:val="16"/>
          </w:rPr>
          <w:t>https://chicagounbound.uchicago.edu/cgi/viewcontent.cgi?article=1052&amp;context=uclf</w:t>
        </w:r>
      </w:hyperlink>
      <w:r w:rsidRPr="00954547">
        <w:rPr>
          <w:rFonts w:ascii="Verdana" w:hAnsi="Verdana" w:cs="Times New Roman"/>
          <w:color w:val="auto"/>
          <w:sz w:val="16"/>
          <w:szCs w:val="16"/>
        </w:rPr>
        <w:t xml:space="preserve">. </w:t>
      </w:r>
    </w:p>
  </w:footnote>
  <w:footnote w:id="528">
    <w:p w14:paraId="4C9F7630" w14:textId="1A2B9CAC" w:rsidR="005B47F3" w:rsidRPr="00954547" w:rsidRDefault="005B47F3" w:rsidP="007619E6">
      <w:pPr>
        <w:pStyle w:val="FootnoteText"/>
        <w:tabs>
          <w:tab w:val="left" w:pos="567"/>
        </w:tabs>
        <w:spacing w:after="120"/>
        <w:ind w:hanging="2"/>
        <w:jc w:val="both"/>
        <w:rPr>
          <w:rFonts w:ascii="Verdana" w:hAnsi="Verdana"/>
          <w:sz w:val="16"/>
          <w:szCs w:val="16"/>
          <w:lang w:val="es-CR"/>
        </w:rPr>
      </w:pPr>
      <w:r w:rsidRPr="00954547">
        <w:rPr>
          <w:rStyle w:val="FootnoteReference"/>
          <w:rFonts w:ascii="Verdana" w:hAnsi="Verdana"/>
          <w:color w:val="auto"/>
          <w:sz w:val="16"/>
          <w:szCs w:val="16"/>
        </w:rPr>
        <w:footnoteRef/>
      </w:r>
      <w:r w:rsidRPr="00954547">
        <w:rPr>
          <w:rFonts w:ascii="Verdana" w:hAnsi="Verdana"/>
          <w:color w:val="auto"/>
          <w:sz w:val="16"/>
          <w:szCs w:val="16"/>
          <w:lang w:val="es-CR"/>
        </w:rPr>
        <w:t xml:space="preserve"> </w:t>
      </w:r>
      <w:r w:rsidRPr="00954547">
        <w:rPr>
          <w:rFonts w:ascii="Verdana" w:hAnsi="Verdana"/>
          <w:color w:val="auto"/>
          <w:sz w:val="16"/>
          <w:szCs w:val="16"/>
          <w:lang w:val="es-CR"/>
        </w:rPr>
        <w:tab/>
      </w:r>
      <w:r w:rsidR="00B8393C" w:rsidRPr="00954547">
        <w:rPr>
          <w:rFonts w:ascii="Verdana" w:hAnsi="Verdana"/>
          <w:i/>
          <w:color w:val="auto"/>
          <w:sz w:val="16"/>
          <w:szCs w:val="16"/>
          <w:lang w:val="es-CR"/>
        </w:rPr>
        <w:t>Cf.</w:t>
      </w:r>
      <w:r w:rsidRPr="00954547">
        <w:rPr>
          <w:rFonts w:ascii="Verdana" w:hAnsi="Verdana"/>
          <w:i/>
          <w:color w:val="auto"/>
          <w:sz w:val="16"/>
          <w:szCs w:val="16"/>
          <w:lang w:val="es-CR"/>
        </w:rPr>
        <w:t xml:space="preserve"> </w:t>
      </w:r>
      <w:r w:rsidRPr="00954547">
        <w:rPr>
          <w:rFonts w:ascii="Verdana" w:hAnsi="Verdana" w:cs="Times New Roman"/>
          <w:color w:val="auto"/>
          <w:sz w:val="16"/>
          <w:szCs w:val="16"/>
          <w:lang w:val="es-CR"/>
        </w:rPr>
        <w:t xml:space="preserve">Kimberle Crenshaw, </w:t>
      </w:r>
      <w:r w:rsidRPr="00954547">
        <w:rPr>
          <w:rFonts w:ascii="Verdana" w:hAnsi="Verdana" w:cs="Times New Roman"/>
          <w:i/>
          <w:color w:val="auto"/>
          <w:sz w:val="16"/>
          <w:szCs w:val="16"/>
          <w:lang w:val="es-CR"/>
        </w:rPr>
        <w:t>supra</w:t>
      </w:r>
      <w:r w:rsidRPr="00954547">
        <w:rPr>
          <w:rFonts w:ascii="Verdana" w:hAnsi="Verdana" w:cs="Times New Roman"/>
          <w:color w:val="auto"/>
          <w:sz w:val="16"/>
          <w:szCs w:val="16"/>
          <w:lang w:val="es-CR"/>
        </w:rPr>
        <w:t>, p</w:t>
      </w:r>
      <w:r w:rsidR="008E0CCD" w:rsidRPr="00954547">
        <w:rPr>
          <w:rFonts w:ascii="Verdana" w:hAnsi="Verdana" w:cs="Times New Roman"/>
          <w:color w:val="auto"/>
          <w:sz w:val="16"/>
          <w:szCs w:val="16"/>
          <w:lang w:val="es-CR"/>
        </w:rPr>
        <w:t xml:space="preserve">. </w:t>
      </w:r>
      <w:r w:rsidRPr="00954547">
        <w:rPr>
          <w:rFonts w:ascii="Verdana" w:hAnsi="Verdana" w:cs="Times New Roman"/>
          <w:color w:val="auto"/>
          <w:sz w:val="16"/>
          <w:szCs w:val="16"/>
          <w:lang w:val="es-CR"/>
        </w:rPr>
        <w:t>152.</w:t>
      </w:r>
    </w:p>
  </w:footnote>
  <w:footnote w:id="529">
    <w:p w14:paraId="1C86005B" w14:textId="68701056" w:rsidR="005B47F3" w:rsidRPr="00954547" w:rsidRDefault="005B47F3" w:rsidP="007619E6">
      <w:pPr>
        <w:pStyle w:val="FootnoteText"/>
        <w:tabs>
          <w:tab w:val="left" w:pos="567"/>
        </w:tabs>
        <w:spacing w:after="120"/>
        <w:ind w:hanging="2"/>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00B8393C" w:rsidRPr="00954547">
        <w:rPr>
          <w:rFonts w:ascii="Verdana" w:hAnsi="Verdana"/>
          <w:i/>
          <w:sz w:val="16"/>
          <w:szCs w:val="16"/>
          <w:lang w:val="es-CR"/>
        </w:rPr>
        <w:t>Cf.</w:t>
      </w:r>
      <w:r w:rsidRPr="00954547">
        <w:rPr>
          <w:rFonts w:ascii="Verdana" w:hAnsi="Verdana"/>
          <w:i/>
          <w:sz w:val="16"/>
          <w:szCs w:val="16"/>
          <w:lang w:val="es-CR"/>
        </w:rPr>
        <w:t xml:space="preserve"> </w:t>
      </w:r>
      <w:r w:rsidR="002F4617" w:rsidRPr="00954547">
        <w:rPr>
          <w:rFonts w:ascii="Verdana" w:hAnsi="Verdana"/>
          <w:i/>
          <w:sz w:val="16"/>
          <w:szCs w:val="16"/>
          <w:lang w:val="es-CR"/>
        </w:rPr>
        <w:t>Case of</w:t>
      </w:r>
      <w:r w:rsidRPr="00954547">
        <w:rPr>
          <w:rFonts w:ascii="Verdana" w:hAnsi="Verdana"/>
          <w:i/>
          <w:sz w:val="16"/>
          <w:szCs w:val="16"/>
          <w:lang w:val="es-CR"/>
        </w:rPr>
        <w:t xml:space="preserve"> Gonzales Lluy </w:t>
      </w:r>
      <w:r w:rsidR="00B8393C" w:rsidRPr="00954547">
        <w:rPr>
          <w:rFonts w:ascii="Verdana" w:hAnsi="Verdana"/>
          <w:i/>
          <w:sz w:val="16"/>
          <w:szCs w:val="16"/>
          <w:lang w:val="es-CR"/>
        </w:rPr>
        <w:t>et al. v.</w:t>
      </w:r>
      <w:r w:rsidRPr="00954547">
        <w:rPr>
          <w:rFonts w:ascii="Verdana" w:hAnsi="Verdana"/>
          <w:i/>
          <w:sz w:val="16"/>
          <w:szCs w:val="16"/>
          <w:lang w:val="es-CR"/>
        </w:rPr>
        <w:t xml:space="preserve"> Ecuador.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i/>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8E0CCD" w:rsidRPr="00954547">
        <w:rPr>
          <w:rFonts w:ascii="Verdana" w:hAnsi="Verdana"/>
          <w:sz w:val="16"/>
          <w:szCs w:val="16"/>
        </w:rPr>
        <w:t>September 1,</w:t>
      </w:r>
      <w:r w:rsidRPr="00954547">
        <w:rPr>
          <w:rFonts w:ascii="Verdana" w:hAnsi="Verdana"/>
          <w:sz w:val="16"/>
          <w:szCs w:val="16"/>
        </w:rPr>
        <w:t xml:space="preserve"> 2015. </w:t>
      </w:r>
      <w:r w:rsidR="00B8393C" w:rsidRPr="00954547">
        <w:rPr>
          <w:rFonts w:ascii="Verdana" w:hAnsi="Verdana"/>
          <w:sz w:val="16"/>
          <w:szCs w:val="16"/>
        </w:rPr>
        <w:t xml:space="preserve">Series </w:t>
      </w:r>
      <w:r w:rsidRPr="00954547">
        <w:rPr>
          <w:rFonts w:ascii="Verdana" w:hAnsi="Verdana"/>
          <w:sz w:val="16"/>
          <w:szCs w:val="16"/>
        </w:rPr>
        <w:t>C No. 298.</w:t>
      </w:r>
    </w:p>
  </w:footnote>
  <w:footnote w:id="530">
    <w:p w14:paraId="5BC872A2" w14:textId="1F97FB02" w:rsidR="005B47F3" w:rsidRPr="00954547" w:rsidRDefault="005B47F3" w:rsidP="007619E6">
      <w:pPr>
        <w:pStyle w:val="FootnoteText"/>
        <w:tabs>
          <w:tab w:val="left" w:pos="567"/>
        </w:tabs>
        <w:spacing w:after="120"/>
        <w:ind w:hanging="2"/>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Case of</w:t>
      </w:r>
      <w:r w:rsidRPr="00954547">
        <w:rPr>
          <w:rFonts w:ascii="Verdana" w:hAnsi="Verdana"/>
          <w:i/>
          <w:sz w:val="16"/>
          <w:szCs w:val="16"/>
        </w:rPr>
        <w:t xml:space="preserve"> Gonzales Lluy </w:t>
      </w:r>
      <w:r w:rsidR="00B8393C" w:rsidRPr="00954547">
        <w:rPr>
          <w:rFonts w:ascii="Verdana" w:hAnsi="Verdana"/>
          <w:i/>
          <w:sz w:val="16"/>
          <w:szCs w:val="16"/>
        </w:rPr>
        <w:t>et al. v.</w:t>
      </w:r>
      <w:r w:rsidRPr="00954547">
        <w:rPr>
          <w:rFonts w:ascii="Verdana" w:hAnsi="Verdana"/>
          <w:i/>
          <w:sz w:val="16"/>
          <w:szCs w:val="16"/>
        </w:rPr>
        <w:t xml:space="preserve"> Ecuador, supra, </w:t>
      </w:r>
      <w:r w:rsidR="00B10E5A" w:rsidRPr="00954547">
        <w:rPr>
          <w:rFonts w:ascii="Verdana" w:hAnsi="Verdana"/>
          <w:sz w:val="16"/>
          <w:szCs w:val="16"/>
        </w:rPr>
        <w:t>para.</w:t>
      </w:r>
      <w:r w:rsidRPr="00954547">
        <w:rPr>
          <w:rFonts w:ascii="Verdana" w:hAnsi="Verdana"/>
          <w:sz w:val="16"/>
          <w:szCs w:val="16"/>
        </w:rPr>
        <w:t xml:space="preserve"> 290.</w:t>
      </w:r>
    </w:p>
  </w:footnote>
  <w:footnote w:id="531">
    <w:p w14:paraId="30480616" w14:textId="77777777" w:rsidR="008E0CCD" w:rsidRPr="00954547" w:rsidRDefault="008E0CCD" w:rsidP="008E0CCD">
      <w:pPr>
        <w:pStyle w:val="FootnoteText"/>
        <w:tabs>
          <w:tab w:val="left" w:pos="540"/>
        </w:tabs>
        <w:jc w:val="both"/>
        <w:rPr>
          <w:rFonts w:ascii="Verdana" w:hAnsi="Verdana"/>
          <w:sz w:val="16"/>
          <w:szCs w:val="18"/>
        </w:rPr>
      </w:pPr>
      <w:r w:rsidRPr="00954547">
        <w:rPr>
          <w:rStyle w:val="FootnoteReference"/>
          <w:rFonts w:ascii="Verdana" w:hAnsi="Verdana"/>
          <w:sz w:val="16"/>
          <w:szCs w:val="18"/>
        </w:rPr>
        <w:footnoteRef/>
      </w:r>
      <w:r w:rsidRPr="00954547">
        <w:rPr>
          <w:rFonts w:ascii="Verdana" w:hAnsi="Verdana"/>
          <w:sz w:val="16"/>
          <w:szCs w:val="18"/>
        </w:rPr>
        <w:t xml:space="preserve"> </w:t>
      </w:r>
      <w:r w:rsidRPr="00954547">
        <w:rPr>
          <w:rFonts w:ascii="Verdana" w:hAnsi="Verdana"/>
          <w:sz w:val="16"/>
          <w:szCs w:val="18"/>
        </w:rPr>
        <w:tab/>
      </w:r>
      <w:r w:rsidRPr="00954547">
        <w:rPr>
          <w:rFonts w:ascii="Verdana" w:hAnsi="Verdana"/>
          <w:i/>
          <w:sz w:val="16"/>
          <w:szCs w:val="18"/>
        </w:rPr>
        <w:t xml:space="preserve">Cf. </w:t>
      </w:r>
      <w:r w:rsidRPr="00954547">
        <w:rPr>
          <w:rFonts w:ascii="Verdana" w:hAnsi="Verdana"/>
          <w:iCs/>
          <w:sz w:val="16"/>
          <w:szCs w:val="18"/>
        </w:rPr>
        <w:t>IACHR.</w:t>
      </w:r>
      <w:r w:rsidRPr="00954547">
        <w:rPr>
          <w:rFonts w:ascii="Verdana" w:hAnsi="Verdana"/>
          <w:sz w:val="16"/>
          <w:szCs w:val="18"/>
        </w:rPr>
        <w:t xml:space="preserve"> </w:t>
      </w:r>
      <w:r w:rsidRPr="00954547">
        <w:rPr>
          <w:rFonts w:ascii="Verdana" w:hAnsi="Verdana"/>
          <w:i/>
          <w:sz w:val="16"/>
          <w:szCs w:val="18"/>
        </w:rPr>
        <w:t xml:space="preserve">Report on poverty and human rights in the Americas. </w:t>
      </w:r>
      <w:r w:rsidRPr="00954547">
        <w:rPr>
          <w:rFonts w:ascii="Verdana" w:hAnsi="Verdana"/>
          <w:sz w:val="16"/>
          <w:szCs w:val="18"/>
        </w:rPr>
        <w:t>OEA/Ser.L/V/II.164, September 7, 2017</w:t>
      </w:r>
      <w:r w:rsidRPr="00954547">
        <w:rPr>
          <w:rFonts w:ascii="Verdana" w:hAnsi="Verdana" w:cs="Times New Roman"/>
          <w:sz w:val="16"/>
          <w:szCs w:val="18"/>
        </w:rPr>
        <w:t>.</w:t>
      </w:r>
    </w:p>
  </w:footnote>
  <w:footnote w:id="532">
    <w:p w14:paraId="43CA31A2" w14:textId="77777777" w:rsidR="008E0CCD" w:rsidRPr="00954547" w:rsidRDefault="008E0CCD" w:rsidP="00EA50CA">
      <w:pPr>
        <w:spacing w:after="120"/>
        <w:jc w:val="both"/>
        <w:rPr>
          <w:rFonts w:ascii="Verdana" w:hAnsi="Verdana"/>
          <w:sz w:val="18"/>
          <w:szCs w:val="18"/>
        </w:rPr>
      </w:pPr>
      <w:r w:rsidRPr="00954547">
        <w:rPr>
          <w:rStyle w:val="FootnoteReference"/>
          <w:rFonts w:ascii="Verdana" w:hAnsi="Verdana"/>
          <w:sz w:val="16"/>
          <w:szCs w:val="18"/>
        </w:rPr>
        <w:footnoteRef/>
      </w:r>
      <w:r w:rsidRPr="00954547">
        <w:rPr>
          <w:rFonts w:ascii="Verdana" w:hAnsi="Verdana"/>
          <w:sz w:val="16"/>
          <w:szCs w:val="18"/>
        </w:rPr>
        <w:t xml:space="preserve"> </w:t>
      </w:r>
      <w:r w:rsidRPr="00954547">
        <w:rPr>
          <w:rFonts w:ascii="Verdana" w:hAnsi="Verdana"/>
          <w:sz w:val="16"/>
          <w:szCs w:val="18"/>
        </w:rPr>
        <w:tab/>
      </w:r>
      <w:r w:rsidRPr="00954547">
        <w:rPr>
          <w:rFonts w:ascii="Verdana" w:hAnsi="Verdana"/>
          <w:i/>
          <w:sz w:val="16"/>
          <w:szCs w:val="18"/>
        </w:rPr>
        <w:t xml:space="preserve">Cf. </w:t>
      </w:r>
      <w:r w:rsidRPr="00954547">
        <w:rPr>
          <w:rFonts w:ascii="Verdana" w:hAnsi="Verdana"/>
          <w:sz w:val="16"/>
          <w:szCs w:val="18"/>
        </w:rPr>
        <w:t>Human Rights Council,</w:t>
      </w:r>
      <w:r w:rsidRPr="00954547">
        <w:rPr>
          <w:rFonts w:ascii="Verdana" w:hAnsi="Verdana"/>
          <w:i/>
          <w:sz w:val="16"/>
          <w:szCs w:val="18"/>
        </w:rPr>
        <w:t xml:space="preserve"> </w:t>
      </w:r>
      <w:r w:rsidRPr="00954547">
        <w:rPr>
          <w:rFonts w:ascii="Verdana" w:hAnsi="Verdana" w:cs="Arial"/>
          <w:i/>
          <w:iCs/>
          <w:sz w:val="16"/>
          <w:szCs w:val="16"/>
        </w:rPr>
        <w:t>Impact of multiple and intersecting forms of discrimination and violence in the context of racism, racial discrimination, xenophobia and related intolerance on the full enjoyment of all human rights by women and girls</w:t>
      </w:r>
      <w:r w:rsidRPr="00954547">
        <w:rPr>
          <w:rFonts w:ascii="Verdana" w:hAnsi="Verdana"/>
          <w:sz w:val="16"/>
          <w:szCs w:val="18"/>
        </w:rPr>
        <w:t>, Report of the United Nations High Commissioner for Human Rights, April 21, 2017, UN Doc. A/HRC/35/10.</w:t>
      </w:r>
    </w:p>
  </w:footnote>
  <w:footnote w:id="533">
    <w:p w14:paraId="10D9B67C" w14:textId="77777777" w:rsidR="002D10DB" w:rsidRPr="00954547" w:rsidRDefault="002D10DB" w:rsidP="002631A3">
      <w:pPr>
        <w:tabs>
          <w:tab w:val="left" w:pos="567"/>
        </w:tabs>
        <w:spacing w:after="120"/>
        <w:jc w:val="both"/>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rPr>
        <w:t xml:space="preserve"> </w:t>
      </w:r>
      <w:r w:rsidRPr="00954547">
        <w:rPr>
          <w:rFonts w:ascii="Verdana" w:hAnsi="Verdana"/>
          <w:sz w:val="16"/>
          <w:szCs w:val="16"/>
        </w:rPr>
        <w:tab/>
        <w:t>CEDAW. General recommendation No. 33 on women’s access to justice, CEDAW/C/GC/33, August 3, 2015, para. 8.</w:t>
      </w:r>
    </w:p>
  </w:footnote>
  <w:footnote w:id="534">
    <w:p w14:paraId="0B3A6AF2" w14:textId="23E68F55" w:rsidR="002D10DB" w:rsidRPr="00954547" w:rsidRDefault="002D10DB" w:rsidP="002631A3">
      <w:pPr>
        <w:tabs>
          <w:tab w:val="left" w:pos="567"/>
        </w:tabs>
        <w:spacing w:after="120"/>
        <w:ind w:hanging="2"/>
        <w:jc w:val="both"/>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rPr>
        <w:t xml:space="preserve">  </w:t>
      </w:r>
      <w:r w:rsidRPr="00954547">
        <w:rPr>
          <w:rFonts w:ascii="Verdana" w:hAnsi="Verdana"/>
          <w:sz w:val="16"/>
          <w:szCs w:val="16"/>
        </w:rPr>
        <w:tab/>
        <w:t>CEDAW. General recommendation No. 33 on women’s access to justice, CEDAW/C/GC/33, August 3, 2015, para. 8.</w:t>
      </w:r>
    </w:p>
  </w:footnote>
  <w:footnote w:id="535">
    <w:p w14:paraId="14287702" w14:textId="77777777" w:rsidR="002631A3" w:rsidRPr="00954547" w:rsidRDefault="002631A3" w:rsidP="002631A3">
      <w:pPr>
        <w:pStyle w:val="FootnoteText"/>
        <w:tabs>
          <w:tab w:val="left" w:pos="567"/>
        </w:tabs>
        <w:spacing w:after="120"/>
        <w:jc w:val="both"/>
        <w:rPr>
          <w:rFonts w:ascii="Verdana" w:hAnsi="Verdana"/>
          <w:sz w:val="16"/>
          <w:szCs w:val="18"/>
        </w:rPr>
      </w:pPr>
      <w:r w:rsidRPr="00954547">
        <w:rPr>
          <w:rStyle w:val="FootnoteReference"/>
          <w:rFonts w:ascii="Verdana" w:hAnsi="Verdana"/>
          <w:sz w:val="16"/>
          <w:szCs w:val="18"/>
        </w:rPr>
        <w:footnoteRef/>
      </w:r>
      <w:r w:rsidRPr="00954547">
        <w:rPr>
          <w:rFonts w:ascii="Verdana" w:hAnsi="Verdana"/>
          <w:sz w:val="16"/>
          <w:szCs w:val="18"/>
        </w:rPr>
        <w:t xml:space="preserve"> </w:t>
      </w:r>
      <w:r w:rsidRPr="00954547">
        <w:rPr>
          <w:rFonts w:ascii="Verdana" w:hAnsi="Verdana"/>
          <w:sz w:val="16"/>
          <w:szCs w:val="18"/>
        </w:rPr>
        <w:tab/>
      </w:r>
      <w:r w:rsidRPr="00954547">
        <w:rPr>
          <w:rFonts w:ascii="Verdana" w:hAnsi="Verdana"/>
          <w:i/>
          <w:sz w:val="16"/>
          <w:szCs w:val="18"/>
        </w:rPr>
        <w:t xml:space="preserve">Cf. </w:t>
      </w:r>
      <w:r w:rsidRPr="00954547">
        <w:rPr>
          <w:rFonts w:ascii="Verdana" w:hAnsi="Verdana"/>
          <w:sz w:val="16"/>
          <w:szCs w:val="18"/>
        </w:rPr>
        <w:t xml:space="preserve">ECHR, </w:t>
      </w:r>
      <w:r w:rsidRPr="00954547">
        <w:rPr>
          <w:rFonts w:ascii="Verdana" w:hAnsi="Verdana"/>
          <w:i/>
          <w:iCs/>
          <w:sz w:val="16"/>
          <w:szCs w:val="18"/>
        </w:rPr>
        <w:t>Case of Buckley v. The United Kingdom</w:t>
      </w:r>
      <w:r w:rsidRPr="00954547">
        <w:rPr>
          <w:rFonts w:ascii="Verdana" w:hAnsi="Verdana"/>
          <w:sz w:val="16"/>
          <w:szCs w:val="18"/>
        </w:rPr>
        <w:t xml:space="preserve">, No. 20348/92, Judgment of September 29, 1996. </w:t>
      </w:r>
    </w:p>
  </w:footnote>
  <w:footnote w:id="536">
    <w:p w14:paraId="6F6A4816" w14:textId="0E4A7827" w:rsidR="002631A3" w:rsidRPr="00954547" w:rsidRDefault="002631A3" w:rsidP="002631A3">
      <w:pPr>
        <w:pStyle w:val="FootnoteText"/>
        <w:tabs>
          <w:tab w:val="left" w:pos="567"/>
        </w:tabs>
        <w:spacing w:after="120"/>
        <w:jc w:val="both"/>
        <w:rPr>
          <w:rFonts w:ascii="Verdana" w:hAnsi="Verdana"/>
          <w:sz w:val="16"/>
          <w:szCs w:val="18"/>
        </w:rPr>
      </w:pPr>
      <w:r w:rsidRPr="00954547">
        <w:rPr>
          <w:rStyle w:val="FootnoteReference"/>
          <w:rFonts w:ascii="Verdana" w:hAnsi="Verdana"/>
          <w:sz w:val="16"/>
          <w:szCs w:val="18"/>
        </w:rPr>
        <w:footnoteRef/>
      </w:r>
      <w:r w:rsidRPr="00954547">
        <w:rPr>
          <w:rFonts w:ascii="Verdana" w:hAnsi="Verdana"/>
          <w:sz w:val="16"/>
          <w:szCs w:val="18"/>
        </w:rPr>
        <w:t xml:space="preserve"> </w:t>
      </w:r>
      <w:r w:rsidRPr="00954547">
        <w:rPr>
          <w:rFonts w:ascii="Verdana" w:hAnsi="Verdana"/>
          <w:sz w:val="16"/>
          <w:szCs w:val="18"/>
        </w:rPr>
        <w:tab/>
      </w:r>
      <w:r w:rsidRPr="00954547">
        <w:rPr>
          <w:rFonts w:ascii="Verdana" w:hAnsi="Verdana"/>
          <w:i/>
          <w:sz w:val="16"/>
          <w:szCs w:val="18"/>
        </w:rPr>
        <w:t xml:space="preserve">Cf. </w:t>
      </w:r>
      <w:r w:rsidRPr="00954547">
        <w:rPr>
          <w:rFonts w:ascii="Verdana" w:hAnsi="Verdana"/>
          <w:sz w:val="16"/>
          <w:szCs w:val="18"/>
        </w:rPr>
        <w:t xml:space="preserve">ECHR, </w:t>
      </w:r>
      <w:r w:rsidRPr="00954547">
        <w:rPr>
          <w:rFonts w:ascii="Verdana" w:hAnsi="Verdana"/>
          <w:i/>
          <w:iCs/>
          <w:sz w:val="16"/>
          <w:szCs w:val="18"/>
        </w:rPr>
        <w:t>Case of Salman v. Turkey, No. 21986/93,</w:t>
      </w:r>
      <w:r w:rsidRPr="00954547">
        <w:rPr>
          <w:rFonts w:ascii="Verdana" w:hAnsi="Verdana"/>
          <w:sz w:val="16"/>
          <w:szCs w:val="18"/>
        </w:rPr>
        <w:t xml:space="preserve"> Judgment of June 27, 2000</w:t>
      </w:r>
      <w:r w:rsidR="00047F14" w:rsidRPr="00954547">
        <w:rPr>
          <w:rFonts w:ascii="Verdana" w:hAnsi="Verdana"/>
          <w:sz w:val="16"/>
          <w:szCs w:val="18"/>
        </w:rPr>
        <w:t>,</w:t>
      </w:r>
      <w:r w:rsidRPr="00954547">
        <w:rPr>
          <w:rFonts w:ascii="Verdana" w:hAnsi="Verdana"/>
          <w:sz w:val="16"/>
          <w:szCs w:val="18"/>
        </w:rPr>
        <w:t xml:space="preserve"> and </w:t>
      </w:r>
      <w:r w:rsidRPr="00954547">
        <w:rPr>
          <w:rFonts w:ascii="Verdana" w:hAnsi="Verdana"/>
          <w:i/>
          <w:iCs/>
          <w:sz w:val="16"/>
          <w:szCs w:val="18"/>
        </w:rPr>
        <w:t>Case of Algür v. Turkey,</w:t>
      </w:r>
      <w:r w:rsidRPr="00954547">
        <w:rPr>
          <w:rFonts w:ascii="Verdana" w:hAnsi="Verdana"/>
          <w:sz w:val="16"/>
          <w:szCs w:val="18"/>
        </w:rPr>
        <w:t xml:space="preserve"> No. 32574/96, Judgment of October 22, 2002.</w:t>
      </w:r>
    </w:p>
  </w:footnote>
  <w:footnote w:id="537">
    <w:p w14:paraId="5B5C7551" w14:textId="77777777" w:rsidR="002631A3" w:rsidRPr="00954547" w:rsidRDefault="002631A3" w:rsidP="002631A3">
      <w:pPr>
        <w:pStyle w:val="FootnoteText"/>
        <w:tabs>
          <w:tab w:val="left" w:pos="567"/>
          <w:tab w:val="left" w:pos="720"/>
        </w:tabs>
        <w:spacing w:after="120"/>
        <w:jc w:val="both"/>
        <w:rPr>
          <w:rFonts w:ascii="Verdana" w:hAnsi="Verdana"/>
          <w:sz w:val="16"/>
          <w:szCs w:val="18"/>
        </w:rPr>
      </w:pPr>
      <w:r w:rsidRPr="00954547">
        <w:rPr>
          <w:rStyle w:val="FootnoteReference"/>
          <w:rFonts w:ascii="Verdana" w:hAnsi="Verdana"/>
          <w:sz w:val="16"/>
          <w:szCs w:val="18"/>
        </w:rPr>
        <w:footnoteRef/>
      </w:r>
      <w:r w:rsidRPr="00954547">
        <w:rPr>
          <w:rFonts w:ascii="Verdana" w:hAnsi="Verdana"/>
          <w:sz w:val="16"/>
          <w:szCs w:val="18"/>
        </w:rPr>
        <w:t xml:space="preserve"> </w:t>
      </w:r>
      <w:r w:rsidRPr="00954547">
        <w:rPr>
          <w:rFonts w:ascii="Verdana" w:hAnsi="Verdana"/>
          <w:sz w:val="16"/>
          <w:szCs w:val="18"/>
        </w:rPr>
        <w:tab/>
      </w:r>
      <w:r w:rsidRPr="00954547">
        <w:rPr>
          <w:rFonts w:ascii="Verdana" w:hAnsi="Verdana"/>
          <w:i/>
          <w:sz w:val="16"/>
          <w:szCs w:val="18"/>
        </w:rPr>
        <w:t xml:space="preserve">Cf. </w:t>
      </w:r>
      <w:r w:rsidRPr="00954547">
        <w:rPr>
          <w:rFonts w:ascii="Verdana" w:hAnsi="Verdana"/>
          <w:sz w:val="16"/>
          <w:szCs w:val="18"/>
        </w:rPr>
        <w:t xml:space="preserve">ECHR, </w:t>
      </w:r>
      <w:r w:rsidRPr="00954547">
        <w:rPr>
          <w:rFonts w:ascii="Verdana" w:hAnsi="Verdana"/>
          <w:i/>
          <w:iCs/>
          <w:sz w:val="16"/>
          <w:szCs w:val="18"/>
        </w:rPr>
        <w:t>Case of Mubilanzila Mayeka and Kaniki Mitunga v. Belgium</w:t>
      </w:r>
      <w:r w:rsidRPr="00954547">
        <w:rPr>
          <w:rFonts w:ascii="Verdana" w:hAnsi="Verdana"/>
          <w:sz w:val="16"/>
          <w:szCs w:val="18"/>
        </w:rPr>
        <w:t xml:space="preserve">, No. 13178/03, Judgment of October 12, 2006. </w:t>
      </w:r>
    </w:p>
  </w:footnote>
  <w:footnote w:id="538">
    <w:p w14:paraId="050D920D" w14:textId="77777777" w:rsidR="002631A3" w:rsidRPr="00954547" w:rsidRDefault="002631A3" w:rsidP="002631A3">
      <w:pPr>
        <w:pStyle w:val="FootnoteText"/>
        <w:tabs>
          <w:tab w:val="left" w:pos="567"/>
        </w:tabs>
        <w:spacing w:after="120"/>
        <w:jc w:val="both"/>
        <w:rPr>
          <w:rFonts w:ascii="Verdana" w:hAnsi="Verdana"/>
          <w:sz w:val="16"/>
          <w:szCs w:val="18"/>
          <w:lang w:val="es-CR"/>
        </w:rPr>
      </w:pPr>
      <w:r w:rsidRPr="00954547">
        <w:rPr>
          <w:rStyle w:val="FootnoteReference"/>
          <w:rFonts w:ascii="Verdana" w:hAnsi="Verdana"/>
          <w:sz w:val="16"/>
          <w:szCs w:val="18"/>
        </w:rPr>
        <w:footnoteRef/>
      </w:r>
      <w:r w:rsidRPr="00954547">
        <w:rPr>
          <w:rFonts w:ascii="Verdana" w:hAnsi="Verdana"/>
          <w:sz w:val="16"/>
          <w:szCs w:val="18"/>
        </w:rPr>
        <w:t xml:space="preserve"> </w:t>
      </w:r>
      <w:r w:rsidRPr="00954547">
        <w:rPr>
          <w:rFonts w:ascii="Verdana" w:hAnsi="Verdana"/>
          <w:sz w:val="16"/>
          <w:szCs w:val="18"/>
        </w:rPr>
        <w:tab/>
        <w:t xml:space="preserve">ECHR, </w:t>
      </w:r>
      <w:r w:rsidRPr="00954547">
        <w:rPr>
          <w:rFonts w:ascii="Verdana" w:hAnsi="Verdana"/>
          <w:i/>
          <w:iCs/>
          <w:sz w:val="16"/>
          <w:szCs w:val="18"/>
        </w:rPr>
        <w:t>Case of B.S. v. Spain,</w:t>
      </w:r>
      <w:r w:rsidRPr="00954547">
        <w:rPr>
          <w:rFonts w:ascii="Verdana" w:hAnsi="Verdana"/>
          <w:sz w:val="16"/>
          <w:szCs w:val="18"/>
        </w:rPr>
        <w:t xml:space="preserve"> No. 47159/08, Judgment of July 24, 2012, para. </w:t>
      </w:r>
      <w:r w:rsidRPr="00954547">
        <w:rPr>
          <w:rFonts w:ascii="Verdana" w:hAnsi="Verdana"/>
          <w:sz w:val="16"/>
          <w:szCs w:val="18"/>
          <w:lang w:val="es-CR"/>
        </w:rPr>
        <w:t>71.</w:t>
      </w:r>
    </w:p>
  </w:footnote>
  <w:footnote w:id="539">
    <w:p w14:paraId="65E86183" w14:textId="6DA704E2" w:rsidR="00E5327A" w:rsidRPr="00954547" w:rsidRDefault="00E5327A" w:rsidP="00E5327A">
      <w:pPr>
        <w:pStyle w:val="FootnoteText"/>
        <w:tabs>
          <w:tab w:val="left" w:pos="567"/>
        </w:tabs>
        <w:spacing w:before="120" w:after="120"/>
        <w:ind w:hanging="2"/>
        <w:jc w:val="both"/>
        <w:rPr>
          <w:rFonts w:ascii="Verdana" w:hAnsi="Verdana"/>
          <w:sz w:val="16"/>
          <w:szCs w:val="16"/>
          <w:lang w:val="es-CR"/>
        </w:rPr>
      </w:pPr>
      <w:r w:rsidRPr="00954547">
        <w:rPr>
          <w:rStyle w:val="FootnoteReference"/>
          <w:rFonts w:ascii="Verdana" w:hAnsi="Verdana"/>
          <w:sz w:val="16"/>
          <w:szCs w:val="16"/>
        </w:rPr>
        <w:footnoteRef/>
      </w:r>
      <w:r w:rsidRPr="00954547">
        <w:rPr>
          <w:rFonts w:ascii="Verdana" w:hAnsi="Verdana"/>
          <w:sz w:val="16"/>
          <w:szCs w:val="16"/>
          <w:lang w:val="es-CR"/>
        </w:rPr>
        <w:t xml:space="preserve"> </w:t>
      </w:r>
      <w:r w:rsidRPr="00954547">
        <w:rPr>
          <w:rFonts w:ascii="Verdana" w:hAnsi="Verdana"/>
          <w:sz w:val="16"/>
          <w:szCs w:val="16"/>
          <w:lang w:val="es-CR"/>
        </w:rPr>
        <w:tab/>
      </w:r>
      <w:r w:rsidRPr="00954547">
        <w:rPr>
          <w:rFonts w:ascii="Verdana" w:hAnsi="Verdana"/>
          <w:i/>
          <w:sz w:val="16"/>
          <w:szCs w:val="16"/>
          <w:lang w:val="es-CR"/>
        </w:rPr>
        <w:t xml:space="preserve">Cf. </w:t>
      </w:r>
      <w:r w:rsidRPr="00954547">
        <w:rPr>
          <w:rFonts w:ascii="Verdana" w:hAnsi="Verdana" w:cs="Times New Roman"/>
          <w:sz w:val="16"/>
          <w:szCs w:val="16"/>
          <w:lang w:val="es-CR"/>
        </w:rPr>
        <w:t xml:space="preserve">Andrea Catalina Zota-Bernal, «Incorporación del análisis interseccional en las sentencias de la Corte IDH sobre grupos vulnerables, su articulación con la interdependencia e indivisibilidad de los derechos humanos», </w:t>
      </w:r>
      <w:r w:rsidRPr="00954547">
        <w:rPr>
          <w:rFonts w:ascii="Verdana" w:hAnsi="Verdana" w:cs="Times New Roman"/>
          <w:i/>
          <w:iCs/>
          <w:sz w:val="16"/>
          <w:szCs w:val="16"/>
          <w:lang w:val="es-CR"/>
        </w:rPr>
        <w:t>Eunomía. Revista en Cultura de la Legalidad</w:t>
      </w:r>
      <w:r w:rsidRPr="00954547">
        <w:rPr>
          <w:rFonts w:ascii="Verdana" w:hAnsi="Verdana" w:cs="Times New Roman"/>
          <w:sz w:val="16"/>
          <w:szCs w:val="16"/>
          <w:lang w:val="es-CR"/>
        </w:rPr>
        <w:t>, 2015.</w:t>
      </w:r>
      <w:r w:rsidR="00BC0827" w:rsidRPr="00954547">
        <w:rPr>
          <w:rFonts w:ascii="Verdana" w:hAnsi="Verdana" w:cs="Times New Roman"/>
          <w:sz w:val="16"/>
          <w:szCs w:val="16"/>
          <w:lang w:val="es-CR"/>
        </w:rPr>
        <w:t xml:space="preserve"> Available at:</w:t>
      </w:r>
      <w:r w:rsidRPr="00954547">
        <w:rPr>
          <w:rFonts w:ascii="Verdana" w:hAnsi="Verdana" w:cs="Times New Roman"/>
          <w:sz w:val="16"/>
          <w:szCs w:val="16"/>
          <w:lang w:val="es-CR"/>
        </w:rPr>
        <w:t xml:space="preserve"> </w:t>
      </w:r>
      <w:hyperlink r:id="rId33" w:history="1">
        <w:r w:rsidR="00047F14" w:rsidRPr="00954547">
          <w:rPr>
            <w:rStyle w:val="Hyperlink"/>
            <w:rFonts w:ascii="Verdana" w:hAnsi="Verdana"/>
            <w:sz w:val="16"/>
            <w:szCs w:val="16"/>
            <w:lang w:val="es-CR"/>
          </w:rPr>
          <w:t>https://e-revistas.uc3m.es/index.php/ EUNOM/article/view/2803/1534</w:t>
        </w:r>
      </w:hyperlink>
      <w:r w:rsidRPr="00954547">
        <w:rPr>
          <w:rFonts w:ascii="Verdana" w:hAnsi="Verdana" w:cs="Times New Roman"/>
          <w:sz w:val="16"/>
          <w:szCs w:val="16"/>
          <w:lang w:val="es-CR"/>
        </w:rPr>
        <w:t>.</w:t>
      </w:r>
    </w:p>
  </w:footnote>
  <w:footnote w:id="540">
    <w:p w14:paraId="1EF1D069" w14:textId="5A7CDD46" w:rsidR="00E5327A" w:rsidRPr="00954547" w:rsidRDefault="00E5327A" w:rsidP="00E5327A">
      <w:pPr>
        <w:tabs>
          <w:tab w:val="left" w:pos="567"/>
        </w:tabs>
        <w:spacing w:before="120" w:after="120"/>
        <w:ind w:hanging="2"/>
        <w:jc w:val="both"/>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lang w:val="es-CR"/>
        </w:rPr>
        <w:t xml:space="preserve"> </w:t>
      </w:r>
      <w:r w:rsidRPr="00954547">
        <w:rPr>
          <w:rFonts w:ascii="Verdana" w:hAnsi="Verdana"/>
          <w:sz w:val="16"/>
          <w:szCs w:val="16"/>
          <w:lang w:val="es-CR"/>
        </w:rPr>
        <w:tab/>
      </w:r>
      <w:r w:rsidRPr="00954547">
        <w:rPr>
          <w:rFonts w:ascii="Verdana" w:hAnsi="Verdana"/>
          <w:i/>
          <w:sz w:val="16"/>
          <w:szCs w:val="16"/>
          <w:lang w:val="es-CR"/>
        </w:rPr>
        <w:t>Cas</w:t>
      </w:r>
      <w:r w:rsidR="00BC0827" w:rsidRPr="00954547">
        <w:rPr>
          <w:rFonts w:ascii="Verdana" w:hAnsi="Verdana"/>
          <w:i/>
          <w:sz w:val="16"/>
          <w:szCs w:val="16"/>
          <w:lang w:val="es-CR"/>
        </w:rPr>
        <w:t>e of</w:t>
      </w:r>
      <w:r w:rsidRPr="00954547">
        <w:rPr>
          <w:rFonts w:ascii="Verdana" w:hAnsi="Verdana"/>
          <w:i/>
          <w:sz w:val="16"/>
          <w:szCs w:val="16"/>
          <w:lang w:val="es-CR"/>
        </w:rPr>
        <w:t xml:space="preserve"> I.V. </w:t>
      </w:r>
      <w:r w:rsidR="00BC0827" w:rsidRPr="00954547">
        <w:rPr>
          <w:rFonts w:ascii="Verdana" w:hAnsi="Verdana"/>
          <w:i/>
          <w:sz w:val="16"/>
          <w:szCs w:val="16"/>
          <w:lang w:val="es-CR"/>
        </w:rPr>
        <w:t>v</w:t>
      </w:r>
      <w:r w:rsidRPr="00954547">
        <w:rPr>
          <w:rFonts w:ascii="Verdana" w:hAnsi="Verdana"/>
          <w:i/>
          <w:sz w:val="16"/>
          <w:szCs w:val="16"/>
          <w:lang w:val="es-CR"/>
        </w:rPr>
        <w:t xml:space="preserve">. Bolivia. </w:t>
      </w:r>
      <w:r w:rsidR="00BC0827" w:rsidRPr="00954547">
        <w:rPr>
          <w:rFonts w:ascii="Verdana" w:hAnsi="Verdana"/>
          <w:i/>
          <w:sz w:val="16"/>
          <w:szCs w:val="16"/>
        </w:rPr>
        <w:t xml:space="preserve">Preliminary objections, merits, reparations and costs. </w:t>
      </w:r>
      <w:r w:rsidR="00BC0827" w:rsidRPr="00954547">
        <w:rPr>
          <w:rFonts w:ascii="Verdana" w:hAnsi="Verdana"/>
          <w:iCs/>
          <w:sz w:val="16"/>
          <w:szCs w:val="16"/>
        </w:rPr>
        <w:t>Judgment of November 30,</w:t>
      </w:r>
      <w:r w:rsidRPr="00954547">
        <w:rPr>
          <w:rFonts w:ascii="Verdana" w:hAnsi="Verdana"/>
          <w:sz w:val="16"/>
          <w:szCs w:val="16"/>
        </w:rPr>
        <w:t xml:space="preserve"> 2016. Serie</w:t>
      </w:r>
      <w:r w:rsidR="00BC0827" w:rsidRPr="00954547">
        <w:rPr>
          <w:rFonts w:ascii="Verdana" w:hAnsi="Verdana"/>
          <w:sz w:val="16"/>
          <w:szCs w:val="16"/>
        </w:rPr>
        <w:t>s</w:t>
      </w:r>
      <w:r w:rsidRPr="00954547">
        <w:rPr>
          <w:rFonts w:ascii="Verdana" w:hAnsi="Verdana"/>
          <w:sz w:val="16"/>
          <w:szCs w:val="16"/>
        </w:rPr>
        <w:t xml:space="preserve"> C No. 329, p</w:t>
      </w:r>
      <w:r w:rsidR="00BC0827" w:rsidRPr="00954547">
        <w:rPr>
          <w:rFonts w:ascii="Verdana" w:hAnsi="Verdana"/>
          <w:sz w:val="16"/>
          <w:szCs w:val="16"/>
        </w:rPr>
        <w:t>ara</w:t>
      </w:r>
      <w:r w:rsidRPr="00954547">
        <w:rPr>
          <w:rFonts w:ascii="Verdana" w:hAnsi="Verdana"/>
          <w:sz w:val="16"/>
          <w:szCs w:val="16"/>
        </w:rPr>
        <w:t>. 247</w:t>
      </w:r>
      <w:r w:rsidR="00BC0827" w:rsidRPr="00954547">
        <w:rPr>
          <w:rFonts w:ascii="Verdana" w:hAnsi="Verdana"/>
          <w:sz w:val="16"/>
          <w:szCs w:val="16"/>
        </w:rPr>
        <w:t>, and</w:t>
      </w:r>
      <w:r w:rsidRPr="00954547">
        <w:rPr>
          <w:rFonts w:ascii="Verdana" w:hAnsi="Verdana"/>
          <w:sz w:val="16"/>
          <w:szCs w:val="16"/>
        </w:rPr>
        <w:t xml:space="preserve"> </w:t>
      </w:r>
      <w:r w:rsidRPr="00954547">
        <w:rPr>
          <w:rFonts w:ascii="Verdana" w:hAnsi="Verdana"/>
          <w:i/>
          <w:sz w:val="16"/>
          <w:szCs w:val="16"/>
        </w:rPr>
        <w:t>Cas</w:t>
      </w:r>
      <w:r w:rsidR="00BC0827" w:rsidRPr="00954547">
        <w:rPr>
          <w:rFonts w:ascii="Verdana" w:hAnsi="Verdana"/>
          <w:i/>
          <w:sz w:val="16"/>
          <w:szCs w:val="16"/>
        </w:rPr>
        <w:t>e of</w:t>
      </w:r>
      <w:r w:rsidRPr="00954547">
        <w:rPr>
          <w:rFonts w:ascii="Verdana" w:hAnsi="Verdana"/>
          <w:i/>
          <w:sz w:val="16"/>
          <w:szCs w:val="16"/>
        </w:rPr>
        <w:t xml:space="preserve"> Gonzales Lluy </w:t>
      </w:r>
      <w:r w:rsidR="00BC0827" w:rsidRPr="00954547">
        <w:rPr>
          <w:rFonts w:ascii="Verdana" w:hAnsi="Verdana"/>
          <w:i/>
          <w:sz w:val="16"/>
          <w:szCs w:val="16"/>
        </w:rPr>
        <w:t>et al. v.</w:t>
      </w:r>
      <w:r w:rsidRPr="00954547">
        <w:rPr>
          <w:rFonts w:ascii="Verdana" w:hAnsi="Verdana"/>
          <w:i/>
          <w:sz w:val="16"/>
          <w:szCs w:val="16"/>
        </w:rPr>
        <w:t xml:space="preserve"> Ecuador. </w:t>
      </w:r>
      <w:r w:rsidR="00BC0827" w:rsidRPr="00954547">
        <w:rPr>
          <w:rFonts w:ascii="Verdana" w:hAnsi="Verdana"/>
          <w:i/>
          <w:sz w:val="16"/>
          <w:szCs w:val="16"/>
        </w:rPr>
        <w:t xml:space="preserve">Preliminary objections, merits, reparations and costs. </w:t>
      </w:r>
      <w:r w:rsidR="00BC0827" w:rsidRPr="00954547">
        <w:rPr>
          <w:rFonts w:ascii="Verdana" w:hAnsi="Verdana"/>
          <w:iCs/>
          <w:sz w:val="16"/>
          <w:szCs w:val="16"/>
        </w:rPr>
        <w:t xml:space="preserve">Judgment of </w:t>
      </w:r>
      <w:r w:rsidR="00BC31D0" w:rsidRPr="00954547">
        <w:rPr>
          <w:rFonts w:ascii="Verdana" w:hAnsi="Verdana"/>
          <w:iCs/>
          <w:sz w:val="16"/>
          <w:szCs w:val="16"/>
        </w:rPr>
        <w:t>September 1,</w:t>
      </w:r>
      <w:r w:rsidRPr="00954547">
        <w:rPr>
          <w:rFonts w:ascii="Verdana" w:hAnsi="Verdana"/>
          <w:iCs/>
          <w:sz w:val="16"/>
          <w:szCs w:val="16"/>
        </w:rPr>
        <w:t xml:space="preserve"> 2015</w:t>
      </w:r>
      <w:r w:rsidRPr="00954547">
        <w:rPr>
          <w:rFonts w:ascii="Verdana" w:hAnsi="Verdana"/>
          <w:sz w:val="16"/>
          <w:szCs w:val="16"/>
        </w:rPr>
        <w:t>. Serie C No. 298, p</w:t>
      </w:r>
      <w:r w:rsidR="00BC31D0" w:rsidRPr="00954547">
        <w:rPr>
          <w:rFonts w:ascii="Verdana" w:hAnsi="Verdana"/>
          <w:sz w:val="16"/>
          <w:szCs w:val="16"/>
        </w:rPr>
        <w:t>ara</w:t>
      </w:r>
      <w:r w:rsidRPr="00954547">
        <w:rPr>
          <w:rFonts w:ascii="Verdana" w:hAnsi="Verdana"/>
          <w:sz w:val="16"/>
          <w:szCs w:val="16"/>
        </w:rPr>
        <w:t>. 288.</w:t>
      </w:r>
    </w:p>
  </w:footnote>
  <w:footnote w:id="541">
    <w:p w14:paraId="45214390" w14:textId="6F889496" w:rsidR="00143D97" w:rsidRPr="00954547" w:rsidRDefault="00143D97" w:rsidP="00C14703">
      <w:pPr>
        <w:pStyle w:val="FootnoteText"/>
        <w:tabs>
          <w:tab w:val="left" w:pos="567"/>
        </w:tabs>
        <w:spacing w:after="120"/>
        <w:ind w:hanging="2"/>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FE179B" w:rsidRPr="00954547">
        <w:rPr>
          <w:rFonts w:ascii="Verdana" w:hAnsi="Verdana"/>
          <w:i/>
          <w:sz w:val="16"/>
          <w:szCs w:val="16"/>
        </w:rPr>
        <w:t>Cf.</w:t>
      </w:r>
      <w:r w:rsidRPr="00954547">
        <w:rPr>
          <w:rFonts w:ascii="Verdana" w:hAnsi="Verdana"/>
          <w:i/>
          <w:sz w:val="16"/>
          <w:szCs w:val="16"/>
        </w:rPr>
        <w:t xml:space="preserve"> </w:t>
      </w:r>
      <w:r w:rsidR="00FE179B" w:rsidRPr="00954547">
        <w:rPr>
          <w:rFonts w:ascii="Verdana" w:hAnsi="Verdana"/>
          <w:sz w:val="16"/>
          <w:szCs w:val="18"/>
        </w:rPr>
        <w:t xml:space="preserve">IACHR, </w:t>
      </w:r>
      <w:r w:rsidR="00FE179B" w:rsidRPr="00954547">
        <w:rPr>
          <w:rFonts w:ascii="Verdana" w:hAnsi="Verdana"/>
          <w:i/>
          <w:sz w:val="16"/>
          <w:szCs w:val="18"/>
        </w:rPr>
        <w:t>Guidelines for preparation of progress indicators in the area of economic, social and cultural rights</w:t>
      </w:r>
      <w:r w:rsidR="00FE179B" w:rsidRPr="00954547">
        <w:rPr>
          <w:rFonts w:ascii="Verdana" w:hAnsi="Verdana"/>
          <w:sz w:val="16"/>
          <w:szCs w:val="18"/>
        </w:rPr>
        <w:t xml:space="preserve">, OEA/Ser.L/V/II.132, July 19, 2008, para. 56 and </w:t>
      </w:r>
      <w:r w:rsidR="00FE179B" w:rsidRPr="00954547">
        <w:rPr>
          <w:rFonts w:ascii="Verdana" w:hAnsi="Verdana"/>
          <w:i/>
          <w:iCs/>
          <w:sz w:val="16"/>
          <w:szCs w:val="18"/>
        </w:rPr>
        <w:t>ff.</w:t>
      </w:r>
    </w:p>
  </w:footnote>
  <w:footnote w:id="542">
    <w:p w14:paraId="7385247F" w14:textId="77777777" w:rsidR="003041FE" w:rsidRPr="00954547" w:rsidRDefault="003041FE" w:rsidP="00C14703">
      <w:pPr>
        <w:pStyle w:val="FootnoteText"/>
        <w:tabs>
          <w:tab w:val="left" w:pos="567"/>
        </w:tabs>
        <w:spacing w:after="120"/>
        <w:rPr>
          <w:rFonts w:ascii="Verdana" w:hAnsi="Verdana"/>
        </w:rPr>
      </w:pPr>
      <w:r w:rsidRPr="00954547">
        <w:rPr>
          <w:rStyle w:val="FootnoteReference"/>
          <w:rFonts w:ascii="Verdana" w:hAnsi="Verdana"/>
          <w:sz w:val="16"/>
        </w:rPr>
        <w:footnoteRef/>
      </w:r>
      <w:r w:rsidRPr="00954547">
        <w:rPr>
          <w:rFonts w:ascii="Verdana" w:hAnsi="Verdana"/>
        </w:rPr>
        <w:t xml:space="preserve"> </w:t>
      </w:r>
      <w:r w:rsidRPr="00954547">
        <w:rPr>
          <w:rFonts w:ascii="Verdana" w:hAnsi="Verdana"/>
        </w:rPr>
        <w:tab/>
      </w:r>
      <w:r w:rsidRPr="00954547">
        <w:rPr>
          <w:rFonts w:ascii="Verdana" w:hAnsi="Verdana"/>
          <w:i/>
          <w:sz w:val="16"/>
          <w:szCs w:val="18"/>
        </w:rPr>
        <w:t xml:space="preserve">Cf. </w:t>
      </w:r>
      <w:r w:rsidRPr="00954547">
        <w:rPr>
          <w:rFonts w:ascii="Verdana" w:hAnsi="Verdana"/>
          <w:sz w:val="16"/>
          <w:szCs w:val="18"/>
        </w:rPr>
        <w:t xml:space="preserve">IACHR, </w:t>
      </w:r>
      <w:r w:rsidRPr="00954547">
        <w:rPr>
          <w:rFonts w:ascii="Verdana" w:hAnsi="Verdana"/>
          <w:i/>
          <w:sz w:val="16"/>
          <w:szCs w:val="18"/>
        </w:rPr>
        <w:t>Report on poverty and human rights in the Americas,</w:t>
      </w:r>
      <w:r w:rsidRPr="00954547">
        <w:rPr>
          <w:rFonts w:ascii="Verdana" w:hAnsi="Verdana"/>
          <w:sz w:val="16"/>
          <w:szCs w:val="18"/>
        </w:rPr>
        <w:t xml:space="preserve"> </w:t>
      </w:r>
      <w:r w:rsidRPr="00954547">
        <w:rPr>
          <w:rFonts w:ascii="Verdana" w:hAnsi="Verdana"/>
          <w:i/>
          <w:sz w:val="16"/>
          <w:szCs w:val="18"/>
        </w:rPr>
        <w:t>supra</w:t>
      </w:r>
      <w:r w:rsidRPr="00954547">
        <w:rPr>
          <w:rFonts w:ascii="Verdana" w:hAnsi="Verdana"/>
          <w:sz w:val="16"/>
          <w:szCs w:val="18"/>
        </w:rPr>
        <w:t>, para. 304.</w:t>
      </w:r>
    </w:p>
  </w:footnote>
  <w:footnote w:id="543">
    <w:p w14:paraId="2CCE5787" w14:textId="7A2E0051" w:rsidR="00BC31D0" w:rsidRPr="00954547" w:rsidRDefault="00BC31D0" w:rsidP="00C14703">
      <w:pPr>
        <w:pStyle w:val="FootnoteText"/>
        <w:tabs>
          <w:tab w:val="left" w:pos="567"/>
        </w:tabs>
        <w:spacing w:after="120"/>
        <w:ind w:hanging="2"/>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FE179B" w:rsidRPr="00954547">
        <w:rPr>
          <w:rFonts w:ascii="Verdana" w:hAnsi="Verdana"/>
          <w:i/>
          <w:sz w:val="16"/>
          <w:szCs w:val="16"/>
        </w:rPr>
        <w:t>C</w:t>
      </w:r>
      <w:r w:rsidR="00CD0102" w:rsidRPr="00954547">
        <w:rPr>
          <w:rFonts w:ascii="Verdana" w:hAnsi="Verdana"/>
          <w:i/>
          <w:sz w:val="16"/>
          <w:szCs w:val="18"/>
        </w:rPr>
        <w:t xml:space="preserve">f. </w:t>
      </w:r>
      <w:r w:rsidR="00CD0102" w:rsidRPr="00954547">
        <w:rPr>
          <w:rFonts w:ascii="Verdana" w:hAnsi="Verdana"/>
          <w:sz w:val="16"/>
          <w:szCs w:val="18"/>
        </w:rPr>
        <w:t xml:space="preserve">IACHR, </w:t>
      </w:r>
      <w:r w:rsidR="00CD0102" w:rsidRPr="00954547">
        <w:rPr>
          <w:rFonts w:ascii="Verdana" w:hAnsi="Verdana"/>
          <w:i/>
          <w:sz w:val="16"/>
          <w:szCs w:val="18"/>
        </w:rPr>
        <w:t>Report on poverty and human rights in the Americas,</w:t>
      </w:r>
      <w:r w:rsidR="00CD0102" w:rsidRPr="00954547">
        <w:rPr>
          <w:rFonts w:ascii="Verdana" w:hAnsi="Verdana"/>
          <w:sz w:val="16"/>
          <w:szCs w:val="18"/>
        </w:rPr>
        <w:t xml:space="preserve"> </w:t>
      </w:r>
      <w:r w:rsidR="00CD0102" w:rsidRPr="00954547">
        <w:rPr>
          <w:rFonts w:ascii="Verdana" w:hAnsi="Verdana"/>
          <w:i/>
          <w:sz w:val="16"/>
          <w:szCs w:val="18"/>
        </w:rPr>
        <w:t>supra</w:t>
      </w:r>
      <w:r w:rsidR="00CD0102" w:rsidRPr="00954547">
        <w:rPr>
          <w:rFonts w:ascii="Verdana" w:hAnsi="Verdana"/>
          <w:sz w:val="16"/>
          <w:szCs w:val="18"/>
        </w:rPr>
        <w:t xml:space="preserve">,  para. </w:t>
      </w:r>
      <w:r w:rsidRPr="00954547">
        <w:rPr>
          <w:rFonts w:ascii="Verdana" w:hAnsi="Verdana"/>
          <w:sz w:val="16"/>
          <w:szCs w:val="16"/>
        </w:rPr>
        <w:t>103.</w:t>
      </w:r>
    </w:p>
  </w:footnote>
  <w:footnote w:id="544">
    <w:p w14:paraId="5877A162" w14:textId="6083B551" w:rsidR="00BC31D0" w:rsidRPr="00954547" w:rsidRDefault="00BC31D0" w:rsidP="00C14703">
      <w:pPr>
        <w:tabs>
          <w:tab w:val="left" w:pos="567"/>
        </w:tabs>
        <w:spacing w:after="120"/>
        <w:ind w:hanging="2"/>
        <w:jc w:val="both"/>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rPr>
        <w:t xml:space="preserve"> </w:t>
      </w:r>
      <w:r w:rsidRPr="00954547">
        <w:rPr>
          <w:rFonts w:ascii="Verdana" w:hAnsi="Verdana"/>
          <w:sz w:val="16"/>
          <w:szCs w:val="16"/>
        </w:rPr>
        <w:tab/>
        <w:t xml:space="preserve">Amicus Curiae </w:t>
      </w:r>
      <w:r w:rsidR="00E67A8B" w:rsidRPr="00954547">
        <w:rPr>
          <w:rFonts w:ascii="Verdana" w:hAnsi="Verdana"/>
          <w:sz w:val="16"/>
          <w:szCs w:val="16"/>
        </w:rPr>
        <w:t>submitted by</w:t>
      </w:r>
      <w:r w:rsidRPr="00954547">
        <w:rPr>
          <w:rFonts w:ascii="Verdana" w:hAnsi="Verdana"/>
          <w:sz w:val="16"/>
          <w:szCs w:val="16"/>
        </w:rPr>
        <w:t xml:space="preserve"> </w:t>
      </w:r>
      <w:r w:rsidR="00CD0102" w:rsidRPr="00954547">
        <w:rPr>
          <w:rFonts w:ascii="Verdana" w:hAnsi="Verdana"/>
          <w:sz w:val="16"/>
          <w:szCs w:val="16"/>
        </w:rPr>
        <w:t>Amnesty International and</w:t>
      </w:r>
      <w:r w:rsidRPr="00954547">
        <w:rPr>
          <w:rFonts w:ascii="Verdana" w:hAnsi="Verdana"/>
          <w:sz w:val="16"/>
          <w:szCs w:val="16"/>
        </w:rPr>
        <w:t xml:space="preserve"> Juan E. Méndez </w:t>
      </w:r>
      <w:r w:rsidR="00CD0102" w:rsidRPr="00954547">
        <w:rPr>
          <w:rFonts w:ascii="Verdana" w:hAnsi="Verdana"/>
          <w:sz w:val="16"/>
          <w:szCs w:val="16"/>
        </w:rPr>
        <w:t>in the case of</w:t>
      </w:r>
      <w:r w:rsidRPr="00954547">
        <w:rPr>
          <w:rFonts w:ascii="Verdana" w:hAnsi="Verdana"/>
          <w:sz w:val="16"/>
          <w:szCs w:val="16"/>
        </w:rPr>
        <w:t xml:space="preserve"> Manuela </w:t>
      </w:r>
      <w:r w:rsidR="00CD0102" w:rsidRPr="00954547">
        <w:rPr>
          <w:rFonts w:ascii="Verdana" w:hAnsi="Verdana"/>
          <w:sz w:val="16"/>
          <w:szCs w:val="16"/>
        </w:rPr>
        <w:t>and family</w:t>
      </w:r>
      <w:r w:rsidRPr="00954547">
        <w:rPr>
          <w:rFonts w:ascii="Verdana" w:hAnsi="Verdana"/>
          <w:sz w:val="16"/>
          <w:szCs w:val="16"/>
        </w:rPr>
        <w:t xml:space="preserve"> v. El Salvador. </w:t>
      </w:r>
    </w:p>
  </w:footnote>
  <w:footnote w:id="545">
    <w:p w14:paraId="033D1A0A" w14:textId="77777777" w:rsidR="0080178E" w:rsidRPr="00954547" w:rsidRDefault="0080178E" w:rsidP="00EF0526">
      <w:pPr>
        <w:pStyle w:val="FootnoteText"/>
        <w:tabs>
          <w:tab w:val="left" w:pos="567"/>
        </w:tabs>
        <w:spacing w:after="120"/>
        <w:jc w:val="both"/>
        <w:rPr>
          <w:rFonts w:ascii="Verdana" w:hAnsi="Verdana"/>
          <w:sz w:val="16"/>
          <w:szCs w:val="18"/>
        </w:rPr>
      </w:pPr>
      <w:r w:rsidRPr="00954547">
        <w:rPr>
          <w:rStyle w:val="FootnoteReference"/>
          <w:rFonts w:ascii="Verdana" w:hAnsi="Verdana"/>
          <w:sz w:val="16"/>
          <w:szCs w:val="18"/>
        </w:rPr>
        <w:footnoteRef/>
      </w:r>
      <w:r w:rsidRPr="00954547">
        <w:rPr>
          <w:rFonts w:ascii="Verdana" w:hAnsi="Verdana"/>
          <w:sz w:val="16"/>
          <w:szCs w:val="18"/>
        </w:rPr>
        <w:t xml:space="preserve"> </w:t>
      </w:r>
      <w:r w:rsidRPr="00954547">
        <w:rPr>
          <w:rFonts w:ascii="Verdana" w:hAnsi="Verdana"/>
          <w:sz w:val="16"/>
          <w:szCs w:val="18"/>
        </w:rPr>
        <w:tab/>
      </w:r>
      <w:r w:rsidRPr="00954547">
        <w:rPr>
          <w:rFonts w:ascii="Verdana" w:hAnsi="Verdana"/>
          <w:i/>
          <w:sz w:val="16"/>
          <w:szCs w:val="18"/>
        </w:rPr>
        <w:t xml:space="preserve">Cf. Case of Gonzales et al. (“Cotton Field”) v. Mexico. Preliminary objection, merits, reparations and costs. </w:t>
      </w:r>
      <w:r w:rsidRPr="00954547">
        <w:rPr>
          <w:rFonts w:ascii="Verdana" w:hAnsi="Verdana"/>
          <w:sz w:val="16"/>
          <w:szCs w:val="18"/>
        </w:rPr>
        <w:t>Judgment of November 16, 2009. Series C No. 205, para. 132.</w:t>
      </w:r>
    </w:p>
  </w:footnote>
  <w:footnote w:id="546">
    <w:p w14:paraId="5A1CA3E9" w14:textId="77777777" w:rsidR="0080178E" w:rsidRPr="00954547" w:rsidRDefault="0080178E" w:rsidP="00C14703">
      <w:pPr>
        <w:pStyle w:val="FootnoteText"/>
        <w:tabs>
          <w:tab w:val="left" w:pos="567"/>
        </w:tabs>
        <w:spacing w:after="120"/>
        <w:rPr>
          <w:rFonts w:ascii="Verdana" w:hAnsi="Verdana"/>
          <w:sz w:val="16"/>
          <w:szCs w:val="18"/>
        </w:rPr>
      </w:pPr>
      <w:r w:rsidRPr="00954547">
        <w:rPr>
          <w:rStyle w:val="FootnoteReference"/>
          <w:rFonts w:ascii="Verdana" w:hAnsi="Verdana"/>
          <w:sz w:val="16"/>
          <w:szCs w:val="18"/>
        </w:rPr>
        <w:footnoteRef/>
      </w:r>
      <w:r w:rsidRPr="00954547">
        <w:rPr>
          <w:rFonts w:ascii="Verdana" w:hAnsi="Verdana"/>
          <w:sz w:val="16"/>
          <w:szCs w:val="18"/>
        </w:rPr>
        <w:t xml:space="preserve"> </w:t>
      </w:r>
      <w:r w:rsidRPr="00954547">
        <w:rPr>
          <w:rFonts w:ascii="Verdana" w:hAnsi="Verdana"/>
          <w:sz w:val="16"/>
          <w:szCs w:val="18"/>
        </w:rPr>
        <w:tab/>
      </w:r>
      <w:r w:rsidRPr="00954547">
        <w:rPr>
          <w:rFonts w:ascii="Verdana" w:hAnsi="Verdana"/>
          <w:i/>
          <w:sz w:val="16"/>
          <w:szCs w:val="18"/>
        </w:rPr>
        <w:t xml:space="preserve">Cf. </w:t>
      </w:r>
      <w:r w:rsidRPr="00954547">
        <w:rPr>
          <w:rFonts w:ascii="Verdana" w:hAnsi="Verdana"/>
          <w:sz w:val="16"/>
          <w:szCs w:val="18"/>
        </w:rPr>
        <w:t xml:space="preserve">IACHR, Report No. 54/01. </w:t>
      </w:r>
      <w:r w:rsidRPr="00954547">
        <w:rPr>
          <w:rFonts w:ascii="Verdana" w:hAnsi="Verdana"/>
          <w:sz w:val="16"/>
          <w:szCs w:val="18"/>
          <w:lang w:val="pt-BR"/>
        </w:rPr>
        <w:t xml:space="preserve">Case 12,051. Maria Da Penha Maia Fernandes. </w:t>
      </w:r>
      <w:r w:rsidRPr="00954547">
        <w:rPr>
          <w:rFonts w:ascii="Verdana" w:hAnsi="Verdana"/>
          <w:sz w:val="16"/>
          <w:szCs w:val="18"/>
        </w:rPr>
        <w:t>Brazil. April 16, 2001.</w:t>
      </w:r>
    </w:p>
  </w:footnote>
  <w:footnote w:id="547">
    <w:p w14:paraId="367DCFB4" w14:textId="742C5028" w:rsidR="00BC31D0" w:rsidRPr="00954547" w:rsidRDefault="00BC31D0" w:rsidP="0080178E">
      <w:pPr>
        <w:pStyle w:val="FootnoteText"/>
        <w:tabs>
          <w:tab w:val="left" w:pos="567"/>
        </w:tabs>
        <w:spacing w:after="120"/>
        <w:ind w:hanging="2"/>
        <w:jc w:val="both"/>
        <w:rPr>
          <w:rFonts w:ascii="Verdana" w:hAnsi="Verdana"/>
          <w:sz w:val="16"/>
          <w:szCs w:val="16"/>
        </w:rPr>
      </w:pPr>
      <w:r w:rsidRPr="00954547">
        <w:rPr>
          <w:rStyle w:val="FootnoteReference"/>
          <w:rFonts w:ascii="Verdana" w:hAnsi="Verdana"/>
          <w:sz w:val="16"/>
          <w:szCs w:val="16"/>
        </w:rPr>
        <w:footnoteRef/>
      </w:r>
      <w:r w:rsidRPr="00954547">
        <w:rPr>
          <w:rFonts w:ascii="Verdana" w:hAnsi="Verdana"/>
          <w:sz w:val="16"/>
          <w:szCs w:val="16"/>
        </w:rPr>
        <w:t xml:space="preserve"> </w:t>
      </w:r>
      <w:r w:rsidRPr="00954547">
        <w:rPr>
          <w:rFonts w:ascii="Verdana" w:hAnsi="Verdana"/>
          <w:sz w:val="16"/>
          <w:szCs w:val="16"/>
        </w:rPr>
        <w:tab/>
      </w:r>
      <w:r w:rsidR="00FE179B" w:rsidRPr="00954547">
        <w:rPr>
          <w:rFonts w:ascii="Verdana" w:hAnsi="Verdana"/>
          <w:i/>
          <w:sz w:val="16"/>
          <w:szCs w:val="16"/>
        </w:rPr>
        <w:t>Cf.</w:t>
      </w:r>
      <w:r w:rsidRPr="00954547">
        <w:rPr>
          <w:rFonts w:ascii="Verdana" w:hAnsi="Verdana"/>
          <w:i/>
          <w:sz w:val="16"/>
          <w:szCs w:val="16"/>
        </w:rPr>
        <w:t xml:space="preserve"> </w:t>
      </w:r>
      <w:r w:rsidR="00CD0102" w:rsidRPr="00954547">
        <w:rPr>
          <w:rFonts w:ascii="Verdana" w:hAnsi="Verdana"/>
          <w:sz w:val="16"/>
          <w:szCs w:val="16"/>
        </w:rPr>
        <w:t>Committee for Latin America and the Caribbean for the Defense of Women's Rights</w:t>
      </w:r>
      <w:r w:rsidR="00CD0102" w:rsidRPr="00954547">
        <w:rPr>
          <w:rFonts w:ascii="Verdana" w:hAnsi="Verdana" w:cs="Times New Roman"/>
          <w:sz w:val="16"/>
          <w:szCs w:val="16"/>
        </w:rPr>
        <w:t xml:space="preserve"> </w:t>
      </w:r>
      <w:r w:rsidR="00CD0102" w:rsidRPr="00954547">
        <w:rPr>
          <w:rFonts w:ascii="Verdana" w:hAnsi="Verdana" w:cs="Times New Roman"/>
          <w:sz w:val="16"/>
          <w:szCs w:val="18"/>
        </w:rPr>
        <w:t xml:space="preserve">(CLADEM), </w:t>
      </w:r>
      <w:r w:rsidR="00CD0102" w:rsidRPr="00954547">
        <w:rPr>
          <w:rFonts w:ascii="Verdana" w:hAnsi="Verdana" w:cs="Times New Roman"/>
          <w:i/>
          <w:iCs/>
          <w:sz w:val="16"/>
          <w:szCs w:val="18"/>
        </w:rPr>
        <w:t xml:space="preserve">Patterns of violence against women in Latin America and the Caribbean. </w:t>
      </w:r>
      <w:r w:rsidR="00CD0102" w:rsidRPr="00954547">
        <w:rPr>
          <w:rFonts w:ascii="Verdana" w:hAnsi="Verdana" w:cs="Times New Roman"/>
          <w:sz w:val="16"/>
          <w:szCs w:val="18"/>
        </w:rPr>
        <w:t>Report presented by the UN Special Rapporteur</w:t>
      </w:r>
      <w:r w:rsidR="00CD0102" w:rsidRPr="00954547">
        <w:rPr>
          <w:rFonts w:ascii="Verdana" w:hAnsi="Verdana" w:cs="Times New Roman"/>
          <w:i/>
          <w:iCs/>
          <w:sz w:val="16"/>
          <w:szCs w:val="18"/>
        </w:rPr>
        <w:t xml:space="preserve"> </w:t>
      </w:r>
      <w:r w:rsidR="00CD0102" w:rsidRPr="00954547">
        <w:rPr>
          <w:rFonts w:ascii="Verdana" w:hAnsi="Verdana" w:cs="Times New Roman"/>
          <w:sz w:val="16"/>
          <w:szCs w:val="18"/>
        </w:rPr>
        <w:t>on violence against women, its causes and consequences</w:t>
      </w:r>
      <w:r w:rsidR="00CD0102" w:rsidRPr="00954547">
        <w:rPr>
          <w:rFonts w:ascii="Verdana" w:hAnsi="Verdana" w:cs="Times New Roman"/>
          <w:i/>
          <w:iCs/>
          <w:sz w:val="16"/>
          <w:szCs w:val="18"/>
        </w:rPr>
        <w:t xml:space="preserve">, </w:t>
      </w:r>
      <w:r w:rsidR="00CD0102" w:rsidRPr="00954547">
        <w:rPr>
          <w:rFonts w:ascii="Verdana" w:hAnsi="Verdana" w:cs="Times New Roman"/>
          <w:sz w:val="16"/>
          <w:szCs w:val="18"/>
        </w:rPr>
        <w:t>Rashida Manjoo, 2014.</w:t>
      </w:r>
    </w:p>
  </w:footnote>
  <w:footnote w:id="548">
    <w:p w14:paraId="4EF208B6" w14:textId="030CF962" w:rsidR="005B47F3" w:rsidRPr="00954547" w:rsidRDefault="005B47F3" w:rsidP="00CD0102">
      <w:pPr>
        <w:tabs>
          <w:tab w:val="left" w:pos="567"/>
        </w:tabs>
        <w:spacing w:after="120"/>
        <w:ind w:hanging="2"/>
        <w:jc w:val="both"/>
        <w:rPr>
          <w:rFonts w:ascii="Verdana" w:hAnsi="Verdana"/>
          <w:sz w:val="16"/>
          <w:szCs w:val="16"/>
          <w:lang w:val="es-CR"/>
        </w:rPr>
      </w:pPr>
      <w:r w:rsidRPr="00954547">
        <w:rPr>
          <w:rFonts w:ascii="Verdana" w:hAnsi="Verdana"/>
          <w:sz w:val="16"/>
          <w:szCs w:val="16"/>
          <w:vertAlign w:val="superscript"/>
        </w:rPr>
        <w:footnoteRef/>
      </w:r>
      <w:r w:rsidRPr="00954547">
        <w:rPr>
          <w:rFonts w:ascii="Verdana" w:hAnsi="Verdana"/>
          <w:sz w:val="16"/>
          <w:szCs w:val="16"/>
          <w:lang w:val="es-CR"/>
        </w:rPr>
        <w:t xml:space="preserve"> </w:t>
      </w:r>
      <w:r w:rsidRPr="00954547">
        <w:rPr>
          <w:rFonts w:ascii="Verdana" w:hAnsi="Verdana"/>
          <w:sz w:val="16"/>
          <w:szCs w:val="16"/>
          <w:lang w:val="es-CR"/>
        </w:rPr>
        <w:tab/>
        <w:t>Amicus Curiae</w:t>
      </w:r>
      <w:r w:rsidR="00CD0102" w:rsidRPr="00954547">
        <w:rPr>
          <w:rFonts w:ascii="Verdana" w:hAnsi="Verdana"/>
          <w:sz w:val="16"/>
          <w:szCs w:val="16"/>
          <w:lang w:val="es-CR"/>
        </w:rPr>
        <w:t>,</w:t>
      </w:r>
      <w:r w:rsidRPr="00954547">
        <w:rPr>
          <w:rFonts w:ascii="Verdana" w:hAnsi="Verdana"/>
          <w:sz w:val="16"/>
          <w:szCs w:val="16"/>
          <w:lang w:val="es-CR"/>
        </w:rPr>
        <w:t xml:space="preserve"> Fundación para el Debido Proceso, </w:t>
      </w:r>
      <w:r w:rsidR="005E56C5" w:rsidRPr="00954547">
        <w:rPr>
          <w:rFonts w:ascii="Verdana" w:hAnsi="Verdana"/>
          <w:sz w:val="16"/>
          <w:szCs w:val="16"/>
          <w:lang w:val="es-CR"/>
        </w:rPr>
        <w:t>p.</w:t>
      </w:r>
      <w:r w:rsidRPr="00954547">
        <w:rPr>
          <w:rFonts w:ascii="Verdana" w:hAnsi="Verdana"/>
          <w:sz w:val="16"/>
          <w:szCs w:val="16"/>
          <w:lang w:val="es-CR"/>
        </w:rPr>
        <w:t xml:space="preserve"> 3. </w:t>
      </w:r>
    </w:p>
  </w:footnote>
  <w:footnote w:id="549">
    <w:p w14:paraId="423B25A6" w14:textId="4E720746" w:rsidR="00CD0102" w:rsidRPr="00954547" w:rsidRDefault="00CD0102" w:rsidP="006D0B17">
      <w:pPr>
        <w:pStyle w:val="FootnoteText"/>
        <w:tabs>
          <w:tab w:val="left" w:pos="567"/>
        </w:tabs>
        <w:spacing w:after="120"/>
        <w:jc w:val="both"/>
      </w:pPr>
      <w:r w:rsidRPr="00954547">
        <w:rPr>
          <w:rStyle w:val="FootnoteReference"/>
        </w:rPr>
        <w:footnoteRef/>
      </w:r>
      <w:r w:rsidRPr="00954547">
        <w:t xml:space="preserve"> </w:t>
      </w:r>
      <w:r w:rsidRPr="00954547">
        <w:tab/>
      </w:r>
      <w:r w:rsidRPr="00954547">
        <w:rPr>
          <w:rFonts w:ascii="Verdana" w:hAnsi="Verdana"/>
          <w:sz w:val="16"/>
          <w:szCs w:val="16"/>
        </w:rPr>
        <w:t>CEDAW. General recommendation No. 33 on women’s access to justice, CEDAW/C/GC/33, August 3, 2015, para. 8.</w:t>
      </w:r>
    </w:p>
  </w:footnote>
  <w:footnote w:id="550">
    <w:p w14:paraId="11E76CD3" w14:textId="32D85C05" w:rsidR="005B47F3" w:rsidRPr="00954547" w:rsidRDefault="005B47F3" w:rsidP="006D0B17">
      <w:pPr>
        <w:tabs>
          <w:tab w:val="left" w:pos="567"/>
        </w:tabs>
        <w:spacing w:after="120"/>
        <w:ind w:hanging="2"/>
        <w:jc w:val="both"/>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rPr>
        <w:t xml:space="preserve">  </w:t>
      </w:r>
      <w:r w:rsidRPr="00954547">
        <w:rPr>
          <w:rFonts w:ascii="Verdana" w:hAnsi="Verdana"/>
          <w:sz w:val="16"/>
          <w:szCs w:val="16"/>
        </w:rPr>
        <w:tab/>
        <w:t xml:space="preserve">CEDAW. </w:t>
      </w:r>
      <w:r w:rsidR="00402F86" w:rsidRPr="00954547">
        <w:rPr>
          <w:rFonts w:ascii="Verdana" w:hAnsi="Verdana"/>
          <w:sz w:val="16"/>
          <w:szCs w:val="16"/>
        </w:rPr>
        <w:t xml:space="preserve">General recommendation </w:t>
      </w:r>
      <w:r w:rsidR="00DF31AA" w:rsidRPr="00954547">
        <w:rPr>
          <w:rFonts w:ascii="Verdana" w:hAnsi="Verdana"/>
          <w:sz w:val="16"/>
          <w:szCs w:val="16"/>
        </w:rPr>
        <w:t xml:space="preserve">No. 33 on women’s access to justice, CEDAW/C/GC/33, August 3, </w:t>
      </w:r>
      <w:r w:rsidRPr="00954547">
        <w:rPr>
          <w:rFonts w:ascii="Verdana" w:hAnsi="Verdana"/>
          <w:sz w:val="16"/>
          <w:szCs w:val="16"/>
        </w:rPr>
        <w:t xml:space="preserve">2015, </w:t>
      </w:r>
      <w:r w:rsidR="00B10E5A" w:rsidRPr="00954547">
        <w:rPr>
          <w:rFonts w:ascii="Verdana" w:hAnsi="Verdana"/>
          <w:sz w:val="16"/>
          <w:szCs w:val="16"/>
        </w:rPr>
        <w:t>para.</w:t>
      </w:r>
      <w:r w:rsidR="00EA50CA" w:rsidRPr="00954547">
        <w:rPr>
          <w:rFonts w:ascii="Verdana" w:hAnsi="Verdana"/>
          <w:sz w:val="16"/>
          <w:szCs w:val="16"/>
        </w:rPr>
        <w:t xml:space="preserve"> </w:t>
      </w:r>
      <w:r w:rsidRPr="00954547">
        <w:rPr>
          <w:rFonts w:ascii="Verdana" w:hAnsi="Verdana"/>
          <w:sz w:val="16"/>
          <w:szCs w:val="16"/>
        </w:rPr>
        <w:t>8.</w:t>
      </w:r>
    </w:p>
  </w:footnote>
  <w:footnote w:id="551">
    <w:p w14:paraId="76469970" w14:textId="688CB78F" w:rsidR="005B47F3" w:rsidRPr="00954547" w:rsidRDefault="005B47F3" w:rsidP="007619E6">
      <w:pPr>
        <w:tabs>
          <w:tab w:val="left" w:pos="567"/>
        </w:tabs>
        <w:spacing w:after="120"/>
        <w:ind w:hanging="2"/>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rPr>
        <w:t xml:space="preserve"> </w:t>
      </w:r>
      <w:r w:rsidRPr="00954547">
        <w:rPr>
          <w:rFonts w:ascii="Verdana" w:hAnsi="Verdana"/>
          <w:sz w:val="16"/>
          <w:szCs w:val="16"/>
        </w:rPr>
        <w:tab/>
        <w:t xml:space="preserve">Amicus Curiae Fundación para el Debido Proceso, </w:t>
      </w:r>
      <w:r w:rsidR="005E56C5" w:rsidRPr="00954547">
        <w:rPr>
          <w:rFonts w:ascii="Verdana" w:hAnsi="Verdana"/>
          <w:sz w:val="16"/>
          <w:szCs w:val="16"/>
        </w:rPr>
        <w:t>p.</w:t>
      </w:r>
      <w:r w:rsidRPr="00954547">
        <w:rPr>
          <w:rFonts w:ascii="Verdana" w:hAnsi="Verdana"/>
          <w:sz w:val="16"/>
          <w:szCs w:val="16"/>
        </w:rPr>
        <w:t xml:space="preserve"> 15</w:t>
      </w:r>
    </w:p>
  </w:footnote>
  <w:footnote w:id="552">
    <w:p w14:paraId="0D796623" w14:textId="7734E891" w:rsidR="005B47F3" w:rsidRPr="00954547" w:rsidRDefault="005B47F3" w:rsidP="007619E6">
      <w:pPr>
        <w:tabs>
          <w:tab w:val="left" w:pos="567"/>
        </w:tabs>
        <w:spacing w:after="120"/>
        <w:ind w:hanging="2"/>
        <w:jc w:val="both"/>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FC4D38" w:rsidRPr="00954547">
        <w:rPr>
          <w:rFonts w:ascii="Verdana" w:hAnsi="Verdana"/>
          <w:i/>
          <w:sz w:val="16"/>
          <w:szCs w:val="16"/>
        </w:rPr>
        <w:t xml:space="preserve">of the Workers of the </w:t>
      </w:r>
      <w:r w:rsidR="00420435" w:rsidRPr="00954547">
        <w:rPr>
          <w:rFonts w:ascii="Verdana" w:hAnsi="Verdana"/>
          <w:i/>
          <w:sz w:val="16"/>
          <w:szCs w:val="16"/>
        </w:rPr>
        <w:t>Fireworks</w:t>
      </w:r>
      <w:r w:rsidR="00FC4D38" w:rsidRPr="00954547">
        <w:rPr>
          <w:rFonts w:ascii="Verdana" w:hAnsi="Verdana"/>
          <w:i/>
          <w:sz w:val="16"/>
          <w:szCs w:val="16"/>
        </w:rPr>
        <w:t xml:space="preserve"> Factory of</w:t>
      </w:r>
      <w:r w:rsidRPr="00954547">
        <w:rPr>
          <w:rFonts w:ascii="Verdana" w:hAnsi="Verdana"/>
          <w:i/>
          <w:sz w:val="16"/>
          <w:szCs w:val="16"/>
        </w:rPr>
        <w:t xml:space="preserve"> Santo Antônio de Jesus</w:t>
      </w:r>
      <w:r w:rsidR="006E4BFA" w:rsidRPr="00954547">
        <w:rPr>
          <w:rFonts w:ascii="Verdana" w:hAnsi="Verdana"/>
          <w:i/>
          <w:sz w:val="16"/>
          <w:szCs w:val="16"/>
        </w:rPr>
        <w:t xml:space="preserve"> and their families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FE7CD2" w:rsidRPr="00954547">
        <w:rPr>
          <w:rFonts w:ascii="Verdana" w:hAnsi="Verdana"/>
          <w:sz w:val="16"/>
          <w:szCs w:val="16"/>
        </w:rPr>
        <w:t>July 15,</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 xml:space="preserve">C No. 407, </w:t>
      </w:r>
      <w:r w:rsidR="00B10E5A" w:rsidRPr="00954547">
        <w:rPr>
          <w:rFonts w:ascii="Verdana" w:hAnsi="Verdana"/>
          <w:sz w:val="16"/>
          <w:szCs w:val="16"/>
        </w:rPr>
        <w:t>para.</w:t>
      </w:r>
      <w:r w:rsidRPr="00954547">
        <w:rPr>
          <w:rFonts w:ascii="Verdana" w:hAnsi="Verdana"/>
          <w:sz w:val="16"/>
          <w:szCs w:val="16"/>
        </w:rPr>
        <w:t xml:space="preserve"> 191,</w:t>
      </w:r>
      <w:r w:rsidR="0078694F" w:rsidRPr="00954547">
        <w:rPr>
          <w:rFonts w:ascii="Verdana" w:hAnsi="Verdana"/>
          <w:sz w:val="16"/>
          <w:szCs w:val="16"/>
        </w:rPr>
        <w:t xml:space="preserve"> and </w:t>
      </w:r>
      <w:r w:rsidR="002F4617" w:rsidRPr="00954547">
        <w:rPr>
          <w:rFonts w:ascii="Verdana" w:hAnsi="Verdana"/>
          <w:i/>
          <w:sz w:val="16"/>
          <w:szCs w:val="16"/>
        </w:rPr>
        <w:t>Case of</w:t>
      </w:r>
      <w:r w:rsidRPr="00954547">
        <w:rPr>
          <w:rFonts w:ascii="Verdana" w:hAnsi="Verdana"/>
          <w:i/>
          <w:sz w:val="16"/>
          <w:szCs w:val="16"/>
        </w:rPr>
        <w:t xml:space="preserve"> Gonzales Lluy </w:t>
      </w:r>
      <w:r w:rsidR="00B8393C" w:rsidRPr="00954547">
        <w:rPr>
          <w:rFonts w:ascii="Verdana" w:hAnsi="Verdana"/>
          <w:i/>
          <w:sz w:val="16"/>
          <w:szCs w:val="16"/>
        </w:rPr>
        <w:t>et al. v.</w:t>
      </w:r>
      <w:r w:rsidRPr="00954547">
        <w:rPr>
          <w:rFonts w:ascii="Verdana" w:hAnsi="Verdana"/>
          <w:i/>
          <w:sz w:val="16"/>
          <w:szCs w:val="16"/>
        </w:rPr>
        <w:t xml:space="preserve"> Ecuador.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4110D3" w:rsidRPr="00954547">
        <w:rPr>
          <w:rFonts w:ascii="Verdana" w:hAnsi="Verdana"/>
          <w:sz w:val="16"/>
          <w:szCs w:val="16"/>
        </w:rPr>
        <w:t>September 1,</w:t>
      </w:r>
      <w:r w:rsidRPr="00954547">
        <w:rPr>
          <w:rFonts w:ascii="Verdana" w:hAnsi="Verdana"/>
          <w:sz w:val="16"/>
          <w:szCs w:val="16"/>
        </w:rPr>
        <w:t xml:space="preserve"> 2015. </w:t>
      </w:r>
      <w:r w:rsidR="00B8393C" w:rsidRPr="00954547">
        <w:rPr>
          <w:rFonts w:ascii="Verdana" w:hAnsi="Verdana"/>
          <w:sz w:val="16"/>
          <w:szCs w:val="16"/>
        </w:rPr>
        <w:t xml:space="preserve">Series </w:t>
      </w:r>
      <w:r w:rsidRPr="00954547">
        <w:rPr>
          <w:rFonts w:ascii="Verdana" w:hAnsi="Verdana"/>
          <w:sz w:val="16"/>
          <w:szCs w:val="16"/>
        </w:rPr>
        <w:t xml:space="preserve">C No. 298, </w:t>
      </w:r>
      <w:r w:rsidR="00B10E5A" w:rsidRPr="00954547">
        <w:rPr>
          <w:rFonts w:ascii="Verdana" w:hAnsi="Verdana"/>
          <w:sz w:val="16"/>
          <w:szCs w:val="16"/>
        </w:rPr>
        <w:t>para.</w:t>
      </w:r>
      <w:r w:rsidRPr="00954547">
        <w:rPr>
          <w:rFonts w:ascii="Verdana" w:hAnsi="Verdana"/>
          <w:sz w:val="16"/>
          <w:szCs w:val="16"/>
        </w:rPr>
        <w:t xml:space="preserve"> 290.</w:t>
      </w:r>
    </w:p>
  </w:footnote>
  <w:footnote w:id="553">
    <w:p w14:paraId="054FF75A" w14:textId="0014C64A" w:rsidR="005B47F3" w:rsidRPr="00954547" w:rsidRDefault="005B47F3" w:rsidP="007619E6">
      <w:pPr>
        <w:tabs>
          <w:tab w:val="left" w:pos="567"/>
        </w:tabs>
        <w:spacing w:after="120"/>
        <w:ind w:hanging="2"/>
        <w:jc w:val="both"/>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402F86" w:rsidRPr="00954547">
        <w:rPr>
          <w:rFonts w:ascii="Verdana" w:hAnsi="Verdana"/>
          <w:sz w:val="16"/>
          <w:szCs w:val="16"/>
        </w:rPr>
        <w:t>Human Rights Council</w:t>
      </w:r>
      <w:r w:rsidRPr="00954547">
        <w:rPr>
          <w:rFonts w:ascii="Verdana" w:hAnsi="Verdana"/>
          <w:sz w:val="16"/>
          <w:szCs w:val="16"/>
        </w:rPr>
        <w:t xml:space="preserve">. </w:t>
      </w:r>
      <w:r w:rsidR="00FE7CD2" w:rsidRPr="00954547">
        <w:rPr>
          <w:rFonts w:ascii="Verdana" w:hAnsi="Verdana"/>
          <w:sz w:val="16"/>
          <w:szCs w:val="16"/>
        </w:rPr>
        <w:t>Report of the Working Group on the issue of discrimination against women in law and in practice. Women deprived of liberty</w:t>
      </w:r>
      <w:r w:rsidRPr="00954547">
        <w:rPr>
          <w:rFonts w:ascii="Verdana" w:hAnsi="Verdana"/>
          <w:sz w:val="16"/>
          <w:szCs w:val="16"/>
        </w:rPr>
        <w:t xml:space="preserve">. A/HRC/41/33, </w:t>
      </w:r>
      <w:r w:rsidR="00FE7CD2" w:rsidRPr="00954547">
        <w:rPr>
          <w:rFonts w:ascii="Verdana" w:hAnsi="Verdana"/>
          <w:sz w:val="16"/>
          <w:szCs w:val="16"/>
        </w:rPr>
        <w:t>May 15,</w:t>
      </w:r>
      <w:r w:rsidRPr="00954547">
        <w:rPr>
          <w:rFonts w:ascii="Verdana" w:hAnsi="Verdana"/>
          <w:sz w:val="16"/>
          <w:szCs w:val="16"/>
        </w:rPr>
        <w:t xml:space="preserve"> 2019, </w:t>
      </w:r>
      <w:r w:rsidR="00B10E5A" w:rsidRPr="00954547">
        <w:rPr>
          <w:rFonts w:ascii="Verdana" w:hAnsi="Verdana"/>
          <w:sz w:val="16"/>
          <w:szCs w:val="16"/>
        </w:rPr>
        <w:t>para.</w:t>
      </w:r>
      <w:r w:rsidRPr="00954547">
        <w:rPr>
          <w:rFonts w:ascii="Verdana" w:hAnsi="Verdana"/>
          <w:sz w:val="16"/>
          <w:szCs w:val="16"/>
        </w:rPr>
        <w:t xml:space="preserve"> 15.</w:t>
      </w:r>
    </w:p>
  </w:footnote>
  <w:footnote w:id="554">
    <w:p w14:paraId="67D0F8BB" w14:textId="5A8F8165" w:rsidR="005B47F3" w:rsidRPr="00954547" w:rsidRDefault="005B47F3" w:rsidP="007619E6">
      <w:pPr>
        <w:tabs>
          <w:tab w:val="left" w:pos="567"/>
        </w:tabs>
        <w:spacing w:after="120"/>
        <w:ind w:hanging="2"/>
        <w:jc w:val="both"/>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rPr>
        <w:t xml:space="preserve">  </w:t>
      </w:r>
      <w:r w:rsidRPr="00954547">
        <w:rPr>
          <w:rFonts w:ascii="Verdana" w:hAnsi="Verdana"/>
          <w:sz w:val="16"/>
          <w:szCs w:val="16"/>
        </w:rPr>
        <w:tab/>
      </w:r>
      <w:r w:rsidR="00B8393C" w:rsidRPr="00954547">
        <w:rPr>
          <w:rFonts w:ascii="Verdana" w:hAnsi="Verdana"/>
          <w:i/>
          <w:sz w:val="16"/>
          <w:szCs w:val="16"/>
        </w:rPr>
        <w:t>Cf.</w:t>
      </w:r>
      <w:r w:rsidRPr="00954547">
        <w:rPr>
          <w:rFonts w:ascii="Verdana" w:hAnsi="Verdana"/>
          <w:i/>
          <w:sz w:val="16"/>
          <w:szCs w:val="16"/>
        </w:rPr>
        <w:t xml:space="preserve"> </w:t>
      </w:r>
      <w:r w:rsidR="002F4617" w:rsidRPr="00954547">
        <w:rPr>
          <w:rFonts w:ascii="Verdana" w:hAnsi="Verdana"/>
          <w:i/>
          <w:sz w:val="16"/>
          <w:szCs w:val="16"/>
        </w:rPr>
        <w:t xml:space="preserve">Case </w:t>
      </w:r>
      <w:r w:rsidR="00FC4D38" w:rsidRPr="00954547">
        <w:rPr>
          <w:rFonts w:ascii="Verdana" w:hAnsi="Verdana"/>
          <w:i/>
          <w:sz w:val="16"/>
          <w:szCs w:val="16"/>
        </w:rPr>
        <w:t xml:space="preserve">of the Workers of the </w:t>
      </w:r>
      <w:r w:rsidR="00420435" w:rsidRPr="00954547">
        <w:rPr>
          <w:rFonts w:ascii="Verdana" w:hAnsi="Verdana"/>
          <w:i/>
          <w:sz w:val="16"/>
          <w:szCs w:val="16"/>
        </w:rPr>
        <w:t>Fireworks</w:t>
      </w:r>
      <w:r w:rsidR="00FC4D38" w:rsidRPr="00954547">
        <w:rPr>
          <w:rFonts w:ascii="Verdana" w:hAnsi="Verdana"/>
          <w:i/>
          <w:sz w:val="16"/>
          <w:szCs w:val="16"/>
        </w:rPr>
        <w:t xml:space="preserve"> Factory of</w:t>
      </w:r>
      <w:r w:rsidRPr="00954547">
        <w:rPr>
          <w:rFonts w:ascii="Verdana" w:hAnsi="Verdana"/>
          <w:i/>
          <w:sz w:val="16"/>
          <w:szCs w:val="16"/>
        </w:rPr>
        <w:t xml:space="preserve"> Santo Antônio de Jesus</w:t>
      </w:r>
      <w:r w:rsidR="006E4BFA" w:rsidRPr="00954547">
        <w:rPr>
          <w:rFonts w:ascii="Verdana" w:hAnsi="Verdana"/>
          <w:i/>
          <w:sz w:val="16"/>
          <w:szCs w:val="16"/>
        </w:rPr>
        <w:t xml:space="preserve"> and their families</w:t>
      </w:r>
      <w:r w:rsidRPr="00954547">
        <w:rPr>
          <w:rFonts w:ascii="Verdana" w:hAnsi="Verdana"/>
          <w:i/>
          <w:sz w:val="16"/>
          <w:szCs w:val="16"/>
        </w:rPr>
        <w:t xml:space="preserve"> </w:t>
      </w:r>
      <w:r w:rsidR="009C16A1" w:rsidRPr="00954547">
        <w:rPr>
          <w:rFonts w:ascii="Verdana" w:hAnsi="Verdana"/>
          <w:i/>
          <w:sz w:val="16"/>
          <w:szCs w:val="16"/>
        </w:rPr>
        <w:t>v.</w:t>
      </w:r>
      <w:r w:rsidRPr="00954547">
        <w:rPr>
          <w:rFonts w:ascii="Verdana" w:hAnsi="Verdana"/>
          <w:i/>
          <w:sz w:val="16"/>
          <w:szCs w:val="16"/>
        </w:rPr>
        <w:t xml:space="preserve"> </w:t>
      </w:r>
      <w:r w:rsidR="000B21CE" w:rsidRPr="00954547">
        <w:rPr>
          <w:rFonts w:ascii="Verdana" w:hAnsi="Verdana"/>
          <w:i/>
          <w:sz w:val="16"/>
          <w:szCs w:val="16"/>
        </w:rPr>
        <w:t>Brazil</w:t>
      </w:r>
      <w:r w:rsidRPr="00954547">
        <w:rPr>
          <w:rFonts w:ascii="Verdana" w:hAnsi="Verdana"/>
          <w:i/>
          <w:sz w:val="16"/>
          <w:szCs w:val="16"/>
        </w:rPr>
        <w:t xml:space="preserve">. </w:t>
      </w:r>
      <w:r w:rsidR="004C640C" w:rsidRPr="00954547">
        <w:rPr>
          <w:rFonts w:ascii="Verdana" w:hAnsi="Verdana"/>
          <w:i/>
          <w:sz w:val="16"/>
          <w:szCs w:val="16"/>
        </w:rPr>
        <w:t>Preliminary objections, merits</w:t>
      </w:r>
      <w:r w:rsidR="00A70DC4" w:rsidRPr="00954547">
        <w:rPr>
          <w:rFonts w:ascii="Verdana" w:hAnsi="Verdana"/>
          <w:i/>
          <w:sz w:val="16"/>
          <w:szCs w:val="16"/>
        </w:rPr>
        <w:t>, reparations and costs</w:t>
      </w:r>
      <w:r w:rsidRPr="00954547">
        <w:rPr>
          <w:rFonts w:ascii="Verdana" w:hAnsi="Verdana"/>
          <w:sz w:val="16"/>
          <w:szCs w:val="16"/>
        </w:rPr>
        <w:t xml:space="preserve">. </w:t>
      </w:r>
      <w:r w:rsidR="00B8393C" w:rsidRPr="00954547">
        <w:rPr>
          <w:rFonts w:ascii="Verdana" w:hAnsi="Verdana"/>
          <w:sz w:val="16"/>
          <w:szCs w:val="16"/>
        </w:rPr>
        <w:t>Judgment of</w:t>
      </w:r>
      <w:r w:rsidRPr="00954547">
        <w:rPr>
          <w:rFonts w:ascii="Verdana" w:hAnsi="Verdana"/>
          <w:sz w:val="16"/>
          <w:szCs w:val="16"/>
        </w:rPr>
        <w:t xml:space="preserve"> </w:t>
      </w:r>
      <w:r w:rsidR="00E67A8B" w:rsidRPr="00954547">
        <w:rPr>
          <w:rFonts w:ascii="Verdana" w:hAnsi="Verdana"/>
          <w:sz w:val="16"/>
          <w:szCs w:val="16"/>
        </w:rPr>
        <w:t>July 15,</w:t>
      </w:r>
      <w:r w:rsidRPr="00954547">
        <w:rPr>
          <w:rFonts w:ascii="Verdana" w:hAnsi="Verdana"/>
          <w:sz w:val="16"/>
          <w:szCs w:val="16"/>
        </w:rPr>
        <w:t xml:space="preserve"> 2020. </w:t>
      </w:r>
      <w:r w:rsidR="00B8393C" w:rsidRPr="00954547">
        <w:rPr>
          <w:rFonts w:ascii="Verdana" w:hAnsi="Verdana"/>
          <w:sz w:val="16"/>
          <w:szCs w:val="16"/>
        </w:rPr>
        <w:t xml:space="preserve">Series </w:t>
      </w:r>
      <w:r w:rsidRPr="00954547">
        <w:rPr>
          <w:rFonts w:ascii="Verdana" w:hAnsi="Verdana"/>
          <w:sz w:val="16"/>
          <w:szCs w:val="16"/>
        </w:rPr>
        <w:t xml:space="preserve">C No. 407, </w:t>
      </w:r>
      <w:r w:rsidR="00B10E5A" w:rsidRPr="00954547">
        <w:rPr>
          <w:rFonts w:ascii="Verdana" w:hAnsi="Verdana"/>
          <w:sz w:val="16"/>
          <w:szCs w:val="16"/>
        </w:rPr>
        <w:t>para.</w:t>
      </w:r>
      <w:r w:rsidRPr="00954547">
        <w:rPr>
          <w:rFonts w:ascii="Verdana" w:hAnsi="Verdana"/>
          <w:sz w:val="16"/>
          <w:szCs w:val="16"/>
        </w:rPr>
        <w:t xml:space="preserve"> 198.</w:t>
      </w:r>
    </w:p>
  </w:footnote>
  <w:footnote w:id="555">
    <w:p w14:paraId="56E3113F" w14:textId="6D4228B1" w:rsidR="005B47F3" w:rsidRPr="004148F5" w:rsidRDefault="005B47F3" w:rsidP="007619E6">
      <w:pPr>
        <w:tabs>
          <w:tab w:val="left" w:pos="567"/>
        </w:tabs>
        <w:spacing w:after="120"/>
        <w:ind w:hanging="2"/>
        <w:rPr>
          <w:rFonts w:ascii="Verdana" w:hAnsi="Verdana"/>
          <w:sz w:val="16"/>
          <w:szCs w:val="16"/>
        </w:rPr>
      </w:pPr>
      <w:r w:rsidRPr="00954547">
        <w:rPr>
          <w:rFonts w:ascii="Verdana" w:hAnsi="Verdana"/>
          <w:sz w:val="16"/>
          <w:szCs w:val="16"/>
          <w:vertAlign w:val="superscript"/>
        </w:rPr>
        <w:footnoteRef/>
      </w:r>
      <w:r w:rsidRPr="00954547">
        <w:rPr>
          <w:rFonts w:ascii="Verdana" w:hAnsi="Verdana"/>
          <w:sz w:val="16"/>
          <w:szCs w:val="16"/>
        </w:rPr>
        <w:t xml:space="preserve"> </w:t>
      </w:r>
      <w:r w:rsidRPr="00954547">
        <w:rPr>
          <w:rFonts w:ascii="Verdana" w:hAnsi="Verdana"/>
          <w:sz w:val="16"/>
          <w:szCs w:val="16"/>
        </w:rPr>
        <w:tab/>
        <w:t>Amicus Curiae</w:t>
      </w:r>
      <w:r w:rsidR="009D6B17" w:rsidRPr="00954547">
        <w:rPr>
          <w:rFonts w:ascii="Verdana" w:hAnsi="Verdana"/>
          <w:sz w:val="16"/>
          <w:szCs w:val="16"/>
        </w:rPr>
        <w:t xml:space="preserve">, </w:t>
      </w:r>
      <w:r w:rsidRPr="00954547">
        <w:rPr>
          <w:rFonts w:ascii="Verdana" w:hAnsi="Verdana"/>
          <w:sz w:val="16"/>
          <w:szCs w:val="16"/>
        </w:rPr>
        <w:t xml:space="preserve">Fundación para el Debido Proceso, </w:t>
      </w:r>
      <w:r w:rsidR="005E56C5" w:rsidRPr="00954547">
        <w:rPr>
          <w:rFonts w:ascii="Verdana" w:hAnsi="Verdana"/>
          <w:sz w:val="16"/>
          <w:szCs w:val="16"/>
        </w:rPr>
        <w:t>p.</w:t>
      </w:r>
      <w:r w:rsidRPr="00954547">
        <w:rPr>
          <w:rFonts w:ascii="Verdana" w:hAnsi="Verdana"/>
          <w:sz w:val="16"/>
          <w:szCs w:val="16"/>
        </w:rPr>
        <w:t xml:space="preserve">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D15" w14:textId="433E2C84" w:rsidR="005F001B" w:rsidRDefault="005F001B" w:rsidP="000254F6">
    <w:pPr>
      <w:pStyle w:val="Default"/>
      <w:rPr>
        <w:b/>
        <w:sz w:val="16"/>
        <w:szCs w:val="16"/>
      </w:rPr>
    </w:pPr>
  </w:p>
  <w:p w14:paraId="27E9364A" w14:textId="6A9BA661" w:rsidR="005F001B" w:rsidRPr="00EB236A" w:rsidRDefault="005F001B" w:rsidP="00017213">
    <w:pPr>
      <w:pStyle w:val="Header"/>
      <w:rPr>
        <w:sz w:val="16"/>
        <w:szCs w:val="16"/>
        <w:lang w:val="es-CR"/>
      </w:rPr>
    </w:pPr>
    <w:r w:rsidRPr="00EB236A">
      <w:rPr>
        <w:rFonts w:ascii="Verdana" w:hAnsi="Verdana"/>
        <w:i/>
        <w:sz w:val="16"/>
        <w:szCs w:val="16"/>
        <w:lang w:val="es-CR"/>
      </w:rPr>
      <w:tab/>
    </w:r>
    <w:r w:rsidRPr="00EB236A">
      <w:rPr>
        <w:rFonts w:ascii="Verdana" w:hAnsi="Verdana"/>
        <w:i/>
        <w:sz w:val="16"/>
        <w:szCs w:val="16"/>
        <w:lang w:val="es-C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CA1" w14:textId="77777777" w:rsidR="00653CCE" w:rsidRDefault="00653CCE" w:rsidP="00753DD7">
    <w:pPr>
      <w:pStyle w:val="Header"/>
      <w:ind w:hanging="2"/>
    </w:pPr>
  </w:p>
  <w:p w14:paraId="4F34E829" w14:textId="77777777" w:rsidR="00653CCE" w:rsidRDefault="00653CCE" w:rsidP="00753DD7">
    <w:pPr>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4ACF" w14:textId="77777777" w:rsidR="00653CCE" w:rsidRDefault="00653CCE">
    <w:pPr>
      <w:ind w:hanging="2"/>
      <w:rPr>
        <w:color w:val="000000"/>
      </w:rPr>
    </w:pPr>
  </w:p>
  <w:p w14:paraId="51D59B80" w14:textId="77777777" w:rsidR="00653CCE" w:rsidRDefault="00653CCE" w:rsidP="00E5012E">
    <w:pPr>
      <w:ind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5C61" w14:textId="77777777" w:rsidR="00653CCE" w:rsidRDefault="00653CCE" w:rsidP="00753DD7">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14CEB62"/>
    <w:lvl w:ilvl="0">
      <w:start w:val="1"/>
      <w:numFmt w:val="decimal"/>
      <w:pStyle w:val="ListNumber"/>
      <w:lvlText w:val="%1."/>
      <w:lvlJc w:val="left"/>
      <w:pPr>
        <w:tabs>
          <w:tab w:val="num" w:pos="360"/>
        </w:tabs>
        <w:ind w:left="360" w:hanging="360"/>
      </w:pPr>
    </w:lvl>
  </w:abstractNum>
  <w:abstractNum w:abstractNumId="1" w15:restartNumberingAfterBreak="0">
    <w:nsid w:val="023F6B66"/>
    <w:multiLevelType w:val="hybridMultilevel"/>
    <w:tmpl w:val="3830D59E"/>
    <w:lvl w:ilvl="0" w:tplc="4E2A0C4C">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A2F5E98"/>
    <w:multiLevelType w:val="hybridMultilevel"/>
    <w:tmpl w:val="D5DE6144"/>
    <w:lvl w:ilvl="0" w:tplc="02189AA0">
      <w:start w:val="1"/>
      <w:numFmt w:val="decimal"/>
      <w:lvlText w:val="%1."/>
      <w:lvlJc w:val="left"/>
      <w:pPr>
        <w:ind w:left="2061" w:hanging="360"/>
      </w:pPr>
      <w:rPr>
        <w:rFonts w:cs="Times New Roman"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7F265E"/>
    <w:multiLevelType w:val="hybridMultilevel"/>
    <w:tmpl w:val="8B5AA540"/>
    <w:lvl w:ilvl="0" w:tplc="97D8D100">
      <w:start w:val="1"/>
      <w:numFmt w:val="decimal"/>
      <w:lvlText w:val="%1)"/>
      <w:lvlJc w:val="left"/>
      <w:pPr>
        <w:ind w:left="2007" w:hanging="360"/>
      </w:pPr>
      <w:rPr>
        <w:rFonts w:hint="default"/>
      </w:rPr>
    </w:lvl>
    <w:lvl w:ilvl="1" w:tplc="140A0019" w:tentative="1">
      <w:start w:val="1"/>
      <w:numFmt w:val="lowerLetter"/>
      <w:lvlText w:val="%2."/>
      <w:lvlJc w:val="left"/>
      <w:pPr>
        <w:ind w:left="2727" w:hanging="360"/>
      </w:pPr>
    </w:lvl>
    <w:lvl w:ilvl="2" w:tplc="140A001B" w:tentative="1">
      <w:start w:val="1"/>
      <w:numFmt w:val="lowerRoman"/>
      <w:lvlText w:val="%3."/>
      <w:lvlJc w:val="right"/>
      <w:pPr>
        <w:ind w:left="3447" w:hanging="180"/>
      </w:pPr>
    </w:lvl>
    <w:lvl w:ilvl="3" w:tplc="140A000F" w:tentative="1">
      <w:start w:val="1"/>
      <w:numFmt w:val="decimal"/>
      <w:lvlText w:val="%4."/>
      <w:lvlJc w:val="left"/>
      <w:pPr>
        <w:ind w:left="4167" w:hanging="360"/>
      </w:pPr>
    </w:lvl>
    <w:lvl w:ilvl="4" w:tplc="140A0019" w:tentative="1">
      <w:start w:val="1"/>
      <w:numFmt w:val="lowerLetter"/>
      <w:lvlText w:val="%5."/>
      <w:lvlJc w:val="left"/>
      <w:pPr>
        <w:ind w:left="4887" w:hanging="360"/>
      </w:pPr>
    </w:lvl>
    <w:lvl w:ilvl="5" w:tplc="140A001B" w:tentative="1">
      <w:start w:val="1"/>
      <w:numFmt w:val="lowerRoman"/>
      <w:lvlText w:val="%6."/>
      <w:lvlJc w:val="right"/>
      <w:pPr>
        <w:ind w:left="5607" w:hanging="180"/>
      </w:pPr>
    </w:lvl>
    <w:lvl w:ilvl="6" w:tplc="140A000F" w:tentative="1">
      <w:start w:val="1"/>
      <w:numFmt w:val="decimal"/>
      <w:lvlText w:val="%7."/>
      <w:lvlJc w:val="left"/>
      <w:pPr>
        <w:ind w:left="6327" w:hanging="360"/>
      </w:pPr>
    </w:lvl>
    <w:lvl w:ilvl="7" w:tplc="140A0019" w:tentative="1">
      <w:start w:val="1"/>
      <w:numFmt w:val="lowerLetter"/>
      <w:lvlText w:val="%8."/>
      <w:lvlJc w:val="left"/>
      <w:pPr>
        <w:ind w:left="7047" w:hanging="360"/>
      </w:pPr>
    </w:lvl>
    <w:lvl w:ilvl="8" w:tplc="140A001B" w:tentative="1">
      <w:start w:val="1"/>
      <w:numFmt w:val="lowerRoman"/>
      <w:lvlText w:val="%9."/>
      <w:lvlJc w:val="right"/>
      <w:pPr>
        <w:ind w:left="7767" w:hanging="180"/>
      </w:pPr>
    </w:lvl>
  </w:abstractNum>
  <w:abstractNum w:abstractNumId="4" w15:restartNumberingAfterBreak="0">
    <w:nsid w:val="22962028"/>
    <w:multiLevelType w:val="hybridMultilevel"/>
    <w:tmpl w:val="8DA2E2BA"/>
    <w:lvl w:ilvl="0" w:tplc="8DF093BE">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5" w15:restartNumberingAfterBreak="0">
    <w:nsid w:val="2D752D31"/>
    <w:multiLevelType w:val="hybridMultilevel"/>
    <w:tmpl w:val="A3880C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78B0BD0"/>
    <w:multiLevelType w:val="hybridMultilevel"/>
    <w:tmpl w:val="BEC076D6"/>
    <w:lvl w:ilvl="0" w:tplc="30EC4D1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EAC06AB"/>
    <w:multiLevelType w:val="hybridMultilevel"/>
    <w:tmpl w:val="C8C4963C"/>
    <w:lvl w:ilvl="0" w:tplc="FBE29EC8">
      <w:start w:val="1"/>
      <w:numFmt w:val="decimal"/>
      <w:pStyle w:val="ListParagraph"/>
      <w:lvlText w:val="%1."/>
      <w:lvlJc w:val="left"/>
      <w:pPr>
        <w:ind w:left="720" w:hanging="360"/>
      </w:pPr>
      <w:rPr>
        <w:rFonts w:ascii="Verdana" w:hAnsi="Verdan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350C51"/>
    <w:multiLevelType w:val="hybridMultilevel"/>
    <w:tmpl w:val="EB3A9474"/>
    <w:lvl w:ilvl="0" w:tplc="AF88787A">
      <w:start w:val="1"/>
      <w:numFmt w:val="decimal"/>
      <w:lvlText w:val="%1."/>
      <w:lvlJc w:val="left"/>
      <w:pPr>
        <w:ind w:left="720" w:hanging="360"/>
      </w:pPr>
      <w:rPr>
        <w:rFonts w:hint="default"/>
        <w:i w:val="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6F43A76"/>
    <w:multiLevelType w:val="hybridMultilevel"/>
    <w:tmpl w:val="44EEC2E2"/>
    <w:lvl w:ilvl="0" w:tplc="19F8B70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49592C36"/>
    <w:multiLevelType w:val="hybridMultilevel"/>
    <w:tmpl w:val="8C8EB108"/>
    <w:lvl w:ilvl="0" w:tplc="06F05E54">
      <w:start w:val="1"/>
      <w:numFmt w:val="upperLetter"/>
      <w:lvlText w:val="%1."/>
      <w:lvlJc w:val="left"/>
      <w:pPr>
        <w:ind w:left="928" w:hanging="360"/>
      </w:pPr>
      <w:rPr>
        <w:rFonts w:hint="defaul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1" w15:restartNumberingAfterBreak="0">
    <w:nsid w:val="5D7D4B9D"/>
    <w:multiLevelType w:val="hybridMultilevel"/>
    <w:tmpl w:val="68C025F8"/>
    <w:lvl w:ilvl="0" w:tplc="247CEF90">
      <w:start w:val="1"/>
      <w:numFmt w:val="decimal"/>
      <w:pStyle w:val="SingleTxt"/>
      <w:lvlText w:val="%1."/>
      <w:lvlJc w:val="left"/>
      <w:pPr>
        <w:ind w:left="1260" w:hanging="360"/>
      </w:pPr>
      <w:rPr>
        <w:rFonts w:ascii="Verdana" w:hAnsi="Verdana" w:hint="default"/>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89434A6">
      <w:start w:val="1"/>
      <w:numFmt w:val="decimal"/>
      <w:lvlText w:val="%4."/>
      <w:lvlJc w:val="left"/>
      <w:pPr>
        <w:ind w:left="2880" w:hanging="360"/>
      </w:pPr>
      <w:rPr>
        <w:rFonts w:asciiTheme="majorHAnsi" w:hAnsiTheme="majorHAnsi" w:hint="default"/>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2192A"/>
    <w:multiLevelType w:val="hybridMultilevel"/>
    <w:tmpl w:val="10863BCE"/>
    <w:lvl w:ilvl="0" w:tplc="7E0023B2">
      <w:start w:val="1"/>
      <w:numFmt w:val="decimal"/>
      <w:lvlText w:val="%1."/>
      <w:lvlJc w:val="left"/>
      <w:pPr>
        <w:ind w:left="502" w:hanging="360"/>
      </w:pPr>
      <w:rPr>
        <w:rFonts w:hint="default"/>
        <w:b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EE51563"/>
    <w:multiLevelType w:val="hybridMultilevel"/>
    <w:tmpl w:val="35263DBA"/>
    <w:lvl w:ilvl="0" w:tplc="642A04B0">
      <w:start w:val="1"/>
      <w:numFmt w:val="decimal"/>
      <w:lvlText w:val="%1."/>
      <w:lvlJc w:val="left"/>
      <w:pPr>
        <w:ind w:left="398" w:hanging="567"/>
      </w:pPr>
      <w:rPr>
        <w:rFonts w:ascii="Verdana" w:eastAsia="Verdana" w:hAnsi="Verdana" w:cs="Verdana" w:hint="default"/>
        <w:b w:val="0"/>
        <w:bCs w:val="0"/>
        <w:i w:val="0"/>
        <w:iCs w:val="0"/>
        <w:w w:val="99"/>
        <w:sz w:val="20"/>
        <w:szCs w:val="20"/>
      </w:rPr>
    </w:lvl>
    <w:lvl w:ilvl="1" w:tplc="1CF6647C">
      <w:start w:val="1"/>
      <w:numFmt w:val="lowerLetter"/>
      <w:lvlText w:val="%2)"/>
      <w:lvlJc w:val="left"/>
      <w:pPr>
        <w:ind w:left="1250" w:hanging="277"/>
      </w:pPr>
      <w:rPr>
        <w:rFonts w:hint="default"/>
        <w:spacing w:val="-1"/>
        <w:w w:val="100"/>
      </w:rPr>
    </w:lvl>
    <w:lvl w:ilvl="2" w:tplc="65B06B7C">
      <w:numFmt w:val="bullet"/>
      <w:lvlText w:val="•"/>
      <w:lvlJc w:val="left"/>
      <w:pPr>
        <w:ind w:left="1480" w:hanging="277"/>
      </w:pPr>
      <w:rPr>
        <w:rFonts w:hint="default"/>
      </w:rPr>
    </w:lvl>
    <w:lvl w:ilvl="3" w:tplc="DC7C3A82">
      <w:numFmt w:val="bullet"/>
      <w:lvlText w:val="•"/>
      <w:lvlJc w:val="left"/>
      <w:pPr>
        <w:ind w:left="2605" w:hanging="277"/>
      </w:pPr>
      <w:rPr>
        <w:rFonts w:hint="default"/>
      </w:rPr>
    </w:lvl>
    <w:lvl w:ilvl="4" w:tplc="F8A443C4">
      <w:numFmt w:val="bullet"/>
      <w:lvlText w:val="•"/>
      <w:lvlJc w:val="left"/>
      <w:pPr>
        <w:ind w:left="3730" w:hanging="277"/>
      </w:pPr>
      <w:rPr>
        <w:rFonts w:hint="default"/>
      </w:rPr>
    </w:lvl>
    <w:lvl w:ilvl="5" w:tplc="0FEC4564">
      <w:numFmt w:val="bullet"/>
      <w:lvlText w:val="•"/>
      <w:lvlJc w:val="left"/>
      <w:pPr>
        <w:ind w:left="4855" w:hanging="277"/>
      </w:pPr>
      <w:rPr>
        <w:rFonts w:hint="default"/>
      </w:rPr>
    </w:lvl>
    <w:lvl w:ilvl="6" w:tplc="6194C862">
      <w:numFmt w:val="bullet"/>
      <w:lvlText w:val="•"/>
      <w:lvlJc w:val="left"/>
      <w:pPr>
        <w:ind w:left="5980" w:hanging="277"/>
      </w:pPr>
      <w:rPr>
        <w:rFonts w:hint="default"/>
      </w:rPr>
    </w:lvl>
    <w:lvl w:ilvl="7" w:tplc="CF849E38">
      <w:numFmt w:val="bullet"/>
      <w:lvlText w:val="•"/>
      <w:lvlJc w:val="left"/>
      <w:pPr>
        <w:ind w:left="7105" w:hanging="277"/>
      </w:pPr>
      <w:rPr>
        <w:rFonts w:hint="default"/>
      </w:rPr>
    </w:lvl>
    <w:lvl w:ilvl="8" w:tplc="436281B4">
      <w:numFmt w:val="bullet"/>
      <w:lvlText w:val="•"/>
      <w:lvlJc w:val="left"/>
      <w:pPr>
        <w:ind w:left="8230" w:hanging="277"/>
      </w:pPr>
      <w:rPr>
        <w:rFonts w:hint="default"/>
      </w:rPr>
    </w:lvl>
  </w:abstractNum>
  <w:abstractNum w:abstractNumId="14" w15:restartNumberingAfterBreak="0">
    <w:nsid w:val="705A6F5C"/>
    <w:multiLevelType w:val="hybridMultilevel"/>
    <w:tmpl w:val="E09A109A"/>
    <w:lvl w:ilvl="0" w:tplc="27AC5112">
      <w:start w:val="1"/>
      <w:numFmt w:val="decimal"/>
      <w:pStyle w:val="Numberedparagraphs"/>
      <w:lvlText w:val="%1."/>
      <w:lvlJc w:val="left"/>
      <w:pPr>
        <w:tabs>
          <w:tab w:val="num" w:pos="720"/>
        </w:tabs>
        <w:ind w:left="0" w:firstLine="0"/>
      </w:pPr>
      <w:rPr>
        <w:rFonts w:ascii="Verdana" w:hAnsi="Verdana" w:hint="default"/>
        <w:b w:val="0"/>
        <w:i w:val="0"/>
        <w:strike w:val="0"/>
        <w:dstrike w:val="0"/>
        <w:color w:val="auto"/>
        <w:sz w:val="20"/>
        <w:szCs w:val="20"/>
        <w:u w:val="none"/>
        <w:effect w:val="none"/>
        <w:lang w:val="en-US"/>
      </w:rPr>
    </w:lvl>
    <w:lvl w:ilvl="1" w:tplc="5C6C0158">
      <w:start w:val="7"/>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41A6B62"/>
    <w:multiLevelType w:val="hybridMultilevel"/>
    <w:tmpl w:val="4CCCBE52"/>
    <w:lvl w:ilvl="0" w:tplc="0B6C891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E01BF"/>
    <w:multiLevelType w:val="hybridMultilevel"/>
    <w:tmpl w:val="570CDCC6"/>
    <w:lvl w:ilvl="0" w:tplc="7A5A5CB8">
      <w:start w:val="1"/>
      <w:numFmt w:val="upperLetter"/>
      <w:lvlText w:val="%1."/>
      <w:lvlJc w:val="left"/>
      <w:pPr>
        <w:ind w:left="1288" w:hanging="720"/>
      </w:pPr>
    </w:lvl>
    <w:lvl w:ilvl="1" w:tplc="140A0019">
      <w:start w:val="1"/>
      <w:numFmt w:val="lowerLetter"/>
      <w:lvlText w:val="%2."/>
      <w:lvlJc w:val="left"/>
      <w:pPr>
        <w:ind w:left="1659" w:hanging="360"/>
      </w:pPr>
    </w:lvl>
    <w:lvl w:ilvl="2" w:tplc="140A001B">
      <w:start w:val="1"/>
      <w:numFmt w:val="lowerRoman"/>
      <w:lvlText w:val="%3."/>
      <w:lvlJc w:val="right"/>
      <w:pPr>
        <w:ind w:left="2379" w:hanging="180"/>
      </w:pPr>
    </w:lvl>
    <w:lvl w:ilvl="3" w:tplc="3F309098">
      <w:start w:val="1"/>
      <w:numFmt w:val="decimal"/>
      <w:lvlText w:val="%4."/>
      <w:lvlJc w:val="left"/>
      <w:pPr>
        <w:ind w:left="3099" w:hanging="360"/>
      </w:pPr>
      <w:rPr>
        <w:rFonts w:ascii="Verdana" w:hAnsi="Verdana" w:hint="default"/>
        <w:b w:val="0"/>
        <w:color w:val="auto"/>
        <w:sz w:val="20"/>
        <w:szCs w:val="20"/>
      </w:rPr>
    </w:lvl>
    <w:lvl w:ilvl="4" w:tplc="140A0019">
      <w:start w:val="1"/>
      <w:numFmt w:val="lowerLetter"/>
      <w:lvlText w:val="%5."/>
      <w:lvlJc w:val="left"/>
      <w:pPr>
        <w:ind w:left="3819" w:hanging="360"/>
      </w:pPr>
    </w:lvl>
    <w:lvl w:ilvl="5" w:tplc="140A001B">
      <w:start w:val="1"/>
      <w:numFmt w:val="lowerRoman"/>
      <w:lvlText w:val="%6."/>
      <w:lvlJc w:val="right"/>
      <w:pPr>
        <w:ind w:left="4539" w:hanging="180"/>
      </w:pPr>
    </w:lvl>
    <w:lvl w:ilvl="6" w:tplc="140A000F">
      <w:start w:val="1"/>
      <w:numFmt w:val="decimal"/>
      <w:lvlText w:val="%7."/>
      <w:lvlJc w:val="left"/>
      <w:pPr>
        <w:ind w:left="5259" w:hanging="360"/>
      </w:pPr>
    </w:lvl>
    <w:lvl w:ilvl="7" w:tplc="140A0019">
      <w:start w:val="1"/>
      <w:numFmt w:val="lowerLetter"/>
      <w:lvlText w:val="%8."/>
      <w:lvlJc w:val="left"/>
      <w:pPr>
        <w:ind w:left="5979" w:hanging="360"/>
      </w:pPr>
    </w:lvl>
    <w:lvl w:ilvl="8" w:tplc="140A001B">
      <w:start w:val="1"/>
      <w:numFmt w:val="lowerRoman"/>
      <w:lvlText w:val="%9."/>
      <w:lvlJc w:val="right"/>
      <w:pPr>
        <w:ind w:left="6699" w:hanging="180"/>
      </w:pPr>
    </w:lvl>
  </w:abstractNum>
  <w:abstractNum w:abstractNumId="17" w15:restartNumberingAfterBreak="0">
    <w:nsid w:val="7CE64D32"/>
    <w:multiLevelType w:val="hybridMultilevel"/>
    <w:tmpl w:val="72D6F5E4"/>
    <w:lvl w:ilvl="0" w:tplc="8612C280">
      <w:start w:val="1"/>
      <w:numFmt w:val="decimal"/>
      <w:pStyle w:val="Estilo2"/>
      <w:lvlText w:val="%1."/>
      <w:lvlJc w:val="left"/>
      <w:pPr>
        <w:tabs>
          <w:tab w:val="num" w:pos="6261"/>
        </w:tabs>
      </w:pPr>
      <w:rPr>
        <w:rFonts w:ascii="Verdana" w:eastAsia="Times New Roman" w:hAnsi="Verdana" w:cs="Times New Roman" w:hint="default"/>
        <w:b w:val="0"/>
        <w:i w:val="0"/>
        <w:strike w:val="0"/>
        <w:color w:val="auto"/>
        <w:sz w:val="20"/>
        <w:szCs w:val="20"/>
        <w:lang w:val="es-CR"/>
      </w:rPr>
    </w:lvl>
    <w:lvl w:ilvl="1" w:tplc="DEFAA010">
      <w:start w:val="1"/>
      <w:numFmt w:val="lowerLetter"/>
      <w:lvlText w:val="%2)"/>
      <w:lvlJc w:val="left"/>
      <w:pPr>
        <w:tabs>
          <w:tab w:val="num" w:pos="1080"/>
        </w:tabs>
        <w:ind w:left="1080" w:hanging="360"/>
      </w:pPr>
      <w:rPr>
        <w:rFonts w:ascii="Verdana" w:hAnsi="Verdana" w:cs="Times New Roman" w:hint="default"/>
        <w:b/>
        <w:i w:val="0"/>
        <w:caps w:val="0"/>
        <w:strike w:val="0"/>
        <w:dstrike w:val="0"/>
        <w:vanish w:val="0"/>
        <w:color w:val="auto"/>
        <w:sz w:val="20"/>
        <w:vertAlign w:val="baseline"/>
      </w:rPr>
    </w:lvl>
    <w:lvl w:ilvl="2" w:tplc="0409001B">
      <w:start w:val="1"/>
      <w:numFmt w:val="lowerRoman"/>
      <w:lvlText w:val="%3."/>
      <w:lvlJc w:val="right"/>
      <w:pPr>
        <w:tabs>
          <w:tab w:val="num" w:pos="821"/>
        </w:tabs>
        <w:ind w:left="187" w:firstLine="44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54436065">
    <w:abstractNumId w:val="11"/>
  </w:num>
  <w:num w:numId="2" w16cid:durableId="1809085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8637180">
    <w:abstractNumId w:val="3"/>
  </w:num>
  <w:num w:numId="4" w16cid:durableId="2104958756">
    <w:abstractNumId w:val="10"/>
  </w:num>
  <w:num w:numId="5" w16cid:durableId="1476677783">
    <w:abstractNumId w:val="0"/>
  </w:num>
  <w:num w:numId="6" w16cid:durableId="1539779453">
    <w:abstractNumId w:val="14"/>
  </w:num>
  <w:num w:numId="7" w16cid:durableId="5376274">
    <w:abstractNumId w:val="7"/>
  </w:num>
  <w:num w:numId="8" w16cid:durableId="1825201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717128">
    <w:abstractNumId w:val="15"/>
    <w:lvlOverride w:ilvl="0">
      <w:startOverride w:val="1"/>
    </w:lvlOverride>
  </w:num>
  <w:num w:numId="10" w16cid:durableId="1863589260">
    <w:abstractNumId w:val="4"/>
  </w:num>
  <w:num w:numId="11" w16cid:durableId="258299825">
    <w:abstractNumId w:val="15"/>
    <w:lvlOverride w:ilvl="0">
      <w:startOverride w:val="1"/>
    </w:lvlOverride>
  </w:num>
  <w:num w:numId="12" w16cid:durableId="2087339114">
    <w:abstractNumId w:val="1"/>
  </w:num>
  <w:num w:numId="13" w16cid:durableId="1201824585">
    <w:abstractNumId w:val="14"/>
  </w:num>
  <w:num w:numId="14" w16cid:durableId="1466922082">
    <w:abstractNumId w:val="1"/>
    <w:lvlOverride w:ilvl="0">
      <w:startOverride w:val="1"/>
    </w:lvlOverride>
    <w:lvlOverride w:ilvl="1">
      <w:startOverride w:val="2"/>
    </w:lvlOverride>
  </w:num>
  <w:num w:numId="15" w16cid:durableId="444689007">
    <w:abstractNumId w:val="13"/>
  </w:num>
  <w:num w:numId="16" w16cid:durableId="326250720">
    <w:abstractNumId w:val="17"/>
  </w:num>
  <w:num w:numId="17" w16cid:durableId="170917894">
    <w:abstractNumId w:val="15"/>
    <w:lvlOverride w:ilvl="0">
      <w:startOverride w:val="1"/>
    </w:lvlOverride>
  </w:num>
  <w:num w:numId="18" w16cid:durableId="423767919">
    <w:abstractNumId w:val="16"/>
  </w:num>
  <w:num w:numId="19" w16cid:durableId="1599174647">
    <w:abstractNumId w:val="16"/>
    <w:lvlOverride w:ilvl="0">
      <w:startOverride w:val="1"/>
    </w:lvlOverride>
  </w:num>
  <w:num w:numId="20" w16cid:durableId="2085030848">
    <w:abstractNumId w:val="15"/>
    <w:lvlOverride w:ilvl="0">
      <w:startOverride w:val="1"/>
    </w:lvlOverride>
  </w:num>
  <w:num w:numId="21" w16cid:durableId="577136343">
    <w:abstractNumId w:val="5"/>
  </w:num>
  <w:num w:numId="22" w16cid:durableId="205607864">
    <w:abstractNumId w:val="6"/>
  </w:num>
  <w:num w:numId="23" w16cid:durableId="973212513">
    <w:abstractNumId w:val="12"/>
  </w:num>
  <w:num w:numId="24" w16cid:durableId="2144303158">
    <w:abstractNumId w:val="2"/>
  </w:num>
  <w:num w:numId="25" w16cid:durableId="900406786">
    <w:abstractNumId w:val="8"/>
  </w:num>
  <w:num w:numId="26" w16cid:durableId="2108964763">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2F"/>
    <w:rsid w:val="000018BD"/>
    <w:rsid w:val="0000196B"/>
    <w:rsid w:val="00001D23"/>
    <w:rsid w:val="00002148"/>
    <w:rsid w:val="00003407"/>
    <w:rsid w:val="00003688"/>
    <w:rsid w:val="000036E6"/>
    <w:rsid w:val="000056DA"/>
    <w:rsid w:val="00005C6D"/>
    <w:rsid w:val="0000684E"/>
    <w:rsid w:val="00007B74"/>
    <w:rsid w:val="00010A58"/>
    <w:rsid w:val="00011AD8"/>
    <w:rsid w:val="0001205A"/>
    <w:rsid w:val="000126DA"/>
    <w:rsid w:val="00012F8B"/>
    <w:rsid w:val="00014C8E"/>
    <w:rsid w:val="00015F7C"/>
    <w:rsid w:val="00015FB0"/>
    <w:rsid w:val="000164BE"/>
    <w:rsid w:val="0001670B"/>
    <w:rsid w:val="00016E4B"/>
    <w:rsid w:val="00017213"/>
    <w:rsid w:val="00020CEE"/>
    <w:rsid w:val="00025240"/>
    <w:rsid w:val="000254F6"/>
    <w:rsid w:val="0002566E"/>
    <w:rsid w:val="00025FCF"/>
    <w:rsid w:val="0002698B"/>
    <w:rsid w:val="000271FB"/>
    <w:rsid w:val="0003045C"/>
    <w:rsid w:val="000315EA"/>
    <w:rsid w:val="00031E6E"/>
    <w:rsid w:val="000352D8"/>
    <w:rsid w:val="000355BD"/>
    <w:rsid w:val="00035D94"/>
    <w:rsid w:val="0003643F"/>
    <w:rsid w:val="000365EC"/>
    <w:rsid w:val="00037245"/>
    <w:rsid w:val="00037AF5"/>
    <w:rsid w:val="00040211"/>
    <w:rsid w:val="000405F4"/>
    <w:rsid w:val="000408A7"/>
    <w:rsid w:val="0004125B"/>
    <w:rsid w:val="000419A6"/>
    <w:rsid w:val="00041C12"/>
    <w:rsid w:val="000424A5"/>
    <w:rsid w:val="000429EF"/>
    <w:rsid w:val="00044E32"/>
    <w:rsid w:val="00046AE1"/>
    <w:rsid w:val="00046D0D"/>
    <w:rsid w:val="00047296"/>
    <w:rsid w:val="0004748A"/>
    <w:rsid w:val="00047F14"/>
    <w:rsid w:val="000519B4"/>
    <w:rsid w:val="000519DA"/>
    <w:rsid w:val="0005211E"/>
    <w:rsid w:val="00053A7C"/>
    <w:rsid w:val="00053FD1"/>
    <w:rsid w:val="00055472"/>
    <w:rsid w:val="00055482"/>
    <w:rsid w:val="000557B8"/>
    <w:rsid w:val="0005600D"/>
    <w:rsid w:val="00056AB7"/>
    <w:rsid w:val="00056C9F"/>
    <w:rsid w:val="00057569"/>
    <w:rsid w:val="00057E46"/>
    <w:rsid w:val="00060399"/>
    <w:rsid w:val="00060952"/>
    <w:rsid w:val="00061B0E"/>
    <w:rsid w:val="00062DCF"/>
    <w:rsid w:val="000634E3"/>
    <w:rsid w:val="00063CF0"/>
    <w:rsid w:val="000643CB"/>
    <w:rsid w:val="00065F59"/>
    <w:rsid w:val="00066828"/>
    <w:rsid w:val="00066EC3"/>
    <w:rsid w:val="00067517"/>
    <w:rsid w:val="00070516"/>
    <w:rsid w:val="00072BB6"/>
    <w:rsid w:val="000744F6"/>
    <w:rsid w:val="00074ED4"/>
    <w:rsid w:val="00076692"/>
    <w:rsid w:val="000771CF"/>
    <w:rsid w:val="00080E7F"/>
    <w:rsid w:val="00081A11"/>
    <w:rsid w:val="00082AAC"/>
    <w:rsid w:val="00083058"/>
    <w:rsid w:val="00084110"/>
    <w:rsid w:val="00084270"/>
    <w:rsid w:val="00085FE4"/>
    <w:rsid w:val="00086913"/>
    <w:rsid w:val="00087733"/>
    <w:rsid w:val="0009081A"/>
    <w:rsid w:val="000921E7"/>
    <w:rsid w:val="00092552"/>
    <w:rsid w:val="000943BF"/>
    <w:rsid w:val="0009468B"/>
    <w:rsid w:val="00094A70"/>
    <w:rsid w:val="00095365"/>
    <w:rsid w:val="00095D93"/>
    <w:rsid w:val="0009621A"/>
    <w:rsid w:val="00097F49"/>
    <w:rsid w:val="000A07C6"/>
    <w:rsid w:val="000A0C3C"/>
    <w:rsid w:val="000A1E37"/>
    <w:rsid w:val="000A2350"/>
    <w:rsid w:val="000A382E"/>
    <w:rsid w:val="000A40B2"/>
    <w:rsid w:val="000A576A"/>
    <w:rsid w:val="000A5DEA"/>
    <w:rsid w:val="000A7D12"/>
    <w:rsid w:val="000B17C4"/>
    <w:rsid w:val="000B21CE"/>
    <w:rsid w:val="000B27B3"/>
    <w:rsid w:val="000B3F9F"/>
    <w:rsid w:val="000B4DE8"/>
    <w:rsid w:val="000B652D"/>
    <w:rsid w:val="000B6681"/>
    <w:rsid w:val="000B78FA"/>
    <w:rsid w:val="000B7905"/>
    <w:rsid w:val="000C0086"/>
    <w:rsid w:val="000C1716"/>
    <w:rsid w:val="000C25B2"/>
    <w:rsid w:val="000C2A89"/>
    <w:rsid w:val="000C571C"/>
    <w:rsid w:val="000C5B69"/>
    <w:rsid w:val="000C5B86"/>
    <w:rsid w:val="000C5E51"/>
    <w:rsid w:val="000C5F93"/>
    <w:rsid w:val="000C66A7"/>
    <w:rsid w:val="000C7120"/>
    <w:rsid w:val="000C786C"/>
    <w:rsid w:val="000D1AD8"/>
    <w:rsid w:val="000D1B35"/>
    <w:rsid w:val="000D43AC"/>
    <w:rsid w:val="000D4A24"/>
    <w:rsid w:val="000D618E"/>
    <w:rsid w:val="000D6886"/>
    <w:rsid w:val="000D68A6"/>
    <w:rsid w:val="000E2239"/>
    <w:rsid w:val="000E30DF"/>
    <w:rsid w:val="000E3557"/>
    <w:rsid w:val="000E3723"/>
    <w:rsid w:val="000E3BC3"/>
    <w:rsid w:val="000E4312"/>
    <w:rsid w:val="000E4488"/>
    <w:rsid w:val="000E4524"/>
    <w:rsid w:val="000E5159"/>
    <w:rsid w:val="000E63E9"/>
    <w:rsid w:val="000E75AA"/>
    <w:rsid w:val="000F0B66"/>
    <w:rsid w:val="000F0C04"/>
    <w:rsid w:val="000F0C7C"/>
    <w:rsid w:val="000F1BAB"/>
    <w:rsid w:val="000F47A1"/>
    <w:rsid w:val="000F5185"/>
    <w:rsid w:val="000F7285"/>
    <w:rsid w:val="000F7440"/>
    <w:rsid w:val="000F7FBF"/>
    <w:rsid w:val="00100F46"/>
    <w:rsid w:val="0010137B"/>
    <w:rsid w:val="001020D9"/>
    <w:rsid w:val="00102D9E"/>
    <w:rsid w:val="0010411E"/>
    <w:rsid w:val="001045A7"/>
    <w:rsid w:val="00105F3F"/>
    <w:rsid w:val="00106A2B"/>
    <w:rsid w:val="001101C0"/>
    <w:rsid w:val="00111303"/>
    <w:rsid w:val="001129DE"/>
    <w:rsid w:val="00112C3E"/>
    <w:rsid w:val="00113CF6"/>
    <w:rsid w:val="00114601"/>
    <w:rsid w:val="00114880"/>
    <w:rsid w:val="00114E0F"/>
    <w:rsid w:val="0011796E"/>
    <w:rsid w:val="0012045A"/>
    <w:rsid w:val="001208E4"/>
    <w:rsid w:val="00121031"/>
    <w:rsid w:val="0012211D"/>
    <w:rsid w:val="00122ADB"/>
    <w:rsid w:val="00122E1B"/>
    <w:rsid w:val="00122F55"/>
    <w:rsid w:val="001250BA"/>
    <w:rsid w:val="00126E72"/>
    <w:rsid w:val="0012723E"/>
    <w:rsid w:val="0012797B"/>
    <w:rsid w:val="001305A4"/>
    <w:rsid w:val="001307C0"/>
    <w:rsid w:val="00130DFA"/>
    <w:rsid w:val="00131C01"/>
    <w:rsid w:val="00132277"/>
    <w:rsid w:val="00133741"/>
    <w:rsid w:val="00133B35"/>
    <w:rsid w:val="00133FCE"/>
    <w:rsid w:val="00135E38"/>
    <w:rsid w:val="00137EE9"/>
    <w:rsid w:val="001402F7"/>
    <w:rsid w:val="0014052B"/>
    <w:rsid w:val="001408F6"/>
    <w:rsid w:val="00140D18"/>
    <w:rsid w:val="00141398"/>
    <w:rsid w:val="00141503"/>
    <w:rsid w:val="0014177E"/>
    <w:rsid w:val="00143D97"/>
    <w:rsid w:val="00144268"/>
    <w:rsid w:val="00144817"/>
    <w:rsid w:val="0014594F"/>
    <w:rsid w:val="001464F7"/>
    <w:rsid w:val="001475C4"/>
    <w:rsid w:val="00147BD9"/>
    <w:rsid w:val="001520D0"/>
    <w:rsid w:val="00154520"/>
    <w:rsid w:val="00155086"/>
    <w:rsid w:val="00155644"/>
    <w:rsid w:val="00155A16"/>
    <w:rsid w:val="001567A7"/>
    <w:rsid w:val="001601B7"/>
    <w:rsid w:val="00160D4D"/>
    <w:rsid w:val="00160DB0"/>
    <w:rsid w:val="00161983"/>
    <w:rsid w:val="00161D98"/>
    <w:rsid w:val="001621A4"/>
    <w:rsid w:val="001622BA"/>
    <w:rsid w:val="0016262A"/>
    <w:rsid w:val="00162673"/>
    <w:rsid w:val="0016322A"/>
    <w:rsid w:val="001632E5"/>
    <w:rsid w:val="00163A7C"/>
    <w:rsid w:val="00164088"/>
    <w:rsid w:val="001645A6"/>
    <w:rsid w:val="001646FE"/>
    <w:rsid w:val="00164BB7"/>
    <w:rsid w:val="00165B17"/>
    <w:rsid w:val="00165F01"/>
    <w:rsid w:val="00170D96"/>
    <w:rsid w:val="0017181B"/>
    <w:rsid w:val="0017453E"/>
    <w:rsid w:val="00174D5E"/>
    <w:rsid w:val="00176089"/>
    <w:rsid w:val="00176125"/>
    <w:rsid w:val="001766D5"/>
    <w:rsid w:val="001766DE"/>
    <w:rsid w:val="00176D20"/>
    <w:rsid w:val="001779D1"/>
    <w:rsid w:val="0018081A"/>
    <w:rsid w:val="001828C7"/>
    <w:rsid w:val="0018311D"/>
    <w:rsid w:val="00184D79"/>
    <w:rsid w:val="0018505F"/>
    <w:rsid w:val="00185F09"/>
    <w:rsid w:val="00186529"/>
    <w:rsid w:val="00186BF7"/>
    <w:rsid w:val="00187415"/>
    <w:rsid w:val="00187844"/>
    <w:rsid w:val="00190164"/>
    <w:rsid w:val="001905E1"/>
    <w:rsid w:val="00190E26"/>
    <w:rsid w:val="00191708"/>
    <w:rsid w:val="00191ED5"/>
    <w:rsid w:val="001921B2"/>
    <w:rsid w:val="0019344C"/>
    <w:rsid w:val="001937D2"/>
    <w:rsid w:val="001947FE"/>
    <w:rsid w:val="00194AAE"/>
    <w:rsid w:val="00194F06"/>
    <w:rsid w:val="001952CB"/>
    <w:rsid w:val="00195637"/>
    <w:rsid w:val="00196C9D"/>
    <w:rsid w:val="001A0994"/>
    <w:rsid w:val="001A1764"/>
    <w:rsid w:val="001A180B"/>
    <w:rsid w:val="001A2146"/>
    <w:rsid w:val="001A411E"/>
    <w:rsid w:val="001A426F"/>
    <w:rsid w:val="001A439B"/>
    <w:rsid w:val="001A44D9"/>
    <w:rsid w:val="001A5965"/>
    <w:rsid w:val="001B0311"/>
    <w:rsid w:val="001B0355"/>
    <w:rsid w:val="001B139B"/>
    <w:rsid w:val="001B1A90"/>
    <w:rsid w:val="001B246F"/>
    <w:rsid w:val="001B26A1"/>
    <w:rsid w:val="001B29D6"/>
    <w:rsid w:val="001B31D5"/>
    <w:rsid w:val="001B3655"/>
    <w:rsid w:val="001B3C0B"/>
    <w:rsid w:val="001B3FBF"/>
    <w:rsid w:val="001B4051"/>
    <w:rsid w:val="001B51B7"/>
    <w:rsid w:val="001B6251"/>
    <w:rsid w:val="001B6909"/>
    <w:rsid w:val="001B7611"/>
    <w:rsid w:val="001B7EC0"/>
    <w:rsid w:val="001C0AC4"/>
    <w:rsid w:val="001C0E65"/>
    <w:rsid w:val="001C25E5"/>
    <w:rsid w:val="001C2900"/>
    <w:rsid w:val="001C303A"/>
    <w:rsid w:val="001C328F"/>
    <w:rsid w:val="001C4516"/>
    <w:rsid w:val="001C5180"/>
    <w:rsid w:val="001C6305"/>
    <w:rsid w:val="001C7150"/>
    <w:rsid w:val="001D1402"/>
    <w:rsid w:val="001D1EE8"/>
    <w:rsid w:val="001D4E6E"/>
    <w:rsid w:val="001D6472"/>
    <w:rsid w:val="001E035C"/>
    <w:rsid w:val="001E0C9A"/>
    <w:rsid w:val="001E14D1"/>
    <w:rsid w:val="001E14F7"/>
    <w:rsid w:val="001E19FF"/>
    <w:rsid w:val="001E1B9F"/>
    <w:rsid w:val="001E1E02"/>
    <w:rsid w:val="001E3951"/>
    <w:rsid w:val="001E3C8C"/>
    <w:rsid w:val="001E54E3"/>
    <w:rsid w:val="001E61E7"/>
    <w:rsid w:val="001E6481"/>
    <w:rsid w:val="001E771B"/>
    <w:rsid w:val="001E7AC9"/>
    <w:rsid w:val="001F02EB"/>
    <w:rsid w:val="001F214F"/>
    <w:rsid w:val="001F75E5"/>
    <w:rsid w:val="001F796A"/>
    <w:rsid w:val="002017A8"/>
    <w:rsid w:val="00201FD6"/>
    <w:rsid w:val="00202C84"/>
    <w:rsid w:val="0020314F"/>
    <w:rsid w:val="0020569A"/>
    <w:rsid w:val="00207056"/>
    <w:rsid w:val="002070B9"/>
    <w:rsid w:val="00207B29"/>
    <w:rsid w:val="00207E1E"/>
    <w:rsid w:val="00210BDE"/>
    <w:rsid w:val="00211864"/>
    <w:rsid w:val="00212F8D"/>
    <w:rsid w:val="00216265"/>
    <w:rsid w:val="00216AC9"/>
    <w:rsid w:val="0022023F"/>
    <w:rsid w:val="00223ECF"/>
    <w:rsid w:val="00225BB9"/>
    <w:rsid w:val="00225CC4"/>
    <w:rsid w:val="00225ED6"/>
    <w:rsid w:val="0022625A"/>
    <w:rsid w:val="00226FAB"/>
    <w:rsid w:val="00227D4B"/>
    <w:rsid w:val="0023017D"/>
    <w:rsid w:val="00230763"/>
    <w:rsid w:val="00230B7C"/>
    <w:rsid w:val="00230DEF"/>
    <w:rsid w:val="00231D4E"/>
    <w:rsid w:val="00231F62"/>
    <w:rsid w:val="002324CF"/>
    <w:rsid w:val="00232A11"/>
    <w:rsid w:val="002331E9"/>
    <w:rsid w:val="00233517"/>
    <w:rsid w:val="00234F99"/>
    <w:rsid w:val="00235385"/>
    <w:rsid w:val="00235F87"/>
    <w:rsid w:val="002369AF"/>
    <w:rsid w:val="00236F7F"/>
    <w:rsid w:val="00240BF2"/>
    <w:rsid w:val="00241D19"/>
    <w:rsid w:val="002423D1"/>
    <w:rsid w:val="00242E13"/>
    <w:rsid w:val="002438DC"/>
    <w:rsid w:val="00244326"/>
    <w:rsid w:val="00244E6D"/>
    <w:rsid w:val="002454B7"/>
    <w:rsid w:val="00245A96"/>
    <w:rsid w:val="00251470"/>
    <w:rsid w:val="0025212F"/>
    <w:rsid w:val="00252677"/>
    <w:rsid w:val="00253BBA"/>
    <w:rsid w:val="0025407D"/>
    <w:rsid w:val="00254DA8"/>
    <w:rsid w:val="00256363"/>
    <w:rsid w:val="0025721E"/>
    <w:rsid w:val="00257284"/>
    <w:rsid w:val="00257CE3"/>
    <w:rsid w:val="0026186C"/>
    <w:rsid w:val="002619C3"/>
    <w:rsid w:val="00262885"/>
    <w:rsid w:val="002631A3"/>
    <w:rsid w:val="00263CBE"/>
    <w:rsid w:val="00263DFD"/>
    <w:rsid w:val="0026410C"/>
    <w:rsid w:val="00265076"/>
    <w:rsid w:val="0026568C"/>
    <w:rsid w:val="00265EB2"/>
    <w:rsid w:val="00267484"/>
    <w:rsid w:val="00271040"/>
    <w:rsid w:val="0027157A"/>
    <w:rsid w:val="00271B54"/>
    <w:rsid w:val="00271D7C"/>
    <w:rsid w:val="00272930"/>
    <w:rsid w:val="002729C8"/>
    <w:rsid w:val="00272B6A"/>
    <w:rsid w:val="00273524"/>
    <w:rsid w:val="00273958"/>
    <w:rsid w:val="00273DA8"/>
    <w:rsid w:val="00274368"/>
    <w:rsid w:val="0027438B"/>
    <w:rsid w:val="00274C29"/>
    <w:rsid w:val="00275450"/>
    <w:rsid w:val="0027615F"/>
    <w:rsid w:val="002766A0"/>
    <w:rsid w:val="00276EB5"/>
    <w:rsid w:val="00277EF7"/>
    <w:rsid w:val="002800A5"/>
    <w:rsid w:val="002810F8"/>
    <w:rsid w:val="0028480E"/>
    <w:rsid w:val="00284929"/>
    <w:rsid w:val="00284FEE"/>
    <w:rsid w:val="002860BB"/>
    <w:rsid w:val="002866CF"/>
    <w:rsid w:val="002871EC"/>
    <w:rsid w:val="002877A3"/>
    <w:rsid w:val="0029084D"/>
    <w:rsid w:val="0029119E"/>
    <w:rsid w:val="002925F5"/>
    <w:rsid w:val="00292C18"/>
    <w:rsid w:val="00292CA2"/>
    <w:rsid w:val="00293978"/>
    <w:rsid w:val="00294314"/>
    <w:rsid w:val="00296C8F"/>
    <w:rsid w:val="00296ED6"/>
    <w:rsid w:val="0029707A"/>
    <w:rsid w:val="002A08F8"/>
    <w:rsid w:val="002A148F"/>
    <w:rsid w:val="002A2399"/>
    <w:rsid w:val="002A45FD"/>
    <w:rsid w:val="002A47EF"/>
    <w:rsid w:val="002A4EC5"/>
    <w:rsid w:val="002A54F0"/>
    <w:rsid w:val="002B0138"/>
    <w:rsid w:val="002B0D57"/>
    <w:rsid w:val="002B12AA"/>
    <w:rsid w:val="002B1AAB"/>
    <w:rsid w:val="002B1EFC"/>
    <w:rsid w:val="002B248C"/>
    <w:rsid w:val="002B24F9"/>
    <w:rsid w:val="002B2D15"/>
    <w:rsid w:val="002B3D35"/>
    <w:rsid w:val="002B45CB"/>
    <w:rsid w:val="002B4616"/>
    <w:rsid w:val="002B53D8"/>
    <w:rsid w:val="002B5A5F"/>
    <w:rsid w:val="002B6F07"/>
    <w:rsid w:val="002C0676"/>
    <w:rsid w:val="002C123A"/>
    <w:rsid w:val="002C1EBA"/>
    <w:rsid w:val="002C28CA"/>
    <w:rsid w:val="002C30C8"/>
    <w:rsid w:val="002C36A8"/>
    <w:rsid w:val="002C38B6"/>
    <w:rsid w:val="002C410B"/>
    <w:rsid w:val="002C73E5"/>
    <w:rsid w:val="002D01F6"/>
    <w:rsid w:val="002D0A10"/>
    <w:rsid w:val="002D0FB7"/>
    <w:rsid w:val="002D10DB"/>
    <w:rsid w:val="002D4652"/>
    <w:rsid w:val="002D5007"/>
    <w:rsid w:val="002D58A1"/>
    <w:rsid w:val="002D5A78"/>
    <w:rsid w:val="002D66E0"/>
    <w:rsid w:val="002D6FBC"/>
    <w:rsid w:val="002E081D"/>
    <w:rsid w:val="002E0F71"/>
    <w:rsid w:val="002E14D9"/>
    <w:rsid w:val="002E2311"/>
    <w:rsid w:val="002E3ADA"/>
    <w:rsid w:val="002E4693"/>
    <w:rsid w:val="002E5228"/>
    <w:rsid w:val="002E5443"/>
    <w:rsid w:val="002E6F7E"/>
    <w:rsid w:val="002E7F97"/>
    <w:rsid w:val="002F0818"/>
    <w:rsid w:val="002F138F"/>
    <w:rsid w:val="002F14DC"/>
    <w:rsid w:val="002F1AD7"/>
    <w:rsid w:val="002F200A"/>
    <w:rsid w:val="002F363D"/>
    <w:rsid w:val="002F4617"/>
    <w:rsid w:val="002F7184"/>
    <w:rsid w:val="00300070"/>
    <w:rsid w:val="00301A7C"/>
    <w:rsid w:val="003031E6"/>
    <w:rsid w:val="00303231"/>
    <w:rsid w:val="003041FE"/>
    <w:rsid w:val="00304779"/>
    <w:rsid w:val="00305EC2"/>
    <w:rsid w:val="0030628C"/>
    <w:rsid w:val="00306857"/>
    <w:rsid w:val="003068C0"/>
    <w:rsid w:val="00306CAF"/>
    <w:rsid w:val="0030745C"/>
    <w:rsid w:val="00307EF4"/>
    <w:rsid w:val="00310E89"/>
    <w:rsid w:val="00312D10"/>
    <w:rsid w:val="003130F8"/>
    <w:rsid w:val="0031387C"/>
    <w:rsid w:val="00315565"/>
    <w:rsid w:val="003168FD"/>
    <w:rsid w:val="00316F44"/>
    <w:rsid w:val="003171CF"/>
    <w:rsid w:val="00317958"/>
    <w:rsid w:val="003179EC"/>
    <w:rsid w:val="003202D6"/>
    <w:rsid w:val="0032123B"/>
    <w:rsid w:val="003212CD"/>
    <w:rsid w:val="00321BF4"/>
    <w:rsid w:val="00321FF5"/>
    <w:rsid w:val="00322801"/>
    <w:rsid w:val="00323A7C"/>
    <w:rsid w:val="0032567B"/>
    <w:rsid w:val="0032601D"/>
    <w:rsid w:val="00326F84"/>
    <w:rsid w:val="00330CFD"/>
    <w:rsid w:val="00331877"/>
    <w:rsid w:val="00331BF1"/>
    <w:rsid w:val="00332765"/>
    <w:rsid w:val="00333476"/>
    <w:rsid w:val="0033352C"/>
    <w:rsid w:val="003336A6"/>
    <w:rsid w:val="00333E89"/>
    <w:rsid w:val="00334C4F"/>
    <w:rsid w:val="00335AE7"/>
    <w:rsid w:val="0033695D"/>
    <w:rsid w:val="003377AF"/>
    <w:rsid w:val="003410DE"/>
    <w:rsid w:val="00343024"/>
    <w:rsid w:val="00345049"/>
    <w:rsid w:val="00345D0A"/>
    <w:rsid w:val="00346637"/>
    <w:rsid w:val="00352023"/>
    <w:rsid w:val="00353AAE"/>
    <w:rsid w:val="00353D5F"/>
    <w:rsid w:val="00354B24"/>
    <w:rsid w:val="0035502D"/>
    <w:rsid w:val="00356067"/>
    <w:rsid w:val="003561F1"/>
    <w:rsid w:val="00356342"/>
    <w:rsid w:val="003569B7"/>
    <w:rsid w:val="00357596"/>
    <w:rsid w:val="00360CA3"/>
    <w:rsid w:val="00361248"/>
    <w:rsid w:val="00361C94"/>
    <w:rsid w:val="003634C1"/>
    <w:rsid w:val="00364D19"/>
    <w:rsid w:val="00365C74"/>
    <w:rsid w:val="0036714E"/>
    <w:rsid w:val="0036747B"/>
    <w:rsid w:val="00367DA8"/>
    <w:rsid w:val="00367FB1"/>
    <w:rsid w:val="003704D8"/>
    <w:rsid w:val="00371C29"/>
    <w:rsid w:val="003726ED"/>
    <w:rsid w:val="00374ADF"/>
    <w:rsid w:val="00380547"/>
    <w:rsid w:val="003806D3"/>
    <w:rsid w:val="00380CBD"/>
    <w:rsid w:val="00381B57"/>
    <w:rsid w:val="00383055"/>
    <w:rsid w:val="003857D2"/>
    <w:rsid w:val="0038610B"/>
    <w:rsid w:val="00386B24"/>
    <w:rsid w:val="00390E05"/>
    <w:rsid w:val="00390F96"/>
    <w:rsid w:val="00392763"/>
    <w:rsid w:val="00393094"/>
    <w:rsid w:val="00393221"/>
    <w:rsid w:val="003935F6"/>
    <w:rsid w:val="003940FE"/>
    <w:rsid w:val="0039419E"/>
    <w:rsid w:val="003943B5"/>
    <w:rsid w:val="00394541"/>
    <w:rsid w:val="0039456F"/>
    <w:rsid w:val="00394DE0"/>
    <w:rsid w:val="003979B5"/>
    <w:rsid w:val="00397B5B"/>
    <w:rsid w:val="00397FBD"/>
    <w:rsid w:val="003A0322"/>
    <w:rsid w:val="003A0740"/>
    <w:rsid w:val="003A0893"/>
    <w:rsid w:val="003A0C7A"/>
    <w:rsid w:val="003A1C58"/>
    <w:rsid w:val="003A254C"/>
    <w:rsid w:val="003A277A"/>
    <w:rsid w:val="003A5B27"/>
    <w:rsid w:val="003A5F27"/>
    <w:rsid w:val="003A67D2"/>
    <w:rsid w:val="003A6E77"/>
    <w:rsid w:val="003A72A0"/>
    <w:rsid w:val="003B043A"/>
    <w:rsid w:val="003B0782"/>
    <w:rsid w:val="003B1946"/>
    <w:rsid w:val="003B21CE"/>
    <w:rsid w:val="003B22BE"/>
    <w:rsid w:val="003B24F1"/>
    <w:rsid w:val="003B2B35"/>
    <w:rsid w:val="003B2CF1"/>
    <w:rsid w:val="003B37C8"/>
    <w:rsid w:val="003B3A89"/>
    <w:rsid w:val="003B4737"/>
    <w:rsid w:val="003B6372"/>
    <w:rsid w:val="003B66F9"/>
    <w:rsid w:val="003B7820"/>
    <w:rsid w:val="003B7AC8"/>
    <w:rsid w:val="003B7DBC"/>
    <w:rsid w:val="003C2231"/>
    <w:rsid w:val="003C3FF8"/>
    <w:rsid w:val="003C501B"/>
    <w:rsid w:val="003C5082"/>
    <w:rsid w:val="003C5243"/>
    <w:rsid w:val="003C52E9"/>
    <w:rsid w:val="003C73CB"/>
    <w:rsid w:val="003C7FF5"/>
    <w:rsid w:val="003D05AE"/>
    <w:rsid w:val="003D0718"/>
    <w:rsid w:val="003D19E4"/>
    <w:rsid w:val="003D22BE"/>
    <w:rsid w:val="003D24A2"/>
    <w:rsid w:val="003D33FD"/>
    <w:rsid w:val="003D4B09"/>
    <w:rsid w:val="003D4F44"/>
    <w:rsid w:val="003D6DE7"/>
    <w:rsid w:val="003D7091"/>
    <w:rsid w:val="003D7400"/>
    <w:rsid w:val="003D7A2F"/>
    <w:rsid w:val="003D7E22"/>
    <w:rsid w:val="003D7F41"/>
    <w:rsid w:val="003E0260"/>
    <w:rsid w:val="003E103D"/>
    <w:rsid w:val="003E1CDB"/>
    <w:rsid w:val="003E2A89"/>
    <w:rsid w:val="003E31F2"/>
    <w:rsid w:val="003E32B0"/>
    <w:rsid w:val="003E428D"/>
    <w:rsid w:val="003E4981"/>
    <w:rsid w:val="003E5199"/>
    <w:rsid w:val="003E5BE9"/>
    <w:rsid w:val="003E73DE"/>
    <w:rsid w:val="003E74E8"/>
    <w:rsid w:val="003F04C6"/>
    <w:rsid w:val="003F2049"/>
    <w:rsid w:val="003F21FE"/>
    <w:rsid w:val="003F2382"/>
    <w:rsid w:val="003F36C5"/>
    <w:rsid w:val="003F3C65"/>
    <w:rsid w:val="003F4004"/>
    <w:rsid w:val="003F4EE1"/>
    <w:rsid w:val="003F52EB"/>
    <w:rsid w:val="003F6354"/>
    <w:rsid w:val="003F682B"/>
    <w:rsid w:val="003F7EBD"/>
    <w:rsid w:val="00401B17"/>
    <w:rsid w:val="00402F86"/>
    <w:rsid w:val="00403AB4"/>
    <w:rsid w:val="00403B45"/>
    <w:rsid w:val="00403C06"/>
    <w:rsid w:val="004054CA"/>
    <w:rsid w:val="004070DD"/>
    <w:rsid w:val="00407A45"/>
    <w:rsid w:val="00407C94"/>
    <w:rsid w:val="00407D87"/>
    <w:rsid w:val="00410345"/>
    <w:rsid w:val="0041097F"/>
    <w:rsid w:val="004110D3"/>
    <w:rsid w:val="0041179A"/>
    <w:rsid w:val="004140DD"/>
    <w:rsid w:val="00414166"/>
    <w:rsid w:val="004148F5"/>
    <w:rsid w:val="004153B1"/>
    <w:rsid w:val="00416312"/>
    <w:rsid w:val="004166F2"/>
    <w:rsid w:val="004167D8"/>
    <w:rsid w:val="00416A1A"/>
    <w:rsid w:val="00416F62"/>
    <w:rsid w:val="00420257"/>
    <w:rsid w:val="00420435"/>
    <w:rsid w:val="004207A6"/>
    <w:rsid w:val="00420CAC"/>
    <w:rsid w:val="0042211B"/>
    <w:rsid w:val="00422A5E"/>
    <w:rsid w:val="00422FF5"/>
    <w:rsid w:val="00424437"/>
    <w:rsid w:val="00424F14"/>
    <w:rsid w:val="00426B69"/>
    <w:rsid w:val="00427AB5"/>
    <w:rsid w:val="00430000"/>
    <w:rsid w:val="004303FC"/>
    <w:rsid w:val="004308E9"/>
    <w:rsid w:val="00430FD5"/>
    <w:rsid w:val="004312E9"/>
    <w:rsid w:val="00432436"/>
    <w:rsid w:val="00433137"/>
    <w:rsid w:val="00433A40"/>
    <w:rsid w:val="00433F11"/>
    <w:rsid w:val="00434791"/>
    <w:rsid w:val="0043502F"/>
    <w:rsid w:val="00435E44"/>
    <w:rsid w:val="00436091"/>
    <w:rsid w:val="00436173"/>
    <w:rsid w:val="004361C8"/>
    <w:rsid w:val="00436DE9"/>
    <w:rsid w:val="00437D7F"/>
    <w:rsid w:val="004417B2"/>
    <w:rsid w:val="00441B13"/>
    <w:rsid w:val="00441C92"/>
    <w:rsid w:val="00445CBD"/>
    <w:rsid w:val="00447D58"/>
    <w:rsid w:val="004500EE"/>
    <w:rsid w:val="004515ED"/>
    <w:rsid w:val="004528B3"/>
    <w:rsid w:val="00453B37"/>
    <w:rsid w:val="004545F3"/>
    <w:rsid w:val="0045479B"/>
    <w:rsid w:val="00456E45"/>
    <w:rsid w:val="0045739A"/>
    <w:rsid w:val="00460B8A"/>
    <w:rsid w:val="00462E0B"/>
    <w:rsid w:val="00463556"/>
    <w:rsid w:val="00464D47"/>
    <w:rsid w:val="00465088"/>
    <w:rsid w:val="00465BF8"/>
    <w:rsid w:val="004668BF"/>
    <w:rsid w:val="0046762A"/>
    <w:rsid w:val="0047037A"/>
    <w:rsid w:val="00470822"/>
    <w:rsid w:val="004710AA"/>
    <w:rsid w:val="00471528"/>
    <w:rsid w:val="004730DF"/>
    <w:rsid w:val="00473513"/>
    <w:rsid w:val="004736EA"/>
    <w:rsid w:val="0047394D"/>
    <w:rsid w:val="00474AFD"/>
    <w:rsid w:val="00475351"/>
    <w:rsid w:val="00475F41"/>
    <w:rsid w:val="00475F97"/>
    <w:rsid w:val="00477165"/>
    <w:rsid w:val="0048045E"/>
    <w:rsid w:val="00480B88"/>
    <w:rsid w:val="0048162C"/>
    <w:rsid w:val="00485687"/>
    <w:rsid w:val="00485E22"/>
    <w:rsid w:val="004863E9"/>
    <w:rsid w:val="00486A2B"/>
    <w:rsid w:val="00487F09"/>
    <w:rsid w:val="0049034A"/>
    <w:rsid w:val="004919FB"/>
    <w:rsid w:val="0049434C"/>
    <w:rsid w:val="004955F6"/>
    <w:rsid w:val="00495959"/>
    <w:rsid w:val="00495D80"/>
    <w:rsid w:val="00495E4B"/>
    <w:rsid w:val="004978A4"/>
    <w:rsid w:val="004A31AF"/>
    <w:rsid w:val="004A3C4D"/>
    <w:rsid w:val="004A4650"/>
    <w:rsid w:val="004A6EA3"/>
    <w:rsid w:val="004A7239"/>
    <w:rsid w:val="004B1A53"/>
    <w:rsid w:val="004B3B9E"/>
    <w:rsid w:val="004B49B9"/>
    <w:rsid w:val="004B560D"/>
    <w:rsid w:val="004B64F1"/>
    <w:rsid w:val="004B6621"/>
    <w:rsid w:val="004B724F"/>
    <w:rsid w:val="004B75BC"/>
    <w:rsid w:val="004B7771"/>
    <w:rsid w:val="004B79A9"/>
    <w:rsid w:val="004C0811"/>
    <w:rsid w:val="004C144B"/>
    <w:rsid w:val="004C1E22"/>
    <w:rsid w:val="004C28D7"/>
    <w:rsid w:val="004C2C83"/>
    <w:rsid w:val="004C3249"/>
    <w:rsid w:val="004C4728"/>
    <w:rsid w:val="004C4730"/>
    <w:rsid w:val="004C51D1"/>
    <w:rsid w:val="004C5ADB"/>
    <w:rsid w:val="004C632B"/>
    <w:rsid w:val="004C640C"/>
    <w:rsid w:val="004C643A"/>
    <w:rsid w:val="004C6585"/>
    <w:rsid w:val="004C7190"/>
    <w:rsid w:val="004C7D39"/>
    <w:rsid w:val="004D07E8"/>
    <w:rsid w:val="004D0D9B"/>
    <w:rsid w:val="004D2676"/>
    <w:rsid w:val="004D366A"/>
    <w:rsid w:val="004D3BEC"/>
    <w:rsid w:val="004D3E22"/>
    <w:rsid w:val="004D4009"/>
    <w:rsid w:val="004D5AFA"/>
    <w:rsid w:val="004D635E"/>
    <w:rsid w:val="004D799D"/>
    <w:rsid w:val="004D7DBE"/>
    <w:rsid w:val="004E1B4D"/>
    <w:rsid w:val="004E21A0"/>
    <w:rsid w:val="004E2578"/>
    <w:rsid w:val="004E2A50"/>
    <w:rsid w:val="004E347B"/>
    <w:rsid w:val="004E3699"/>
    <w:rsid w:val="004E386D"/>
    <w:rsid w:val="004E4173"/>
    <w:rsid w:val="004E4799"/>
    <w:rsid w:val="004E54D4"/>
    <w:rsid w:val="004E5648"/>
    <w:rsid w:val="004E7FFD"/>
    <w:rsid w:val="004F019F"/>
    <w:rsid w:val="004F0644"/>
    <w:rsid w:val="004F0CAD"/>
    <w:rsid w:val="004F19C7"/>
    <w:rsid w:val="004F208C"/>
    <w:rsid w:val="004F2340"/>
    <w:rsid w:val="004F3E7A"/>
    <w:rsid w:val="004F5F01"/>
    <w:rsid w:val="004F613C"/>
    <w:rsid w:val="004F616C"/>
    <w:rsid w:val="004F6753"/>
    <w:rsid w:val="004F6EC9"/>
    <w:rsid w:val="00501207"/>
    <w:rsid w:val="0050121A"/>
    <w:rsid w:val="005029EF"/>
    <w:rsid w:val="00503DA8"/>
    <w:rsid w:val="005043C9"/>
    <w:rsid w:val="005066CB"/>
    <w:rsid w:val="005071E6"/>
    <w:rsid w:val="00507523"/>
    <w:rsid w:val="005077C6"/>
    <w:rsid w:val="00507872"/>
    <w:rsid w:val="005112FA"/>
    <w:rsid w:val="005117A1"/>
    <w:rsid w:val="005120F6"/>
    <w:rsid w:val="00512D7C"/>
    <w:rsid w:val="005141CA"/>
    <w:rsid w:val="005146DD"/>
    <w:rsid w:val="00516249"/>
    <w:rsid w:val="0052125E"/>
    <w:rsid w:val="00521777"/>
    <w:rsid w:val="005222A4"/>
    <w:rsid w:val="0052231D"/>
    <w:rsid w:val="00522476"/>
    <w:rsid w:val="005224DE"/>
    <w:rsid w:val="00522A61"/>
    <w:rsid w:val="005250B1"/>
    <w:rsid w:val="00526190"/>
    <w:rsid w:val="00526253"/>
    <w:rsid w:val="005278B8"/>
    <w:rsid w:val="00530228"/>
    <w:rsid w:val="0053026C"/>
    <w:rsid w:val="00530CF7"/>
    <w:rsid w:val="0053105A"/>
    <w:rsid w:val="005315AC"/>
    <w:rsid w:val="00531A0D"/>
    <w:rsid w:val="00531F63"/>
    <w:rsid w:val="005327BF"/>
    <w:rsid w:val="00532E36"/>
    <w:rsid w:val="005369B8"/>
    <w:rsid w:val="00537F2E"/>
    <w:rsid w:val="00543137"/>
    <w:rsid w:val="005432F8"/>
    <w:rsid w:val="00544D49"/>
    <w:rsid w:val="005450D8"/>
    <w:rsid w:val="00545A39"/>
    <w:rsid w:val="00545B32"/>
    <w:rsid w:val="00546037"/>
    <w:rsid w:val="005478E3"/>
    <w:rsid w:val="005508F6"/>
    <w:rsid w:val="005508F8"/>
    <w:rsid w:val="00555414"/>
    <w:rsid w:val="005558A0"/>
    <w:rsid w:val="005558FD"/>
    <w:rsid w:val="0055687B"/>
    <w:rsid w:val="00556AEE"/>
    <w:rsid w:val="00557033"/>
    <w:rsid w:val="00557AB5"/>
    <w:rsid w:val="00560C23"/>
    <w:rsid w:val="00560D89"/>
    <w:rsid w:val="00560FBB"/>
    <w:rsid w:val="005621F0"/>
    <w:rsid w:val="00563D30"/>
    <w:rsid w:val="0056479E"/>
    <w:rsid w:val="0056492B"/>
    <w:rsid w:val="005700EA"/>
    <w:rsid w:val="00573723"/>
    <w:rsid w:val="00574A7B"/>
    <w:rsid w:val="00574C85"/>
    <w:rsid w:val="0057526A"/>
    <w:rsid w:val="00575444"/>
    <w:rsid w:val="00575BE3"/>
    <w:rsid w:val="00575E40"/>
    <w:rsid w:val="00576E31"/>
    <w:rsid w:val="00577158"/>
    <w:rsid w:val="00577F57"/>
    <w:rsid w:val="00580ABE"/>
    <w:rsid w:val="00580BF0"/>
    <w:rsid w:val="00581470"/>
    <w:rsid w:val="00581492"/>
    <w:rsid w:val="005824E9"/>
    <w:rsid w:val="00582E49"/>
    <w:rsid w:val="00583E34"/>
    <w:rsid w:val="00583E4B"/>
    <w:rsid w:val="00584C2C"/>
    <w:rsid w:val="00586259"/>
    <w:rsid w:val="005903D2"/>
    <w:rsid w:val="00591343"/>
    <w:rsid w:val="00591767"/>
    <w:rsid w:val="005919B9"/>
    <w:rsid w:val="00593284"/>
    <w:rsid w:val="00593919"/>
    <w:rsid w:val="0059458F"/>
    <w:rsid w:val="005949C7"/>
    <w:rsid w:val="005950ED"/>
    <w:rsid w:val="005952FF"/>
    <w:rsid w:val="00595507"/>
    <w:rsid w:val="005A05B2"/>
    <w:rsid w:val="005A244E"/>
    <w:rsid w:val="005A2C85"/>
    <w:rsid w:val="005A2CC2"/>
    <w:rsid w:val="005A68A5"/>
    <w:rsid w:val="005A6BC0"/>
    <w:rsid w:val="005A6E8A"/>
    <w:rsid w:val="005A7F49"/>
    <w:rsid w:val="005B0035"/>
    <w:rsid w:val="005B00F1"/>
    <w:rsid w:val="005B0D1B"/>
    <w:rsid w:val="005B0E99"/>
    <w:rsid w:val="005B13E9"/>
    <w:rsid w:val="005B2C2C"/>
    <w:rsid w:val="005B3308"/>
    <w:rsid w:val="005B3E6C"/>
    <w:rsid w:val="005B47F3"/>
    <w:rsid w:val="005B4FAA"/>
    <w:rsid w:val="005B5D6C"/>
    <w:rsid w:val="005B5EC8"/>
    <w:rsid w:val="005B6384"/>
    <w:rsid w:val="005B73F4"/>
    <w:rsid w:val="005C1103"/>
    <w:rsid w:val="005C202E"/>
    <w:rsid w:val="005C2780"/>
    <w:rsid w:val="005C4CBB"/>
    <w:rsid w:val="005C57FF"/>
    <w:rsid w:val="005C5C09"/>
    <w:rsid w:val="005C7EC1"/>
    <w:rsid w:val="005D02AA"/>
    <w:rsid w:val="005D0AC0"/>
    <w:rsid w:val="005D1BEE"/>
    <w:rsid w:val="005D2781"/>
    <w:rsid w:val="005D33F4"/>
    <w:rsid w:val="005D48F8"/>
    <w:rsid w:val="005D4A6C"/>
    <w:rsid w:val="005D4EA5"/>
    <w:rsid w:val="005D54A6"/>
    <w:rsid w:val="005D58CB"/>
    <w:rsid w:val="005D58D6"/>
    <w:rsid w:val="005D6C07"/>
    <w:rsid w:val="005E0D49"/>
    <w:rsid w:val="005E0FD1"/>
    <w:rsid w:val="005E12EB"/>
    <w:rsid w:val="005E15BE"/>
    <w:rsid w:val="005E4BFB"/>
    <w:rsid w:val="005E56C5"/>
    <w:rsid w:val="005E59F3"/>
    <w:rsid w:val="005E7A17"/>
    <w:rsid w:val="005F001B"/>
    <w:rsid w:val="005F36FE"/>
    <w:rsid w:val="005F3E2A"/>
    <w:rsid w:val="005F56A5"/>
    <w:rsid w:val="005F5AAE"/>
    <w:rsid w:val="005F6093"/>
    <w:rsid w:val="005F7EB5"/>
    <w:rsid w:val="00600482"/>
    <w:rsid w:val="006029D7"/>
    <w:rsid w:val="0060432C"/>
    <w:rsid w:val="006049E4"/>
    <w:rsid w:val="00605068"/>
    <w:rsid w:val="006050A7"/>
    <w:rsid w:val="00605272"/>
    <w:rsid w:val="006069E4"/>
    <w:rsid w:val="00606D64"/>
    <w:rsid w:val="006072F1"/>
    <w:rsid w:val="00607379"/>
    <w:rsid w:val="00607E12"/>
    <w:rsid w:val="006110CF"/>
    <w:rsid w:val="0061247C"/>
    <w:rsid w:val="00612DB5"/>
    <w:rsid w:val="00613CE3"/>
    <w:rsid w:val="00614627"/>
    <w:rsid w:val="00616EBF"/>
    <w:rsid w:val="00620326"/>
    <w:rsid w:val="00620DC0"/>
    <w:rsid w:val="006226BF"/>
    <w:rsid w:val="00622BE4"/>
    <w:rsid w:val="006237EE"/>
    <w:rsid w:val="00623B9D"/>
    <w:rsid w:val="0062494B"/>
    <w:rsid w:val="00624C6B"/>
    <w:rsid w:val="00624F23"/>
    <w:rsid w:val="006257BD"/>
    <w:rsid w:val="0062741D"/>
    <w:rsid w:val="0062790E"/>
    <w:rsid w:val="00630B88"/>
    <w:rsid w:val="00631F75"/>
    <w:rsid w:val="006320DD"/>
    <w:rsid w:val="00632346"/>
    <w:rsid w:val="00632738"/>
    <w:rsid w:val="00632BF8"/>
    <w:rsid w:val="006338F5"/>
    <w:rsid w:val="00634B4B"/>
    <w:rsid w:val="00634F14"/>
    <w:rsid w:val="00635003"/>
    <w:rsid w:val="00640528"/>
    <w:rsid w:val="0064114B"/>
    <w:rsid w:val="00641642"/>
    <w:rsid w:val="006437D9"/>
    <w:rsid w:val="00643AA2"/>
    <w:rsid w:val="00644123"/>
    <w:rsid w:val="00645977"/>
    <w:rsid w:val="00645EEE"/>
    <w:rsid w:val="00646047"/>
    <w:rsid w:val="0064671A"/>
    <w:rsid w:val="006467C0"/>
    <w:rsid w:val="006473E3"/>
    <w:rsid w:val="00647739"/>
    <w:rsid w:val="00647A62"/>
    <w:rsid w:val="00647D7D"/>
    <w:rsid w:val="0065047C"/>
    <w:rsid w:val="00650E37"/>
    <w:rsid w:val="00650EDE"/>
    <w:rsid w:val="0065245C"/>
    <w:rsid w:val="00653769"/>
    <w:rsid w:val="00653A0B"/>
    <w:rsid w:val="00653CCE"/>
    <w:rsid w:val="0065511A"/>
    <w:rsid w:val="00655660"/>
    <w:rsid w:val="0065593D"/>
    <w:rsid w:val="0065626E"/>
    <w:rsid w:val="00656B0B"/>
    <w:rsid w:val="006574CC"/>
    <w:rsid w:val="00660655"/>
    <w:rsid w:val="0066179A"/>
    <w:rsid w:val="006627AE"/>
    <w:rsid w:val="00662BFF"/>
    <w:rsid w:val="00662CB3"/>
    <w:rsid w:val="006649C6"/>
    <w:rsid w:val="00664E14"/>
    <w:rsid w:val="00665B00"/>
    <w:rsid w:val="00665B2F"/>
    <w:rsid w:val="00665E2D"/>
    <w:rsid w:val="006663DC"/>
    <w:rsid w:val="00666E5E"/>
    <w:rsid w:val="00667AC7"/>
    <w:rsid w:val="00667AFE"/>
    <w:rsid w:val="00670647"/>
    <w:rsid w:val="00672347"/>
    <w:rsid w:val="00672F15"/>
    <w:rsid w:val="00674318"/>
    <w:rsid w:val="00674DA3"/>
    <w:rsid w:val="0067513A"/>
    <w:rsid w:val="00676B34"/>
    <w:rsid w:val="00676EC1"/>
    <w:rsid w:val="006771AD"/>
    <w:rsid w:val="00677F58"/>
    <w:rsid w:val="00680500"/>
    <w:rsid w:val="00681148"/>
    <w:rsid w:val="006816CD"/>
    <w:rsid w:val="00681C86"/>
    <w:rsid w:val="006834F8"/>
    <w:rsid w:val="00683D4F"/>
    <w:rsid w:val="00683EB1"/>
    <w:rsid w:val="0068490B"/>
    <w:rsid w:val="006851B1"/>
    <w:rsid w:val="00685FAF"/>
    <w:rsid w:val="0068607F"/>
    <w:rsid w:val="006867E5"/>
    <w:rsid w:val="00687AB1"/>
    <w:rsid w:val="00687B81"/>
    <w:rsid w:val="0069011A"/>
    <w:rsid w:val="006920B7"/>
    <w:rsid w:val="006921D4"/>
    <w:rsid w:val="00692317"/>
    <w:rsid w:val="006936A9"/>
    <w:rsid w:val="006947A0"/>
    <w:rsid w:val="00694F5C"/>
    <w:rsid w:val="00696B01"/>
    <w:rsid w:val="00696DBA"/>
    <w:rsid w:val="006973B0"/>
    <w:rsid w:val="00697598"/>
    <w:rsid w:val="00697819"/>
    <w:rsid w:val="006A0F77"/>
    <w:rsid w:val="006A1091"/>
    <w:rsid w:val="006A126F"/>
    <w:rsid w:val="006A2850"/>
    <w:rsid w:val="006A5466"/>
    <w:rsid w:val="006A6F4D"/>
    <w:rsid w:val="006A79F1"/>
    <w:rsid w:val="006A7F58"/>
    <w:rsid w:val="006A7FEF"/>
    <w:rsid w:val="006B06E2"/>
    <w:rsid w:val="006B1853"/>
    <w:rsid w:val="006B1894"/>
    <w:rsid w:val="006B451A"/>
    <w:rsid w:val="006B5347"/>
    <w:rsid w:val="006B652A"/>
    <w:rsid w:val="006B7464"/>
    <w:rsid w:val="006C1D51"/>
    <w:rsid w:val="006C2091"/>
    <w:rsid w:val="006C211C"/>
    <w:rsid w:val="006C28E8"/>
    <w:rsid w:val="006C3E98"/>
    <w:rsid w:val="006C4A47"/>
    <w:rsid w:val="006C6051"/>
    <w:rsid w:val="006D0132"/>
    <w:rsid w:val="006D07CE"/>
    <w:rsid w:val="006D0B17"/>
    <w:rsid w:val="006D0BE1"/>
    <w:rsid w:val="006D0F14"/>
    <w:rsid w:val="006D153D"/>
    <w:rsid w:val="006D1D46"/>
    <w:rsid w:val="006D3331"/>
    <w:rsid w:val="006D478E"/>
    <w:rsid w:val="006D569A"/>
    <w:rsid w:val="006D5835"/>
    <w:rsid w:val="006D5A9B"/>
    <w:rsid w:val="006D78A4"/>
    <w:rsid w:val="006E05D5"/>
    <w:rsid w:val="006E0D5E"/>
    <w:rsid w:val="006E1E91"/>
    <w:rsid w:val="006E26F3"/>
    <w:rsid w:val="006E2CE3"/>
    <w:rsid w:val="006E30AE"/>
    <w:rsid w:val="006E4522"/>
    <w:rsid w:val="006E4BFA"/>
    <w:rsid w:val="006E5C6C"/>
    <w:rsid w:val="006E60A1"/>
    <w:rsid w:val="006E71A1"/>
    <w:rsid w:val="006F08C3"/>
    <w:rsid w:val="006F154F"/>
    <w:rsid w:val="006F31DC"/>
    <w:rsid w:val="006F36A5"/>
    <w:rsid w:val="006F4948"/>
    <w:rsid w:val="006F4DBE"/>
    <w:rsid w:val="006F56FD"/>
    <w:rsid w:val="006F715C"/>
    <w:rsid w:val="0070014D"/>
    <w:rsid w:val="00700D04"/>
    <w:rsid w:val="00701601"/>
    <w:rsid w:val="00702015"/>
    <w:rsid w:val="007050D0"/>
    <w:rsid w:val="00705720"/>
    <w:rsid w:val="00707DF3"/>
    <w:rsid w:val="00710747"/>
    <w:rsid w:val="00710868"/>
    <w:rsid w:val="00712C74"/>
    <w:rsid w:val="00712C80"/>
    <w:rsid w:val="007144AB"/>
    <w:rsid w:val="007144F4"/>
    <w:rsid w:val="007156C7"/>
    <w:rsid w:val="00715A4B"/>
    <w:rsid w:val="00715E76"/>
    <w:rsid w:val="007160A1"/>
    <w:rsid w:val="007174EC"/>
    <w:rsid w:val="007178F4"/>
    <w:rsid w:val="00717C1F"/>
    <w:rsid w:val="0072018C"/>
    <w:rsid w:val="00720697"/>
    <w:rsid w:val="00720FF6"/>
    <w:rsid w:val="007222DF"/>
    <w:rsid w:val="00722330"/>
    <w:rsid w:val="00723030"/>
    <w:rsid w:val="007232D8"/>
    <w:rsid w:val="00723719"/>
    <w:rsid w:val="007238CC"/>
    <w:rsid w:val="00723AB9"/>
    <w:rsid w:val="00723D1E"/>
    <w:rsid w:val="00731528"/>
    <w:rsid w:val="00731B6A"/>
    <w:rsid w:val="007323A9"/>
    <w:rsid w:val="007334C4"/>
    <w:rsid w:val="007334FD"/>
    <w:rsid w:val="007342A4"/>
    <w:rsid w:val="00734587"/>
    <w:rsid w:val="00734C98"/>
    <w:rsid w:val="00737764"/>
    <w:rsid w:val="00740099"/>
    <w:rsid w:val="00742538"/>
    <w:rsid w:val="00742EB1"/>
    <w:rsid w:val="00742EE8"/>
    <w:rsid w:val="0074334C"/>
    <w:rsid w:val="00743496"/>
    <w:rsid w:val="00743A03"/>
    <w:rsid w:val="00744693"/>
    <w:rsid w:val="007448B2"/>
    <w:rsid w:val="00745FB2"/>
    <w:rsid w:val="007464A7"/>
    <w:rsid w:val="00746D89"/>
    <w:rsid w:val="00746EAA"/>
    <w:rsid w:val="0074732F"/>
    <w:rsid w:val="00747F9D"/>
    <w:rsid w:val="007505A3"/>
    <w:rsid w:val="00750E6D"/>
    <w:rsid w:val="007511DA"/>
    <w:rsid w:val="00752998"/>
    <w:rsid w:val="007532FC"/>
    <w:rsid w:val="00753720"/>
    <w:rsid w:val="007557D9"/>
    <w:rsid w:val="00756A6F"/>
    <w:rsid w:val="00757790"/>
    <w:rsid w:val="00757A67"/>
    <w:rsid w:val="00760376"/>
    <w:rsid w:val="00761315"/>
    <w:rsid w:val="007619E6"/>
    <w:rsid w:val="007623E2"/>
    <w:rsid w:val="007636F2"/>
    <w:rsid w:val="00763DD4"/>
    <w:rsid w:val="00765C18"/>
    <w:rsid w:val="00767CDC"/>
    <w:rsid w:val="00767E5A"/>
    <w:rsid w:val="0077005C"/>
    <w:rsid w:val="00771D34"/>
    <w:rsid w:val="00773986"/>
    <w:rsid w:val="0077425D"/>
    <w:rsid w:val="007744AD"/>
    <w:rsid w:val="00774513"/>
    <w:rsid w:val="00774555"/>
    <w:rsid w:val="007745FC"/>
    <w:rsid w:val="00774A3C"/>
    <w:rsid w:val="007750E2"/>
    <w:rsid w:val="007759F2"/>
    <w:rsid w:val="007771B6"/>
    <w:rsid w:val="0078099A"/>
    <w:rsid w:val="007810DE"/>
    <w:rsid w:val="00781B2B"/>
    <w:rsid w:val="00781D8D"/>
    <w:rsid w:val="00781F6B"/>
    <w:rsid w:val="00782D4C"/>
    <w:rsid w:val="00783783"/>
    <w:rsid w:val="00783DFF"/>
    <w:rsid w:val="0078694F"/>
    <w:rsid w:val="0079019D"/>
    <w:rsid w:val="0079087D"/>
    <w:rsid w:val="0079106A"/>
    <w:rsid w:val="00792796"/>
    <w:rsid w:val="00793640"/>
    <w:rsid w:val="00793D50"/>
    <w:rsid w:val="00793F65"/>
    <w:rsid w:val="007942C0"/>
    <w:rsid w:val="007945A1"/>
    <w:rsid w:val="00794D8F"/>
    <w:rsid w:val="00795001"/>
    <w:rsid w:val="007962B0"/>
    <w:rsid w:val="007962E7"/>
    <w:rsid w:val="00796740"/>
    <w:rsid w:val="00797236"/>
    <w:rsid w:val="007A0463"/>
    <w:rsid w:val="007A0B00"/>
    <w:rsid w:val="007A14E0"/>
    <w:rsid w:val="007A5296"/>
    <w:rsid w:val="007A53CF"/>
    <w:rsid w:val="007A5517"/>
    <w:rsid w:val="007A584D"/>
    <w:rsid w:val="007A5A52"/>
    <w:rsid w:val="007B0FF8"/>
    <w:rsid w:val="007B22DE"/>
    <w:rsid w:val="007B2586"/>
    <w:rsid w:val="007B346F"/>
    <w:rsid w:val="007B46BD"/>
    <w:rsid w:val="007B5178"/>
    <w:rsid w:val="007B6A3F"/>
    <w:rsid w:val="007C06BB"/>
    <w:rsid w:val="007C0A8C"/>
    <w:rsid w:val="007C0DB7"/>
    <w:rsid w:val="007C3753"/>
    <w:rsid w:val="007C3851"/>
    <w:rsid w:val="007C401B"/>
    <w:rsid w:val="007C4115"/>
    <w:rsid w:val="007C51C0"/>
    <w:rsid w:val="007C59CD"/>
    <w:rsid w:val="007C6856"/>
    <w:rsid w:val="007C7314"/>
    <w:rsid w:val="007C78A8"/>
    <w:rsid w:val="007D0427"/>
    <w:rsid w:val="007D1FD1"/>
    <w:rsid w:val="007D20CD"/>
    <w:rsid w:val="007D2DD3"/>
    <w:rsid w:val="007D386C"/>
    <w:rsid w:val="007D4019"/>
    <w:rsid w:val="007D6F44"/>
    <w:rsid w:val="007D7721"/>
    <w:rsid w:val="007D77B1"/>
    <w:rsid w:val="007D7B39"/>
    <w:rsid w:val="007E2471"/>
    <w:rsid w:val="007E314E"/>
    <w:rsid w:val="007E3A8B"/>
    <w:rsid w:val="007E3C1F"/>
    <w:rsid w:val="007E4541"/>
    <w:rsid w:val="007E4ECC"/>
    <w:rsid w:val="007E5697"/>
    <w:rsid w:val="007E5B32"/>
    <w:rsid w:val="007E5DE9"/>
    <w:rsid w:val="007E7A45"/>
    <w:rsid w:val="007E7C2B"/>
    <w:rsid w:val="007F0421"/>
    <w:rsid w:val="007F0666"/>
    <w:rsid w:val="007F06D9"/>
    <w:rsid w:val="007F1846"/>
    <w:rsid w:val="007F19A8"/>
    <w:rsid w:val="007F1DBA"/>
    <w:rsid w:val="007F6419"/>
    <w:rsid w:val="007F6768"/>
    <w:rsid w:val="007F7027"/>
    <w:rsid w:val="007F7705"/>
    <w:rsid w:val="007F7944"/>
    <w:rsid w:val="007F7D55"/>
    <w:rsid w:val="0080047E"/>
    <w:rsid w:val="00800769"/>
    <w:rsid w:val="00801694"/>
    <w:rsid w:val="0080178E"/>
    <w:rsid w:val="008026EA"/>
    <w:rsid w:val="00803F6E"/>
    <w:rsid w:val="008050AF"/>
    <w:rsid w:val="008065BD"/>
    <w:rsid w:val="00807553"/>
    <w:rsid w:val="00807CB8"/>
    <w:rsid w:val="00807D09"/>
    <w:rsid w:val="008101F8"/>
    <w:rsid w:val="00810557"/>
    <w:rsid w:val="00810EE4"/>
    <w:rsid w:val="0081103A"/>
    <w:rsid w:val="008119CB"/>
    <w:rsid w:val="00813D55"/>
    <w:rsid w:val="00815EE1"/>
    <w:rsid w:val="008163D7"/>
    <w:rsid w:val="00816790"/>
    <w:rsid w:val="008168CA"/>
    <w:rsid w:val="008178DA"/>
    <w:rsid w:val="00827C9D"/>
    <w:rsid w:val="00830A27"/>
    <w:rsid w:val="00830DA7"/>
    <w:rsid w:val="008314F1"/>
    <w:rsid w:val="00831D01"/>
    <w:rsid w:val="00832034"/>
    <w:rsid w:val="00835EA0"/>
    <w:rsid w:val="00837801"/>
    <w:rsid w:val="00840096"/>
    <w:rsid w:val="0084089F"/>
    <w:rsid w:val="008410BE"/>
    <w:rsid w:val="00842B73"/>
    <w:rsid w:val="00842FC5"/>
    <w:rsid w:val="00844213"/>
    <w:rsid w:val="008443DA"/>
    <w:rsid w:val="0084458C"/>
    <w:rsid w:val="00845C03"/>
    <w:rsid w:val="00846DB1"/>
    <w:rsid w:val="00847145"/>
    <w:rsid w:val="0085025C"/>
    <w:rsid w:val="00851402"/>
    <w:rsid w:val="0085158E"/>
    <w:rsid w:val="0085224B"/>
    <w:rsid w:val="0085309F"/>
    <w:rsid w:val="008539B4"/>
    <w:rsid w:val="00854914"/>
    <w:rsid w:val="00855320"/>
    <w:rsid w:val="008558D4"/>
    <w:rsid w:val="00855F4D"/>
    <w:rsid w:val="00855FA7"/>
    <w:rsid w:val="0085622F"/>
    <w:rsid w:val="0085735B"/>
    <w:rsid w:val="00857BED"/>
    <w:rsid w:val="00860733"/>
    <w:rsid w:val="00861C07"/>
    <w:rsid w:val="0086271E"/>
    <w:rsid w:val="00862B64"/>
    <w:rsid w:val="00863243"/>
    <w:rsid w:val="008632BF"/>
    <w:rsid w:val="00863F67"/>
    <w:rsid w:val="008642A3"/>
    <w:rsid w:val="00864781"/>
    <w:rsid w:val="00865727"/>
    <w:rsid w:val="0086586C"/>
    <w:rsid w:val="00866135"/>
    <w:rsid w:val="00867AAE"/>
    <w:rsid w:val="00870608"/>
    <w:rsid w:val="00872944"/>
    <w:rsid w:val="00872EC7"/>
    <w:rsid w:val="0087533F"/>
    <w:rsid w:val="008753BA"/>
    <w:rsid w:val="00875CC9"/>
    <w:rsid w:val="00876BC4"/>
    <w:rsid w:val="00876E9A"/>
    <w:rsid w:val="008770D7"/>
    <w:rsid w:val="00880DE6"/>
    <w:rsid w:val="00880F6C"/>
    <w:rsid w:val="00883AC5"/>
    <w:rsid w:val="00883F03"/>
    <w:rsid w:val="00886D47"/>
    <w:rsid w:val="00886DAD"/>
    <w:rsid w:val="0088782A"/>
    <w:rsid w:val="008919C8"/>
    <w:rsid w:val="00893EE9"/>
    <w:rsid w:val="008947B7"/>
    <w:rsid w:val="00895CFA"/>
    <w:rsid w:val="00896FCB"/>
    <w:rsid w:val="008A0CDC"/>
    <w:rsid w:val="008A23FA"/>
    <w:rsid w:val="008A2E48"/>
    <w:rsid w:val="008A467A"/>
    <w:rsid w:val="008A525D"/>
    <w:rsid w:val="008A567A"/>
    <w:rsid w:val="008A5BC5"/>
    <w:rsid w:val="008A66E6"/>
    <w:rsid w:val="008B063D"/>
    <w:rsid w:val="008B09D6"/>
    <w:rsid w:val="008B14DF"/>
    <w:rsid w:val="008B20F1"/>
    <w:rsid w:val="008B2D44"/>
    <w:rsid w:val="008B3D84"/>
    <w:rsid w:val="008B42B1"/>
    <w:rsid w:val="008B577D"/>
    <w:rsid w:val="008B644A"/>
    <w:rsid w:val="008B743D"/>
    <w:rsid w:val="008B7942"/>
    <w:rsid w:val="008C2021"/>
    <w:rsid w:val="008C4B22"/>
    <w:rsid w:val="008C4EA3"/>
    <w:rsid w:val="008C4FCB"/>
    <w:rsid w:val="008C562E"/>
    <w:rsid w:val="008C63EF"/>
    <w:rsid w:val="008C7246"/>
    <w:rsid w:val="008C79C1"/>
    <w:rsid w:val="008D14D1"/>
    <w:rsid w:val="008D14E7"/>
    <w:rsid w:val="008D1AB7"/>
    <w:rsid w:val="008D1D8B"/>
    <w:rsid w:val="008D1DEA"/>
    <w:rsid w:val="008D247A"/>
    <w:rsid w:val="008D3BF1"/>
    <w:rsid w:val="008D4870"/>
    <w:rsid w:val="008D5FD7"/>
    <w:rsid w:val="008D62A3"/>
    <w:rsid w:val="008D69F4"/>
    <w:rsid w:val="008E0B09"/>
    <w:rsid w:val="008E0CCD"/>
    <w:rsid w:val="008E2DE6"/>
    <w:rsid w:val="008E430B"/>
    <w:rsid w:val="008E45F7"/>
    <w:rsid w:val="008E52A6"/>
    <w:rsid w:val="008E71C6"/>
    <w:rsid w:val="008F0C28"/>
    <w:rsid w:val="008F0F1A"/>
    <w:rsid w:val="008F16CB"/>
    <w:rsid w:val="008F16D6"/>
    <w:rsid w:val="008F4664"/>
    <w:rsid w:val="008F5581"/>
    <w:rsid w:val="008F57FC"/>
    <w:rsid w:val="008F648B"/>
    <w:rsid w:val="008F669C"/>
    <w:rsid w:val="008F771A"/>
    <w:rsid w:val="00900567"/>
    <w:rsid w:val="00900F99"/>
    <w:rsid w:val="0090169E"/>
    <w:rsid w:val="00901A1D"/>
    <w:rsid w:val="00901EB6"/>
    <w:rsid w:val="00902ED4"/>
    <w:rsid w:val="00910767"/>
    <w:rsid w:val="009115FB"/>
    <w:rsid w:val="009118CA"/>
    <w:rsid w:val="00912075"/>
    <w:rsid w:val="00914668"/>
    <w:rsid w:val="0091478A"/>
    <w:rsid w:val="009149CE"/>
    <w:rsid w:val="00915ADA"/>
    <w:rsid w:val="00916C38"/>
    <w:rsid w:val="009179D7"/>
    <w:rsid w:val="00917C23"/>
    <w:rsid w:val="00920F2E"/>
    <w:rsid w:val="00921EA3"/>
    <w:rsid w:val="00923903"/>
    <w:rsid w:val="0092414B"/>
    <w:rsid w:val="0092551F"/>
    <w:rsid w:val="009274B9"/>
    <w:rsid w:val="00930125"/>
    <w:rsid w:val="009313F1"/>
    <w:rsid w:val="009321E4"/>
    <w:rsid w:val="00932F59"/>
    <w:rsid w:val="00933471"/>
    <w:rsid w:val="00934591"/>
    <w:rsid w:val="00936B80"/>
    <w:rsid w:val="009371AE"/>
    <w:rsid w:val="0093721C"/>
    <w:rsid w:val="00937500"/>
    <w:rsid w:val="00937BEF"/>
    <w:rsid w:val="00940014"/>
    <w:rsid w:val="0094015B"/>
    <w:rsid w:val="00941346"/>
    <w:rsid w:val="0094210C"/>
    <w:rsid w:val="00942517"/>
    <w:rsid w:val="0094290C"/>
    <w:rsid w:val="00946514"/>
    <w:rsid w:val="00946DCB"/>
    <w:rsid w:val="009476FF"/>
    <w:rsid w:val="00947B80"/>
    <w:rsid w:val="0095066D"/>
    <w:rsid w:val="0095271A"/>
    <w:rsid w:val="00953B76"/>
    <w:rsid w:val="0095425F"/>
    <w:rsid w:val="00954547"/>
    <w:rsid w:val="00954ACB"/>
    <w:rsid w:val="00954CA4"/>
    <w:rsid w:val="009567D9"/>
    <w:rsid w:val="009572DF"/>
    <w:rsid w:val="00957939"/>
    <w:rsid w:val="00957A2A"/>
    <w:rsid w:val="009601D1"/>
    <w:rsid w:val="009603DC"/>
    <w:rsid w:val="00960FCE"/>
    <w:rsid w:val="00962C04"/>
    <w:rsid w:val="00963605"/>
    <w:rsid w:val="0096416C"/>
    <w:rsid w:val="0096606E"/>
    <w:rsid w:val="009670CF"/>
    <w:rsid w:val="00970B81"/>
    <w:rsid w:val="00970CC4"/>
    <w:rsid w:val="0097107C"/>
    <w:rsid w:val="009710D3"/>
    <w:rsid w:val="00971A2A"/>
    <w:rsid w:val="0097204B"/>
    <w:rsid w:val="009728AB"/>
    <w:rsid w:val="00972998"/>
    <w:rsid w:val="0097638C"/>
    <w:rsid w:val="00980A70"/>
    <w:rsid w:val="0098151D"/>
    <w:rsid w:val="00984818"/>
    <w:rsid w:val="00984B64"/>
    <w:rsid w:val="00992476"/>
    <w:rsid w:val="00994BB5"/>
    <w:rsid w:val="009965E1"/>
    <w:rsid w:val="00997303"/>
    <w:rsid w:val="00997E1F"/>
    <w:rsid w:val="009A0FBE"/>
    <w:rsid w:val="009A12FA"/>
    <w:rsid w:val="009A18B1"/>
    <w:rsid w:val="009A1F8D"/>
    <w:rsid w:val="009A2139"/>
    <w:rsid w:val="009A399C"/>
    <w:rsid w:val="009A60F6"/>
    <w:rsid w:val="009A7D8B"/>
    <w:rsid w:val="009B0B9E"/>
    <w:rsid w:val="009B0D34"/>
    <w:rsid w:val="009B0D3E"/>
    <w:rsid w:val="009B240A"/>
    <w:rsid w:val="009B295F"/>
    <w:rsid w:val="009B3504"/>
    <w:rsid w:val="009B382F"/>
    <w:rsid w:val="009B422D"/>
    <w:rsid w:val="009B4F16"/>
    <w:rsid w:val="009B74B8"/>
    <w:rsid w:val="009C02FC"/>
    <w:rsid w:val="009C0B31"/>
    <w:rsid w:val="009C0EAB"/>
    <w:rsid w:val="009C0FD7"/>
    <w:rsid w:val="009C16A1"/>
    <w:rsid w:val="009C3717"/>
    <w:rsid w:val="009C3FD2"/>
    <w:rsid w:val="009C47E7"/>
    <w:rsid w:val="009C4B10"/>
    <w:rsid w:val="009C66AB"/>
    <w:rsid w:val="009C7180"/>
    <w:rsid w:val="009C7854"/>
    <w:rsid w:val="009C788F"/>
    <w:rsid w:val="009D0E7D"/>
    <w:rsid w:val="009D2A08"/>
    <w:rsid w:val="009D2CF6"/>
    <w:rsid w:val="009D2E11"/>
    <w:rsid w:val="009D66A3"/>
    <w:rsid w:val="009D6A73"/>
    <w:rsid w:val="009D6B17"/>
    <w:rsid w:val="009D73AF"/>
    <w:rsid w:val="009E18BB"/>
    <w:rsid w:val="009E2E47"/>
    <w:rsid w:val="009E3805"/>
    <w:rsid w:val="009E3AAD"/>
    <w:rsid w:val="009E3F9E"/>
    <w:rsid w:val="009E5F19"/>
    <w:rsid w:val="009E6774"/>
    <w:rsid w:val="009E6B43"/>
    <w:rsid w:val="009E6FF3"/>
    <w:rsid w:val="009E7340"/>
    <w:rsid w:val="009E73E8"/>
    <w:rsid w:val="009F191C"/>
    <w:rsid w:val="009F2137"/>
    <w:rsid w:val="009F2F6A"/>
    <w:rsid w:val="009F3074"/>
    <w:rsid w:val="009F4173"/>
    <w:rsid w:val="009F4E24"/>
    <w:rsid w:val="009F6DB4"/>
    <w:rsid w:val="009F6E55"/>
    <w:rsid w:val="009F79AF"/>
    <w:rsid w:val="00A01712"/>
    <w:rsid w:val="00A02D70"/>
    <w:rsid w:val="00A049C9"/>
    <w:rsid w:val="00A0769D"/>
    <w:rsid w:val="00A10FAC"/>
    <w:rsid w:val="00A147E8"/>
    <w:rsid w:val="00A148E9"/>
    <w:rsid w:val="00A151A2"/>
    <w:rsid w:val="00A160F6"/>
    <w:rsid w:val="00A16B01"/>
    <w:rsid w:val="00A17173"/>
    <w:rsid w:val="00A1729F"/>
    <w:rsid w:val="00A17DB2"/>
    <w:rsid w:val="00A17F8C"/>
    <w:rsid w:val="00A215DA"/>
    <w:rsid w:val="00A22776"/>
    <w:rsid w:val="00A2674F"/>
    <w:rsid w:val="00A27338"/>
    <w:rsid w:val="00A30817"/>
    <w:rsid w:val="00A30CA9"/>
    <w:rsid w:val="00A30D01"/>
    <w:rsid w:val="00A31927"/>
    <w:rsid w:val="00A31CC8"/>
    <w:rsid w:val="00A32789"/>
    <w:rsid w:val="00A32D5A"/>
    <w:rsid w:val="00A32E57"/>
    <w:rsid w:val="00A32ECD"/>
    <w:rsid w:val="00A32F1A"/>
    <w:rsid w:val="00A330B3"/>
    <w:rsid w:val="00A3313F"/>
    <w:rsid w:val="00A337C3"/>
    <w:rsid w:val="00A34128"/>
    <w:rsid w:val="00A366BA"/>
    <w:rsid w:val="00A402C7"/>
    <w:rsid w:val="00A42A4C"/>
    <w:rsid w:val="00A43180"/>
    <w:rsid w:val="00A4329E"/>
    <w:rsid w:val="00A4397E"/>
    <w:rsid w:val="00A43F9D"/>
    <w:rsid w:val="00A4541B"/>
    <w:rsid w:val="00A4598E"/>
    <w:rsid w:val="00A45BD2"/>
    <w:rsid w:val="00A47246"/>
    <w:rsid w:val="00A47B02"/>
    <w:rsid w:val="00A5021C"/>
    <w:rsid w:val="00A50855"/>
    <w:rsid w:val="00A51EC4"/>
    <w:rsid w:val="00A53EBF"/>
    <w:rsid w:val="00A54E76"/>
    <w:rsid w:val="00A55EF5"/>
    <w:rsid w:val="00A56980"/>
    <w:rsid w:val="00A56B1B"/>
    <w:rsid w:val="00A57A52"/>
    <w:rsid w:val="00A61BF5"/>
    <w:rsid w:val="00A638A5"/>
    <w:rsid w:val="00A63CB8"/>
    <w:rsid w:val="00A64AF3"/>
    <w:rsid w:val="00A64CAB"/>
    <w:rsid w:val="00A64D38"/>
    <w:rsid w:val="00A65D93"/>
    <w:rsid w:val="00A65EE1"/>
    <w:rsid w:val="00A67AE9"/>
    <w:rsid w:val="00A70DC4"/>
    <w:rsid w:val="00A724B4"/>
    <w:rsid w:val="00A72AD4"/>
    <w:rsid w:val="00A737D6"/>
    <w:rsid w:val="00A7590A"/>
    <w:rsid w:val="00A774AB"/>
    <w:rsid w:val="00A801F2"/>
    <w:rsid w:val="00A80CE1"/>
    <w:rsid w:val="00A80FF3"/>
    <w:rsid w:val="00A82004"/>
    <w:rsid w:val="00A83087"/>
    <w:rsid w:val="00A86B7F"/>
    <w:rsid w:val="00A87424"/>
    <w:rsid w:val="00A91B6E"/>
    <w:rsid w:val="00A920F3"/>
    <w:rsid w:val="00A92464"/>
    <w:rsid w:val="00A9267A"/>
    <w:rsid w:val="00A94AD7"/>
    <w:rsid w:val="00A94F95"/>
    <w:rsid w:val="00A9589A"/>
    <w:rsid w:val="00A962CC"/>
    <w:rsid w:val="00A96D4D"/>
    <w:rsid w:val="00A97015"/>
    <w:rsid w:val="00A97904"/>
    <w:rsid w:val="00AA0E9D"/>
    <w:rsid w:val="00AA1675"/>
    <w:rsid w:val="00AA1E75"/>
    <w:rsid w:val="00AA270B"/>
    <w:rsid w:val="00AA323D"/>
    <w:rsid w:val="00AA4BAF"/>
    <w:rsid w:val="00AA5533"/>
    <w:rsid w:val="00AA5E35"/>
    <w:rsid w:val="00AA62F0"/>
    <w:rsid w:val="00AB068F"/>
    <w:rsid w:val="00AB30F4"/>
    <w:rsid w:val="00AB46B1"/>
    <w:rsid w:val="00AB50CE"/>
    <w:rsid w:val="00AB5133"/>
    <w:rsid w:val="00AB51E0"/>
    <w:rsid w:val="00AB56FC"/>
    <w:rsid w:val="00AB5D03"/>
    <w:rsid w:val="00AB5DF0"/>
    <w:rsid w:val="00AB6C7B"/>
    <w:rsid w:val="00AB7525"/>
    <w:rsid w:val="00AB759E"/>
    <w:rsid w:val="00AB77F8"/>
    <w:rsid w:val="00AC0CF3"/>
    <w:rsid w:val="00AC18FD"/>
    <w:rsid w:val="00AC29CF"/>
    <w:rsid w:val="00AC4F51"/>
    <w:rsid w:val="00AC5E7D"/>
    <w:rsid w:val="00AC5EE0"/>
    <w:rsid w:val="00AC6D29"/>
    <w:rsid w:val="00AC73E0"/>
    <w:rsid w:val="00AD01BD"/>
    <w:rsid w:val="00AD07C3"/>
    <w:rsid w:val="00AD1DEC"/>
    <w:rsid w:val="00AD3120"/>
    <w:rsid w:val="00AD4468"/>
    <w:rsid w:val="00AD6346"/>
    <w:rsid w:val="00AD66F4"/>
    <w:rsid w:val="00AD68E2"/>
    <w:rsid w:val="00AD6AC9"/>
    <w:rsid w:val="00AD6D48"/>
    <w:rsid w:val="00AD6D8F"/>
    <w:rsid w:val="00AD7378"/>
    <w:rsid w:val="00AD7F59"/>
    <w:rsid w:val="00AE039E"/>
    <w:rsid w:val="00AE0C54"/>
    <w:rsid w:val="00AE0D8B"/>
    <w:rsid w:val="00AE2478"/>
    <w:rsid w:val="00AE45A2"/>
    <w:rsid w:val="00AE462A"/>
    <w:rsid w:val="00AE4765"/>
    <w:rsid w:val="00AE56D5"/>
    <w:rsid w:val="00AE58B3"/>
    <w:rsid w:val="00AE5A1D"/>
    <w:rsid w:val="00AE6A44"/>
    <w:rsid w:val="00AE734E"/>
    <w:rsid w:val="00AE7A83"/>
    <w:rsid w:val="00AF02E5"/>
    <w:rsid w:val="00AF0A78"/>
    <w:rsid w:val="00AF1DEC"/>
    <w:rsid w:val="00AF2069"/>
    <w:rsid w:val="00AF2396"/>
    <w:rsid w:val="00AF2B21"/>
    <w:rsid w:val="00AF2B6F"/>
    <w:rsid w:val="00AF481A"/>
    <w:rsid w:val="00AF4B6F"/>
    <w:rsid w:val="00AF58AE"/>
    <w:rsid w:val="00AF6659"/>
    <w:rsid w:val="00AF702D"/>
    <w:rsid w:val="00B00289"/>
    <w:rsid w:val="00B002CD"/>
    <w:rsid w:val="00B00D01"/>
    <w:rsid w:val="00B01245"/>
    <w:rsid w:val="00B01CA8"/>
    <w:rsid w:val="00B01D7F"/>
    <w:rsid w:val="00B033EA"/>
    <w:rsid w:val="00B034EB"/>
    <w:rsid w:val="00B04711"/>
    <w:rsid w:val="00B0484C"/>
    <w:rsid w:val="00B04970"/>
    <w:rsid w:val="00B05FDF"/>
    <w:rsid w:val="00B10014"/>
    <w:rsid w:val="00B10795"/>
    <w:rsid w:val="00B10914"/>
    <w:rsid w:val="00B10E5A"/>
    <w:rsid w:val="00B115AB"/>
    <w:rsid w:val="00B11B67"/>
    <w:rsid w:val="00B12804"/>
    <w:rsid w:val="00B136AF"/>
    <w:rsid w:val="00B13831"/>
    <w:rsid w:val="00B15455"/>
    <w:rsid w:val="00B15AC6"/>
    <w:rsid w:val="00B1685F"/>
    <w:rsid w:val="00B17913"/>
    <w:rsid w:val="00B2127F"/>
    <w:rsid w:val="00B214FD"/>
    <w:rsid w:val="00B22355"/>
    <w:rsid w:val="00B22945"/>
    <w:rsid w:val="00B2341E"/>
    <w:rsid w:val="00B2377F"/>
    <w:rsid w:val="00B2574E"/>
    <w:rsid w:val="00B25E70"/>
    <w:rsid w:val="00B26091"/>
    <w:rsid w:val="00B27058"/>
    <w:rsid w:val="00B274AE"/>
    <w:rsid w:val="00B31044"/>
    <w:rsid w:val="00B319EA"/>
    <w:rsid w:val="00B31C0D"/>
    <w:rsid w:val="00B32ADD"/>
    <w:rsid w:val="00B337E7"/>
    <w:rsid w:val="00B3443F"/>
    <w:rsid w:val="00B3464F"/>
    <w:rsid w:val="00B34E7A"/>
    <w:rsid w:val="00B35EC3"/>
    <w:rsid w:val="00B35F7C"/>
    <w:rsid w:val="00B3732B"/>
    <w:rsid w:val="00B37875"/>
    <w:rsid w:val="00B40179"/>
    <w:rsid w:val="00B40472"/>
    <w:rsid w:val="00B40550"/>
    <w:rsid w:val="00B40FEE"/>
    <w:rsid w:val="00B414AA"/>
    <w:rsid w:val="00B418F3"/>
    <w:rsid w:val="00B41C28"/>
    <w:rsid w:val="00B429ED"/>
    <w:rsid w:val="00B4439F"/>
    <w:rsid w:val="00B4495F"/>
    <w:rsid w:val="00B47499"/>
    <w:rsid w:val="00B5280C"/>
    <w:rsid w:val="00B529B6"/>
    <w:rsid w:val="00B54966"/>
    <w:rsid w:val="00B54D48"/>
    <w:rsid w:val="00B54EAA"/>
    <w:rsid w:val="00B54F17"/>
    <w:rsid w:val="00B5526E"/>
    <w:rsid w:val="00B552A8"/>
    <w:rsid w:val="00B552AF"/>
    <w:rsid w:val="00B55307"/>
    <w:rsid w:val="00B5590C"/>
    <w:rsid w:val="00B55BD4"/>
    <w:rsid w:val="00B55C1E"/>
    <w:rsid w:val="00B55EBF"/>
    <w:rsid w:val="00B562B1"/>
    <w:rsid w:val="00B5699A"/>
    <w:rsid w:val="00B56EE8"/>
    <w:rsid w:val="00B56FEB"/>
    <w:rsid w:val="00B604A6"/>
    <w:rsid w:val="00B60753"/>
    <w:rsid w:val="00B6194C"/>
    <w:rsid w:val="00B6299C"/>
    <w:rsid w:val="00B630FF"/>
    <w:rsid w:val="00B64A38"/>
    <w:rsid w:val="00B65296"/>
    <w:rsid w:val="00B666A9"/>
    <w:rsid w:val="00B66AA2"/>
    <w:rsid w:val="00B67B5E"/>
    <w:rsid w:val="00B70DA9"/>
    <w:rsid w:val="00B72BB1"/>
    <w:rsid w:val="00B72FE4"/>
    <w:rsid w:val="00B74C4E"/>
    <w:rsid w:val="00B75239"/>
    <w:rsid w:val="00B7600D"/>
    <w:rsid w:val="00B765E4"/>
    <w:rsid w:val="00B82823"/>
    <w:rsid w:val="00B8393C"/>
    <w:rsid w:val="00B84520"/>
    <w:rsid w:val="00B86748"/>
    <w:rsid w:val="00B87194"/>
    <w:rsid w:val="00B87356"/>
    <w:rsid w:val="00B877A9"/>
    <w:rsid w:val="00B87F06"/>
    <w:rsid w:val="00B87F9C"/>
    <w:rsid w:val="00B906C0"/>
    <w:rsid w:val="00B90992"/>
    <w:rsid w:val="00B90E17"/>
    <w:rsid w:val="00B9116A"/>
    <w:rsid w:val="00B911A9"/>
    <w:rsid w:val="00B91E14"/>
    <w:rsid w:val="00B939BF"/>
    <w:rsid w:val="00B93C74"/>
    <w:rsid w:val="00B94886"/>
    <w:rsid w:val="00B9645D"/>
    <w:rsid w:val="00B96C61"/>
    <w:rsid w:val="00B9759A"/>
    <w:rsid w:val="00BA1D0E"/>
    <w:rsid w:val="00BA4784"/>
    <w:rsid w:val="00BA4D46"/>
    <w:rsid w:val="00BA4DCB"/>
    <w:rsid w:val="00BA61CE"/>
    <w:rsid w:val="00BA6705"/>
    <w:rsid w:val="00BA73F8"/>
    <w:rsid w:val="00BA7CA4"/>
    <w:rsid w:val="00BA7F84"/>
    <w:rsid w:val="00BB1157"/>
    <w:rsid w:val="00BB173B"/>
    <w:rsid w:val="00BB1860"/>
    <w:rsid w:val="00BB196E"/>
    <w:rsid w:val="00BB2BC0"/>
    <w:rsid w:val="00BB469F"/>
    <w:rsid w:val="00BB4D5B"/>
    <w:rsid w:val="00BB5831"/>
    <w:rsid w:val="00BB5ECE"/>
    <w:rsid w:val="00BB5F99"/>
    <w:rsid w:val="00BB666C"/>
    <w:rsid w:val="00BB6B86"/>
    <w:rsid w:val="00BB6E6C"/>
    <w:rsid w:val="00BC02A0"/>
    <w:rsid w:val="00BC0827"/>
    <w:rsid w:val="00BC1431"/>
    <w:rsid w:val="00BC180B"/>
    <w:rsid w:val="00BC2440"/>
    <w:rsid w:val="00BC31D0"/>
    <w:rsid w:val="00BC3345"/>
    <w:rsid w:val="00BC34C6"/>
    <w:rsid w:val="00BC434A"/>
    <w:rsid w:val="00BC441D"/>
    <w:rsid w:val="00BC685F"/>
    <w:rsid w:val="00BC7072"/>
    <w:rsid w:val="00BC7AD5"/>
    <w:rsid w:val="00BC7BC7"/>
    <w:rsid w:val="00BD178C"/>
    <w:rsid w:val="00BD3ABC"/>
    <w:rsid w:val="00BD3F73"/>
    <w:rsid w:val="00BD460A"/>
    <w:rsid w:val="00BD5E7C"/>
    <w:rsid w:val="00BD6506"/>
    <w:rsid w:val="00BD6B65"/>
    <w:rsid w:val="00BD6E7B"/>
    <w:rsid w:val="00BD76E0"/>
    <w:rsid w:val="00BD7B4B"/>
    <w:rsid w:val="00BE0120"/>
    <w:rsid w:val="00BE0F64"/>
    <w:rsid w:val="00BE127E"/>
    <w:rsid w:val="00BE1658"/>
    <w:rsid w:val="00BE207C"/>
    <w:rsid w:val="00BE393A"/>
    <w:rsid w:val="00BE5491"/>
    <w:rsid w:val="00BE60EA"/>
    <w:rsid w:val="00BE65AF"/>
    <w:rsid w:val="00BE6A9B"/>
    <w:rsid w:val="00BE7346"/>
    <w:rsid w:val="00BE75D8"/>
    <w:rsid w:val="00BF0201"/>
    <w:rsid w:val="00BF0AF9"/>
    <w:rsid w:val="00BF1548"/>
    <w:rsid w:val="00BF154C"/>
    <w:rsid w:val="00BF20F4"/>
    <w:rsid w:val="00BF25A2"/>
    <w:rsid w:val="00BF316A"/>
    <w:rsid w:val="00BF4845"/>
    <w:rsid w:val="00BF495B"/>
    <w:rsid w:val="00BF4F16"/>
    <w:rsid w:val="00BF5FE0"/>
    <w:rsid w:val="00BF67C9"/>
    <w:rsid w:val="00C00425"/>
    <w:rsid w:val="00C03202"/>
    <w:rsid w:val="00C03347"/>
    <w:rsid w:val="00C03934"/>
    <w:rsid w:val="00C03AFB"/>
    <w:rsid w:val="00C04E50"/>
    <w:rsid w:val="00C07BCF"/>
    <w:rsid w:val="00C07E86"/>
    <w:rsid w:val="00C10269"/>
    <w:rsid w:val="00C10ED7"/>
    <w:rsid w:val="00C1146E"/>
    <w:rsid w:val="00C11924"/>
    <w:rsid w:val="00C11C05"/>
    <w:rsid w:val="00C12B7A"/>
    <w:rsid w:val="00C13E92"/>
    <w:rsid w:val="00C14703"/>
    <w:rsid w:val="00C14789"/>
    <w:rsid w:val="00C1660E"/>
    <w:rsid w:val="00C16814"/>
    <w:rsid w:val="00C169A0"/>
    <w:rsid w:val="00C17510"/>
    <w:rsid w:val="00C17646"/>
    <w:rsid w:val="00C17B75"/>
    <w:rsid w:val="00C17C02"/>
    <w:rsid w:val="00C17CE7"/>
    <w:rsid w:val="00C21D56"/>
    <w:rsid w:val="00C21F0E"/>
    <w:rsid w:val="00C220B5"/>
    <w:rsid w:val="00C222A4"/>
    <w:rsid w:val="00C23755"/>
    <w:rsid w:val="00C23948"/>
    <w:rsid w:val="00C242CE"/>
    <w:rsid w:val="00C2584E"/>
    <w:rsid w:val="00C25A5C"/>
    <w:rsid w:val="00C26298"/>
    <w:rsid w:val="00C267F3"/>
    <w:rsid w:val="00C26F0B"/>
    <w:rsid w:val="00C2703B"/>
    <w:rsid w:val="00C2703F"/>
    <w:rsid w:val="00C303EE"/>
    <w:rsid w:val="00C30D78"/>
    <w:rsid w:val="00C30E67"/>
    <w:rsid w:val="00C31FC3"/>
    <w:rsid w:val="00C34BD2"/>
    <w:rsid w:val="00C34C3C"/>
    <w:rsid w:val="00C34E0A"/>
    <w:rsid w:val="00C36486"/>
    <w:rsid w:val="00C369A3"/>
    <w:rsid w:val="00C374DA"/>
    <w:rsid w:val="00C37874"/>
    <w:rsid w:val="00C37C6C"/>
    <w:rsid w:val="00C409D9"/>
    <w:rsid w:val="00C413D4"/>
    <w:rsid w:val="00C41981"/>
    <w:rsid w:val="00C41E97"/>
    <w:rsid w:val="00C422E6"/>
    <w:rsid w:val="00C44549"/>
    <w:rsid w:val="00C45E86"/>
    <w:rsid w:val="00C4663A"/>
    <w:rsid w:val="00C47598"/>
    <w:rsid w:val="00C47C33"/>
    <w:rsid w:val="00C50185"/>
    <w:rsid w:val="00C521DE"/>
    <w:rsid w:val="00C525F6"/>
    <w:rsid w:val="00C52C6A"/>
    <w:rsid w:val="00C53900"/>
    <w:rsid w:val="00C53C97"/>
    <w:rsid w:val="00C54313"/>
    <w:rsid w:val="00C5479A"/>
    <w:rsid w:val="00C55BBA"/>
    <w:rsid w:val="00C55F57"/>
    <w:rsid w:val="00C5754F"/>
    <w:rsid w:val="00C61393"/>
    <w:rsid w:val="00C61D0F"/>
    <w:rsid w:val="00C627FD"/>
    <w:rsid w:val="00C62A12"/>
    <w:rsid w:val="00C63251"/>
    <w:rsid w:val="00C64A9F"/>
    <w:rsid w:val="00C65059"/>
    <w:rsid w:val="00C6527A"/>
    <w:rsid w:val="00C65849"/>
    <w:rsid w:val="00C65CE4"/>
    <w:rsid w:val="00C662C2"/>
    <w:rsid w:val="00C70A62"/>
    <w:rsid w:val="00C71F96"/>
    <w:rsid w:val="00C729AB"/>
    <w:rsid w:val="00C72A4C"/>
    <w:rsid w:val="00C74705"/>
    <w:rsid w:val="00C75A66"/>
    <w:rsid w:val="00C77193"/>
    <w:rsid w:val="00C775D4"/>
    <w:rsid w:val="00C77C6E"/>
    <w:rsid w:val="00C77E56"/>
    <w:rsid w:val="00C8067E"/>
    <w:rsid w:val="00C80980"/>
    <w:rsid w:val="00C80EA0"/>
    <w:rsid w:val="00C80FE0"/>
    <w:rsid w:val="00C82150"/>
    <w:rsid w:val="00C82722"/>
    <w:rsid w:val="00C83FB8"/>
    <w:rsid w:val="00C84DCD"/>
    <w:rsid w:val="00C85C4E"/>
    <w:rsid w:val="00C85E33"/>
    <w:rsid w:val="00C86257"/>
    <w:rsid w:val="00C86265"/>
    <w:rsid w:val="00C86822"/>
    <w:rsid w:val="00C86B83"/>
    <w:rsid w:val="00C86FE5"/>
    <w:rsid w:val="00C87AA2"/>
    <w:rsid w:val="00C90D62"/>
    <w:rsid w:val="00C92225"/>
    <w:rsid w:val="00C94E39"/>
    <w:rsid w:val="00C951CD"/>
    <w:rsid w:val="00C959F0"/>
    <w:rsid w:val="00CA02B5"/>
    <w:rsid w:val="00CA0938"/>
    <w:rsid w:val="00CA14AC"/>
    <w:rsid w:val="00CA1C78"/>
    <w:rsid w:val="00CA47E5"/>
    <w:rsid w:val="00CA51B4"/>
    <w:rsid w:val="00CA59EA"/>
    <w:rsid w:val="00CA6F15"/>
    <w:rsid w:val="00CA7A7E"/>
    <w:rsid w:val="00CB113D"/>
    <w:rsid w:val="00CB3EAA"/>
    <w:rsid w:val="00CB4745"/>
    <w:rsid w:val="00CB66AB"/>
    <w:rsid w:val="00CB6906"/>
    <w:rsid w:val="00CB7ECC"/>
    <w:rsid w:val="00CC003D"/>
    <w:rsid w:val="00CC074D"/>
    <w:rsid w:val="00CC0D00"/>
    <w:rsid w:val="00CC1C9C"/>
    <w:rsid w:val="00CC21CD"/>
    <w:rsid w:val="00CC2596"/>
    <w:rsid w:val="00CC2EA6"/>
    <w:rsid w:val="00CC329F"/>
    <w:rsid w:val="00CC36C5"/>
    <w:rsid w:val="00CC3D3D"/>
    <w:rsid w:val="00CC3FB9"/>
    <w:rsid w:val="00CC5103"/>
    <w:rsid w:val="00CC60C2"/>
    <w:rsid w:val="00CC62FF"/>
    <w:rsid w:val="00CC7359"/>
    <w:rsid w:val="00CD0102"/>
    <w:rsid w:val="00CD20AD"/>
    <w:rsid w:val="00CD2912"/>
    <w:rsid w:val="00CD298A"/>
    <w:rsid w:val="00CD33C9"/>
    <w:rsid w:val="00CD433D"/>
    <w:rsid w:val="00CD621D"/>
    <w:rsid w:val="00CD6FB8"/>
    <w:rsid w:val="00CD7348"/>
    <w:rsid w:val="00CE1068"/>
    <w:rsid w:val="00CE166F"/>
    <w:rsid w:val="00CE1DFE"/>
    <w:rsid w:val="00CE2F94"/>
    <w:rsid w:val="00CE3E22"/>
    <w:rsid w:val="00CE421C"/>
    <w:rsid w:val="00CE5AC5"/>
    <w:rsid w:val="00CE5CBF"/>
    <w:rsid w:val="00CE63BB"/>
    <w:rsid w:val="00CE6BBB"/>
    <w:rsid w:val="00CE70D1"/>
    <w:rsid w:val="00CE72A7"/>
    <w:rsid w:val="00CE7951"/>
    <w:rsid w:val="00CE7CC6"/>
    <w:rsid w:val="00CF1986"/>
    <w:rsid w:val="00CF2B94"/>
    <w:rsid w:val="00CF323B"/>
    <w:rsid w:val="00CF36DC"/>
    <w:rsid w:val="00CF5A58"/>
    <w:rsid w:val="00CF5A9D"/>
    <w:rsid w:val="00CF5C3A"/>
    <w:rsid w:val="00D00E87"/>
    <w:rsid w:val="00D011F6"/>
    <w:rsid w:val="00D01411"/>
    <w:rsid w:val="00D02817"/>
    <w:rsid w:val="00D034E3"/>
    <w:rsid w:val="00D03E88"/>
    <w:rsid w:val="00D0455C"/>
    <w:rsid w:val="00D055AF"/>
    <w:rsid w:val="00D103EF"/>
    <w:rsid w:val="00D10540"/>
    <w:rsid w:val="00D10724"/>
    <w:rsid w:val="00D10EE1"/>
    <w:rsid w:val="00D119D3"/>
    <w:rsid w:val="00D11C03"/>
    <w:rsid w:val="00D11EAB"/>
    <w:rsid w:val="00D12D7C"/>
    <w:rsid w:val="00D13DB4"/>
    <w:rsid w:val="00D140FB"/>
    <w:rsid w:val="00D15788"/>
    <w:rsid w:val="00D157BE"/>
    <w:rsid w:val="00D1589C"/>
    <w:rsid w:val="00D1629A"/>
    <w:rsid w:val="00D1725A"/>
    <w:rsid w:val="00D17614"/>
    <w:rsid w:val="00D17A06"/>
    <w:rsid w:val="00D208EA"/>
    <w:rsid w:val="00D2151A"/>
    <w:rsid w:val="00D21C05"/>
    <w:rsid w:val="00D21C59"/>
    <w:rsid w:val="00D21CCD"/>
    <w:rsid w:val="00D23402"/>
    <w:rsid w:val="00D2520A"/>
    <w:rsid w:val="00D25E9F"/>
    <w:rsid w:val="00D301B8"/>
    <w:rsid w:val="00D30512"/>
    <w:rsid w:val="00D31465"/>
    <w:rsid w:val="00D33B29"/>
    <w:rsid w:val="00D355F2"/>
    <w:rsid w:val="00D360FF"/>
    <w:rsid w:val="00D36518"/>
    <w:rsid w:val="00D36815"/>
    <w:rsid w:val="00D4015D"/>
    <w:rsid w:val="00D40981"/>
    <w:rsid w:val="00D40AA2"/>
    <w:rsid w:val="00D40BF9"/>
    <w:rsid w:val="00D41FDD"/>
    <w:rsid w:val="00D421D9"/>
    <w:rsid w:val="00D42BF5"/>
    <w:rsid w:val="00D43123"/>
    <w:rsid w:val="00D4386B"/>
    <w:rsid w:val="00D44DFF"/>
    <w:rsid w:val="00D454DC"/>
    <w:rsid w:val="00D465AE"/>
    <w:rsid w:val="00D47A6A"/>
    <w:rsid w:val="00D47DA8"/>
    <w:rsid w:val="00D47E08"/>
    <w:rsid w:val="00D47FB8"/>
    <w:rsid w:val="00D52A77"/>
    <w:rsid w:val="00D54126"/>
    <w:rsid w:val="00D54565"/>
    <w:rsid w:val="00D546BB"/>
    <w:rsid w:val="00D54826"/>
    <w:rsid w:val="00D56C35"/>
    <w:rsid w:val="00D56D34"/>
    <w:rsid w:val="00D574DF"/>
    <w:rsid w:val="00D602DE"/>
    <w:rsid w:val="00D61297"/>
    <w:rsid w:val="00D61813"/>
    <w:rsid w:val="00D61AB8"/>
    <w:rsid w:val="00D62005"/>
    <w:rsid w:val="00D629AC"/>
    <w:rsid w:val="00D63C2E"/>
    <w:rsid w:val="00D6539B"/>
    <w:rsid w:val="00D65480"/>
    <w:rsid w:val="00D66528"/>
    <w:rsid w:val="00D6717D"/>
    <w:rsid w:val="00D7008A"/>
    <w:rsid w:val="00D702F0"/>
    <w:rsid w:val="00D72852"/>
    <w:rsid w:val="00D73555"/>
    <w:rsid w:val="00D755C9"/>
    <w:rsid w:val="00D755E3"/>
    <w:rsid w:val="00D76C81"/>
    <w:rsid w:val="00D76F1E"/>
    <w:rsid w:val="00D817F3"/>
    <w:rsid w:val="00D82A98"/>
    <w:rsid w:val="00D837F9"/>
    <w:rsid w:val="00D8400D"/>
    <w:rsid w:val="00D843D1"/>
    <w:rsid w:val="00D855E9"/>
    <w:rsid w:val="00D858DE"/>
    <w:rsid w:val="00D8632E"/>
    <w:rsid w:val="00D87204"/>
    <w:rsid w:val="00D91BBA"/>
    <w:rsid w:val="00D93CAB"/>
    <w:rsid w:val="00D94074"/>
    <w:rsid w:val="00D96C20"/>
    <w:rsid w:val="00D97A0A"/>
    <w:rsid w:val="00D97A43"/>
    <w:rsid w:val="00DA0311"/>
    <w:rsid w:val="00DA09CA"/>
    <w:rsid w:val="00DA14D4"/>
    <w:rsid w:val="00DA1AA9"/>
    <w:rsid w:val="00DA27B3"/>
    <w:rsid w:val="00DA2A82"/>
    <w:rsid w:val="00DA2BE5"/>
    <w:rsid w:val="00DA3EA4"/>
    <w:rsid w:val="00DA4686"/>
    <w:rsid w:val="00DA50C1"/>
    <w:rsid w:val="00DA6738"/>
    <w:rsid w:val="00DA6CF9"/>
    <w:rsid w:val="00DA71A4"/>
    <w:rsid w:val="00DA7497"/>
    <w:rsid w:val="00DA7B55"/>
    <w:rsid w:val="00DB0174"/>
    <w:rsid w:val="00DB1027"/>
    <w:rsid w:val="00DB17CF"/>
    <w:rsid w:val="00DB2042"/>
    <w:rsid w:val="00DB22ED"/>
    <w:rsid w:val="00DB23C6"/>
    <w:rsid w:val="00DB2FDE"/>
    <w:rsid w:val="00DB3FE1"/>
    <w:rsid w:val="00DB4492"/>
    <w:rsid w:val="00DB45DD"/>
    <w:rsid w:val="00DB4DF7"/>
    <w:rsid w:val="00DB6CCC"/>
    <w:rsid w:val="00DB76CB"/>
    <w:rsid w:val="00DC15AF"/>
    <w:rsid w:val="00DC1839"/>
    <w:rsid w:val="00DC20E3"/>
    <w:rsid w:val="00DC2BAC"/>
    <w:rsid w:val="00DC30AE"/>
    <w:rsid w:val="00DC4FB7"/>
    <w:rsid w:val="00DC5D2F"/>
    <w:rsid w:val="00DC6337"/>
    <w:rsid w:val="00DC6A40"/>
    <w:rsid w:val="00DC6ACA"/>
    <w:rsid w:val="00DC73D5"/>
    <w:rsid w:val="00DD0116"/>
    <w:rsid w:val="00DD2298"/>
    <w:rsid w:val="00DD24CB"/>
    <w:rsid w:val="00DD2ECA"/>
    <w:rsid w:val="00DD37B0"/>
    <w:rsid w:val="00DD3837"/>
    <w:rsid w:val="00DD4D46"/>
    <w:rsid w:val="00DD50D1"/>
    <w:rsid w:val="00DD5509"/>
    <w:rsid w:val="00DD64E4"/>
    <w:rsid w:val="00DD7DBE"/>
    <w:rsid w:val="00DD7FAB"/>
    <w:rsid w:val="00DE1CF6"/>
    <w:rsid w:val="00DE2AE8"/>
    <w:rsid w:val="00DE2B6D"/>
    <w:rsid w:val="00DE3988"/>
    <w:rsid w:val="00DE4023"/>
    <w:rsid w:val="00DE4DBD"/>
    <w:rsid w:val="00DE54A4"/>
    <w:rsid w:val="00DE5846"/>
    <w:rsid w:val="00DE6061"/>
    <w:rsid w:val="00DE60E9"/>
    <w:rsid w:val="00DE6B1C"/>
    <w:rsid w:val="00DE6BDD"/>
    <w:rsid w:val="00DE6BE7"/>
    <w:rsid w:val="00DE732B"/>
    <w:rsid w:val="00DE7730"/>
    <w:rsid w:val="00DE78F1"/>
    <w:rsid w:val="00DE7A9F"/>
    <w:rsid w:val="00DE7D90"/>
    <w:rsid w:val="00DE7E4F"/>
    <w:rsid w:val="00DF1865"/>
    <w:rsid w:val="00DF1E10"/>
    <w:rsid w:val="00DF31AA"/>
    <w:rsid w:val="00DF6560"/>
    <w:rsid w:val="00DF6738"/>
    <w:rsid w:val="00E012E9"/>
    <w:rsid w:val="00E020A1"/>
    <w:rsid w:val="00E033A5"/>
    <w:rsid w:val="00E033C0"/>
    <w:rsid w:val="00E037B8"/>
    <w:rsid w:val="00E0477D"/>
    <w:rsid w:val="00E06394"/>
    <w:rsid w:val="00E0661A"/>
    <w:rsid w:val="00E0717E"/>
    <w:rsid w:val="00E07520"/>
    <w:rsid w:val="00E104F9"/>
    <w:rsid w:val="00E10F49"/>
    <w:rsid w:val="00E11281"/>
    <w:rsid w:val="00E1197B"/>
    <w:rsid w:val="00E12234"/>
    <w:rsid w:val="00E12BED"/>
    <w:rsid w:val="00E136A4"/>
    <w:rsid w:val="00E13730"/>
    <w:rsid w:val="00E14B61"/>
    <w:rsid w:val="00E14F84"/>
    <w:rsid w:val="00E200F0"/>
    <w:rsid w:val="00E20403"/>
    <w:rsid w:val="00E20412"/>
    <w:rsid w:val="00E2182C"/>
    <w:rsid w:val="00E21A4F"/>
    <w:rsid w:val="00E21ECD"/>
    <w:rsid w:val="00E23A22"/>
    <w:rsid w:val="00E24AFE"/>
    <w:rsid w:val="00E26D47"/>
    <w:rsid w:val="00E276B6"/>
    <w:rsid w:val="00E31CFF"/>
    <w:rsid w:val="00E32163"/>
    <w:rsid w:val="00E324BD"/>
    <w:rsid w:val="00E3265A"/>
    <w:rsid w:val="00E3271F"/>
    <w:rsid w:val="00E32D8E"/>
    <w:rsid w:val="00E33CBF"/>
    <w:rsid w:val="00E33E50"/>
    <w:rsid w:val="00E34055"/>
    <w:rsid w:val="00E3441A"/>
    <w:rsid w:val="00E34935"/>
    <w:rsid w:val="00E34AD9"/>
    <w:rsid w:val="00E34C32"/>
    <w:rsid w:val="00E35D46"/>
    <w:rsid w:val="00E36F87"/>
    <w:rsid w:val="00E370EB"/>
    <w:rsid w:val="00E37184"/>
    <w:rsid w:val="00E373A1"/>
    <w:rsid w:val="00E376C8"/>
    <w:rsid w:val="00E37C95"/>
    <w:rsid w:val="00E40483"/>
    <w:rsid w:val="00E411E5"/>
    <w:rsid w:val="00E41E0C"/>
    <w:rsid w:val="00E4228D"/>
    <w:rsid w:val="00E426AB"/>
    <w:rsid w:val="00E42AA4"/>
    <w:rsid w:val="00E42FA0"/>
    <w:rsid w:val="00E43F6D"/>
    <w:rsid w:val="00E441DB"/>
    <w:rsid w:val="00E45630"/>
    <w:rsid w:val="00E46EDC"/>
    <w:rsid w:val="00E473DE"/>
    <w:rsid w:val="00E4767D"/>
    <w:rsid w:val="00E51589"/>
    <w:rsid w:val="00E51CE9"/>
    <w:rsid w:val="00E5308E"/>
    <w:rsid w:val="00E5327A"/>
    <w:rsid w:val="00E5439B"/>
    <w:rsid w:val="00E57913"/>
    <w:rsid w:val="00E60BF1"/>
    <w:rsid w:val="00E610D6"/>
    <w:rsid w:val="00E611B3"/>
    <w:rsid w:val="00E62544"/>
    <w:rsid w:val="00E63AAA"/>
    <w:rsid w:val="00E65F42"/>
    <w:rsid w:val="00E6661F"/>
    <w:rsid w:val="00E66AF1"/>
    <w:rsid w:val="00E66FF2"/>
    <w:rsid w:val="00E67A8B"/>
    <w:rsid w:val="00E7028B"/>
    <w:rsid w:val="00E713DE"/>
    <w:rsid w:val="00E72295"/>
    <w:rsid w:val="00E72D18"/>
    <w:rsid w:val="00E7461C"/>
    <w:rsid w:val="00E7527E"/>
    <w:rsid w:val="00E753DC"/>
    <w:rsid w:val="00E753DD"/>
    <w:rsid w:val="00E754C1"/>
    <w:rsid w:val="00E76356"/>
    <w:rsid w:val="00E76B1A"/>
    <w:rsid w:val="00E82B12"/>
    <w:rsid w:val="00E82E60"/>
    <w:rsid w:val="00E83F9A"/>
    <w:rsid w:val="00E841AE"/>
    <w:rsid w:val="00E8645E"/>
    <w:rsid w:val="00E8681F"/>
    <w:rsid w:val="00E86B13"/>
    <w:rsid w:val="00E91230"/>
    <w:rsid w:val="00E91586"/>
    <w:rsid w:val="00E91ED2"/>
    <w:rsid w:val="00E92A19"/>
    <w:rsid w:val="00E92F63"/>
    <w:rsid w:val="00E9754F"/>
    <w:rsid w:val="00EA0962"/>
    <w:rsid w:val="00EA1B88"/>
    <w:rsid w:val="00EA2467"/>
    <w:rsid w:val="00EA2C9F"/>
    <w:rsid w:val="00EA3DEA"/>
    <w:rsid w:val="00EA50CA"/>
    <w:rsid w:val="00EA569A"/>
    <w:rsid w:val="00EA5A9D"/>
    <w:rsid w:val="00EA6C7E"/>
    <w:rsid w:val="00EA75C3"/>
    <w:rsid w:val="00EB05BE"/>
    <w:rsid w:val="00EB06ED"/>
    <w:rsid w:val="00EB1756"/>
    <w:rsid w:val="00EB1814"/>
    <w:rsid w:val="00EB1D04"/>
    <w:rsid w:val="00EB236A"/>
    <w:rsid w:val="00EB3DDE"/>
    <w:rsid w:val="00EB564A"/>
    <w:rsid w:val="00EB660B"/>
    <w:rsid w:val="00EB7A41"/>
    <w:rsid w:val="00EC10D6"/>
    <w:rsid w:val="00EC21D1"/>
    <w:rsid w:val="00EC2714"/>
    <w:rsid w:val="00EC3254"/>
    <w:rsid w:val="00EC453D"/>
    <w:rsid w:val="00EC5275"/>
    <w:rsid w:val="00EC58F8"/>
    <w:rsid w:val="00EC5A11"/>
    <w:rsid w:val="00EC733F"/>
    <w:rsid w:val="00EC7BD6"/>
    <w:rsid w:val="00ED043C"/>
    <w:rsid w:val="00ED20D6"/>
    <w:rsid w:val="00ED39CA"/>
    <w:rsid w:val="00ED4F68"/>
    <w:rsid w:val="00EE092A"/>
    <w:rsid w:val="00EE0B34"/>
    <w:rsid w:val="00EE0D85"/>
    <w:rsid w:val="00EE0FC2"/>
    <w:rsid w:val="00EE15AA"/>
    <w:rsid w:val="00EE27BB"/>
    <w:rsid w:val="00EE3879"/>
    <w:rsid w:val="00EE4318"/>
    <w:rsid w:val="00EE7DEB"/>
    <w:rsid w:val="00EF0526"/>
    <w:rsid w:val="00EF5D10"/>
    <w:rsid w:val="00EF60EB"/>
    <w:rsid w:val="00EF6921"/>
    <w:rsid w:val="00EF7D33"/>
    <w:rsid w:val="00F00789"/>
    <w:rsid w:val="00F00ACF"/>
    <w:rsid w:val="00F0195A"/>
    <w:rsid w:val="00F01AE4"/>
    <w:rsid w:val="00F01EF3"/>
    <w:rsid w:val="00F022CC"/>
    <w:rsid w:val="00F02797"/>
    <w:rsid w:val="00F031D5"/>
    <w:rsid w:val="00F041D1"/>
    <w:rsid w:val="00F044BF"/>
    <w:rsid w:val="00F0468B"/>
    <w:rsid w:val="00F04965"/>
    <w:rsid w:val="00F0757C"/>
    <w:rsid w:val="00F076CB"/>
    <w:rsid w:val="00F10172"/>
    <w:rsid w:val="00F129E7"/>
    <w:rsid w:val="00F12A6A"/>
    <w:rsid w:val="00F13498"/>
    <w:rsid w:val="00F143F6"/>
    <w:rsid w:val="00F14805"/>
    <w:rsid w:val="00F15AAF"/>
    <w:rsid w:val="00F15DE9"/>
    <w:rsid w:val="00F200CD"/>
    <w:rsid w:val="00F2282E"/>
    <w:rsid w:val="00F22DB8"/>
    <w:rsid w:val="00F238E3"/>
    <w:rsid w:val="00F24369"/>
    <w:rsid w:val="00F25119"/>
    <w:rsid w:val="00F273DD"/>
    <w:rsid w:val="00F27B80"/>
    <w:rsid w:val="00F315B9"/>
    <w:rsid w:val="00F315F8"/>
    <w:rsid w:val="00F35523"/>
    <w:rsid w:val="00F35A6E"/>
    <w:rsid w:val="00F360E9"/>
    <w:rsid w:val="00F3717A"/>
    <w:rsid w:val="00F4002F"/>
    <w:rsid w:val="00F400F0"/>
    <w:rsid w:val="00F404D9"/>
    <w:rsid w:val="00F40EBE"/>
    <w:rsid w:val="00F41AD0"/>
    <w:rsid w:val="00F4455A"/>
    <w:rsid w:val="00F4465C"/>
    <w:rsid w:val="00F45204"/>
    <w:rsid w:val="00F45609"/>
    <w:rsid w:val="00F458A5"/>
    <w:rsid w:val="00F460E3"/>
    <w:rsid w:val="00F46482"/>
    <w:rsid w:val="00F500B0"/>
    <w:rsid w:val="00F500B8"/>
    <w:rsid w:val="00F50B05"/>
    <w:rsid w:val="00F50FB7"/>
    <w:rsid w:val="00F50FE7"/>
    <w:rsid w:val="00F510FF"/>
    <w:rsid w:val="00F536D9"/>
    <w:rsid w:val="00F546F2"/>
    <w:rsid w:val="00F57E43"/>
    <w:rsid w:val="00F6091D"/>
    <w:rsid w:val="00F631AF"/>
    <w:rsid w:val="00F632DF"/>
    <w:rsid w:val="00F63B64"/>
    <w:rsid w:val="00F64874"/>
    <w:rsid w:val="00F6672E"/>
    <w:rsid w:val="00F70612"/>
    <w:rsid w:val="00F71976"/>
    <w:rsid w:val="00F7339B"/>
    <w:rsid w:val="00F74738"/>
    <w:rsid w:val="00F74984"/>
    <w:rsid w:val="00F7687C"/>
    <w:rsid w:val="00F81D6B"/>
    <w:rsid w:val="00F8291F"/>
    <w:rsid w:val="00F829A4"/>
    <w:rsid w:val="00F82C12"/>
    <w:rsid w:val="00F83FA0"/>
    <w:rsid w:val="00F84A34"/>
    <w:rsid w:val="00F854C3"/>
    <w:rsid w:val="00F8553A"/>
    <w:rsid w:val="00F87FCB"/>
    <w:rsid w:val="00F9245F"/>
    <w:rsid w:val="00F94711"/>
    <w:rsid w:val="00F94AE6"/>
    <w:rsid w:val="00F94B90"/>
    <w:rsid w:val="00F9655C"/>
    <w:rsid w:val="00F96752"/>
    <w:rsid w:val="00F96A4B"/>
    <w:rsid w:val="00FA040B"/>
    <w:rsid w:val="00FA0426"/>
    <w:rsid w:val="00FA0B57"/>
    <w:rsid w:val="00FA0F22"/>
    <w:rsid w:val="00FA12C9"/>
    <w:rsid w:val="00FA1BCA"/>
    <w:rsid w:val="00FA3A07"/>
    <w:rsid w:val="00FA3E7F"/>
    <w:rsid w:val="00FA7086"/>
    <w:rsid w:val="00FA7BA3"/>
    <w:rsid w:val="00FB140D"/>
    <w:rsid w:val="00FB394B"/>
    <w:rsid w:val="00FB3A8B"/>
    <w:rsid w:val="00FB511E"/>
    <w:rsid w:val="00FB5387"/>
    <w:rsid w:val="00FB5491"/>
    <w:rsid w:val="00FB6913"/>
    <w:rsid w:val="00FB69A7"/>
    <w:rsid w:val="00FC003F"/>
    <w:rsid w:val="00FC1096"/>
    <w:rsid w:val="00FC1826"/>
    <w:rsid w:val="00FC1DBB"/>
    <w:rsid w:val="00FC3C1B"/>
    <w:rsid w:val="00FC409E"/>
    <w:rsid w:val="00FC4D38"/>
    <w:rsid w:val="00FC618B"/>
    <w:rsid w:val="00FC689C"/>
    <w:rsid w:val="00FC6DA4"/>
    <w:rsid w:val="00FC729B"/>
    <w:rsid w:val="00FC72C0"/>
    <w:rsid w:val="00FC7A42"/>
    <w:rsid w:val="00FD2F4B"/>
    <w:rsid w:val="00FD3905"/>
    <w:rsid w:val="00FD62C7"/>
    <w:rsid w:val="00FD6B71"/>
    <w:rsid w:val="00FD6CE9"/>
    <w:rsid w:val="00FD7788"/>
    <w:rsid w:val="00FD7E78"/>
    <w:rsid w:val="00FE179B"/>
    <w:rsid w:val="00FE328B"/>
    <w:rsid w:val="00FE35B1"/>
    <w:rsid w:val="00FE4C84"/>
    <w:rsid w:val="00FE5215"/>
    <w:rsid w:val="00FE67AC"/>
    <w:rsid w:val="00FE73D2"/>
    <w:rsid w:val="00FE7CD2"/>
    <w:rsid w:val="00FF1AD8"/>
    <w:rsid w:val="00FF2DDD"/>
    <w:rsid w:val="00FF3D5F"/>
    <w:rsid w:val="00FF4476"/>
    <w:rsid w:val="00FF49F2"/>
    <w:rsid w:val="00FF4F04"/>
    <w:rsid w:val="00FF614D"/>
    <w:rsid w:val="00FF62E8"/>
    <w:rsid w:val="00FF6AD9"/>
    <w:rsid w:val="00FF72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DAA0B"/>
  <w15:chartTrackingRefBased/>
  <w15:docId w15:val="{A619F0BE-167A-4614-93AD-5F9F8584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4F8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B47499"/>
    <w:pPr>
      <w:keepNext/>
      <w:keepLines/>
      <w:spacing w:before="240" w:after="240"/>
      <w:contextualSpacing/>
      <w:jc w:val="center"/>
      <w:outlineLvl w:val="0"/>
    </w:pPr>
    <w:rPr>
      <w:rFonts w:ascii="Verdana" w:eastAsiaTheme="majorEastAsia" w:hAnsi="Verdana" w:cstheme="majorBidi"/>
      <w:b/>
      <w:bCs/>
      <w:sz w:val="20"/>
      <w:szCs w:val="20"/>
    </w:rPr>
  </w:style>
  <w:style w:type="paragraph" w:styleId="Heading2">
    <w:name w:val="heading 2"/>
    <w:basedOn w:val="Normal"/>
    <w:next w:val="Normal"/>
    <w:link w:val="Heading2Char"/>
    <w:qFormat/>
    <w:rsid w:val="00E5439B"/>
    <w:pPr>
      <w:keepNext/>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240" w:after="240"/>
      <w:ind w:left="567" w:firstLine="0"/>
      <w:outlineLvl w:val="1"/>
    </w:pPr>
    <w:rPr>
      <w:rFonts w:ascii="Verdana" w:eastAsia="Times New Roman" w:hAnsi="Verdana" w:cs="Arial"/>
      <w:b/>
      <w:bCs/>
      <w:i/>
      <w:iCs/>
      <w:sz w:val="20"/>
      <w:szCs w:val="20"/>
      <w:bdr w:val="none" w:sz="0" w:space="0" w:color="auto"/>
      <w:lang w:val="es-ES_tradnl"/>
    </w:rPr>
  </w:style>
  <w:style w:type="paragraph" w:styleId="Heading3">
    <w:name w:val="heading 3"/>
    <w:basedOn w:val="Normal"/>
    <w:next w:val="Normal"/>
    <w:link w:val="Heading3Char"/>
    <w:uiPriority w:val="9"/>
    <w:qFormat/>
    <w:rsid w:val="0064114B"/>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before="240" w:after="240"/>
      <w:ind w:left="1134"/>
      <w:outlineLvl w:val="2"/>
    </w:pPr>
    <w:rPr>
      <w:rFonts w:ascii="Verdana" w:eastAsia="Times New Roman" w:hAnsi="Verdana" w:cs="Arial"/>
      <w:b/>
      <w:bCs/>
      <w:sz w:val="20"/>
      <w:szCs w:val="20"/>
      <w:bdr w:val="none" w:sz="0" w:space="0" w:color="auto"/>
    </w:rPr>
  </w:style>
  <w:style w:type="paragraph" w:styleId="Heading4">
    <w:name w:val="heading 4"/>
    <w:basedOn w:val="Normal"/>
    <w:next w:val="Normal"/>
    <w:link w:val="Heading4Char"/>
    <w:unhideWhenUsed/>
    <w:qFormat/>
    <w:rsid w:val="007F0666"/>
    <w:pPr>
      <w:keepNext/>
      <w:keepLines/>
      <w:tabs>
        <w:tab w:val="left" w:pos="567"/>
      </w:tabs>
      <w:spacing w:before="240" w:after="240"/>
      <w:ind w:left="1701"/>
      <w:outlineLvl w:val="3"/>
    </w:pPr>
    <w:rPr>
      <w:rFonts w:ascii="Verdana" w:eastAsiaTheme="majorEastAsia" w:hAnsi="Verdana" w:cstheme="majorBidi"/>
      <w:iCs/>
      <w:sz w:val="20"/>
      <w:szCs w:val="20"/>
      <w:u w:val="single"/>
      <w:lang w:val="es-CR"/>
    </w:rPr>
  </w:style>
  <w:style w:type="paragraph" w:styleId="Heading5">
    <w:name w:val="heading 5"/>
    <w:basedOn w:val="Normal"/>
    <w:next w:val="Normal"/>
    <w:link w:val="Heading5Char"/>
    <w:uiPriority w:val="9"/>
    <w:unhideWhenUsed/>
    <w:qFormat/>
    <w:rsid w:val="00433F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4"/>
    </w:pPr>
    <w:rPr>
      <w:rFonts w:asciiTheme="majorHAnsi" w:eastAsiaTheme="majorEastAsia" w:hAnsiTheme="majorHAnsi" w:cstheme="majorBidi"/>
      <w:color w:val="2E74B5" w:themeColor="accent1" w:themeShade="BF"/>
      <w:sz w:val="22"/>
      <w:szCs w:val="22"/>
      <w:bdr w:val="none" w:sz="0" w:space="0" w:color="auto"/>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99"/>
    <w:rPr>
      <w:rFonts w:ascii="Verdana" w:eastAsiaTheme="majorEastAsia" w:hAnsi="Verdana" w:cstheme="majorBidi"/>
      <w:b/>
      <w:bCs/>
      <w:sz w:val="20"/>
      <w:szCs w:val="20"/>
      <w:bdr w:val="nil"/>
      <w:lang w:val="en-US"/>
    </w:rPr>
  </w:style>
  <w:style w:type="character" w:customStyle="1" w:styleId="Heading2Char">
    <w:name w:val="Heading 2 Char"/>
    <w:basedOn w:val="DefaultParagraphFont"/>
    <w:link w:val="Heading2"/>
    <w:rsid w:val="00E5439B"/>
    <w:rPr>
      <w:rFonts w:ascii="Verdana" w:eastAsia="Times New Roman" w:hAnsi="Verdana" w:cs="Arial"/>
      <w:b/>
      <w:bCs/>
      <w:i/>
      <w:iCs/>
      <w:sz w:val="20"/>
      <w:szCs w:val="20"/>
      <w:lang w:val="es-ES_tradnl"/>
    </w:rPr>
  </w:style>
  <w:style w:type="character" w:customStyle="1" w:styleId="Heading3Char">
    <w:name w:val="Heading 3 Char"/>
    <w:basedOn w:val="DefaultParagraphFont"/>
    <w:link w:val="Heading3"/>
    <w:uiPriority w:val="9"/>
    <w:rsid w:val="0064114B"/>
    <w:rPr>
      <w:rFonts w:ascii="Verdana" w:eastAsia="Times New Roman" w:hAnsi="Verdana" w:cs="Arial"/>
      <w:b/>
      <w:bCs/>
      <w:sz w:val="20"/>
      <w:szCs w:val="20"/>
      <w:lang w:val="en-US"/>
    </w:rPr>
  </w:style>
  <w:style w:type="character" w:styleId="Hyperlink">
    <w:name w:val="Hyperlink"/>
    <w:uiPriority w:val="99"/>
    <w:rsid w:val="0074732F"/>
    <w:rPr>
      <w:u w:val="single"/>
    </w:rPr>
  </w:style>
  <w:style w:type="paragraph" w:styleId="ListParagraph">
    <w:name w:val="List Paragraph"/>
    <w:aliases w:val="Párrafo de lista1,List Paragraph1,Colorful List - Accent 11,List Paragraph11,List Paragraph2,Medium Grid 1 - Accent 21,Colorful List - Accent 12,Lista vistosa - Énfasis 11,Subtle Emphasis1,Footnote1,Parrafos"/>
    <w:link w:val="ListParagraphChar"/>
    <w:uiPriority w:val="34"/>
    <w:qFormat/>
    <w:rsid w:val="0031387C"/>
    <w:pPr>
      <w:numPr>
        <w:numId w:val="7"/>
      </w:numPr>
      <w:tabs>
        <w:tab w:val="left" w:pos="567"/>
      </w:tabs>
      <w:spacing w:before="120" w:after="120" w:line="240" w:lineRule="auto"/>
      <w:ind w:left="0" w:firstLine="0"/>
      <w:jc w:val="both"/>
    </w:pPr>
    <w:rPr>
      <w:rFonts w:ascii="Verdana" w:eastAsia="Cambria" w:hAnsi="Verdana" w:cs="Cambria"/>
      <w:color w:val="000000"/>
      <w:sz w:val="20"/>
      <w:szCs w:val="20"/>
      <w:u w:color="000000"/>
      <w:bdr w:val="nil"/>
      <w:lang w:val="es-ES" w:eastAsia="es-E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FA Fu?notente,C,ft,5"/>
    <w:link w:val="FootnoteTextChar"/>
    <w:uiPriority w:val="99"/>
    <w:qFormat/>
    <w:rsid w:val="0074732F"/>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s-ES"/>
    </w:rPr>
  </w:style>
  <w:style w:type="character" w:customStyle="1" w:styleId="TextonotapieCar">
    <w:name w:val="Texto nota pie Car"/>
    <w:aliases w:val="FA Fu?notente Car,FA Fu?notentext Car,C Car,Footnote Text Char Char Char Char Char Car1,Footnote Text Char Char Char Char Car1,Footnote reference Car1,FA Fu Car1,Footnote Text Char Char Char Car1,Footnote Text Cha Car1,Ca Car1"/>
    <w:basedOn w:val="DefaultParagraphFont"/>
    <w:uiPriority w:val="99"/>
    <w:qFormat/>
    <w:rsid w:val="0074732F"/>
    <w:rPr>
      <w:rFonts w:ascii="Times New Roman" w:eastAsia="Arial Unicode MS" w:hAnsi="Times New Roman" w:cs="Times New Roman"/>
      <w:sz w:val="20"/>
      <w:szCs w:val="20"/>
      <w:bdr w:val="nil"/>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Ref"/>
    <w:basedOn w:val="DefaultParagraphFont"/>
    <w:link w:val="FootnotesrefssChar1Char"/>
    <w:uiPriority w:val="99"/>
    <w:unhideWhenUsed/>
    <w:qFormat/>
    <w:rsid w:val="0074732F"/>
    <w:rPr>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qFormat/>
    <w:locked/>
    <w:rsid w:val="0074732F"/>
    <w:rPr>
      <w:rFonts w:ascii="Calibri" w:eastAsia="Calibri" w:hAnsi="Calibri" w:cs="Calibri"/>
      <w:color w:val="000000"/>
      <w:sz w:val="20"/>
      <w:szCs w:val="20"/>
      <w:u w:color="000000"/>
      <w:bdr w:val="nil"/>
      <w:lang w:val="en-U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74732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lang w:val="es-CR"/>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Subtle Emphasis1 Char"/>
    <w:link w:val="ListParagraph"/>
    <w:uiPriority w:val="34"/>
    <w:locked/>
    <w:rsid w:val="0031387C"/>
    <w:rPr>
      <w:rFonts w:ascii="Verdana" w:eastAsia="Cambria" w:hAnsi="Verdana" w:cs="Cambria"/>
      <w:color w:val="000000"/>
      <w:sz w:val="20"/>
      <w:szCs w:val="20"/>
      <w:u w:color="000000"/>
      <w:bdr w:val="nil"/>
      <w:lang w:val="es-ES" w:eastAsia="es-ES"/>
    </w:rPr>
  </w:style>
  <w:style w:type="paragraph" w:customStyle="1" w:styleId="SingleTxt">
    <w:name w:val="__Single Txt"/>
    <w:basedOn w:val="Normal"/>
    <w:qFormat/>
    <w:rsid w:val="00865727"/>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20"/>
        <w:tab w:val="left" w:pos="1440"/>
      </w:tabs>
      <w:spacing w:before="120" w:after="120"/>
      <w:ind w:left="0" w:firstLine="0"/>
      <w:jc w:val="both"/>
    </w:pPr>
    <w:rPr>
      <w:rFonts w:ascii="Verdana" w:hAnsi="Verdana" w:cs="Tahoma"/>
      <w:color w:val="000000"/>
      <w:sz w:val="20"/>
      <w:szCs w:val="20"/>
      <w:lang w:val="es-VE"/>
    </w:rPr>
  </w:style>
  <w:style w:type="character" w:styleId="CommentReference">
    <w:name w:val="annotation reference"/>
    <w:basedOn w:val="DefaultParagraphFont"/>
    <w:uiPriority w:val="99"/>
    <w:unhideWhenUsed/>
    <w:rsid w:val="00345049"/>
    <w:rPr>
      <w:sz w:val="16"/>
      <w:szCs w:val="16"/>
    </w:rPr>
  </w:style>
  <w:style w:type="paragraph" w:styleId="CommentText">
    <w:name w:val="annotation text"/>
    <w:basedOn w:val="Normal"/>
    <w:link w:val="CommentTextChar"/>
    <w:uiPriority w:val="99"/>
    <w:unhideWhenUsed/>
    <w:rsid w:val="00345049"/>
    <w:rPr>
      <w:sz w:val="20"/>
      <w:szCs w:val="20"/>
    </w:rPr>
  </w:style>
  <w:style w:type="character" w:customStyle="1" w:styleId="CommentTextChar">
    <w:name w:val="Comment Text Char"/>
    <w:basedOn w:val="DefaultParagraphFont"/>
    <w:link w:val="CommentText"/>
    <w:uiPriority w:val="99"/>
    <w:rsid w:val="00345049"/>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345049"/>
    <w:rPr>
      <w:b/>
      <w:bCs/>
    </w:rPr>
  </w:style>
  <w:style w:type="character" w:customStyle="1" w:styleId="CommentSubjectChar">
    <w:name w:val="Comment Subject Char"/>
    <w:basedOn w:val="CommentTextChar"/>
    <w:link w:val="CommentSubject"/>
    <w:uiPriority w:val="99"/>
    <w:semiHidden/>
    <w:rsid w:val="00345049"/>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345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049"/>
    <w:rPr>
      <w:rFonts w:ascii="Segoe UI" w:eastAsia="Arial Unicode MS" w:hAnsi="Segoe UI" w:cs="Segoe UI"/>
      <w:sz w:val="18"/>
      <w:szCs w:val="18"/>
      <w:bdr w:val="nil"/>
      <w:lang w:val="en-US"/>
    </w:rPr>
  </w:style>
  <w:style w:type="paragraph" w:styleId="NoSpacing">
    <w:name w:val="No Spacing"/>
    <w:basedOn w:val="FootnoteText"/>
    <w:uiPriority w:val="1"/>
    <w:qFormat/>
    <w:rsid w:val="00160D4D"/>
    <w:pPr>
      <w:tabs>
        <w:tab w:val="left" w:pos="567"/>
      </w:tabs>
      <w:spacing w:before="120" w:after="120"/>
      <w:jc w:val="both"/>
    </w:pPr>
    <w:rPr>
      <w:rFonts w:ascii="Verdana" w:hAnsi="Verdana"/>
      <w:sz w:val="16"/>
      <w:szCs w:val="16"/>
    </w:rPr>
  </w:style>
  <w:style w:type="paragraph" w:styleId="NormalWeb">
    <w:name w:val="Normal (Web)"/>
    <w:basedOn w:val="Normal"/>
    <w:uiPriority w:val="99"/>
    <w:unhideWhenUsed/>
    <w:rsid w:val="00CF19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R" w:eastAsia="es-CR"/>
    </w:rPr>
  </w:style>
  <w:style w:type="character" w:styleId="FollowedHyperlink">
    <w:name w:val="FollowedHyperlink"/>
    <w:basedOn w:val="DefaultParagraphFont"/>
    <w:uiPriority w:val="99"/>
    <w:semiHidden/>
    <w:unhideWhenUsed/>
    <w:rsid w:val="00D65480"/>
    <w:rPr>
      <w:color w:val="954F72" w:themeColor="followedHyperlink"/>
      <w:u w:val="single"/>
    </w:rPr>
  </w:style>
  <w:style w:type="paragraph" w:styleId="BodyText">
    <w:name w:val="Body Text"/>
    <w:basedOn w:val="Normal"/>
    <w:link w:val="BodyTextChar"/>
    <w:uiPriority w:val="1"/>
    <w:unhideWhenUsed/>
    <w:qFormat/>
    <w:rsid w:val="006411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Verdana" w:eastAsiaTheme="minorHAnsi" w:hAnsi="Verdana" w:cs="Arial"/>
      <w:sz w:val="20"/>
      <w:szCs w:val="20"/>
      <w:bdr w:val="none" w:sz="0" w:space="0" w:color="auto"/>
      <w:lang w:val="es-CR"/>
    </w:rPr>
  </w:style>
  <w:style w:type="character" w:customStyle="1" w:styleId="BodyTextChar">
    <w:name w:val="Body Text Char"/>
    <w:basedOn w:val="DefaultParagraphFont"/>
    <w:link w:val="BodyText"/>
    <w:uiPriority w:val="1"/>
    <w:rsid w:val="0064114B"/>
    <w:rPr>
      <w:rFonts w:ascii="Verdana" w:hAnsi="Verdana" w:cs="Arial"/>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64114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lang w:val="es-CR"/>
    </w:rPr>
  </w:style>
  <w:style w:type="character" w:styleId="LineNumber">
    <w:name w:val="line number"/>
    <w:basedOn w:val="DefaultParagraphFont"/>
    <w:uiPriority w:val="99"/>
    <w:semiHidden/>
    <w:unhideWhenUsed/>
    <w:rsid w:val="003A0893"/>
    <w:rPr>
      <w:rFonts w:ascii="Verdana" w:hAnsi="Verdana"/>
      <w:sz w:val="20"/>
    </w:rPr>
  </w:style>
  <w:style w:type="paragraph" w:styleId="Header">
    <w:name w:val="header"/>
    <w:aliases w:val="encabezado"/>
    <w:basedOn w:val="Normal"/>
    <w:link w:val="HeaderChar"/>
    <w:uiPriority w:val="99"/>
    <w:unhideWhenUsed/>
    <w:rsid w:val="003A0893"/>
    <w:pPr>
      <w:tabs>
        <w:tab w:val="center" w:pos="4419"/>
        <w:tab w:val="right" w:pos="8838"/>
      </w:tabs>
    </w:pPr>
  </w:style>
  <w:style w:type="character" w:customStyle="1" w:styleId="HeaderChar">
    <w:name w:val="Header Char"/>
    <w:aliases w:val="encabezado Char"/>
    <w:basedOn w:val="DefaultParagraphFont"/>
    <w:link w:val="Header"/>
    <w:uiPriority w:val="99"/>
    <w:rsid w:val="003A089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3A0893"/>
    <w:pPr>
      <w:tabs>
        <w:tab w:val="center" w:pos="4419"/>
        <w:tab w:val="right" w:pos="8838"/>
      </w:tabs>
    </w:pPr>
  </w:style>
  <w:style w:type="character" w:customStyle="1" w:styleId="FooterChar">
    <w:name w:val="Footer Char"/>
    <w:basedOn w:val="DefaultParagraphFont"/>
    <w:link w:val="Footer"/>
    <w:uiPriority w:val="99"/>
    <w:rsid w:val="003A0893"/>
    <w:rPr>
      <w:rFonts w:ascii="Times New Roman" w:eastAsia="Arial Unicode MS" w:hAnsi="Times New Roman" w:cs="Times New Roman"/>
      <w:sz w:val="24"/>
      <w:szCs w:val="24"/>
      <w:bdr w:val="nil"/>
      <w:lang w:val="en-US"/>
    </w:rPr>
  </w:style>
  <w:style w:type="paragraph" w:styleId="ListNumber">
    <w:name w:val="List Number"/>
    <w:basedOn w:val="Normal"/>
    <w:uiPriority w:val="99"/>
    <w:unhideWhenUsed/>
    <w:rsid w:val="003A0893"/>
    <w:pPr>
      <w:numPr>
        <w:numId w:val="5"/>
      </w:numPr>
      <w:contextualSpacing/>
    </w:pPr>
  </w:style>
  <w:style w:type="character" w:customStyle="1" w:styleId="NumberedparagraphsCar">
    <w:name w:val="Numbered paragraphs Car"/>
    <w:basedOn w:val="DefaultParagraphFont"/>
    <w:link w:val="Numberedparagraphs"/>
    <w:locked/>
    <w:rsid w:val="0031387C"/>
    <w:rPr>
      <w:rFonts w:ascii="Verdana" w:eastAsia="MS Mincho" w:hAnsi="Verdana" w:cs="Arial"/>
      <w:color w:val="000000"/>
      <w:sz w:val="20"/>
      <w:szCs w:val="20"/>
      <w:lang w:val="es-ES_tradnl"/>
    </w:rPr>
  </w:style>
  <w:style w:type="paragraph" w:customStyle="1" w:styleId="Numberedparagraphs">
    <w:name w:val="Numbered paragraphs"/>
    <w:basedOn w:val="Normal"/>
    <w:link w:val="NumberedparagraphsCar"/>
    <w:qFormat/>
    <w:rsid w:val="0031387C"/>
    <w:pPr>
      <w:numPr>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MS Mincho" w:hAnsi="Verdana" w:cs="Arial"/>
      <w:color w:val="000000"/>
      <w:sz w:val="20"/>
      <w:szCs w:val="20"/>
      <w:bdr w:val="none" w:sz="0" w:space="0" w:color="auto"/>
      <w:lang w:val="es-ES_tradnl"/>
    </w:rPr>
  </w:style>
  <w:style w:type="character" w:customStyle="1" w:styleId="PrrafodeSentenciaChar">
    <w:name w:val="*. Párrafo de Sentencia Char"/>
    <w:link w:val="PrrafodeSentencia"/>
    <w:locked/>
    <w:rsid w:val="0031387C"/>
    <w:rPr>
      <w:rFonts w:ascii="Verdana" w:eastAsia="Batang" w:hAnsi="Verdana"/>
      <w:spacing w:val="-4"/>
      <w:sz w:val="20"/>
      <w:lang w:eastAsia="es-MX"/>
    </w:rPr>
  </w:style>
  <w:style w:type="paragraph" w:customStyle="1" w:styleId="PrrafodeSentencia">
    <w:name w:val="*. Párrafo de Sentencia"/>
    <w:basedOn w:val="Normal"/>
    <w:next w:val="Normal"/>
    <w:link w:val="PrrafodeSentenciaChar"/>
    <w:qFormat/>
    <w:rsid w:val="0031387C"/>
    <w:pPr>
      <w:numPr>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pPr>
    <w:rPr>
      <w:rFonts w:ascii="Verdana" w:eastAsia="Batang" w:hAnsi="Verdana" w:cstheme="minorBidi"/>
      <w:spacing w:val="-4"/>
      <w:sz w:val="20"/>
      <w:szCs w:val="22"/>
      <w:bdr w:val="none" w:sz="0" w:space="0" w:color="auto"/>
      <w:lang w:val="es-CR" w:eastAsia="es-MX"/>
    </w:rPr>
  </w:style>
  <w:style w:type="character" w:styleId="Strong">
    <w:name w:val="Strong"/>
    <w:aliases w:val="Heading 2.1"/>
    <w:basedOn w:val="DefaultParagraphFont"/>
    <w:uiPriority w:val="22"/>
    <w:qFormat/>
    <w:rsid w:val="0031387C"/>
    <w:rPr>
      <w:b/>
      <w:bCs/>
    </w:rPr>
  </w:style>
  <w:style w:type="paragraph" w:customStyle="1" w:styleId="Normal1">
    <w:name w:val="Normal1"/>
    <w:rsid w:val="009E3AAD"/>
    <w:pPr>
      <w:widowControl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F0666"/>
    <w:rPr>
      <w:rFonts w:ascii="Verdana" w:eastAsiaTheme="majorEastAsia" w:hAnsi="Verdana" w:cstheme="majorBidi"/>
      <w:iCs/>
      <w:sz w:val="20"/>
      <w:szCs w:val="20"/>
      <w:u w:val="single"/>
      <w:bdr w:val="nil"/>
    </w:rPr>
  </w:style>
  <w:style w:type="paragraph" w:customStyle="1" w:styleId="SingleTxtG">
    <w:name w:val="_ Single Txt_G"/>
    <w:basedOn w:val="Normal"/>
    <w:qFormat/>
    <w:rsid w:val="00683EB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FootnoteAnchor">
    <w:name w:val="Footnote Anchor"/>
    <w:rsid w:val="00683EB1"/>
    <w:rPr>
      <w:vertAlign w:val="superscript"/>
    </w:rPr>
  </w:style>
  <w:style w:type="character" w:customStyle="1" w:styleId="Estilo1Car">
    <w:name w:val="Estilo1 Car"/>
    <w:basedOn w:val="DefaultParagraphFont"/>
    <w:link w:val="Estilo1"/>
    <w:locked/>
    <w:rsid w:val="00683EB1"/>
    <w:rPr>
      <w:rFonts w:ascii="Verdana" w:eastAsia="Batang" w:hAnsi="Verdana" w:cs="Times"/>
      <w:i/>
      <w:sz w:val="20"/>
      <w:szCs w:val="24"/>
      <w:lang w:val="es-ES_tradnl"/>
    </w:rPr>
  </w:style>
  <w:style w:type="paragraph" w:customStyle="1" w:styleId="Estilo1">
    <w:name w:val="Estilo1"/>
    <w:basedOn w:val="Normal"/>
    <w:link w:val="Estilo1Car"/>
    <w:qFormat/>
    <w:rsid w:val="00683EB1"/>
    <w:pPr>
      <w:pBdr>
        <w:top w:val="none" w:sz="0" w:space="0" w:color="auto"/>
        <w:left w:val="none" w:sz="0" w:space="0" w:color="auto"/>
        <w:bottom w:val="none" w:sz="0" w:space="0" w:color="auto"/>
        <w:right w:val="none" w:sz="0" w:space="0" w:color="auto"/>
        <w:between w:val="none" w:sz="0" w:space="0" w:color="auto"/>
        <w:bar w:val="none" w:sz="0" w:color="auto"/>
      </w:pBdr>
      <w:spacing w:after="120"/>
      <w:ind w:left="2018" w:right="6" w:hanging="180"/>
      <w:jc w:val="both"/>
    </w:pPr>
    <w:rPr>
      <w:rFonts w:ascii="Verdana" w:eastAsia="Batang" w:hAnsi="Verdana" w:cs="Times"/>
      <w:i/>
      <w:sz w:val="20"/>
      <w:bdr w:val="none" w:sz="0" w:space="0" w:color="auto"/>
      <w:lang w:val="es-ES_tradnl"/>
    </w:rPr>
  </w:style>
  <w:style w:type="paragraph" w:customStyle="1" w:styleId="s30eec3f8">
    <w:name w:val="s30eec3f8"/>
    <w:basedOn w:val="Normal"/>
    <w:rsid w:val="00683E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R" w:eastAsia="es-CR"/>
    </w:rPr>
  </w:style>
  <w:style w:type="character" w:customStyle="1" w:styleId="sb8d990e2">
    <w:name w:val="sb8d990e2"/>
    <w:basedOn w:val="DefaultParagraphFont"/>
    <w:rsid w:val="00683EB1"/>
  </w:style>
  <w:style w:type="character" w:customStyle="1" w:styleId="s6b621b36">
    <w:name w:val="s6b621b36"/>
    <w:basedOn w:val="DefaultParagraphFont"/>
    <w:rsid w:val="00683EB1"/>
  </w:style>
  <w:style w:type="character" w:customStyle="1" w:styleId="Heading5Char">
    <w:name w:val="Heading 5 Char"/>
    <w:basedOn w:val="DefaultParagraphFont"/>
    <w:link w:val="Heading5"/>
    <w:uiPriority w:val="9"/>
    <w:rsid w:val="00433F11"/>
    <w:rPr>
      <w:rFonts w:asciiTheme="majorHAnsi" w:eastAsiaTheme="majorEastAsia" w:hAnsiTheme="majorHAnsi" w:cstheme="majorBidi"/>
      <w:color w:val="2E74B5" w:themeColor="accent1" w:themeShade="BF"/>
    </w:rPr>
  </w:style>
  <w:style w:type="paragraph" w:customStyle="1" w:styleId="Footnotes">
    <w:name w:val="**. Footnotes"/>
    <w:basedOn w:val="FootnoteText"/>
    <w:link w:val="FootnotesChar"/>
    <w:autoRedefine/>
    <w:qFormat/>
    <w:rsid w:val="00057E4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120"/>
      <w:jc w:val="both"/>
    </w:pPr>
    <w:rPr>
      <w:rFonts w:ascii="Verdana" w:eastAsiaTheme="minorHAnsi" w:hAnsi="Verdana" w:cs="Arial"/>
      <w:color w:val="auto"/>
      <w:sz w:val="16"/>
      <w:szCs w:val="16"/>
      <w:bdr w:val="none" w:sz="0" w:space="0" w:color="auto"/>
      <w:lang w:val="es-CR" w:eastAsia="en-US"/>
    </w:rPr>
  </w:style>
  <w:style w:type="character" w:customStyle="1" w:styleId="FootnotesChar">
    <w:name w:val="**. Footnotes Char"/>
    <w:basedOn w:val="DefaultParagraphFont"/>
    <w:link w:val="Footnotes"/>
    <w:rsid w:val="00057E46"/>
    <w:rPr>
      <w:rFonts w:ascii="Verdana" w:hAnsi="Verdana" w:cs="Arial"/>
      <w:sz w:val="16"/>
      <w:szCs w:val="16"/>
      <w:u w:color="000000"/>
    </w:rPr>
  </w:style>
  <w:style w:type="paragraph" w:customStyle="1" w:styleId="Estilo2">
    <w:name w:val="Estilo2"/>
    <w:basedOn w:val="Normal"/>
    <w:link w:val="Estilo2Car"/>
    <w:qFormat/>
    <w:rsid w:val="007962E7"/>
    <w:pPr>
      <w:numPr>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ind w:right="-522"/>
      <w:jc w:val="both"/>
    </w:pPr>
    <w:rPr>
      <w:rFonts w:ascii="Verdana" w:eastAsia="Calibri" w:hAnsi="Verdana"/>
      <w:spacing w:val="-2"/>
      <w:sz w:val="20"/>
      <w:szCs w:val="20"/>
      <w:bdr w:val="none" w:sz="0" w:space="0" w:color="auto"/>
      <w:lang w:val="es-CR"/>
    </w:rPr>
  </w:style>
  <w:style w:type="character" w:customStyle="1" w:styleId="Estilo2Car">
    <w:name w:val="Estilo2 Car"/>
    <w:basedOn w:val="DefaultParagraphFont"/>
    <w:link w:val="Estilo2"/>
    <w:rsid w:val="007962E7"/>
    <w:rPr>
      <w:rFonts w:ascii="Verdana" w:eastAsia="Calibri" w:hAnsi="Verdana" w:cs="Times New Roman"/>
      <w:spacing w:val="-2"/>
      <w:sz w:val="20"/>
      <w:szCs w:val="20"/>
    </w:rPr>
  </w:style>
  <w:style w:type="paragraph" w:customStyle="1" w:styleId="s32b251d">
    <w:name w:val="s32b251d"/>
    <w:basedOn w:val="Normal"/>
    <w:rsid w:val="007962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extonotapie1">
    <w:name w:val="Texto nota pie1"/>
    <w:basedOn w:val="Normal"/>
    <w:qFormat/>
    <w:rsid w:val="008E71C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eastAsia="es-ES"/>
    </w:rPr>
  </w:style>
  <w:style w:type="paragraph" w:customStyle="1" w:styleId="2Footnotes">
    <w:name w:val="2. Footnotes"/>
    <w:basedOn w:val="FootnoteText"/>
    <w:link w:val="2FootnotesChar"/>
    <w:autoRedefine/>
    <w:qFormat/>
    <w:rsid w:val="004736E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40"/>
      <w:jc w:val="both"/>
    </w:pPr>
    <w:rPr>
      <w:rFonts w:ascii="Verdana" w:eastAsia="Times New Roman" w:hAnsi="Verdana" w:cs="Palatino-Italic"/>
      <w:iCs/>
      <w:noProof/>
      <w:color w:val="auto"/>
      <w:sz w:val="16"/>
      <w:szCs w:val="18"/>
      <w:bdr w:val="none" w:sz="0" w:space="0" w:color="auto"/>
      <w:lang w:eastAsia="en-US"/>
    </w:rPr>
  </w:style>
  <w:style w:type="character" w:customStyle="1" w:styleId="2FootnotesChar">
    <w:name w:val="2. Footnotes Char"/>
    <w:link w:val="2Footnotes"/>
    <w:rsid w:val="004736EA"/>
    <w:rPr>
      <w:rFonts w:ascii="Verdana" w:eastAsia="Times New Roman" w:hAnsi="Verdana" w:cs="Palatino-Italic"/>
      <w:iCs/>
      <w:noProof/>
      <w:sz w:val="16"/>
      <w:szCs w:val="18"/>
      <w:lang w:val="en-US"/>
    </w:rPr>
  </w:style>
  <w:style w:type="paragraph" w:styleId="Revision">
    <w:name w:val="Revision"/>
    <w:hidden/>
    <w:uiPriority w:val="99"/>
    <w:semiHidden/>
    <w:rsid w:val="00C03934"/>
    <w:pPr>
      <w:spacing w:after="0" w:line="240" w:lineRule="auto"/>
    </w:pPr>
    <w:rPr>
      <w:rFonts w:ascii="Times New Roman" w:eastAsia="Arial Unicode MS" w:hAnsi="Times New Roman" w:cs="Times New Roman"/>
      <w:sz w:val="24"/>
      <w:szCs w:val="24"/>
      <w:bdr w:val="nil"/>
      <w:lang w:val="en-US"/>
    </w:rPr>
  </w:style>
  <w:style w:type="paragraph" w:styleId="TOCHeading">
    <w:name w:val="TOC Heading"/>
    <w:basedOn w:val="Heading1"/>
    <w:next w:val="Normal"/>
    <w:uiPriority w:val="39"/>
    <w:unhideWhenUsed/>
    <w:qFormat/>
    <w:rsid w:val="00353D5F"/>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val="0"/>
      <w:jc w:val="left"/>
      <w:outlineLvl w:val="9"/>
    </w:pPr>
    <w:rPr>
      <w:rFonts w:asciiTheme="majorHAnsi" w:hAnsiTheme="majorHAnsi"/>
      <w:b w:val="0"/>
      <w:bCs w:val="0"/>
      <w:color w:val="2E74B5" w:themeColor="accent1" w:themeShade="BF"/>
      <w:sz w:val="32"/>
      <w:szCs w:val="32"/>
      <w:bdr w:val="none" w:sz="0" w:space="0" w:color="auto"/>
      <w:lang w:val="es-CR" w:eastAsia="es-CR"/>
    </w:rPr>
  </w:style>
  <w:style w:type="paragraph" w:styleId="TOC1">
    <w:name w:val="toc 1"/>
    <w:basedOn w:val="Normal"/>
    <w:next w:val="Normal"/>
    <w:autoRedefine/>
    <w:uiPriority w:val="39"/>
    <w:unhideWhenUsed/>
    <w:rsid w:val="000557B8"/>
    <w:pPr>
      <w:tabs>
        <w:tab w:val="left" w:pos="567"/>
        <w:tab w:val="right" w:leader="dot" w:pos="9355"/>
      </w:tabs>
      <w:jc w:val="both"/>
    </w:pPr>
  </w:style>
  <w:style w:type="paragraph" w:styleId="TOC2">
    <w:name w:val="toc 2"/>
    <w:basedOn w:val="Normal"/>
    <w:next w:val="Normal"/>
    <w:autoRedefine/>
    <w:uiPriority w:val="39"/>
    <w:unhideWhenUsed/>
    <w:rsid w:val="000557B8"/>
    <w:pPr>
      <w:tabs>
        <w:tab w:val="left" w:pos="567"/>
        <w:tab w:val="left" w:pos="880"/>
        <w:tab w:val="right" w:leader="dot" w:pos="9356"/>
      </w:tabs>
      <w:jc w:val="both"/>
    </w:pPr>
  </w:style>
  <w:style w:type="paragraph" w:styleId="TOC3">
    <w:name w:val="toc 3"/>
    <w:basedOn w:val="Normal"/>
    <w:next w:val="Normal"/>
    <w:autoRedefine/>
    <w:uiPriority w:val="39"/>
    <w:unhideWhenUsed/>
    <w:rsid w:val="000557B8"/>
    <w:pPr>
      <w:tabs>
        <w:tab w:val="left" w:pos="284"/>
        <w:tab w:val="left" w:pos="567"/>
        <w:tab w:val="right" w:leader="dot" w:pos="9356"/>
      </w:tabs>
      <w:jc w:val="both"/>
    </w:pPr>
  </w:style>
  <w:style w:type="paragraph" w:customStyle="1" w:styleId="Default">
    <w:name w:val="Default"/>
    <w:rsid w:val="00017213"/>
    <w:pPr>
      <w:autoSpaceDE w:val="0"/>
      <w:autoSpaceDN w:val="0"/>
      <w:adjustRightInd w:val="0"/>
      <w:spacing w:after="0" w:line="240" w:lineRule="auto"/>
    </w:pPr>
    <w:rPr>
      <w:rFonts w:ascii="Verdana" w:hAnsi="Verdana" w:cs="Verdana"/>
      <w:color w:val="000000"/>
      <w:sz w:val="24"/>
      <w:szCs w:val="24"/>
    </w:rPr>
  </w:style>
  <w:style w:type="paragraph" w:styleId="BodyTextIndent2">
    <w:name w:val="Body Text Indent 2"/>
    <w:basedOn w:val="Normal"/>
    <w:link w:val="BodyTextIndent2Char"/>
    <w:uiPriority w:val="99"/>
    <w:semiHidden/>
    <w:unhideWhenUsed/>
    <w:rsid w:val="00B10E5A"/>
    <w:pPr>
      <w:spacing w:after="120" w:line="480" w:lineRule="auto"/>
      <w:ind w:left="360"/>
    </w:pPr>
  </w:style>
  <w:style w:type="character" w:customStyle="1" w:styleId="BodyTextIndent2Char">
    <w:name w:val="Body Text Indent 2 Char"/>
    <w:basedOn w:val="DefaultParagraphFont"/>
    <w:link w:val="BodyTextIndent2"/>
    <w:uiPriority w:val="99"/>
    <w:semiHidden/>
    <w:rsid w:val="00B10E5A"/>
    <w:rPr>
      <w:rFonts w:ascii="Times New Roman" w:eastAsia="Arial Unicode MS" w:hAnsi="Times New Roman" w:cs="Times New Roman"/>
      <w:sz w:val="24"/>
      <w:szCs w:val="24"/>
      <w:bdr w:val="nil"/>
      <w:lang w:val="en-US"/>
    </w:rPr>
  </w:style>
  <w:style w:type="character" w:styleId="Emphasis">
    <w:name w:val="Emphasis"/>
    <w:basedOn w:val="DefaultParagraphFont"/>
    <w:uiPriority w:val="20"/>
    <w:qFormat/>
    <w:rsid w:val="003B37C8"/>
    <w:rPr>
      <w:i/>
      <w:iCs/>
    </w:rPr>
  </w:style>
  <w:style w:type="character" w:styleId="UnresolvedMention">
    <w:name w:val="Unresolved Mention"/>
    <w:basedOn w:val="DefaultParagraphFont"/>
    <w:uiPriority w:val="99"/>
    <w:semiHidden/>
    <w:unhideWhenUsed/>
    <w:rsid w:val="001101C0"/>
    <w:rPr>
      <w:color w:val="605E5C"/>
      <w:shd w:val="clear" w:color="auto" w:fill="E1DFDD"/>
    </w:rPr>
  </w:style>
  <w:style w:type="character" w:customStyle="1" w:styleId="tagtrans">
    <w:name w:val="tag_trans"/>
    <w:basedOn w:val="DefaultParagraphFont"/>
    <w:rsid w:val="00C94E39"/>
  </w:style>
  <w:style w:type="paragraph" w:styleId="BodyText3">
    <w:name w:val="Body Text 3"/>
    <w:basedOn w:val="Normal"/>
    <w:link w:val="BodyText3Char"/>
    <w:uiPriority w:val="99"/>
    <w:unhideWhenUsed/>
    <w:rsid w:val="00FF1AD8"/>
    <w:pPr>
      <w:spacing w:after="120"/>
    </w:pPr>
    <w:rPr>
      <w:sz w:val="16"/>
      <w:szCs w:val="16"/>
    </w:rPr>
  </w:style>
  <w:style w:type="character" w:customStyle="1" w:styleId="BodyText3Char">
    <w:name w:val="Body Text 3 Char"/>
    <w:basedOn w:val="DefaultParagraphFont"/>
    <w:link w:val="BodyText3"/>
    <w:uiPriority w:val="99"/>
    <w:rsid w:val="00FF1AD8"/>
    <w:rPr>
      <w:rFonts w:ascii="Times New Roman" w:eastAsia="Arial Unicode MS" w:hAnsi="Times New Roman" w:cs="Times New Roman"/>
      <w:sz w:val="16"/>
      <w:szCs w:val="16"/>
      <w:bdr w:val="nil"/>
      <w:lang w:val="en-US"/>
    </w:rPr>
  </w:style>
  <w:style w:type="paragraph" w:styleId="TOC4">
    <w:name w:val="toc 4"/>
    <w:basedOn w:val="Normal"/>
    <w:next w:val="Normal"/>
    <w:autoRedefine/>
    <w:uiPriority w:val="39"/>
    <w:unhideWhenUsed/>
    <w:rsid w:val="00495D80"/>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rPr>
  </w:style>
  <w:style w:type="paragraph" w:styleId="TOC5">
    <w:name w:val="toc 5"/>
    <w:basedOn w:val="Normal"/>
    <w:next w:val="Normal"/>
    <w:autoRedefine/>
    <w:uiPriority w:val="39"/>
    <w:unhideWhenUsed/>
    <w:rsid w:val="00495D80"/>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rPr>
  </w:style>
  <w:style w:type="paragraph" w:styleId="TOC6">
    <w:name w:val="toc 6"/>
    <w:basedOn w:val="Normal"/>
    <w:next w:val="Normal"/>
    <w:autoRedefine/>
    <w:uiPriority w:val="39"/>
    <w:unhideWhenUsed/>
    <w:rsid w:val="00495D80"/>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rPr>
  </w:style>
  <w:style w:type="paragraph" w:styleId="TOC7">
    <w:name w:val="toc 7"/>
    <w:basedOn w:val="Normal"/>
    <w:next w:val="Normal"/>
    <w:autoRedefine/>
    <w:uiPriority w:val="39"/>
    <w:unhideWhenUsed/>
    <w:rsid w:val="00495D80"/>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rPr>
  </w:style>
  <w:style w:type="paragraph" w:styleId="TOC8">
    <w:name w:val="toc 8"/>
    <w:basedOn w:val="Normal"/>
    <w:next w:val="Normal"/>
    <w:autoRedefine/>
    <w:uiPriority w:val="39"/>
    <w:unhideWhenUsed/>
    <w:rsid w:val="00495D80"/>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rPr>
  </w:style>
  <w:style w:type="paragraph" w:styleId="TOC9">
    <w:name w:val="toc 9"/>
    <w:basedOn w:val="Normal"/>
    <w:next w:val="Normal"/>
    <w:autoRedefine/>
    <w:uiPriority w:val="39"/>
    <w:unhideWhenUsed/>
    <w:rsid w:val="00495D80"/>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6325">
      <w:bodyDiv w:val="1"/>
      <w:marLeft w:val="0"/>
      <w:marRight w:val="0"/>
      <w:marTop w:val="0"/>
      <w:marBottom w:val="0"/>
      <w:divBdr>
        <w:top w:val="none" w:sz="0" w:space="0" w:color="auto"/>
        <w:left w:val="none" w:sz="0" w:space="0" w:color="auto"/>
        <w:bottom w:val="none" w:sz="0" w:space="0" w:color="auto"/>
        <w:right w:val="none" w:sz="0" w:space="0" w:color="auto"/>
      </w:divBdr>
    </w:div>
    <w:div w:id="625040774">
      <w:bodyDiv w:val="1"/>
      <w:marLeft w:val="0"/>
      <w:marRight w:val="0"/>
      <w:marTop w:val="0"/>
      <w:marBottom w:val="0"/>
      <w:divBdr>
        <w:top w:val="none" w:sz="0" w:space="0" w:color="auto"/>
        <w:left w:val="none" w:sz="0" w:space="0" w:color="auto"/>
        <w:bottom w:val="none" w:sz="0" w:space="0" w:color="auto"/>
        <w:right w:val="none" w:sz="0" w:space="0" w:color="auto"/>
      </w:divBdr>
    </w:div>
    <w:div w:id="632755624">
      <w:bodyDiv w:val="1"/>
      <w:marLeft w:val="0"/>
      <w:marRight w:val="0"/>
      <w:marTop w:val="0"/>
      <w:marBottom w:val="0"/>
      <w:divBdr>
        <w:top w:val="none" w:sz="0" w:space="0" w:color="auto"/>
        <w:left w:val="none" w:sz="0" w:space="0" w:color="auto"/>
        <w:bottom w:val="none" w:sz="0" w:space="0" w:color="auto"/>
        <w:right w:val="none" w:sz="0" w:space="0" w:color="auto"/>
      </w:divBdr>
    </w:div>
    <w:div w:id="652030620">
      <w:bodyDiv w:val="1"/>
      <w:marLeft w:val="0"/>
      <w:marRight w:val="0"/>
      <w:marTop w:val="0"/>
      <w:marBottom w:val="0"/>
      <w:divBdr>
        <w:top w:val="none" w:sz="0" w:space="0" w:color="auto"/>
        <w:left w:val="none" w:sz="0" w:space="0" w:color="auto"/>
        <w:bottom w:val="none" w:sz="0" w:space="0" w:color="auto"/>
        <w:right w:val="none" w:sz="0" w:space="0" w:color="auto"/>
      </w:divBdr>
    </w:div>
    <w:div w:id="740559511">
      <w:bodyDiv w:val="1"/>
      <w:marLeft w:val="0"/>
      <w:marRight w:val="0"/>
      <w:marTop w:val="0"/>
      <w:marBottom w:val="0"/>
      <w:divBdr>
        <w:top w:val="none" w:sz="0" w:space="0" w:color="auto"/>
        <w:left w:val="none" w:sz="0" w:space="0" w:color="auto"/>
        <w:bottom w:val="none" w:sz="0" w:space="0" w:color="auto"/>
        <w:right w:val="none" w:sz="0" w:space="0" w:color="auto"/>
      </w:divBdr>
    </w:div>
    <w:div w:id="872765784">
      <w:bodyDiv w:val="1"/>
      <w:marLeft w:val="0"/>
      <w:marRight w:val="0"/>
      <w:marTop w:val="0"/>
      <w:marBottom w:val="0"/>
      <w:divBdr>
        <w:top w:val="none" w:sz="0" w:space="0" w:color="auto"/>
        <w:left w:val="none" w:sz="0" w:space="0" w:color="auto"/>
        <w:bottom w:val="none" w:sz="0" w:space="0" w:color="auto"/>
        <w:right w:val="none" w:sz="0" w:space="0" w:color="auto"/>
      </w:divBdr>
    </w:div>
    <w:div w:id="909728486">
      <w:bodyDiv w:val="1"/>
      <w:marLeft w:val="0"/>
      <w:marRight w:val="0"/>
      <w:marTop w:val="0"/>
      <w:marBottom w:val="0"/>
      <w:divBdr>
        <w:top w:val="none" w:sz="0" w:space="0" w:color="auto"/>
        <w:left w:val="none" w:sz="0" w:space="0" w:color="auto"/>
        <w:bottom w:val="none" w:sz="0" w:space="0" w:color="auto"/>
        <w:right w:val="none" w:sz="0" w:space="0" w:color="auto"/>
      </w:divBdr>
    </w:div>
    <w:div w:id="1138840164">
      <w:bodyDiv w:val="1"/>
      <w:marLeft w:val="0"/>
      <w:marRight w:val="0"/>
      <w:marTop w:val="0"/>
      <w:marBottom w:val="0"/>
      <w:divBdr>
        <w:top w:val="none" w:sz="0" w:space="0" w:color="auto"/>
        <w:left w:val="none" w:sz="0" w:space="0" w:color="auto"/>
        <w:bottom w:val="none" w:sz="0" w:space="0" w:color="auto"/>
        <w:right w:val="none" w:sz="0" w:space="0" w:color="auto"/>
      </w:divBdr>
    </w:div>
    <w:div w:id="1235772480">
      <w:bodyDiv w:val="1"/>
      <w:marLeft w:val="0"/>
      <w:marRight w:val="0"/>
      <w:marTop w:val="0"/>
      <w:marBottom w:val="0"/>
      <w:divBdr>
        <w:top w:val="none" w:sz="0" w:space="0" w:color="auto"/>
        <w:left w:val="none" w:sz="0" w:space="0" w:color="auto"/>
        <w:bottom w:val="none" w:sz="0" w:space="0" w:color="auto"/>
        <w:right w:val="none" w:sz="0" w:space="0" w:color="auto"/>
      </w:divBdr>
    </w:div>
    <w:div w:id="1253511981">
      <w:bodyDiv w:val="1"/>
      <w:marLeft w:val="0"/>
      <w:marRight w:val="0"/>
      <w:marTop w:val="0"/>
      <w:marBottom w:val="0"/>
      <w:divBdr>
        <w:top w:val="none" w:sz="0" w:space="0" w:color="auto"/>
        <w:left w:val="none" w:sz="0" w:space="0" w:color="auto"/>
        <w:bottom w:val="none" w:sz="0" w:space="0" w:color="auto"/>
        <w:right w:val="none" w:sz="0" w:space="0" w:color="auto"/>
      </w:divBdr>
    </w:div>
    <w:div w:id="1266229620">
      <w:bodyDiv w:val="1"/>
      <w:marLeft w:val="0"/>
      <w:marRight w:val="0"/>
      <w:marTop w:val="0"/>
      <w:marBottom w:val="0"/>
      <w:divBdr>
        <w:top w:val="none" w:sz="0" w:space="0" w:color="auto"/>
        <w:left w:val="none" w:sz="0" w:space="0" w:color="auto"/>
        <w:bottom w:val="none" w:sz="0" w:space="0" w:color="auto"/>
        <w:right w:val="none" w:sz="0" w:space="0" w:color="auto"/>
      </w:divBdr>
    </w:div>
    <w:div w:id="1329287526">
      <w:bodyDiv w:val="1"/>
      <w:marLeft w:val="0"/>
      <w:marRight w:val="0"/>
      <w:marTop w:val="0"/>
      <w:marBottom w:val="0"/>
      <w:divBdr>
        <w:top w:val="none" w:sz="0" w:space="0" w:color="auto"/>
        <w:left w:val="none" w:sz="0" w:space="0" w:color="auto"/>
        <w:bottom w:val="none" w:sz="0" w:space="0" w:color="auto"/>
        <w:right w:val="none" w:sz="0" w:space="0" w:color="auto"/>
      </w:divBdr>
    </w:div>
    <w:div w:id="1359772697">
      <w:bodyDiv w:val="1"/>
      <w:marLeft w:val="0"/>
      <w:marRight w:val="0"/>
      <w:marTop w:val="0"/>
      <w:marBottom w:val="0"/>
      <w:divBdr>
        <w:top w:val="none" w:sz="0" w:space="0" w:color="auto"/>
        <w:left w:val="none" w:sz="0" w:space="0" w:color="auto"/>
        <w:bottom w:val="none" w:sz="0" w:space="0" w:color="auto"/>
        <w:right w:val="none" w:sz="0" w:space="0" w:color="auto"/>
      </w:divBdr>
    </w:div>
    <w:div w:id="1472550598">
      <w:bodyDiv w:val="1"/>
      <w:marLeft w:val="0"/>
      <w:marRight w:val="0"/>
      <w:marTop w:val="0"/>
      <w:marBottom w:val="0"/>
      <w:divBdr>
        <w:top w:val="none" w:sz="0" w:space="0" w:color="auto"/>
        <w:left w:val="none" w:sz="0" w:space="0" w:color="auto"/>
        <w:bottom w:val="none" w:sz="0" w:space="0" w:color="auto"/>
        <w:right w:val="none" w:sz="0" w:space="0" w:color="auto"/>
      </w:divBdr>
    </w:div>
    <w:div w:id="1798446274">
      <w:bodyDiv w:val="1"/>
      <w:marLeft w:val="0"/>
      <w:marRight w:val="0"/>
      <w:marTop w:val="0"/>
      <w:marBottom w:val="0"/>
      <w:divBdr>
        <w:top w:val="none" w:sz="0" w:space="0" w:color="auto"/>
        <w:left w:val="none" w:sz="0" w:space="0" w:color="auto"/>
        <w:bottom w:val="none" w:sz="0" w:space="0" w:color="auto"/>
        <w:right w:val="none" w:sz="0" w:space="0" w:color="auto"/>
      </w:divBdr>
    </w:div>
    <w:div w:id="1801528821">
      <w:bodyDiv w:val="1"/>
      <w:marLeft w:val="0"/>
      <w:marRight w:val="0"/>
      <w:marTop w:val="0"/>
      <w:marBottom w:val="0"/>
      <w:divBdr>
        <w:top w:val="none" w:sz="0" w:space="0" w:color="auto"/>
        <w:left w:val="none" w:sz="0" w:space="0" w:color="auto"/>
        <w:bottom w:val="none" w:sz="0" w:space="0" w:color="auto"/>
        <w:right w:val="none" w:sz="0" w:space="0" w:color="auto"/>
      </w:divBdr>
    </w:div>
    <w:div w:id="1825048727">
      <w:bodyDiv w:val="1"/>
      <w:marLeft w:val="0"/>
      <w:marRight w:val="0"/>
      <w:marTop w:val="0"/>
      <w:marBottom w:val="0"/>
      <w:divBdr>
        <w:top w:val="none" w:sz="0" w:space="0" w:color="auto"/>
        <w:left w:val="none" w:sz="0" w:space="0" w:color="auto"/>
        <w:bottom w:val="none" w:sz="0" w:space="0" w:color="auto"/>
        <w:right w:val="none" w:sz="0" w:space="0" w:color="auto"/>
      </w:divBdr>
    </w:div>
    <w:div w:id="1969967089">
      <w:bodyDiv w:val="1"/>
      <w:marLeft w:val="0"/>
      <w:marRight w:val="0"/>
      <w:marTop w:val="0"/>
      <w:marBottom w:val="0"/>
      <w:divBdr>
        <w:top w:val="none" w:sz="0" w:space="0" w:color="auto"/>
        <w:left w:val="none" w:sz="0" w:space="0" w:color="auto"/>
        <w:bottom w:val="none" w:sz="0" w:space="0" w:color="auto"/>
        <w:right w:val="none" w:sz="0" w:space="0" w:color="auto"/>
      </w:divBdr>
    </w:div>
    <w:div w:id="1992059798">
      <w:bodyDiv w:val="1"/>
      <w:marLeft w:val="0"/>
      <w:marRight w:val="0"/>
      <w:marTop w:val="0"/>
      <w:marBottom w:val="0"/>
      <w:divBdr>
        <w:top w:val="none" w:sz="0" w:space="0" w:color="auto"/>
        <w:left w:val="none" w:sz="0" w:space="0" w:color="auto"/>
        <w:bottom w:val="none" w:sz="0" w:space="0" w:color="auto"/>
        <w:right w:val="none" w:sz="0" w:space="0" w:color="auto"/>
      </w:divBdr>
    </w:div>
    <w:div w:id="20098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20en/NewsEvents/Pages" TargetMode="External"/><Relationship Id="rId18" Type="http://schemas.openxmlformats.org/officeDocument/2006/relationships/hyperlink" Target="http://www.oas.org/juridico/spanish/mesicic3_slv_procesal.pdf" TargetMode="External"/><Relationship Id="rId26" Type="http://schemas.openxmlformats.org/officeDocument/2006/relationships/hyperlink" Target="http://hrlibrary.umn.edu/iachr/b_11_4f.htm" TargetMode="External"/><Relationship Id="rId3" Type="http://schemas.openxmlformats.org/officeDocument/2006/relationships/hyperlink" Target="https://oig.cepal.org/sites/default/files/%201973_decreto270codigopenal_el_salvador.pdf" TargetMode="External"/><Relationship Id="rId21" Type="http://schemas.openxmlformats.org/officeDocument/2006/relationships/hyperlink" Target="http://www.oas.org/juridico/spanish/%20mesicic3_slv_procesal.pdf" TargetMode="External"/><Relationship Id="rId7" Type="http://schemas.openxmlformats.org/officeDocument/2006/relationships/hyperlink" Target="http://www.oas.org/juridico/spanish/mesicic3_slv_procesal.pdf" TargetMode="External"/><Relationship Id="rId12" Type="http://schemas.openxmlformats.org/officeDocument/2006/relationships/hyperlink" Target="https://ajph.aphapublications.org/doi/pdf/10.2105%20/AJPH.2005.071720" TargetMode="External"/><Relationship Id="rId17" Type="http://schemas.openxmlformats.org/officeDocument/2006/relationships/hyperlink" Target="http://www.oas.org/juridico/spanish/mesicic3_slv_procesal.pdf" TargetMode="External"/><Relationship Id="rId25" Type="http://schemas.openxmlformats.org/officeDocument/2006/relationships/hyperlink" Target="https://www.asamblea.gob.sv/sites/%20default/files/documents/decretos/EA1C26BE-E75B-4709-98AB-8BC6CA287232.pdf" TargetMode="External"/><Relationship Id="rId33" Type="http://schemas.openxmlformats.org/officeDocument/2006/relationships/hyperlink" Target="https://e-revistas.uc3m.es/index.php/%20EUNOM/article/view/2803/1534" TargetMode="External"/><Relationship Id="rId2" Type="http://schemas.openxmlformats.org/officeDocument/2006/relationships/hyperlink" Target="https://oig.cepal.org/sites/default/files/1973_decreto270%20codigopenal_el_salvador.pdf" TargetMode="External"/><Relationship Id="rId16" Type="http://schemas.openxmlformats.org/officeDocument/2006/relationships/hyperlink" Target="http://hrlibrary.umn.edu/iachr/b_11_4k.htm" TargetMode="External"/><Relationship Id="rId20" Type="http://schemas.openxmlformats.org/officeDocument/2006/relationships/hyperlink" Target="http://www.oas.org/juridico/spanish/mesicic3_slv_%20procesal.pdf" TargetMode="External"/><Relationship Id="rId29" Type="http://schemas.openxmlformats.org/officeDocument/2006/relationships/hyperlink" Target="https://www.oas.org/dil/esp/" TargetMode="External"/><Relationship Id="rId1" Type="http://schemas.openxmlformats.org/officeDocument/2006/relationships/hyperlink" Target="http://www.corteidh.or.cr/docs/asuntos/manuela_y%20%20%20otros_02_12_2020.pdf" TargetMode="External"/><Relationship Id="rId6" Type="http://schemas.openxmlformats.org/officeDocument/2006/relationships/hyperlink" Target="http://www.oas.org/juridico/spanish/mesicic3_slv_procesal.pdf" TargetMode="External"/><Relationship Id="rId11" Type="http://schemas.openxmlformats.org/officeDocument/2006/relationships/hyperlink" Target="http://www.uca.edu.sv/deptos/ccjj/media/archivo/95bbb4_pasadoypresentedeldelitodeabortoen%20elsalvador.pdf" TargetMode="External"/><Relationship Id="rId24" Type="http://schemas.openxmlformats.org/officeDocument/2006/relationships/hyperlink" Target="https://www.asamblea.gob.sv/sites/default/files/documents/decretos/EA1C26BE-E75B-4709-98AB8BC6CA287232" TargetMode="External"/><Relationship Id="rId32" Type="http://schemas.openxmlformats.org/officeDocument/2006/relationships/hyperlink" Target="https://chicagounbound.uchicago.edu/cgi/viewcontent.cgi?article=1052&amp;context=uclf" TargetMode="External"/><Relationship Id="rId5" Type="http://schemas.openxmlformats.org/officeDocument/2006/relationships/hyperlink" Target="https://www.asamblea.gob.sv/sites/default/files/documents/decretos/%20B93EEAF8-C2CE-47FD-804E-74489D7AAF1B.pdf" TargetMode="External"/><Relationship Id="rId15" Type="http://schemas.openxmlformats.org/officeDocument/2006/relationships/hyperlink" Target="https://www.asamblea.gob.sv/sites/default/files/documents/decretos/%20171117_072931433_archivo_documento_legislativo.pdf" TargetMode="External"/><Relationship Id="rId23" Type="http://schemas.openxmlformats.org/officeDocument/2006/relationships/hyperlink" Target="https://www.asamblea.gob.sv/sites/default/files/documents/decretos/%20C0AB56F8-AF37-4F25-AD90-08AE401C0BA7.pdf" TargetMode="External"/><Relationship Id="rId28" Type="http://schemas.openxmlformats.org/officeDocument/2006/relationships/hyperlink" Target="http://www.oas.org/juridico/spanish/mesicic3_slv_procesal.pdf" TargetMode="External"/><Relationship Id="rId10" Type="http://schemas.openxmlformats.org/officeDocument/2006/relationships/hyperlink" Target="https://scholar.harvard.edu/files/viterna/files/viterna_guardado_2014_%20white_paper_spanish.pdf" TargetMode="External"/><Relationship Id="rId19" Type="http://schemas.openxmlformats.org/officeDocument/2006/relationships/hyperlink" Target="https://www.ohchr.org/Documents/Issues/Women/WRGS/JudiciaryRoleCounter%20Stereotypes" TargetMode="External"/><Relationship Id="rId31" Type="http://schemas.openxmlformats.org/officeDocument/2006/relationships/hyperlink" Target="https://www.icrc.org/en/doc/assets/files/publications/icrc-002-4126.pdf" TargetMode="External"/><Relationship Id="rId4" Type="http://schemas.openxmlformats.org/officeDocument/2006/relationships/hyperlink" Target="https://www.asamblea.gob.sv/sites/default/files/documents/decretos/C0AB56F8-AF37-4F25-AD90-08AE401C0BA7.pdf" TargetMode="External"/><Relationship Id="rId9" Type="http://schemas.openxmlformats.org/officeDocument/2006/relationships/hyperlink" Target="https://www.ohchr.org/en/NewsEvents/Pages" TargetMode="External"/><Relationship Id="rId14" Type="http://schemas.openxmlformats.org/officeDocument/2006/relationships/hyperlink" Target="http://www.oas.org/juridico/spanish/mesicic3_slv_procesal.pdf" TargetMode="External"/><Relationship Id="rId22" Type="http://schemas.openxmlformats.org/officeDocument/2006/relationships/hyperlink" Target="http://hrlibrary.umn.edu/iachr/b_11_4d.htm" TargetMode="External"/><Relationship Id="rId27" Type="http://schemas.openxmlformats.org/officeDocument/2006/relationships/hyperlink" Target="http://www.oas.org/juridico/spanish/mesicic3_slv_procesal.pdf" TargetMode="External"/><Relationship Id="rId30" Type="http://schemas.openxmlformats.org/officeDocument/2006/relationships/hyperlink" Target="http://hrlibrary.umn.edu/iachr/b_11_4e.htm" TargetMode="External"/><Relationship Id="rId8" Type="http://schemas.openxmlformats.org/officeDocument/2006/relationships/hyperlink" Target="https://www.ohchr.org/en/NewsEvents/Pa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87FB-86D2-4E4C-9047-36ED42E8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43919</Words>
  <Characters>250340</Characters>
  <Application>Microsoft Office Word</Application>
  <DocSecurity>0</DocSecurity>
  <Lines>2086</Lines>
  <Paragraphs>587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Penny H</cp:lastModifiedBy>
  <cp:revision>2</cp:revision>
  <cp:lastPrinted>2022-06-17T16:28:00Z</cp:lastPrinted>
  <dcterms:created xsi:type="dcterms:W3CDTF">2023-10-24T19:04:00Z</dcterms:created>
  <dcterms:modified xsi:type="dcterms:W3CDTF">2023-10-24T19:04:00Z</dcterms:modified>
</cp:coreProperties>
</file>