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1A18" w14:textId="77777777" w:rsidR="00FD0466" w:rsidRPr="0039097A" w:rsidRDefault="00FD0466" w:rsidP="005A5029">
      <w:pPr>
        <w:spacing w:after="0" w:line="240" w:lineRule="exact"/>
        <w:ind w:right="-138"/>
        <w:jc w:val="center"/>
        <w:rPr>
          <w:rFonts w:ascii="Verdana" w:eastAsia="MS Mincho" w:hAnsi="Verdana" w:cs="Times New Roman"/>
          <w:b/>
          <w:sz w:val="20"/>
          <w:szCs w:val="20"/>
          <w:lang w:eastAsia="es-ES" w:bidi="en-US"/>
        </w:rPr>
      </w:pPr>
      <w:r w:rsidRPr="0039097A">
        <w:rPr>
          <w:rFonts w:ascii="Verdana" w:eastAsia="MS Mincho" w:hAnsi="Verdana" w:cs="Times New Roman"/>
          <w:b/>
          <w:sz w:val="20"/>
          <w:szCs w:val="20"/>
          <w:lang w:eastAsia="es-ES" w:bidi="en-US"/>
        </w:rPr>
        <w:t>CORTE INTERAMERICANA DE DERECHOS HUMANOS</w:t>
      </w:r>
    </w:p>
    <w:p w14:paraId="2308EA2E" w14:textId="77777777" w:rsidR="00FD0466" w:rsidRPr="009E23FE" w:rsidRDefault="00FD0466" w:rsidP="005A5029">
      <w:pPr>
        <w:spacing w:after="0" w:line="240" w:lineRule="exact"/>
        <w:rPr>
          <w:rFonts w:ascii="Verdana" w:eastAsia="Calibri" w:hAnsi="Verdana" w:cs="Times New Roman"/>
          <w:b/>
          <w:sz w:val="20"/>
          <w:szCs w:val="20"/>
        </w:rPr>
      </w:pPr>
    </w:p>
    <w:p w14:paraId="280CA9EC" w14:textId="77777777" w:rsidR="00FD0466" w:rsidRPr="0039097A" w:rsidRDefault="00FD0466" w:rsidP="005A5029">
      <w:pPr>
        <w:autoSpaceDE w:val="0"/>
        <w:autoSpaceDN w:val="0"/>
        <w:adjustRightInd w:val="0"/>
        <w:spacing w:after="0" w:line="240" w:lineRule="exact"/>
        <w:jc w:val="center"/>
        <w:rPr>
          <w:rFonts w:ascii="Verdana" w:eastAsia="MS Mincho" w:hAnsi="Verdana" w:cs="Times New Roman"/>
          <w:b/>
          <w:sz w:val="20"/>
          <w:szCs w:val="20"/>
          <w:lang w:val="es-ES_tradnl" w:eastAsia="es-ES" w:bidi="en-US"/>
        </w:rPr>
      </w:pPr>
      <w:r w:rsidRPr="0039097A">
        <w:rPr>
          <w:rFonts w:ascii="Verdana" w:eastAsia="MS Mincho" w:hAnsi="Verdana" w:cs="Times New Roman"/>
          <w:b/>
          <w:sz w:val="20"/>
          <w:szCs w:val="20"/>
          <w:lang w:val="es-ES_tradnl" w:eastAsia="es-ES" w:bidi="en-US"/>
        </w:rPr>
        <w:t>CASO MAIDANIK Y OTROS VS. URUGUAY</w:t>
      </w:r>
    </w:p>
    <w:p w14:paraId="08DF99F4" w14:textId="77777777" w:rsidR="00FD0466" w:rsidRPr="0039097A" w:rsidRDefault="00FD0466" w:rsidP="005A5029">
      <w:pPr>
        <w:autoSpaceDE w:val="0"/>
        <w:autoSpaceDN w:val="0"/>
        <w:adjustRightInd w:val="0"/>
        <w:spacing w:after="0" w:line="240" w:lineRule="exact"/>
        <w:jc w:val="center"/>
        <w:rPr>
          <w:rFonts w:ascii="Verdana" w:eastAsia="MS Mincho" w:hAnsi="Verdana" w:cs="Times New Roman"/>
          <w:b/>
          <w:sz w:val="20"/>
          <w:szCs w:val="20"/>
          <w:lang w:val="es-ES_tradnl" w:eastAsia="es-ES" w:bidi="en-US"/>
        </w:rPr>
      </w:pPr>
    </w:p>
    <w:p w14:paraId="0521E99B" w14:textId="0FC07A02" w:rsidR="00FD0466" w:rsidRPr="0039097A" w:rsidRDefault="00FD0466" w:rsidP="005A5029">
      <w:pPr>
        <w:spacing w:after="0" w:line="240" w:lineRule="exact"/>
        <w:ind w:right="-138"/>
        <w:jc w:val="center"/>
        <w:rPr>
          <w:rFonts w:ascii="Verdana" w:eastAsia="MS Mincho" w:hAnsi="Verdana" w:cs="Times New Roman"/>
          <w:b/>
          <w:sz w:val="20"/>
          <w:szCs w:val="20"/>
          <w:lang w:eastAsia="es-ES" w:bidi="en-US"/>
        </w:rPr>
      </w:pPr>
      <w:r w:rsidRPr="0039097A">
        <w:rPr>
          <w:rFonts w:ascii="Verdana" w:eastAsia="MS Mincho" w:hAnsi="Verdana" w:cs="Times New Roman"/>
          <w:b/>
          <w:sz w:val="20"/>
          <w:szCs w:val="20"/>
          <w:lang w:eastAsia="es-ES" w:bidi="en-US"/>
        </w:rPr>
        <w:t xml:space="preserve">SENTENCIA </w:t>
      </w:r>
      <w:r w:rsidRPr="00CA1127">
        <w:rPr>
          <w:rFonts w:ascii="Verdana" w:eastAsia="MS Mincho" w:hAnsi="Verdana" w:cs="Times New Roman"/>
          <w:b/>
          <w:sz w:val="20"/>
          <w:szCs w:val="20"/>
          <w:lang w:eastAsia="es-ES" w:bidi="en-US"/>
        </w:rPr>
        <w:t>DE</w:t>
      </w:r>
      <w:r w:rsidRPr="003F2319">
        <w:rPr>
          <w:rFonts w:ascii="Verdana" w:eastAsia="MS Mincho" w:hAnsi="Verdana" w:cs="Times New Roman"/>
          <w:b/>
          <w:sz w:val="20"/>
          <w:szCs w:val="20"/>
          <w:lang w:eastAsia="es-ES" w:bidi="en-US"/>
        </w:rPr>
        <w:t xml:space="preserve"> </w:t>
      </w:r>
      <w:r w:rsidR="00DA437B" w:rsidRPr="00CA1127">
        <w:rPr>
          <w:rFonts w:ascii="Verdana" w:eastAsia="MS Mincho" w:hAnsi="Verdana" w:cs="Times New Roman"/>
          <w:b/>
          <w:sz w:val="20"/>
          <w:szCs w:val="20"/>
          <w:lang w:eastAsia="es-ES" w:bidi="en-US"/>
        </w:rPr>
        <w:t xml:space="preserve">15 </w:t>
      </w:r>
      <w:r w:rsidRPr="004F2856">
        <w:rPr>
          <w:rFonts w:ascii="Verdana" w:eastAsia="MS Mincho" w:hAnsi="Verdana" w:cs="Times New Roman"/>
          <w:b/>
          <w:sz w:val="20"/>
          <w:szCs w:val="20"/>
          <w:lang w:eastAsia="es-ES" w:bidi="en-US"/>
        </w:rPr>
        <w:t>DE</w:t>
      </w:r>
      <w:r w:rsidR="00DA437B">
        <w:rPr>
          <w:rFonts w:ascii="Verdana" w:eastAsia="MS Mincho" w:hAnsi="Verdana" w:cs="Times New Roman"/>
          <w:b/>
          <w:sz w:val="20"/>
          <w:szCs w:val="20"/>
          <w:lang w:eastAsia="es-ES" w:bidi="en-US"/>
        </w:rPr>
        <w:t xml:space="preserve"> NOVIEMBRE</w:t>
      </w:r>
      <w:r w:rsidRPr="0039097A">
        <w:rPr>
          <w:rFonts w:ascii="Verdana" w:eastAsia="MS Mincho" w:hAnsi="Verdana" w:cs="Times New Roman"/>
          <w:b/>
          <w:sz w:val="20"/>
          <w:szCs w:val="20"/>
          <w:lang w:eastAsia="es-ES" w:bidi="en-US"/>
        </w:rPr>
        <w:t xml:space="preserve"> </w:t>
      </w:r>
      <w:r w:rsidR="00DA437B">
        <w:rPr>
          <w:rFonts w:ascii="Verdana" w:eastAsia="MS Mincho" w:hAnsi="Verdana" w:cs="Times New Roman"/>
          <w:b/>
          <w:sz w:val="20"/>
          <w:szCs w:val="20"/>
          <w:lang w:eastAsia="es-ES" w:bidi="en-US"/>
        </w:rPr>
        <w:t>DE</w:t>
      </w:r>
      <w:r w:rsidRPr="0039097A">
        <w:rPr>
          <w:rFonts w:ascii="Verdana" w:eastAsia="MS Mincho" w:hAnsi="Verdana" w:cs="Times New Roman"/>
          <w:b/>
          <w:sz w:val="20"/>
          <w:szCs w:val="20"/>
          <w:lang w:eastAsia="es-ES" w:bidi="en-US"/>
        </w:rPr>
        <w:t xml:space="preserve"> 2021</w:t>
      </w:r>
    </w:p>
    <w:p w14:paraId="010B891F" w14:textId="77777777" w:rsidR="00FD0466" w:rsidRPr="0039097A" w:rsidRDefault="00FD0466" w:rsidP="005A5029">
      <w:pPr>
        <w:spacing w:after="0" w:line="240" w:lineRule="exact"/>
        <w:ind w:right="-138"/>
        <w:jc w:val="center"/>
        <w:rPr>
          <w:rFonts w:ascii="Verdana" w:eastAsia="MS Mincho" w:hAnsi="Verdana" w:cs="Times New Roman"/>
          <w:b/>
          <w:i/>
          <w:sz w:val="20"/>
          <w:szCs w:val="20"/>
          <w:lang w:eastAsia="es-ES" w:bidi="en-US"/>
        </w:rPr>
      </w:pPr>
      <w:r w:rsidRPr="0039097A">
        <w:rPr>
          <w:rFonts w:ascii="Verdana" w:eastAsia="MS Mincho" w:hAnsi="Verdana" w:cs="Times New Roman"/>
          <w:b/>
          <w:i/>
          <w:sz w:val="20"/>
          <w:szCs w:val="20"/>
          <w:lang w:eastAsia="es-ES" w:bidi="en-US"/>
        </w:rPr>
        <w:t>(Fondo y Reparaciones)</w:t>
      </w:r>
    </w:p>
    <w:p w14:paraId="32982B60" w14:textId="77777777" w:rsidR="00FD0466" w:rsidRPr="0039097A" w:rsidRDefault="00FD0466" w:rsidP="005A5029">
      <w:pPr>
        <w:spacing w:after="0" w:line="240" w:lineRule="exact"/>
        <w:ind w:left="-502" w:right="-138"/>
        <w:jc w:val="both"/>
        <w:rPr>
          <w:rFonts w:ascii="Verdana" w:eastAsia="MS Mincho" w:hAnsi="Verdana" w:cs="Times New Roman"/>
          <w:b/>
          <w:sz w:val="20"/>
          <w:szCs w:val="20"/>
          <w:lang w:eastAsia="es-ES" w:bidi="en-US"/>
        </w:rPr>
      </w:pPr>
    </w:p>
    <w:p w14:paraId="12C4D5CD" w14:textId="77777777" w:rsidR="00FD0466" w:rsidRPr="0039097A" w:rsidRDefault="00FD0466" w:rsidP="005A5029">
      <w:pPr>
        <w:spacing w:after="0" w:line="240" w:lineRule="exact"/>
        <w:jc w:val="both"/>
        <w:rPr>
          <w:rFonts w:ascii="Verdana" w:eastAsia="Calibri" w:hAnsi="Verdana" w:cs="Times New Roman"/>
          <w:b/>
          <w:i/>
          <w:sz w:val="20"/>
          <w:szCs w:val="20"/>
          <w:lang w:val="es-ES_tradnl"/>
        </w:rPr>
      </w:pPr>
    </w:p>
    <w:p w14:paraId="244AC2DF" w14:textId="77777777" w:rsidR="00FD0466" w:rsidRPr="0039097A" w:rsidRDefault="00FD0466" w:rsidP="005A5029">
      <w:pPr>
        <w:spacing w:after="0" w:line="240" w:lineRule="exact"/>
        <w:jc w:val="both"/>
        <w:rPr>
          <w:rFonts w:ascii="Verdana" w:eastAsia="Calibri" w:hAnsi="Verdana" w:cs="Times New Roman"/>
          <w:b/>
          <w:i/>
          <w:sz w:val="20"/>
          <w:szCs w:val="20"/>
          <w:lang w:val="es-ES_tradnl"/>
        </w:rPr>
      </w:pPr>
    </w:p>
    <w:p w14:paraId="6322B957" w14:textId="77777777" w:rsidR="00FD0466" w:rsidRPr="0039097A" w:rsidRDefault="00FD0466" w:rsidP="005A5029">
      <w:pPr>
        <w:autoSpaceDE w:val="0"/>
        <w:autoSpaceDN w:val="0"/>
        <w:adjustRightInd w:val="0"/>
        <w:spacing w:after="0" w:line="240" w:lineRule="exact"/>
        <w:rPr>
          <w:rFonts w:ascii="Verdana" w:eastAsia="MS Mincho" w:hAnsi="Verdana" w:cs="Times New Roman"/>
          <w:b/>
          <w:sz w:val="20"/>
          <w:szCs w:val="20"/>
          <w:lang w:val="es-ES_tradnl" w:eastAsia="es-ES" w:bidi="en-US"/>
        </w:rPr>
      </w:pPr>
      <w:r w:rsidRPr="0039097A">
        <w:rPr>
          <w:rFonts w:ascii="Verdana" w:eastAsia="Calibri" w:hAnsi="Verdana" w:cs="Times New Roman"/>
          <w:sz w:val="20"/>
          <w:szCs w:val="20"/>
          <w:lang w:val="es-ES_tradnl"/>
        </w:rPr>
        <w:t xml:space="preserve">En el </w:t>
      </w:r>
      <w:r w:rsidRPr="0039097A">
        <w:rPr>
          <w:rFonts w:ascii="Verdana" w:eastAsia="Calibri" w:hAnsi="Verdana" w:cs="Times New Roman"/>
          <w:i/>
          <w:sz w:val="20"/>
          <w:szCs w:val="20"/>
          <w:lang w:val="es-ES_tradnl"/>
        </w:rPr>
        <w:t xml:space="preserve">caso </w:t>
      </w:r>
      <w:proofErr w:type="spellStart"/>
      <w:r w:rsidRPr="0039097A">
        <w:rPr>
          <w:rFonts w:ascii="Verdana" w:eastAsia="Calibri" w:hAnsi="Verdana" w:cs="Times New Roman"/>
          <w:i/>
          <w:sz w:val="20"/>
          <w:szCs w:val="20"/>
          <w:lang w:val="es-ES_tradnl"/>
        </w:rPr>
        <w:t>Maidanik</w:t>
      </w:r>
      <w:proofErr w:type="spellEnd"/>
      <w:r w:rsidRPr="0039097A">
        <w:rPr>
          <w:rFonts w:ascii="Verdana" w:eastAsia="Calibri" w:hAnsi="Verdana" w:cs="Times New Roman"/>
          <w:i/>
          <w:sz w:val="20"/>
          <w:szCs w:val="20"/>
          <w:lang w:val="es-ES_tradnl"/>
        </w:rPr>
        <w:t xml:space="preserve"> y otros Vs. Uruguay,</w:t>
      </w:r>
      <w:r w:rsidRPr="0039097A">
        <w:rPr>
          <w:rFonts w:ascii="Verdana" w:eastAsia="MS Mincho" w:hAnsi="Verdana" w:cs="Times New Roman"/>
          <w:b/>
          <w:sz w:val="20"/>
          <w:szCs w:val="20"/>
          <w:lang w:val="es-ES_tradnl" w:eastAsia="es-ES" w:bidi="en-US"/>
        </w:rPr>
        <w:t xml:space="preserve"> </w:t>
      </w:r>
    </w:p>
    <w:p w14:paraId="462D3C5F" w14:textId="77777777" w:rsidR="00FD0466" w:rsidRPr="0039097A" w:rsidRDefault="00FD0466" w:rsidP="005A5029">
      <w:pPr>
        <w:autoSpaceDE w:val="0"/>
        <w:autoSpaceDN w:val="0"/>
        <w:adjustRightInd w:val="0"/>
        <w:spacing w:after="0" w:line="240" w:lineRule="exact"/>
        <w:rPr>
          <w:rFonts w:ascii="Verdana" w:eastAsia="Calibri" w:hAnsi="Verdana" w:cs="Times New Roman"/>
          <w:sz w:val="20"/>
          <w:szCs w:val="20"/>
          <w:lang w:val="es-ES_tradnl"/>
        </w:rPr>
      </w:pPr>
    </w:p>
    <w:p w14:paraId="5071F11C" w14:textId="77777777" w:rsidR="00FD0466" w:rsidRPr="0039097A" w:rsidRDefault="00FD0466" w:rsidP="005A5029">
      <w:pPr>
        <w:spacing w:after="0" w:line="240" w:lineRule="exact"/>
        <w:jc w:val="both"/>
        <w:rPr>
          <w:rFonts w:ascii="Verdana" w:eastAsia="Calibri" w:hAnsi="Verdana" w:cs="Times New Roman"/>
          <w:sz w:val="20"/>
          <w:szCs w:val="20"/>
          <w:lang w:val="es-ES_tradnl"/>
        </w:rPr>
      </w:pPr>
      <w:r w:rsidRPr="0039097A">
        <w:rPr>
          <w:rFonts w:ascii="Verdana" w:eastAsia="Calibri" w:hAnsi="Verdana" w:cs="Times New Roman"/>
          <w:sz w:val="20"/>
          <w:szCs w:val="20"/>
          <w:lang w:val="es-ES_tradnl"/>
        </w:rPr>
        <w:t>la Corte Interamericana de Derechos Humanos (en adelante también “la Corte Interamericana”, “la Corte” o “el Tribunal”), integrada por los siguientes Jueces</w:t>
      </w:r>
      <w:r w:rsidRPr="0039097A">
        <w:rPr>
          <w:rFonts w:ascii="Verdana" w:eastAsia="MS Mincho" w:hAnsi="Verdana" w:cs="Times New Roman"/>
          <w:sz w:val="20"/>
          <w:szCs w:val="20"/>
          <w:vertAlign w:val="superscript"/>
          <w:lang w:val="es-ES_tradnl"/>
        </w:rPr>
        <w:footnoteReference w:customMarkFollows="1" w:id="1"/>
        <w:t>*</w:t>
      </w:r>
      <w:r w:rsidRPr="0039097A">
        <w:rPr>
          <w:rFonts w:ascii="Verdana" w:eastAsia="Calibri" w:hAnsi="Verdana" w:cs="Times New Roman"/>
          <w:sz w:val="20"/>
          <w:szCs w:val="20"/>
          <w:lang w:val="es-ES_tradnl"/>
        </w:rPr>
        <w:t>:</w:t>
      </w:r>
    </w:p>
    <w:p w14:paraId="3E3BAEE4" w14:textId="77777777" w:rsidR="00FD0466" w:rsidRPr="0039097A" w:rsidRDefault="00FD0466" w:rsidP="005A5029">
      <w:pPr>
        <w:spacing w:after="0" w:line="240" w:lineRule="exact"/>
        <w:jc w:val="both"/>
        <w:rPr>
          <w:rFonts w:ascii="Verdana" w:eastAsia="Calibri" w:hAnsi="Verdana" w:cs="Times New Roman"/>
          <w:sz w:val="20"/>
          <w:szCs w:val="20"/>
          <w:lang w:val="es-ES_tradnl"/>
        </w:rPr>
      </w:pPr>
    </w:p>
    <w:p w14:paraId="12B13400" w14:textId="77777777" w:rsidR="00FD0466" w:rsidRPr="0039097A" w:rsidRDefault="00FD0466" w:rsidP="005A5029">
      <w:pPr>
        <w:spacing w:after="0" w:line="240" w:lineRule="exact"/>
        <w:ind w:left="720"/>
        <w:jc w:val="both"/>
        <w:rPr>
          <w:rFonts w:ascii="Verdana" w:eastAsia="Verdana" w:hAnsi="Verdana" w:cs="Verdana"/>
          <w:sz w:val="20"/>
          <w:szCs w:val="20"/>
          <w:lang w:val="es-ES_tradnl"/>
        </w:rPr>
      </w:pPr>
      <w:r w:rsidRPr="0039097A">
        <w:rPr>
          <w:rFonts w:ascii="Verdana" w:eastAsia="Verdana" w:hAnsi="Verdana" w:cs="Verdana"/>
          <w:sz w:val="20"/>
          <w:szCs w:val="20"/>
          <w:lang w:val="es-ES_tradnl"/>
        </w:rPr>
        <w:t>Elizabeth Odio Benito, Presidenta;</w:t>
      </w:r>
    </w:p>
    <w:p w14:paraId="3324AF4E" w14:textId="77777777" w:rsidR="00FD0466" w:rsidRPr="0039097A" w:rsidRDefault="00FD0466" w:rsidP="005A5029">
      <w:pPr>
        <w:spacing w:after="0" w:line="240" w:lineRule="exact"/>
        <w:ind w:left="720"/>
        <w:jc w:val="both"/>
        <w:rPr>
          <w:rFonts w:ascii="Verdana" w:eastAsia="Verdana" w:hAnsi="Verdana" w:cs="Verdana"/>
          <w:sz w:val="20"/>
          <w:szCs w:val="20"/>
          <w:lang w:val="es-ES_tradnl"/>
        </w:rPr>
      </w:pPr>
      <w:r w:rsidRPr="0039097A">
        <w:rPr>
          <w:rFonts w:ascii="Verdana" w:eastAsia="Verdana" w:hAnsi="Verdana" w:cs="Verdana"/>
          <w:sz w:val="20"/>
          <w:szCs w:val="20"/>
          <w:lang w:val="es-ES_tradnl"/>
        </w:rPr>
        <w:t>L. Patricio Pazmiño Freire, Vicepresidente;</w:t>
      </w:r>
    </w:p>
    <w:p w14:paraId="21660BDE" w14:textId="77777777" w:rsidR="00FD0466" w:rsidRPr="0039097A" w:rsidRDefault="00FD0466" w:rsidP="005A5029">
      <w:pPr>
        <w:spacing w:after="0" w:line="240" w:lineRule="exact"/>
        <w:ind w:left="720"/>
        <w:jc w:val="both"/>
        <w:rPr>
          <w:rFonts w:ascii="Verdana" w:eastAsia="Calibri" w:hAnsi="Verdana" w:cs="Times New Roman"/>
          <w:sz w:val="20"/>
          <w:szCs w:val="20"/>
          <w:lang w:val="es-ES_tradnl"/>
        </w:rPr>
      </w:pPr>
      <w:r w:rsidRPr="0039097A">
        <w:rPr>
          <w:rFonts w:ascii="Verdana" w:eastAsia="Calibri" w:hAnsi="Verdana" w:cs="Times New Roman"/>
          <w:sz w:val="20"/>
          <w:szCs w:val="20"/>
          <w:lang w:val="es-ES_tradnl"/>
        </w:rPr>
        <w:t>Eduardo Vio Grossi, Juez;</w:t>
      </w:r>
    </w:p>
    <w:p w14:paraId="62E216E4" w14:textId="77777777" w:rsidR="00FD0466" w:rsidRPr="0039097A" w:rsidRDefault="00FD0466" w:rsidP="005A5029">
      <w:pPr>
        <w:spacing w:after="0" w:line="240" w:lineRule="exact"/>
        <w:ind w:left="720"/>
        <w:jc w:val="both"/>
        <w:rPr>
          <w:rFonts w:ascii="Verdana" w:eastAsia="Verdana" w:hAnsi="Verdana" w:cs="Verdana"/>
          <w:sz w:val="20"/>
          <w:szCs w:val="20"/>
          <w:lang w:val="es-ES_tradnl"/>
        </w:rPr>
      </w:pPr>
      <w:r w:rsidRPr="0039097A">
        <w:rPr>
          <w:rFonts w:ascii="Verdana" w:eastAsia="Verdana" w:hAnsi="Verdana" w:cs="Verdana"/>
          <w:sz w:val="20"/>
          <w:szCs w:val="20"/>
          <w:lang w:val="es-ES_tradnl"/>
        </w:rPr>
        <w:t>Humberto Antonio Sierra Porto, Juez;</w:t>
      </w:r>
    </w:p>
    <w:p w14:paraId="16952177" w14:textId="77777777" w:rsidR="00FD0466" w:rsidRPr="0039097A" w:rsidRDefault="00FD0466" w:rsidP="005A5029">
      <w:pPr>
        <w:spacing w:after="0" w:line="240" w:lineRule="exact"/>
        <w:ind w:left="720"/>
        <w:jc w:val="both"/>
        <w:rPr>
          <w:rFonts w:ascii="Verdana" w:eastAsia="Calibri" w:hAnsi="Verdana" w:cs="Times New Roman"/>
          <w:sz w:val="20"/>
          <w:szCs w:val="20"/>
          <w:lang w:val="es-ES_tradnl"/>
        </w:rPr>
      </w:pPr>
      <w:r w:rsidRPr="0039097A">
        <w:rPr>
          <w:rFonts w:ascii="Verdana" w:eastAsia="Verdana" w:hAnsi="Verdana" w:cs="Verdana"/>
          <w:sz w:val="20"/>
          <w:szCs w:val="20"/>
          <w:lang w:val="es-ES_tradnl"/>
        </w:rPr>
        <w:t>Eduardo Ferrer Mac-</w:t>
      </w:r>
      <w:proofErr w:type="spellStart"/>
      <w:r w:rsidRPr="0039097A">
        <w:rPr>
          <w:rFonts w:ascii="Verdana" w:eastAsia="Verdana" w:hAnsi="Verdana" w:cs="Verdana"/>
          <w:sz w:val="20"/>
          <w:szCs w:val="20"/>
          <w:lang w:val="es-ES_tradnl"/>
        </w:rPr>
        <w:t>Gregor</w:t>
      </w:r>
      <w:proofErr w:type="spellEnd"/>
      <w:r w:rsidRPr="0039097A">
        <w:rPr>
          <w:rFonts w:ascii="Verdana" w:eastAsia="Verdana" w:hAnsi="Verdana" w:cs="Verdana"/>
          <w:sz w:val="20"/>
          <w:szCs w:val="20"/>
          <w:lang w:val="es-ES_tradnl"/>
        </w:rPr>
        <w:t xml:space="preserve"> </w:t>
      </w:r>
      <w:proofErr w:type="spellStart"/>
      <w:r w:rsidRPr="0039097A">
        <w:rPr>
          <w:rFonts w:ascii="Verdana" w:eastAsia="Verdana" w:hAnsi="Verdana" w:cs="Verdana"/>
          <w:sz w:val="20"/>
          <w:szCs w:val="20"/>
          <w:lang w:val="es-ES_tradnl"/>
        </w:rPr>
        <w:t>Poisot</w:t>
      </w:r>
      <w:proofErr w:type="spellEnd"/>
      <w:r w:rsidRPr="0039097A">
        <w:rPr>
          <w:rFonts w:ascii="Verdana" w:eastAsia="Verdana" w:hAnsi="Verdana" w:cs="Verdana"/>
          <w:sz w:val="20"/>
          <w:szCs w:val="20"/>
          <w:lang w:val="es-ES_tradnl"/>
        </w:rPr>
        <w:t>, Juez, y</w:t>
      </w:r>
    </w:p>
    <w:p w14:paraId="723196A3" w14:textId="77777777" w:rsidR="00FD0466" w:rsidRPr="0039097A" w:rsidRDefault="00FD0466" w:rsidP="005A5029">
      <w:pPr>
        <w:spacing w:after="0" w:line="240" w:lineRule="exact"/>
        <w:ind w:left="720"/>
        <w:jc w:val="both"/>
        <w:rPr>
          <w:rFonts w:ascii="Verdana" w:eastAsia="Calibri" w:hAnsi="Verdana" w:cs="Times New Roman"/>
          <w:sz w:val="20"/>
          <w:szCs w:val="20"/>
          <w:lang w:val="es-ES_tradnl"/>
        </w:rPr>
      </w:pPr>
      <w:r w:rsidRPr="0039097A">
        <w:rPr>
          <w:rFonts w:ascii="Verdana" w:eastAsia="Verdana" w:hAnsi="Verdana" w:cs="Verdana"/>
          <w:sz w:val="20"/>
          <w:szCs w:val="20"/>
          <w:lang w:val="es-ES_tradnl"/>
        </w:rPr>
        <w:t>Eugenio Raúl Zaffaroni, Juez.</w:t>
      </w:r>
    </w:p>
    <w:p w14:paraId="736CE532" w14:textId="77777777" w:rsidR="00FD0466" w:rsidRPr="0039097A" w:rsidRDefault="00FD0466" w:rsidP="005A5029">
      <w:pPr>
        <w:widowControl w:val="0"/>
        <w:tabs>
          <w:tab w:val="left" w:pos="5670"/>
        </w:tabs>
        <w:spacing w:after="0" w:line="240" w:lineRule="exact"/>
        <w:ind w:left="100" w:right="4630"/>
        <w:rPr>
          <w:rFonts w:ascii="Verdana" w:eastAsia="Verdana" w:hAnsi="Verdana" w:cs="Verdana"/>
          <w:sz w:val="20"/>
          <w:szCs w:val="20"/>
          <w:lang w:val="es-ES_tradnl"/>
        </w:rPr>
      </w:pPr>
    </w:p>
    <w:p w14:paraId="33A1A447" w14:textId="77777777" w:rsidR="00FD0466" w:rsidRPr="0039097A" w:rsidRDefault="00FD0466" w:rsidP="005A5029">
      <w:pPr>
        <w:spacing w:after="0" w:line="240" w:lineRule="exact"/>
        <w:jc w:val="both"/>
        <w:rPr>
          <w:rFonts w:ascii="Verdana" w:eastAsia="Calibri" w:hAnsi="Verdana" w:cs="Times New Roman"/>
          <w:sz w:val="20"/>
          <w:szCs w:val="20"/>
          <w:lang w:val="es-ES_tradnl"/>
        </w:rPr>
      </w:pPr>
      <w:r w:rsidRPr="0039097A">
        <w:rPr>
          <w:rFonts w:ascii="Verdana" w:eastAsia="Calibri" w:hAnsi="Verdana" w:cs="Times New Roman"/>
          <w:sz w:val="20"/>
          <w:szCs w:val="20"/>
          <w:lang w:val="es-ES_tradnl"/>
        </w:rPr>
        <w:t xml:space="preserve">presentes, además, </w:t>
      </w:r>
    </w:p>
    <w:p w14:paraId="5B280E09" w14:textId="77777777" w:rsidR="00FD0466" w:rsidRPr="0039097A" w:rsidRDefault="00FD0466" w:rsidP="005A5029">
      <w:pPr>
        <w:tabs>
          <w:tab w:val="left" w:pos="6195"/>
        </w:tabs>
        <w:spacing w:after="0" w:line="240" w:lineRule="exact"/>
        <w:jc w:val="both"/>
        <w:rPr>
          <w:rFonts w:ascii="Verdana" w:eastAsia="Calibri" w:hAnsi="Verdana" w:cs="Times New Roman"/>
          <w:sz w:val="20"/>
          <w:szCs w:val="20"/>
          <w:lang w:val="es-ES_tradnl"/>
        </w:rPr>
      </w:pPr>
      <w:r w:rsidRPr="0039097A">
        <w:rPr>
          <w:rFonts w:ascii="Verdana" w:eastAsia="Calibri" w:hAnsi="Verdana" w:cs="Times New Roman"/>
          <w:sz w:val="20"/>
          <w:szCs w:val="20"/>
          <w:lang w:val="es-ES_tradnl"/>
        </w:rPr>
        <w:tab/>
      </w:r>
    </w:p>
    <w:p w14:paraId="2AAF4BBC" w14:textId="77777777" w:rsidR="00FD0466" w:rsidRPr="0039097A" w:rsidRDefault="00FD0466" w:rsidP="005A5029">
      <w:pPr>
        <w:spacing w:after="0" w:line="240" w:lineRule="exact"/>
        <w:ind w:left="720"/>
        <w:jc w:val="both"/>
        <w:rPr>
          <w:rFonts w:ascii="Verdana" w:eastAsia="Calibri" w:hAnsi="Verdana" w:cs="Times New Roman"/>
          <w:sz w:val="20"/>
          <w:szCs w:val="20"/>
          <w:lang w:val="es-ES_tradnl"/>
        </w:rPr>
      </w:pPr>
      <w:r w:rsidRPr="0039097A">
        <w:rPr>
          <w:rFonts w:ascii="Verdana" w:eastAsia="Calibri" w:hAnsi="Verdana" w:cs="Times New Roman"/>
          <w:sz w:val="20"/>
          <w:szCs w:val="20"/>
          <w:lang w:val="es-ES_tradnl"/>
        </w:rPr>
        <w:t>Pablo Saavedra Alessandri, Secretario, y</w:t>
      </w:r>
    </w:p>
    <w:p w14:paraId="21F92452" w14:textId="77777777" w:rsidR="00FD0466" w:rsidRPr="0039097A" w:rsidRDefault="00FD0466" w:rsidP="005A5029">
      <w:pPr>
        <w:spacing w:after="0" w:line="240" w:lineRule="exact"/>
        <w:ind w:left="720"/>
        <w:jc w:val="both"/>
        <w:rPr>
          <w:rFonts w:ascii="Verdana" w:eastAsia="Calibri" w:hAnsi="Verdana" w:cs="Times New Roman"/>
          <w:sz w:val="20"/>
          <w:szCs w:val="20"/>
          <w:lang w:val="es-ES_tradnl"/>
        </w:rPr>
      </w:pPr>
      <w:r w:rsidRPr="0039097A">
        <w:rPr>
          <w:rFonts w:ascii="Verdana" w:eastAsia="Calibri" w:hAnsi="Verdana" w:cs="Times New Roman"/>
          <w:sz w:val="20"/>
          <w:szCs w:val="20"/>
          <w:lang w:val="es-ES_tradnl"/>
        </w:rPr>
        <w:t>Romina I. Sijniensky, Secretaria Adjunta,</w:t>
      </w:r>
    </w:p>
    <w:p w14:paraId="6DF31A07" w14:textId="77777777" w:rsidR="00FD0466" w:rsidRPr="0039097A" w:rsidRDefault="00FD0466" w:rsidP="005A5029">
      <w:pPr>
        <w:spacing w:after="0" w:line="240" w:lineRule="exact"/>
        <w:ind w:left="720"/>
        <w:jc w:val="both"/>
        <w:rPr>
          <w:rFonts w:ascii="Verdana" w:eastAsia="Calibri" w:hAnsi="Verdana" w:cs="Times New Roman"/>
          <w:sz w:val="20"/>
          <w:szCs w:val="20"/>
          <w:lang w:val="es-ES_tradnl"/>
        </w:rPr>
      </w:pPr>
    </w:p>
    <w:p w14:paraId="223A803F" w14:textId="77777777" w:rsidR="00FD0466" w:rsidRPr="0039097A" w:rsidRDefault="00FD0466" w:rsidP="005A5029">
      <w:pPr>
        <w:spacing w:after="0" w:line="240" w:lineRule="exact"/>
        <w:jc w:val="both"/>
        <w:rPr>
          <w:rFonts w:ascii="Verdana" w:eastAsia="Calibri" w:hAnsi="Verdana" w:cs="Times New Roman"/>
          <w:sz w:val="20"/>
          <w:szCs w:val="20"/>
          <w:lang w:val="es-ES_tradnl"/>
        </w:rPr>
      </w:pPr>
    </w:p>
    <w:p w14:paraId="3956B48C" w14:textId="0B68E1C4" w:rsidR="00FD0466" w:rsidRPr="0039097A" w:rsidRDefault="00FD0466" w:rsidP="005A5029">
      <w:pPr>
        <w:spacing w:after="0" w:line="240" w:lineRule="exact"/>
        <w:jc w:val="both"/>
        <w:rPr>
          <w:rFonts w:ascii="Verdana" w:eastAsia="Calibri" w:hAnsi="Verdana" w:cs="Times New Roman"/>
          <w:sz w:val="20"/>
          <w:szCs w:val="20"/>
          <w:lang w:val="es-ES_tradnl"/>
        </w:rPr>
      </w:pPr>
      <w:r w:rsidRPr="0039097A">
        <w:rPr>
          <w:rFonts w:ascii="Verdana" w:eastAsia="Calibri" w:hAnsi="Verdana" w:cs="Times New Roman"/>
          <w:sz w:val="20"/>
          <w:szCs w:val="20"/>
          <w:lang w:val="es-ES_tradnl"/>
        </w:rPr>
        <w:t>de conformidad con los artículos 62.3 y 63.1 de la Convención Americana sobre Derechos Humanos (en adelante también “la Convención Americana” o “la Convención”) y con los artículos 31, 32, 65 y 67 del Reglamento de la Corte (en adelante “el Reglamento”</w:t>
      </w:r>
      <w:r w:rsidR="00C64315">
        <w:rPr>
          <w:rFonts w:ascii="Verdana" w:eastAsia="Calibri" w:hAnsi="Verdana" w:cs="Times New Roman"/>
          <w:sz w:val="20"/>
          <w:szCs w:val="20"/>
          <w:lang w:val="es-ES_tradnl"/>
        </w:rPr>
        <w:t xml:space="preserve"> o “el Reglamento de la Corte”</w:t>
      </w:r>
      <w:r w:rsidRPr="0039097A">
        <w:rPr>
          <w:rFonts w:ascii="Verdana" w:eastAsia="Calibri" w:hAnsi="Verdana" w:cs="Times New Roman"/>
          <w:sz w:val="20"/>
          <w:szCs w:val="20"/>
          <w:lang w:val="es-ES_tradnl"/>
        </w:rPr>
        <w:t>), dicta la presente Sentencia, que se estructura en el siguiente orden:</w:t>
      </w:r>
    </w:p>
    <w:p w14:paraId="4E593986" w14:textId="77777777" w:rsidR="00FD0466" w:rsidRPr="0039097A" w:rsidRDefault="00FD0466" w:rsidP="005A5029">
      <w:pPr>
        <w:spacing w:after="0" w:line="240" w:lineRule="exact"/>
        <w:jc w:val="both"/>
        <w:rPr>
          <w:rFonts w:ascii="Verdana" w:eastAsia="Calibri" w:hAnsi="Verdana" w:cs="Times New Roman"/>
          <w:strike/>
          <w:sz w:val="20"/>
          <w:szCs w:val="20"/>
          <w:lang w:val="es-ES_tradnl"/>
        </w:rPr>
      </w:pPr>
    </w:p>
    <w:p w14:paraId="50009B47" w14:textId="77777777" w:rsidR="00FD0466" w:rsidRDefault="00FD0466" w:rsidP="005A5029">
      <w:pPr>
        <w:spacing w:line="240" w:lineRule="exact"/>
        <w:rPr>
          <w:rFonts w:ascii="Verdana" w:eastAsia="Calibri" w:hAnsi="Verdana" w:cs="Times New Roman"/>
          <w:strike/>
          <w:sz w:val="20"/>
          <w:szCs w:val="20"/>
          <w:lang w:val="es-ES_tradnl"/>
        </w:rPr>
      </w:pPr>
      <w:r>
        <w:rPr>
          <w:rFonts w:ascii="Verdana" w:eastAsia="Calibri" w:hAnsi="Verdana" w:cs="Times New Roman"/>
          <w:strike/>
          <w:sz w:val="20"/>
          <w:szCs w:val="20"/>
          <w:lang w:val="es-ES_tradnl"/>
        </w:rPr>
        <w:br w:type="page"/>
      </w:r>
    </w:p>
    <w:p w14:paraId="4251C537" w14:textId="77777777" w:rsidR="00FD0466" w:rsidRPr="00BC646F" w:rsidRDefault="00FD0466" w:rsidP="005A5029">
      <w:pPr>
        <w:spacing w:after="0" w:line="240" w:lineRule="exact"/>
        <w:jc w:val="center"/>
        <w:rPr>
          <w:rFonts w:ascii="Verdana" w:eastAsia="Calibri" w:hAnsi="Verdana" w:cs="Times New Roman"/>
          <w:b/>
          <w:sz w:val="20"/>
          <w:szCs w:val="20"/>
          <w:u w:val="single"/>
          <w:lang w:val="es-ES_tradnl"/>
        </w:rPr>
      </w:pPr>
      <w:r w:rsidRPr="00BC646F">
        <w:rPr>
          <w:rFonts w:ascii="Verdana" w:eastAsia="Calibri" w:hAnsi="Verdana" w:cs="Times New Roman"/>
          <w:b/>
          <w:sz w:val="20"/>
          <w:szCs w:val="20"/>
          <w:u w:val="single"/>
          <w:lang w:val="es-ES_tradnl"/>
        </w:rPr>
        <w:lastRenderedPageBreak/>
        <w:t>TABLA DE CONTENIDO</w:t>
      </w:r>
    </w:p>
    <w:p w14:paraId="5607A153" w14:textId="77777777" w:rsidR="00FD0466" w:rsidRPr="0039097A" w:rsidRDefault="00FD0466" w:rsidP="005A5029">
      <w:pPr>
        <w:spacing w:after="0" w:line="240" w:lineRule="exact"/>
        <w:jc w:val="center"/>
        <w:rPr>
          <w:rFonts w:ascii="Verdana" w:eastAsia="Calibri" w:hAnsi="Verdana" w:cs="Times New Roman"/>
          <w:b/>
          <w:sz w:val="20"/>
          <w:szCs w:val="20"/>
          <w:lang w:val="es-ES_tradnl"/>
        </w:rPr>
      </w:pPr>
    </w:p>
    <w:p w14:paraId="7DC4DEE4" w14:textId="53C8AAB4" w:rsidR="00FD0466" w:rsidRPr="003B5F71" w:rsidRDefault="00FD0466" w:rsidP="005A5029">
      <w:pPr>
        <w:pStyle w:val="TDC1"/>
        <w:tabs>
          <w:tab w:val="right" w:leader="dot" w:pos="8828"/>
        </w:tabs>
        <w:spacing w:after="0" w:line="240" w:lineRule="exact"/>
        <w:jc w:val="both"/>
        <w:rPr>
          <w:rFonts w:ascii="Verdana" w:eastAsiaTheme="minorEastAsia" w:hAnsi="Verdana"/>
          <w:noProof/>
          <w:sz w:val="20"/>
          <w:szCs w:val="20"/>
          <w:lang w:eastAsia="es-CR"/>
        </w:rPr>
      </w:pPr>
      <w:r w:rsidRPr="003B5F71">
        <w:rPr>
          <w:rFonts w:ascii="Verdana" w:eastAsia="Calibri" w:hAnsi="Verdana" w:cs="Times New Roman"/>
          <w:strike/>
          <w:sz w:val="20"/>
          <w:szCs w:val="20"/>
          <w:lang w:val="es-ES_tradnl"/>
        </w:rPr>
        <w:fldChar w:fldCharType="begin"/>
      </w:r>
      <w:r w:rsidRPr="003B5F71">
        <w:rPr>
          <w:rFonts w:ascii="Verdana" w:eastAsia="Calibri" w:hAnsi="Verdana" w:cs="Times New Roman"/>
          <w:strike/>
          <w:sz w:val="20"/>
          <w:szCs w:val="20"/>
          <w:lang w:val="es-ES_tradnl"/>
        </w:rPr>
        <w:instrText xml:space="preserve"> TOC \o \h \z \u </w:instrText>
      </w:r>
      <w:r w:rsidRPr="003B5F71">
        <w:rPr>
          <w:rFonts w:ascii="Verdana" w:eastAsia="Calibri" w:hAnsi="Verdana" w:cs="Times New Roman"/>
          <w:strike/>
          <w:sz w:val="20"/>
          <w:szCs w:val="20"/>
          <w:lang w:val="es-ES_tradnl"/>
        </w:rPr>
        <w:fldChar w:fldCharType="separate"/>
      </w:r>
      <w:hyperlink w:anchor="_Toc85550374" w:history="1">
        <w:r w:rsidRPr="003B5F71">
          <w:rPr>
            <w:rStyle w:val="Hipervnculo"/>
            <w:rFonts w:ascii="Verdana" w:hAnsi="Verdana"/>
            <w:b/>
            <w:noProof/>
            <w:sz w:val="20"/>
            <w:szCs w:val="20"/>
          </w:rPr>
          <w:t>I</w:t>
        </w:r>
      </w:hyperlink>
      <w:r w:rsidRPr="003B5F71">
        <w:rPr>
          <w:rFonts w:ascii="Verdana" w:eastAsiaTheme="minorEastAsia" w:hAnsi="Verdana"/>
          <w:noProof/>
          <w:sz w:val="20"/>
          <w:szCs w:val="20"/>
          <w:lang w:eastAsia="es-CR"/>
        </w:rPr>
        <w:t xml:space="preserve"> </w:t>
      </w:r>
      <w:hyperlink w:anchor="_Toc85550375" w:history="1">
        <w:r w:rsidRPr="003B5F71">
          <w:rPr>
            <w:rStyle w:val="Hipervnculo"/>
            <w:rFonts w:ascii="Verdana" w:hAnsi="Verdana"/>
            <w:b/>
            <w:noProof/>
            <w:sz w:val="20"/>
            <w:szCs w:val="20"/>
          </w:rPr>
          <w:t>INTRODUCCIÓN DE LA CAUSA Y OBJETO DE LA CONTROVERSIA</w:t>
        </w:r>
        <w:r w:rsidRPr="003B5F71">
          <w:rPr>
            <w:rFonts w:ascii="Verdana" w:hAnsi="Verdana"/>
            <w:noProof/>
            <w:webHidden/>
            <w:sz w:val="20"/>
            <w:szCs w:val="20"/>
          </w:rPr>
          <w:tab/>
        </w:r>
        <w:r w:rsidRPr="003B5F71">
          <w:rPr>
            <w:rFonts w:ascii="Verdana" w:hAnsi="Verdana"/>
            <w:noProof/>
            <w:webHidden/>
            <w:sz w:val="20"/>
            <w:szCs w:val="20"/>
          </w:rPr>
          <w:fldChar w:fldCharType="begin"/>
        </w:r>
        <w:r w:rsidRPr="003B5F71">
          <w:rPr>
            <w:rFonts w:ascii="Verdana" w:hAnsi="Verdana"/>
            <w:noProof/>
            <w:webHidden/>
            <w:sz w:val="20"/>
            <w:szCs w:val="20"/>
          </w:rPr>
          <w:instrText xml:space="preserve"> PAGEREF _Toc85550375 \h </w:instrText>
        </w:r>
        <w:r w:rsidRPr="003B5F71">
          <w:rPr>
            <w:rFonts w:ascii="Verdana" w:hAnsi="Verdana"/>
            <w:noProof/>
            <w:webHidden/>
            <w:sz w:val="20"/>
            <w:szCs w:val="20"/>
          </w:rPr>
        </w:r>
        <w:r w:rsidRPr="003B5F71">
          <w:rPr>
            <w:rFonts w:ascii="Verdana" w:hAnsi="Verdana"/>
            <w:noProof/>
            <w:webHidden/>
            <w:sz w:val="20"/>
            <w:szCs w:val="20"/>
          </w:rPr>
          <w:fldChar w:fldCharType="separate"/>
        </w:r>
        <w:r w:rsidR="00E54DBB">
          <w:rPr>
            <w:rFonts w:ascii="Verdana" w:hAnsi="Verdana"/>
            <w:noProof/>
            <w:webHidden/>
            <w:sz w:val="20"/>
            <w:szCs w:val="20"/>
          </w:rPr>
          <w:t>4</w:t>
        </w:r>
        <w:r w:rsidRPr="003B5F71">
          <w:rPr>
            <w:rFonts w:ascii="Verdana" w:hAnsi="Verdana"/>
            <w:noProof/>
            <w:webHidden/>
            <w:sz w:val="20"/>
            <w:szCs w:val="20"/>
          </w:rPr>
          <w:fldChar w:fldCharType="end"/>
        </w:r>
      </w:hyperlink>
    </w:p>
    <w:p w14:paraId="5EF4E2FF"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04A7C6B2" w14:textId="260B9447"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376" w:history="1">
        <w:r w:rsidR="00FD0466" w:rsidRPr="003B5F71">
          <w:rPr>
            <w:rStyle w:val="Hipervnculo"/>
            <w:rFonts w:ascii="Verdana" w:hAnsi="Verdana"/>
            <w:b/>
            <w:noProof/>
            <w:sz w:val="20"/>
            <w:szCs w:val="20"/>
          </w:rPr>
          <w:t>II</w:t>
        </w:r>
      </w:hyperlink>
      <w:r w:rsidR="00FD0466" w:rsidRPr="003B5F71">
        <w:rPr>
          <w:rFonts w:ascii="Verdana" w:eastAsiaTheme="minorEastAsia" w:hAnsi="Verdana"/>
          <w:noProof/>
          <w:sz w:val="20"/>
          <w:szCs w:val="20"/>
          <w:lang w:eastAsia="es-CR"/>
        </w:rPr>
        <w:t xml:space="preserve"> </w:t>
      </w:r>
      <w:hyperlink w:anchor="_Toc85550377" w:history="1">
        <w:r w:rsidR="00FD0466" w:rsidRPr="003B5F71">
          <w:rPr>
            <w:rStyle w:val="Hipervnculo"/>
            <w:rFonts w:ascii="Verdana" w:hAnsi="Verdana"/>
            <w:b/>
            <w:noProof/>
            <w:sz w:val="20"/>
            <w:szCs w:val="20"/>
          </w:rPr>
          <w:t>PROCEDIMIENTO ANTE LA CORTE</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_Toc85550377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w:t>
        </w:r>
        <w:r w:rsidR="00FD0466" w:rsidRPr="003B5F71">
          <w:rPr>
            <w:rFonts w:ascii="Verdana" w:hAnsi="Verdana"/>
            <w:noProof/>
            <w:webHidden/>
            <w:sz w:val="20"/>
            <w:szCs w:val="20"/>
          </w:rPr>
          <w:fldChar w:fldCharType="end"/>
        </w:r>
      </w:hyperlink>
    </w:p>
    <w:p w14:paraId="7FBB6CF4" w14:textId="2E8F0A0B" w:rsidR="003B5F71" w:rsidRDefault="003B5F71" w:rsidP="005A5029">
      <w:pPr>
        <w:pStyle w:val="TDC1"/>
        <w:tabs>
          <w:tab w:val="right" w:leader="dot" w:pos="8828"/>
        </w:tabs>
        <w:spacing w:after="0" w:line="240" w:lineRule="exact"/>
        <w:jc w:val="both"/>
        <w:rPr>
          <w:rFonts w:ascii="Verdana" w:hAnsi="Verdana"/>
          <w:noProof/>
          <w:sz w:val="20"/>
          <w:szCs w:val="20"/>
        </w:rPr>
      </w:pPr>
    </w:p>
    <w:p w14:paraId="337E4380" w14:textId="44E4A90D"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378" w:history="1">
        <w:r w:rsidR="00FD0466" w:rsidRPr="003B5F71">
          <w:rPr>
            <w:rStyle w:val="Hipervnculo"/>
            <w:rFonts w:ascii="Verdana" w:hAnsi="Verdana"/>
            <w:b/>
            <w:noProof/>
            <w:sz w:val="20"/>
            <w:szCs w:val="20"/>
          </w:rPr>
          <w:t>III</w:t>
        </w:r>
      </w:hyperlink>
      <w:r w:rsidR="00FD0466" w:rsidRPr="003B5F71">
        <w:rPr>
          <w:rFonts w:ascii="Verdana" w:eastAsiaTheme="minorEastAsia" w:hAnsi="Verdana"/>
          <w:noProof/>
          <w:sz w:val="20"/>
          <w:szCs w:val="20"/>
          <w:lang w:eastAsia="es-CR"/>
        </w:rPr>
        <w:t xml:space="preserve"> </w:t>
      </w:r>
      <w:hyperlink w:anchor="_Toc85550379" w:history="1">
        <w:r w:rsidR="00FD0466" w:rsidRPr="003B5F71">
          <w:rPr>
            <w:rStyle w:val="Hipervnculo"/>
            <w:rFonts w:ascii="Verdana" w:hAnsi="Verdana"/>
            <w:b/>
            <w:noProof/>
            <w:sz w:val="20"/>
            <w:szCs w:val="20"/>
          </w:rPr>
          <w:t>COMPETENCIA</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_Toc85550379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w:t>
        </w:r>
        <w:r w:rsidR="00FD0466" w:rsidRPr="003B5F71">
          <w:rPr>
            <w:rFonts w:ascii="Verdana" w:hAnsi="Verdana"/>
            <w:noProof/>
            <w:webHidden/>
            <w:sz w:val="20"/>
            <w:szCs w:val="20"/>
          </w:rPr>
          <w:fldChar w:fldCharType="end"/>
        </w:r>
      </w:hyperlink>
    </w:p>
    <w:p w14:paraId="42C0EAEC"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0DF05F1E" w14:textId="224BC526"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380" w:history="1">
        <w:r w:rsidR="00FD0466" w:rsidRPr="003B5F71">
          <w:rPr>
            <w:rStyle w:val="Hipervnculo"/>
            <w:rFonts w:ascii="Verdana" w:hAnsi="Verdana"/>
            <w:b/>
            <w:noProof/>
            <w:sz w:val="20"/>
            <w:szCs w:val="20"/>
          </w:rPr>
          <w:t>IV</w:t>
        </w:r>
      </w:hyperlink>
      <w:r w:rsidR="00FD0466" w:rsidRPr="003B5F71">
        <w:rPr>
          <w:rFonts w:ascii="Verdana" w:eastAsiaTheme="minorEastAsia" w:hAnsi="Verdana"/>
          <w:noProof/>
          <w:sz w:val="20"/>
          <w:szCs w:val="20"/>
          <w:lang w:eastAsia="es-CR"/>
        </w:rPr>
        <w:t xml:space="preserve"> </w:t>
      </w:r>
      <w:hyperlink w:anchor="_Toc85550381" w:history="1">
        <w:r w:rsidR="00FD0466" w:rsidRPr="003B5F71">
          <w:rPr>
            <w:rStyle w:val="Hipervnculo"/>
            <w:rFonts w:ascii="Verdana" w:hAnsi="Verdana"/>
            <w:b/>
            <w:noProof/>
            <w:sz w:val="20"/>
            <w:szCs w:val="20"/>
          </w:rPr>
          <w:t>CONSIDERACIONES PREVIAS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_Toc85550381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w:t>
        </w:r>
        <w:r w:rsidR="00FD0466" w:rsidRPr="003B5F71">
          <w:rPr>
            <w:rFonts w:ascii="Verdana" w:hAnsi="Verdana"/>
            <w:noProof/>
            <w:webHidden/>
            <w:sz w:val="20"/>
            <w:szCs w:val="20"/>
          </w:rPr>
          <w:fldChar w:fldCharType="end"/>
        </w:r>
      </w:hyperlink>
    </w:p>
    <w:p w14:paraId="597DBEAA" w14:textId="078A391D"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382" w:history="1">
        <w:r w:rsidR="00FD0466" w:rsidRPr="003B5F71">
          <w:rPr>
            <w:rStyle w:val="Hipervnculo"/>
            <w:rFonts w:ascii="Verdana" w:hAnsi="Verdana"/>
            <w:b/>
            <w:i/>
            <w:noProof/>
            <w:sz w:val="20"/>
            <w:szCs w:val="20"/>
          </w:rPr>
          <w:t>A.</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Respecto a la determinación de las presuntas víctimas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_Toc85550382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w:t>
        </w:r>
        <w:r w:rsidR="00FD0466" w:rsidRPr="003B5F71">
          <w:rPr>
            <w:rFonts w:ascii="Verdana" w:hAnsi="Verdana"/>
            <w:noProof/>
            <w:webHidden/>
            <w:sz w:val="20"/>
            <w:szCs w:val="20"/>
          </w:rPr>
          <w:fldChar w:fldCharType="end"/>
        </w:r>
      </w:hyperlink>
    </w:p>
    <w:p w14:paraId="48086583" w14:textId="758B8E4E"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383" w:history="1">
        <w:r w:rsidR="00FD0466" w:rsidRPr="003B5F71">
          <w:rPr>
            <w:rStyle w:val="Hipervnculo"/>
            <w:rFonts w:ascii="Verdana" w:hAnsi="Verdana"/>
            <w:b/>
            <w:i/>
            <w:noProof/>
            <w:sz w:val="20"/>
            <w:szCs w:val="20"/>
          </w:rPr>
          <w:t>B.</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Respecto a la Declaración Americana de Derechos y Deberes del Hombre</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_Toc85550383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7</w:t>
        </w:r>
        <w:r w:rsidR="00FD0466" w:rsidRPr="003B5F71">
          <w:rPr>
            <w:rFonts w:ascii="Verdana" w:hAnsi="Verdana"/>
            <w:noProof/>
            <w:webHidden/>
            <w:sz w:val="20"/>
            <w:szCs w:val="20"/>
          </w:rPr>
          <w:fldChar w:fldCharType="end"/>
        </w:r>
      </w:hyperlink>
    </w:p>
    <w:p w14:paraId="0F906676"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052B1FB2" w14:textId="5E3AF4FD"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384" w:history="1">
        <w:r w:rsidR="00FD0466" w:rsidRPr="003B5F71">
          <w:rPr>
            <w:rStyle w:val="Hipervnculo"/>
            <w:rFonts w:ascii="Verdana" w:hAnsi="Verdana"/>
            <w:b/>
            <w:noProof/>
            <w:sz w:val="20"/>
            <w:szCs w:val="20"/>
          </w:rPr>
          <w:t>V</w:t>
        </w:r>
      </w:hyperlink>
      <w:r w:rsidR="00FD0466" w:rsidRPr="003B5F71">
        <w:rPr>
          <w:rFonts w:ascii="Verdana" w:eastAsiaTheme="minorEastAsia" w:hAnsi="Verdana"/>
          <w:noProof/>
          <w:sz w:val="20"/>
          <w:szCs w:val="20"/>
          <w:lang w:eastAsia="es-CR"/>
        </w:rPr>
        <w:t xml:space="preserve"> </w:t>
      </w:r>
      <w:hyperlink w:anchor="_Toc85550385" w:history="1">
        <w:r w:rsidR="00FD0466" w:rsidRPr="003B5F71">
          <w:rPr>
            <w:rStyle w:val="Hipervnculo"/>
            <w:rFonts w:ascii="Verdana" w:hAnsi="Verdana"/>
            <w:b/>
            <w:noProof/>
            <w:sz w:val="20"/>
            <w:szCs w:val="20"/>
          </w:rPr>
          <w:t>PRUEBA</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_Toc85550385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8</w:t>
        </w:r>
        <w:r w:rsidR="00FD0466" w:rsidRPr="003B5F71">
          <w:rPr>
            <w:rFonts w:ascii="Verdana" w:hAnsi="Verdana"/>
            <w:noProof/>
            <w:webHidden/>
            <w:sz w:val="20"/>
            <w:szCs w:val="20"/>
          </w:rPr>
          <w:fldChar w:fldCharType="end"/>
        </w:r>
      </w:hyperlink>
    </w:p>
    <w:p w14:paraId="626B9F9E" w14:textId="17107EDC" w:rsidR="00FD0466" w:rsidRPr="003B5F71" w:rsidRDefault="005462FB" w:rsidP="005A5029">
      <w:pPr>
        <w:pStyle w:val="TDC2"/>
        <w:tabs>
          <w:tab w:val="right" w:leader="dot" w:pos="8828"/>
        </w:tabs>
        <w:spacing w:after="0" w:line="240" w:lineRule="exact"/>
        <w:jc w:val="both"/>
        <w:rPr>
          <w:rFonts w:ascii="Verdana" w:eastAsiaTheme="minorEastAsia" w:hAnsi="Verdana"/>
          <w:noProof/>
          <w:sz w:val="20"/>
          <w:szCs w:val="20"/>
          <w:lang w:eastAsia="es-CR"/>
        </w:rPr>
      </w:pPr>
      <w:hyperlink w:anchor="_Toc85550386" w:history="1">
        <w:r w:rsidR="00FD0466" w:rsidRPr="003B5F71">
          <w:rPr>
            <w:rStyle w:val="Hipervnculo"/>
            <w:rFonts w:ascii="Verdana" w:hAnsi="Verdana"/>
            <w:b/>
            <w:i/>
            <w:noProof/>
            <w:sz w:val="20"/>
            <w:szCs w:val="20"/>
          </w:rPr>
          <w:t>A. Admisibilidad de la prueba documental</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_Toc85550386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8</w:t>
        </w:r>
        <w:r w:rsidR="00FD0466" w:rsidRPr="003B5F71">
          <w:rPr>
            <w:rFonts w:ascii="Verdana" w:hAnsi="Verdana"/>
            <w:noProof/>
            <w:webHidden/>
            <w:sz w:val="20"/>
            <w:szCs w:val="20"/>
          </w:rPr>
          <w:fldChar w:fldCharType="end"/>
        </w:r>
      </w:hyperlink>
    </w:p>
    <w:p w14:paraId="55D753D4" w14:textId="0FA06A1D" w:rsidR="00FD0466" w:rsidRPr="003B5F71" w:rsidRDefault="005462FB" w:rsidP="005A5029">
      <w:pPr>
        <w:pStyle w:val="TDC2"/>
        <w:tabs>
          <w:tab w:val="right" w:leader="dot" w:pos="8828"/>
        </w:tabs>
        <w:spacing w:after="0" w:line="240" w:lineRule="exact"/>
        <w:jc w:val="both"/>
        <w:rPr>
          <w:rFonts w:ascii="Verdana" w:eastAsiaTheme="minorEastAsia" w:hAnsi="Verdana"/>
          <w:noProof/>
          <w:sz w:val="20"/>
          <w:szCs w:val="20"/>
          <w:lang w:eastAsia="es-CR"/>
        </w:rPr>
      </w:pPr>
      <w:hyperlink w:anchor="_Toc85550387" w:history="1">
        <w:r w:rsidR="00FD0466" w:rsidRPr="003B5F71">
          <w:rPr>
            <w:rStyle w:val="Hipervnculo"/>
            <w:rFonts w:ascii="Verdana" w:eastAsia="Verdana" w:hAnsi="Verdana" w:cs="Verdana"/>
            <w:b/>
            <w:i/>
            <w:noProof/>
            <w:sz w:val="20"/>
            <w:szCs w:val="20"/>
          </w:rPr>
          <w:t>B. Admisibilidad de la prueba testimonial y pericial</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_Toc85550387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10</w:t>
        </w:r>
        <w:r w:rsidR="00FD0466" w:rsidRPr="003B5F71">
          <w:rPr>
            <w:rFonts w:ascii="Verdana" w:hAnsi="Verdana"/>
            <w:noProof/>
            <w:webHidden/>
            <w:sz w:val="20"/>
            <w:szCs w:val="20"/>
          </w:rPr>
          <w:fldChar w:fldCharType="end"/>
        </w:r>
      </w:hyperlink>
    </w:p>
    <w:p w14:paraId="607D7D13"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40B7C747" w14:textId="437AC0E6"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388" w:history="1">
        <w:r w:rsidR="00FD0466" w:rsidRPr="003B5F71">
          <w:rPr>
            <w:rStyle w:val="Hipervnculo"/>
            <w:rFonts w:ascii="Verdana" w:hAnsi="Verdana"/>
            <w:b/>
            <w:noProof/>
            <w:sz w:val="20"/>
            <w:szCs w:val="20"/>
          </w:rPr>
          <w:t>VI</w:t>
        </w:r>
      </w:hyperlink>
      <w:r w:rsidR="00FD0466" w:rsidRPr="003B5F71">
        <w:rPr>
          <w:rFonts w:ascii="Verdana" w:eastAsiaTheme="minorEastAsia" w:hAnsi="Verdana"/>
          <w:noProof/>
          <w:sz w:val="20"/>
          <w:szCs w:val="20"/>
          <w:lang w:eastAsia="es-CR"/>
        </w:rPr>
        <w:t xml:space="preserve"> </w:t>
      </w:r>
      <w:hyperlink w:anchor="_Toc85550389" w:history="1">
        <w:r w:rsidR="00FD0466" w:rsidRPr="003B5F71">
          <w:rPr>
            <w:rStyle w:val="Hipervnculo"/>
            <w:rFonts w:ascii="Verdana" w:hAnsi="Verdana"/>
            <w:b/>
            <w:noProof/>
            <w:sz w:val="20"/>
            <w:szCs w:val="20"/>
          </w:rPr>
          <w:t>HECHOS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_Toc85550389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10</w:t>
        </w:r>
        <w:r w:rsidR="00FD0466" w:rsidRPr="003B5F71">
          <w:rPr>
            <w:rFonts w:ascii="Verdana" w:hAnsi="Verdana"/>
            <w:noProof/>
            <w:webHidden/>
            <w:sz w:val="20"/>
            <w:szCs w:val="20"/>
          </w:rPr>
          <w:fldChar w:fldCharType="end"/>
        </w:r>
      </w:hyperlink>
    </w:p>
    <w:p w14:paraId="6564D1C5" w14:textId="59990236"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390" w:history="1">
        <w:r w:rsidR="00FD0466" w:rsidRPr="003B5F71">
          <w:rPr>
            <w:rStyle w:val="Hipervnculo"/>
            <w:rFonts w:ascii="Verdana" w:hAnsi="Verdana" w:cs="Times New Roman"/>
            <w:b/>
            <w:bCs/>
            <w:i/>
            <w:noProof/>
            <w:sz w:val="20"/>
            <w:szCs w:val="20"/>
          </w:rPr>
          <w:t>A.</w:t>
        </w:r>
        <w:r w:rsidR="00FD0466" w:rsidRPr="003B5F71">
          <w:rPr>
            <w:rFonts w:ascii="Verdana" w:eastAsiaTheme="minorEastAsia" w:hAnsi="Verdana"/>
            <w:noProof/>
            <w:sz w:val="20"/>
            <w:szCs w:val="20"/>
            <w:lang w:eastAsia="es-CR"/>
          </w:rPr>
          <w:tab/>
        </w:r>
        <w:r w:rsidR="00FD0466" w:rsidRPr="003B5F71">
          <w:rPr>
            <w:rStyle w:val="Hipervnculo"/>
            <w:rFonts w:ascii="Verdana" w:hAnsi="Verdana" w:cs="Times New Roman"/>
            <w:b/>
            <w:bCs/>
            <w:i/>
            <w:noProof/>
            <w:sz w:val="20"/>
            <w:szCs w:val="20"/>
          </w:rPr>
          <w:t>Contexto</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_Toc85550390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10</w:t>
        </w:r>
        <w:r w:rsidR="00FD0466" w:rsidRPr="003B5F71">
          <w:rPr>
            <w:rFonts w:ascii="Verdana" w:hAnsi="Verdana"/>
            <w:noProof/>
            <w:webHidden/>
            <w:sz w:val="20"/>
            <w:szCs w:val="20"/>
          </w:rPr>
          <w:fldChar w:fldCharType="end"/>
        </w:r>
      </w:hyperlink>
    </w:p>
    <w:p w14:paraId="67D070BE" w14:textId="5CAEE712" w:rsidR="00FD0466" w:rsidRPr="003B5F71" w:rsidRDefault="005462FB" w:rsidP="005A5029">
      <w:pPr>
        <w:pStyle w:val="TDC2"/>
        <w:tabs>
          <w:tab w:val="right" w:leader="dot" w:pos="8828"/>
        </w:tabs>
        <w:spacing w:after="0" w:line="240" w:lineRule="exact"/>
        <w:jc w:val="both"/>
        <w:rPr>
          <w:rFonts w:ascii="Verdana" w:eastAsiaTheme="minorEastAsia" w:hAnsi="Verdana"/>
          <w:noProof/>
          <w:sz w:val="20"/>
          <w:szCs w:val="20"/>
          <w:lang w:eastAsia="es-CR"/>
        </w:rPr>
      </w:pPr>
      <w:hyperlink w:anchor="_Toc85550391" w:history="1">
        <w:r w:rsidR="00FD0466" w:rsidRPr="003B5F71">
          <w:rPr>
            <w:rStyle w:val="Hipervnculo"/>
            <w:rFonts w:ascii="Verdana" w:hAnsi="Verdana" w:cs="Times New Roman"/>
            <w:bCs/>
            <w:i/>
            <w:noProof/>
            <w:sz w:val="20"/>
            <w:szCs w:val="20"/>
          </w:rPr>
          <w:t>A.1. Sobre las graves violaciones de derechos humanos cometidas durante la dictadura y actos posteriores que dieron cuenta de los mismos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_Toc85550391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10</w:t>
        </w:r>
        <w:r w:rsidR="00FD0466" w:rsidRPr="003B5F71">
          <w:rPr>
            <w:rFonts w:ascii="Verdana" w:hAnsi="Verdana"/>
            <w:noProof/>
            <w:webHidden/>
            <w:sz w:val="20"/>
            <w:szCs w:val="20"/>
          </w:rPr>
          <w:fldChar w:fldCharType="end"/>
        </w:r>
      </w:hyperlink>
    </w:p>
    <w:p w14:paraId="428224BB" w14:textId="7D1CD945" w:rsidR="00FD0466" w:rsidRPr="003B5F71" w:rsidRDefault="005462FB" w:rsidP="005A5029">
      <w:pPr>
        <w:pStyle w:val="TDC2"/>
        <w:tabs>
          <w:tab w:val="right" w:leader="dot" w:pos="8828"/>
        </w:tabs>
        <w:spacing w:after="0" w:line="240" w:lineRule="exact"/>
        <w:jc w:val="both"/>
        <w:rPr>
          <w:rFonts w:ascii="Verdana" w:eastAsiaTheme="minorEastAsia" w:hAnsi="Verdana"/>
          <w:noProof/>
          <w:sz w:val="20"/>
          <w:szCs w:val="20"/>
          <w:lang w:eastAsia="es-CR"/>
        </w:rPr>
      </w:pPr>
      <w:hyperlink w:anchor="_Toc85550392" w:history="1">
        <w:r w:rsidR="00FD0466" w:rsidRPr="003B5F71">
          <w:rPr>
            <w:rStyle w:val="Hipervnculo"/>
            <w:rFonts w:ascii="Verdana" w:hAnsi="Verdana" w:cs="Times New Roman"/>
            <w:i/>
            <w:noProof/>
            <w:sz w:val="20"/>
            <w:szCs w:val="20"/>
          </w:rPr>
          <w:t>A.2. Sobre la Ley de Caducidad y actos posteriores tendientes a la supresión de sus efectos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_Toc85550392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13</w:t>
        </w:r>
        <w:r w:rsidR="00FD0466" w:rsidRPr="003B5F71">
          <w:rPr>
            <w:rFonts w:ascii="Verdana" w:hAnsi="Verdana"/>
            <w:noProof/>
            <w:webHidden/>
            <w:sz w:val="20"/>
            <w:szCs w:val="20"/>
          </w:rPr>
          <w:fldChar w:fldCharType="end"/>
        </w:r>
      </w:hyperlink>
    </w:p>
    <w:p w14:paraId="15C7EF81" w14:textId="5715334C"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393" w:history="1">
        <w:r w:rsidR="00FD0466" w:rsidRPr="003B5F71">
          <w:rPr>
            <w:rStyle w:val="Hipervnculo"/>
            <w:rFonts w:ascii="Verdana" w:hAnsi="Verdana" w:cs="Times New Roman"/>
            <w:b/>
            <w:i/>
            <w:noProof/>
            <w:sz w:val="20"/>
            <w:szCs w:val="20"/>
          </w:rPr>
          <w:t>B.</w:t>
        </w:r>
        <w:r w:rsidR="00FD0466" w:rsidRPr="003B5F71">
          <w:rPr>
            <w:rFonts w:ascii="Verdana" w:eastAsiaTheme="minorEastAsia" w:hAnsi="Verdana"/>
            <w:noProof/>
            <w:sz w:val="20"/>
            <w:szCs w:val="20"/>
            <w:lang w:eastAsia="es-CR"/>
          </w:rPr>
          <w:tab/>
        </w:r>
        <w:r w:rsidR="00FD0466" w:rsidRPr="003B5F71">
          <w:rPr>
            <w:rStyle w:val="Hipervnculo"/>
            <w:rFonts w:ascii="Verdana" w:hAnsi="Verdana" w:cs="Times New Roman"/>
            <w:b/>
            <w:i/>
            <w:noProof/>
            <w:sz w:val="20"/>
            <w:szCs w:val="20"/>
          </w:rPr>
          <w:t>Sobre las presuntas víctimas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_Toc85550393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16</w:t>
        </w:r>
        <w:r w:rsidR="00FD0466" w:rsidRPr="003B5F71">
          <w:rPr>
            <w:rFonts w:ascii="Verdana" w:hAnsi="Verdana"/>
            <w:noProof/>
            <w:webHidden/>
            <w:sz w:val="20"/>
            <w:szCs w:val="20"/>
          </w:rPr>
          <w:fldChar w:fldCharType="end"/>
        </w:r>
      </w:hyperlink>
    </w:p>
    <w:p w14:paraId="323BEBF9" w14:textId="206E5422"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394" w:history="1">
        <w:r w:rsidR="00FD0466" w:rsidRPr="003B5F71">
          <w:rPr>
            <w:rStyle w:val="Hipervnculo"/>
            <w:rFonts w:ascii="Verdana" w:hAnsi="Verdana" w:cs="Times New Roman"/>
            <w:b/>
            <w:i/>
            <w:noProof/>
            <w:sz w:val="20"/>
            <w:szCs w:val="20"/>
          </w:rPr>
          <w:t>C.</w:t>
        </w:r>
        <w:r w:rsidR="00FD0466" w:rsidRPr="003B5F71">
          <w:rPr>
            <w:rFonts w:ascii="Verdana" w:eastAsiaTheme="minorEastAsia" w:hAnsi="Verdana"/>
            <w:noProof/>
            <w:sz w:val="20"/>
            <w:szCs w:val="20"/>
            <w:lang w:eastAsia="es-CR"/>
          </w:rPr>
          <w:tab/>
        </w:r>
        <w:r w:rsidR="00FD0466" w:rsidRPr="003B5F71">
          <w:rPr>
            <w:rStyle w:val="Hipervnculo"/>
            <w:rFonts w:ascii="Verdana" w:hAnsi="Verdana" w:cs="Times New Roman"/>
            <w:b/>
            <w:i/>
            <w:noProof/>
            <w:sz w:val="20"/>
            <w:szCs w:val="20"/>
          </w:rPr>
          <w:t>Antecedentes y hechos del caso</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_Toc85550394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16</w:t>
        </w:r>
        <w:r w:rsidR="00FD0466" w:rsidRPr="003B5F71">
          <w:rPr>
            <w:rFonts w:ascii="Verdana" w:hAnsi="Verdana"/>
            <w:noProof/>
            <w:webHidden/>
            <w:sz w:val="20"/>
            <w:szCs w:val="20"/>
          </w:rPr>
          <w:fldChar w:fldCharType="end"/>
        </w:r>
      </w:hyperlink>
    </w:p>
    <w:p w14:paraId="3FD88D91" w14:textId="2AF92EBC"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395" w:history="1">
        <w:r w:rsidR="00FD0466" w:rsidRPr="003B5F71">
          <w:rPr>
            <w:rStyle w:val="Hipervnculo"/>
            <w:rFonts w:ascii="Verdana" w:hAnsi="Verdana" w:cs="Times New Roman"/>
            <w:i/>
            <w:noProof/>
            <w:sz w:val="20"/>
            <w:szCs w:val="20"/>
          </w:rPr>
          <w:t>C.1 Los hechos relacionados con Laura Raggio, Silvia Reyes y Diana Maidanik y la investigación de los mismos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_Toc85550395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16</w:t>
        </w:r>
        <w:r w:rsidR="00FD0466" w:rsidRPr="003B5F71">
          <w:rPr>
            <w:rFonts w:ascii="Verdana" w:hAnsi="Verdana"/>
            <w:noProof/>
            <w:webHidden/>
            <w:sz w:val="20"/>
            <w:szCs w:val="20"/>
          </w:rPr>
          <w:fldChar w:fldCharType="end"/>
        </w:r>
      </w:hyperlink>
    </w:p>
    <w:p w14:paraId="71BBD2E8" w14:textId="11BE32D6"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396" w:history="1">
        <w:r w:rsidR="00FD0466" w:rsidRPr="003B5F71">
          <w:rPr>
            <w:rStyle w:val="Hipervnculo"/>
            <w:rFonts w:ascii="Verdana" w:hAnsi="Verdana" w:cs="Times New Roman"/>
            <w:i/>
            <w:noProof/>
            <w:sz w:val="20"/>
            <w:szCs w:val="20"/>
          </w:rPr>
          <w:t>C.1.1 Hechos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_Toc85550396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17</w:t>
        </w:r>
        <w:r w:rsidR="00FD0466" w:rsidRPr="003B5F71">
          <w:rPr>
            <w:rFonts w:ascii="Verdana" w:hAnsi="Verdana"/>
            <w:noProof/>
            <w:webHidden/>
            <w:sz w:val="20"/>
            <w:szCs w:val="20"/>
          </w:rPr>
          <w:fldChar w:fldCharType="end"/>
        </w:r>
      </w:hyperlink>
    </w:p>
    <w:p w14:paraId="4D970950" w14:textId="480F5AEB"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397" w:history="1">
        <w:r w:rsidR="00FD0466" w:rsidRPr="003B5F71">
          <w:rPr>
            <w:rStyle w:val="Hipervnculo"/>
            <w:rFonts w:ascii="Verdana" w:hAnsi="Verdana" w:cs="Times New Roman"/>
            <w:i/>
            <w:noProof/>
            <w:sz w:val="20"/>
            <w:szCs w:val="20"/>
          </w:rPr>
          <w:t>C.1.2 Investigación</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_Toc85550397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18</w:t>
        </w:r>
        <w:r w:rsidR="00FD0466" w:rsidRPr="003B5F71">
          <w:rPr>
            <w:rFonts w:ascii="Verdana" w:hAnsi="Verdana"/>
            <w:noProof/>
            <w:webHidden/>
            <w:sz w:val="20"/>
            <w:szCs w:val="20"/>
          </w:rPr>
          <w:fldChar w:fldCharType="end"/>
        </w:r>
      </w:hyperlink>
    </w:p>
    <w:p w14:paraId="364D25CB" w14:textId="2F2BCDCC"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398" w:history="1">
        <w:r w:rsidR="00FD0466" w:rsidRPr="003B5F71">
          <w:rPr>
            <w:rStyle w:val="Hipervnculo"/>
            <w:rFonts w:ascii="Verdana" w:hAnsi="Verdana" w:cs="Times New Roman"/>
            <w:i/>
            <w:noProof/>
            <w:sz w:val="20"/>
            <w:szCs w:val="20"/>
          </w:rPr>
          <w:t>C.2 Sobre la desaparición de Luis Eduardo González González y la investigación posterior</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_Toc85550398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22</w:t>
        </w:r>
        <w:r w:rsidR="00FD0466" w:rsidRPr="003B5F71">
          <w:rPr>
            <w:rFonts w:ascii="Verdana" w:hAnsi="Verdana"/>
            <w:noProof/>
            <w:webHidden/>
            <w:sz w:val="20"/>
            <w:szCs w:val="20"/>
          </w:rPr>
          <w:fldChar w:fldCharType="end"/>
        </w:r>
      </w:hyperlink>
    </w:p>
    <w:p w14:paraId="48AFAD85" w14:textId="3C7108A7"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399" w:history="1">
        <w:r w:rsidR="00FD0466" w:rsidRPr="003B5F71">
          <w:rPr>
            <w:rStyle w:val="Hipervnculo"/>
            <w:rFonts w:ascii="Verdana" w:hAnsi="Verdana" w:cs="Times New Roman"/>
            <w:i/>
            <w:noProof/>
            <w:sz w:val="20"/>
            <w:szCs w:val="20"/>
          </w:rPr>
          <w:t>C.2.1 Hechos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_Toc85550399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22</w:t>
        </w:r>
        <w:r w:rsidR="00FD0466" w:rsidRPr="003B5F71">
          <w:rPr>
            <w:rFonts w:ascii="Verdana" w:hAnsi="Verdana"/>
            <w:noProof/>
            <w:webHidden/>
            <w:sz w:val="20"/>
            <w:szCs w:val="20"/>
          </w:rPr>
          <w:fldChar w:fldCharType="end"/>
        </w:r>
      </w:hyperlink>
    </w:p>
    <w:p w14:paraId="16A099D1" w14:textId="73F2B59D"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400" w:history="1">
        <w:r w:rsidR="00FD0466" w:rsidRPr="003B5F71">
          <w:rPr>
            <w:rStyle w:val="Hipervnculo"/>
            <w:rFonts w:ascii="Verdana" w:hAnsi="Verdana" w:cs="Times New Roman"/>
            <w:i/>
            <w:noProof/>
            <w:sz w:val="20"/>
            <w:szCs w:val="20"/>
          </w:rPr>
          <w:t>C.2.2 Investigación</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_Toc85550400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24</w:t>
        </w:r>
        <w:r w:rsidR="00FD0466" w:rsidRPr="003B5F71">
          <w:rPr>
            <w:rFonts w:ascii="Verdana" w:hAnsi="Verdana"/>
            <w:noProof/>
            <w:webHidden/>
            <w:sz w:val="20"/>
            <w:szCs w:val="20"/>
          </w:rPr>
          <w:fldChar w:fldCharType="end"/>
        </w:r>
      </w:hyperlink>
    </w:p>
    <w:p w14:paraId="2A3999E1" w14:textId="288A72D7"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01" w:history="1">
        <w:r w:rsidR="00FD0466" w:rsidRPr="003B5F71">
          <w:rPr>
            <w:rStyle w:val="Hipervnculo"/>
            <w:rFonts w:ascii="Verdana" w:hAnsi="Verdana" w:cs="Times New Roman"/>
            <w:bCs/>
            <w:i/>
            <w:noProof/>
            <w:sz w:val="20"/>
            <w:szCs w:val="20"/>
          </w:rPr>
          <w:t>C.3 Sobre la desaparición de Óscar Tassino Asteazu</w:t>
        </w:r>
        <w:r w:rsidR="00D64CA2" w:rsidRPr="003B5F71">
          <w:rPr>
            <w:rStyle w:val="Hipervnculo"/>
            <w:rFonts w:ascii="Verdana" w:hAnsi="Verdana" w:cs="Times New Roman"/>
            <w:bCs/>
            <w:i/>
            <w:noProof/>
            <w:sz w:val="20"/>
            <w:szCs w:val="20"/>
          </w:rPr>
          <w:t xml:space="preserve"> y la investigación posterior</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_Toc85550401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27</w:t>
        </w:r>
        <w:r w:rsidR="00FD0466" w:rsidRPr="003B5F71">
          <w:rPr>
            <w:rFonts w:ascii="Verdana" w:hAnsi="Verdana"/>
            <w:noProof/>
            <w:webHidden/>
            <w:sz w:val="20"/>
            <w:szCs w:val="20"/>
          </w:rPr>
          <w:fldChar w:fldCharType="end"/>
        </w:r>
      </w:hyperlink>
    </w:p>
    <w:p w14:paraId="7ED113FE" w14:textId="4321EE07"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402" w:history="1">
        <w:r w:rsidR="00FD0466" w:rsidRPr="003B5F71">
          <w:rPr>
            <w:rStyle w:val="Hipervnculo"/>
            <w:rFonts w:ascii="Verdana" w:hAnsi="Verdana" w:cs="Times New Roman"/>
            <w:i/>
            <w:noProof/>
            <w:sz w:val="20"/>
            <w:szCs w:val="20"/>
          </w:rPr>
          <w:t>C.3.1. Hechos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_Toc85550402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27</w:t>
        </w:r>
        <w:r w:rsidR="00FD0466" w:rsidRPr="003B5F71">
          <w:rPr>
            <w:rFonts w:ascii="Verdana" w:hAnsi="Verdana"/>
            <w:noProof/>
            <w:webHidden/>
            <w:sz w:val="20"/>
            <w:szCs w:val="20"/>
          </w:rPr>
          <w:fldChar w:fldCharType="end"/>
        </w:r>
      </w:hyperlink>
    </w:p>
    <w:p w14:paraId="35F8ED83" w14:textId="52ABD886"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403" w:history="1">
        <w:r w:rsidR="00FD0466" w:rsidRPr="003B5F71">
          <w:rPr>
            <w:rStyle w:val="Hipervnculo"/>
            <w:rFonts w:ascii="Verdana" w:hAnsi="Verdana" w:cs="Times New Roman"/>
            <w:i/>
            <w:noProof/>
            <w:sz w:val="20"/>
            <w:szCs w:val="20"/>
          </w:rPr>
          <w:t>C.3.2. Investigación</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_Toc85550403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28</w:t>
        </w:r>
        <w:r w:rsidR="00FD0466" w:rsidRPr="003B5F71">
          <w:rPr>
            <w:rFonts w:ascii="Verdana" w:hAnsi="Verdana"/>
            <w:noProof/>
            <w:webHidden/>
            <w:sz w:val="20"/>
            <w:szCs w:val="20"/>
          </w:rPr>
          <w:fldChar w:fldCharType="end"/>
        </w:r>
      </w:hyperlink>
    </w:p>
    <w:p w14:paraId="29BC8658" w14:textId="4ABB57E0"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04" w:history="1">
        <w:r w:rsidR="00FD0466" w:rsidRPr="003B5F71">
          <w:rPr>
            <w:rStyle w:val="Hipervnculo"/>
            <w:rFonts w:ascii="Verdana" w:hAnsi="Verdana" w:cs="Times New Roman"/>
            <w:b/>
            <w:i/>
            <w:noProof/>
            <w:sz w:val="20"/>
            <w:szCs w:val="20"/>
          </w:rPr>
          <w:t>D.</w:t>
        </w:r>
        <w:r w:rsidR="00FD0466" w:rsidRPr="003B5F71">
          <w:rPr>
            <w:rFonts w:ascii="Verdana" w:eastAsiaTheme="minorEastAsia" w:hAnsi="Verdana"/>
            <w:noProof/>
            <w:sz w:val="20"/>
            <w:szCs w:val="20"/>
            <w:lang w:eastAsia="es-CR"/>
          </w:rPr>
          <w:tab/>
        </w:r>
        <w:r w:rsidR="00FD0466" w:rsidRPr="003B5F71">
          <w:rPr>
            <w:rStyle w:val="Hipervnculo"/>
            <w:rFonts w:ascii="Verdana" w:hAnsi="Verdana" w:cs="Times New Roman"/>
            <w:b/>
            <w:i/>
            <w:noProof/>
            <w:sz w:val="20"/>
            <w:szCs w:val="20"/>
          </w:rPr>
          <w:t>Reparaciones pecuniarias que ha otorgado el Estado a nivel interno</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_Toc85550404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31</w:t>
        </w:r>
        <w:r w:rsidR="00FD0466" w:rsidRPr="003B5F71">
          <w:rPr>
            <w:rFonts w:ascii="Verdana" w:hAnsi="Verdana"/>
            <w:noProof/>
            <w:webHidden/>
            <w:sz w:val="20"/>
            <w:szCs w:val="20"/>
          </w:rPr>
          <w:fldChar w:fldCharType="end"/>
        </w:r>
      </w:hyperlink>
    </w:p>
    <w:p w14:paraId="0937A962"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407AA9F2" w14:textId="41F5B6DF"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405" w:history="1">
        <w:r w:rsidR="00FD0466" w:rsidRPr="003B5F71">
          <w:rPr>
            <w:rStyle w:val="Hipervnculo"/>
            <w:rFonts w:ascii="Verdana" w:hAnsi="Verdana"/>
            <w:b/>
            <w:noProof/>
            <w:sz w:val="20"/>
            <w:szCs w:val="20"/>
          </w:rPr>
          <w:t>VII</w:t>
        </w:r>
      </w:hyperlink>
      <w:r w:rsidR="00FD0466" w:rsidRPr="003B5F71">
        <w:rPr>
          <w:rFonts w:ascii="Verdana" w:eastAsiaTheme="minorEastAsia" w:hAnsi="Verdana"/>
          <w:noProof/>
          <w:sz w:val="20"/>
          <w:szCs w:val="20"/>
          <w:lang w:eastAsia="es-CR"/>
        </w:rPr>
        <w:t xml:space="preserve"> </w:t>
      </w:r>
      <w:hyperlink w:anchor="_Toc85550406" w:history="1">
        <w:r w:rsidR="00FD0466" w:rsidRPr="003B5F71">
          <w:rPr>
            <w:rStyle w:val="Hipervnculo"/>
            <w:rFonts w:ascii="Verdana" w:hAnsi="Verdana"/>
            <w:b/>
            <w:noProof/>
            <w:sz w:val="20"/>
            <w:szCs w:val="20"/>
          </w:rPr>
          <w:t>FONDO</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_Toc85550406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31</w:t>
        </w:r>
        <w:r w:rsidR="00FD0466" w:rsidRPr="003B5F71">
          <w:rPr>
            <w:rFonts w:ascii="Verdana" w:hAnsi="Verdana"/>
            <w:noProof/>
            <w:webHidden/>
            <w:sz w:val="20"/>
            <w:szCs w:val="20"/>
          </w:rPr>
          <w:fldChar w:fldCharType="end"/>
        </w:r>
      </w:hyperlink>
    </w:p>
    <w:p w14:paraId="7A4764C8"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3CD689CC" w14:textId="53FF3B22"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407" w:history="1">
        <w:r w:rsidR="00FD0466" w:rsidRPr="003B5F71">
          <w:rPr>
            <w:rStyle w:val="Hipervnculo"/>
            <w:rFonts w:ascii="Verdana" w:hAnsi="Verdana"/>
            <w:b/>
            <w:noProof/>
            <w:sz w:val="20"/>
            <w:szCs w:val="20"/>
          </w:rPr>
          <w:t>VII.1</w:t>
        </w:r>
      </w:hyperlink>
      <w:r w:rsidR="00FD0466" w:rsidRPr="003B5F71">
        <w:rPr>
          <w:rFonts w:ascii="Verdana" w:eastAsiaTheme="minorEastAsia" w:hAnsi="Verdana"/>
          <w:noProof/>
          <w:sz w:val="20"/>
          <w:szCs w:val="20"/>
          <w:lang w:eastAsia="es-CR"/>
        </w:rPr>
        <w:t xml:space="preserve"> </w:t>
      </w:r>
      <w:hyperlink w:anchor="_Toc85550408" w:history="1">
        <w:r w:rsidR="00FD0466" w:rsidRPr="003B5F71">
          <w:rPr>
            <w:rStyle w:val="Hipervnculo"/>
            <w:rFonts w:ascii="Verdana" w:hAnsi="Verdana"/>
            <w:b/>
            <w:noProof/>
            <w:sz w:val="20"/>
            <w:szCs w:val="20"/>
          </w:rPr>
          <w:t>DERECHOS AL RECONOCIMIENTO DE LA PERSONALIDAD JURÍDICA, A LA VIDA, A LA INTEGRIDAD PERSONAL Y A LA LIBERTAD PERSONAL</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_Toc85550408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32</w:t>
        </w:r>
        <w:r w:rsidR="00FD0466" w:rsidRPr="003B5F71">
          <w:rPr>
            <w:rFonts w:ascii="Verdana" w:hAnsi="Verdana"/>
            <w:noProof/>
            <w:webHidden/>
            <w:sz w:val="20"/>
            <w:szCs w:val="20"/>
          </w:rPr>
          <w:fldChar w:fldCharType="end"/>
        </w:r>
      </w:hyperlink>
    </w:p>
    <w:p w14:paraId="0D712BA2" w14:textId="048A232C"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09" w:history="1">
        <w:r w:rsidR="00FD0466" w:rsidRPr="003B5F71">
          <w:rPr>
            <w:rStyle w:val="Hipervnculo"/>
            <w:rFonts w:ascii="Verdana" w:hAnsi="Verdana"/>
            <w:b/>
            <w:i/>
            <w:noProof/>
            <w:sz w:val="20"/>
            <w:szCs w:val="20"/>
          </w:rPr>
          <w:t>A.</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Argumentos de la Comisión y de las partes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_Toc85550409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32</w:t>
        </w:r>
        <w:r w:rsidR="00FD0466" w:rsidRPr="003B5F71">
          <w:rPr>
            <w:rFonts w:ascii="Verdana" w:hAnsi="Verdana"/>
            <w:noProof/>
            <w:webHidden/>
            <w:sz w:val="20"/>
            <w:szCs w:val="20"/>
          </w:rPr>
          <w:fldChar w:fldCharType="end"/>
        </w:r>
      </w:hyperlink>
    </w:p>
    <w:p w14:paraId="49A39522" w14:textId="759DFC68"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10" w:history="1">
        <w:r w:rsidR="00FD0466" w:rsidRPr="003B5F71">
          <w:rPr>
            <w:rStyle w:val="Hipervnculo"/>
            <w:rFonts w:ascii="Verdana" w:hAnsi="Verdana"/>
            <w:b/>
            <w:i/>
            <w:noProof/>
            <w:sz w:val="20"/>
            <w:szCs w:val="20"/>
          </w:rPr>
          <w:t>B.</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Consideraciones de la Corte</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_Toc85550410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33</w:t>
        </w:r>
        <w:r w:rsidR="00FD0466" w:rsidRPr="003B5F71">
          <w:rPr>
            <w:rFonts w:ascii="Verdana" w:hAnsi="Verdana"/>
            <w:noProof/>
            <w:webHidden/>
            <w:sz w:val="20"/>
            <w:szCs w:val="20"/>
          </w:rPr>
          <w:fldChar w:fldCharType="end"/>
        </w:r>
      </w:hyperlink>
    </w:p>
    <w:p w14:paraId="239D046F" w14:textId="31624289"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11" w:history="1">
        <w:r w:rsidR="00FD0466" w:rsidRPr="003B5F71">
          <w:rPr>
            <w:rStyle w:val="Hipervnculo"/>
            <w:rFonts w:ascii="Verdana" w:hAnsi="Verdana"/>
            <w:i/>
            <w:noProof/>
            <w:sz w:val="20"/>
            <w:szCs w:val="20"/>
          </w:rPr>
          <w:t>B.1 Consideraciones generales sobre la desaparición forzada de personas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_Toc85550411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33</w:t>
        </w:r>
        <w:r w:rsidR="00FD0466" w:rsidRPr="003B5F71">
          <w:rPr>
            <w:rFonts w:ascii="Verdana" w:hAnsi="Verdana"/>
            <w:noProof/>
            <w:webHidden/>
            <w:sz w:val="20"/>
            <w:szCs w:val="20"/>
          </w:rPr>
          <w:fldChar w:fldCharType="end"/>
        </w:r>
      </w:hyperlink>
    </w:p>
    <w:p w14:paraId="59BFC9F3" w14:textId="78456FF4"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12" w:history="1">
        <w:r w:rsidR="00FD0466" w:rsidRPr="003B5F71">
          <w:rPr>
            <w:rStyle w:val="Hipervnculo"/>
            <w:rFonts w:ascii="Verdana" w:hAnsi="Verdana"/>
            <w:i/>
            <w:noProof/>
            <w:sz w:val="20"/>
            <w:szCs w:val="20"/>
          </w:rPr>
          <w:t>B.2 Examen de los hechos del caso</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_Toc85550412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35</w:t>
        </w:r>
        <w:r w:rsidR="00FD0466" w:rsidRPr="003B5F71">
          <w:rPr>
            <w:rFonts w:ascii="Verdana" w:hAnsi="Verdana"/>
            <w:noProof/>
            <w:webHidden/>
            <w:sz w:val="20"/>
            <w:szCs w:val="20"/>
          </w:rPr>
          <w:fldChar w:fldCharType="end"/>
        </w:r>
      </w:hyperlink>
    </w:p>
    <w:p w14:paraId="22C5512A"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2DB34EE3" w14:textId="5AC07EBC"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413" w:history="1">
        <w:r w:rsidR="00FD0466" w:rsidRPr="003B5F71">
          <w:rPr>
            <w:rStyle w:val="Hipervnculo"/>
            <w:rFonts w:ascii="Verdana" w:hAnsi="Verdana"/>
            <w:b/>
            <w:noProof/>
            <w:sz w:val="20"/>
            <w:szCs w:val="20"/>
          </w:rPr>
          <w:t>VII.2</w:t>
        </w:r>
      </w:hyperlink>
      <w:r w:rsidR="00FD0466" w:rsidRPr="003B5F71">
        <w:rPr>
          <w:rFonts w:ascii="Verdana" w:eastAsiaTheme="minorEastAsia" w:hAnsi="Verdana"/>
          <w:noProof/>
          <w:sz w:val="20"/>
          <w:szCs w:val="20"/>
          <w:lang w:eastAsia="es-CR"/>
        </w:rPr>
        <w:t xml:space="preserve"> </w:t>
      </w:r>
      <w:hyperlink w:anchor="_Toc85550414" w:history="1">
        <w:r w:rsidR="00FD0466" w:rsidRPr="003B5F71">
          <w:rPr>
            <w:rStyle w:val="Hipervnculo"/>
            <w:rFonts w:ascii="Verdana" w:hAnsi="Verdana"/>
            <w:b/>
            <w:noProof/>
            <w:sz w:val="20"/>
            <w:szCs w:val="20"/>
          </w:rPr>
          <w:t>DERECHOS A LAS GARANTÍAS JUDICIALES Y A LA PROTECCIÓN JUDICIAL</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_Toc85550414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37</w:t>
        </w:r>
        <w:r w:rsidR="00FD0466" w:rsidRPr="003B5F71">
          <w:rPr>
            <w:rFonts w:ascii="Verdana" w:hAnsi="Verdana"/>
            <w:noProof/>
            <w:webHidden/>
            <w:sz w:val="20"/>
            <w:szCs w:val="20"/>
          </w:rPr>
          <w:fldChar w:fldCharType="end"/>
        </w:r>
      </w:hyperlink>
    </w:p>
    <w:p w14:paraId="52E62B9D" w14:textId="700ECBFF"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15" w:history="1">
        <w:r w:rsidR="00FD0466" w:rsidRPr="003B5F71">
          <w:rPr>
            <w:rStyle w:val="Hipervnculo"/>
            <w:rFonts w:ascii="Verdana" w:hAnsi="Verdana"/>
            <w:b/>
            <w:i/>
            <w:noProof/>
            <w:sz w:val="20"/>
            <w:szCs w:val="20"/>
          </w:rPr>
          <w:t>A.</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Argumentos de la Comisión y de las partes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_Toc85550415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37</w:t>
        </w:r>
        <w:r w:rsidR="00FD0466" w:rsidRPr="003B5F71">
          <w:rPr>
            <w:rFonts w:ascii="Verdana" w:hAnsi="Verdana"/>
            <w:noProof/>
            <w:webHidden/>
            <w:sz w:val="20"/>
            <w:szCs w:val="20"/>
          </w:rPr>
          <w:fldChar w:fldCharType="end"/>
        </w:r>
      </w:hyperlink>
    </w:p>
    <w:p w14:paraId="6323F502" w14:textId="715C80E4"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16" w:history="1">
        <w:r w:rsidR="00FD0466" w:rsidRPr="003B5F71">
          <w:rPr>
            <w:rStyle w:val="Hipervnculo"/>
            <w:rFonts w:ascii="Verdana" w:hAnsi="Verdana"/>
            <w:b/>
            <w:i/>
            <w:noProof/>
            <w:sz w:val="20"/>
            <w:szCs w:val="20"/>
          </w:rPr>
          <w:t>B.</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Consideraciones de la Corte</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_Toc85550416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40</w:t>
        </w:r>
        <w:r w:rsidR="00FD0466" w:rsidRPr="003B5F71">
          <w:rPr>
            <w:rFonts w:ascii="Verdana" w:hAnsi="Verdana"/>
            <w:noProof/>
            <w:webHidden/>
            <w:sz w:val="20"/>
            <w:szCs w:val="20"/>
          </w:rPr>
          <w:fldChar w:fldCharType="end"/>
        </w:r>
      </w:hyperlink>
    </w:p>
    <w:p w14:paraId="757B38CC" w14:textId="44018534"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17" w:history="1">
        <w:r w:rsidR="00FD0466" w:rsidRPr="003B5F71">
          <w:rPr>
            <w:rStyle w:val="Hipervnculo"/>
            <w:rFonts w:ascii="Verdana" w:hAnsi="Verdana"/>
            <w:i/>
            <w:noProof/>
            <w:sz w:val="20"/>
            <w:szCs w:val="20"/>
          </w:rPr>
          <w:t>B.1 Consideraciones generales sobre el deber de investigar</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_Toc85550417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40</w:t>
        </w:r>
        <w:r w:rsidR="00FD0466" w:rsidRPr="003B5F71">
          <w:rPr>
            <w:rFonts w:ascii="Verdana" w:hAnsi="Verdana"/>
            <w:noProof/>
            <w:webHidden/>
            <w:sz w:val="20"/>
            <w:szCs w:val="20"/>
          </w:rPr>
          <w:fldChar w:fldCharType="end"/>
        </w:r>
      </w:hyperlink>
    </w:p>
    <w:p w14:paraId="133ED99B" w14:textId="42F8265F"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18" w:history="1">
        <w:r w:rsidR="00FD0466" w:rsidRPr="003B5F71">
          <w:rPr>
            <w:rStyle w:val="Hipervnculo"/>
            <w:rFonts w:ascii="Verdana" w:hAnsi="Verdana"/>
            <w:i/>
            <w:noProof/>
            <w:sz w:val="20"/>
            <w:szCs w:val="20"/>
          </w:rPr>
          <w:t>B.2. Examen de las actuaciones seguidas en el caso</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_Toc85550418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41</w:t>
        </w:r>
        <w:r w:rsidR="00FD0466" w:rsidRPr="003B5F71">
          <w:rPr>
            <w:rFonts w:ascii="Verdana" w:hAnsi="Verdana"/>
            <w:noProof/>
            <w:webHidden/>
            <w:sz w:val="20"/>
            <w:szCs w:val="20"/>
          </w:rPr>
          <w:fldChar w:fldCharType="end"/>
        </w:r>
      </w:hyperlink>
    </w:p>
    <w:p w14:paraId="6D2ECD92" w14:textId="1B304CD8"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419" w:history="1">
        <w:r w:rsidR="00FD0466" w:rsidRPr="003B5F71">
          <w:rPr>
            <w:rStyle w:val="Hipervnculo"/>
            <w:rFonts w:ascii="Verdana" w:hAnsi="Verdana"/>
            <w:i/>
            <w:noProof/>
            <w:sz w:val="20"/>
            <w:szCs w:val="20"/>
          </w:rPr>
          <w:t>B.2.1 Obstaculización a las acciones de investigación por la aplicación de la Ley de Caducidad.</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_Toc85550419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42</w:t>
        </w:r>
        <w:r w:rsidR="00FD0466" w:rsidRPr="003B5F71">
          <w:rPr>
            <w:rFonts w:ascii="Verdana" w:hAnsi="Verdana"/>
            <w:noProof/>
            <w:webHidden/>
            <w:sz w:val="20"/>
            <w:szCs w:val="20"/>
          </w:rPr>
          <w:fldChar w:fldCharType="end"/>
        </w:r>
      </w:hyperlink>
    </w:p>
    <w:p w14:paraId="37915812" w14:textId="6414A0EF"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420" w:history="1">
        <w:r w:rsidR="00FD0466" w:rsidRPr="003B5F71">
          <w:rPr>
            <w:rStyle w:val="Hipervnculo"/>
            <w:rFonts w:ascii="Verdana" w:hAnsi="Verdana"/>
            <w:i/>
            <w:noProof/>
            <w:sz w:val="20"/>
            <w:szCs w:val="20"/>
          </w:rPr>
          <w:t>B.2.2 Debida diligencia en las actuaciones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_Toc85550420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43</w:t>
        </w:r>
        <w:r w:rsidR="00FD0466" w:rsidRPr="003B5F71">
          <w:rPr>
            <w:rFonts w:ascii="Verdana" w:hAnsi="Verdana"/>
            <w:noProof/>
            <w:webHidden/>
            <w:sz w:val="20"/>
            <w:szCs w:val="20"/>
          </w:rPr>
          <w:fldChar w:fldCharType="end"/>
        </w:r>
      </w:hyperlink>
    </w:p>
    <w:p w14:paraId="5DEC7218" w14:textId="63C648E7" w:rsidR="00FD0466" w:rsidRPr="003B5F71" w:rsidRDefault="005462FB" w:rsidP="005A5029">
      <w:pPr>
        <w:pStyle w:val="TDC5"/>
        <w:tabs>
          <w:tab w:val="right" w:leader="dot" w:pos="8828"/>
        </w:tabs>
        <w:spacing w:after="0" w:line="240" w:lineRule="exact"/>
        <w:jc w:val="both"/>
        <w:rPr>
          <w:rFonts w:ascii="Verdana" w:eastAsiaTheme="minorEastAsia" w:hAnsi="Verdana"/>
          <w:noProof/>
          <w:sz w:val="20"/>
          <w:szCs w:val="20"/>
          <w:lang w:eastAsia="es-CR"/>
        </w:rPr>
      </w:pPr>
      <w:hyperlink w:anchor="_Toc85550421" w:history="1">
        <w:r w:rsidR="00FD0466" w:rsidRPr="003B5F71">
          <w:rPr>
            <w:rStyle w:val="Hipervnculo"/>
            <w:rFonts w:ascii="Verdana" w:hAnsi="Verdana"/>
            <w:i/>
            <w:noProof/>
            <w:sz w:val="20"/>
            <w:szCs w:val="20"/>
          </w:rPr>
          <w:t>B.2.2.1 Respecto a la determinación del paradero de personas desaparecidas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_Toc85550421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43</w:t>
        </w:r>
        <w:r w:rsidR="00FD0466" w:rsidRPr="003B5F71">
          <w:rPr>
            <w:rFonts w:ascii="Verdana" w:hAnsi="Verdana"/>
            <w:noProof/>
            <w:webHidden/>
            <w:sz w:val="20"/>
            <w:szCs w:val="20"/>
          </w:rPr>
          <w:fldChar w:fldCharType="end"/>
        </w:r>
      </w:hyperlink>
    </w:p>
    <w:p w14:paraId="52E1EE77" w14:textId="7A38F804" w:rsidR="00FD0466" w:rsidRPr="003B5F71" w:rsidRDefault="005462FB" w:rsidP="005A5029">
      <w:pPr>
        <w:pStyle w:val="TDC5"/>
        <w:tabs>
          <w:tab w:val="right" w:leader="dot" w:pos="8828"/>
        </w:tabs>
        <w:spacing w:after="0" w:line="240" w:lineRule="exact"/>
        <w:jc w:val="both"/>
        <w:rPr>
          <w:rFonts w:ascii="Verdana" w:eastAsiaTheme="minorEastAsia" w:hAnsi="Verdana"/>
          <w:noProof/>
          <w:sz w:val="20"/>
          <w:szCs w:val="20"/>
          <w:lang w:eastAsia="es-CR"/>
        </w:rPr>
      </w:pPr>
      <w:hyperlink w:anchor="_Toc85550422" w:history="1">
        <w:r w:rsidR="00FD0466" w:rsidRPr="003B5F71">
          <w:rPr>
            <w:rStyle w:val="Hipervnculo"/>
            <w:rFonts w:ascii="Verdana" w:hAnsi="Verdana"/>
            <w:i/>
            <w:noProof/>
            <w:sz w:val="20"/>
            <w:szCs w:val="20"/>
          </w:rPr>
          <w:t>B.2.2.2 Respecto a la determinación de responsabilidades penales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_Toc85550422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44</w:t>
        </w:r>
        <w:r w:rsidR="00FD0466" w:rsidRPr="003B5F71">
          <w:rPr>
            <w:rFonts w:ascii="Verdana" w:hAnsi="Verdana"/>
            <w:noProof/>
            <w:webHidden/>
            <w:sz w:val="20"/>
            <w:szCs w:val="20"/>
          </w:rPr>
          <w:fldChar w:fldCharType="end"/>
        </w:r>
      </w:hyperlink>
    </w:p>
    <w:p w14:paraId="40862CB6" w14:textId="7E499242"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423" w:history="1">
        <w:r w:rsidR="00FD0466" w:rsidRPr="003B5F71">
          <w:rPr>
            <w:rStyle w:val="Hipervnculo"/>
            <w:rFonts w:ascii="Verdana" w:hAnsi="Verdana"/>
            <w:i/>
            <w:noProof/>
            <w:sz w:val="20"/>
            <w:szCs w:val="20"/>
          </w:rPr>
          <w:t>B.2.3 Inobservancia de un plazo razonable</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_Toc85550423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49</w:t>
        </w:r>
        <w:r w:rsidR="00FD0466" w:rsidRPr="003B5F71">
          <w:rPr>
            <w:rFonts w:ascii="Verdana" w:hAnsi="Verdana"/>
            <w:noProof/>
            <w:webHidden/>
            <w:sz w:val="20"/>
            <w:szCs w:val="20"/>
          </w:rPr>
          <w:fldChar w:fldCharType="end"/>
        </w:r>
      </w:hyperlink>
    </w:p>
    <w:p w14:paraId="766E2804" w14:textId="40459B63"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24" w:history="1">
        <w:r w:rsidR="00FD0466" w:rsidRPr="003B5F71">
          <w:rPr>
            <w:rStyle w:val="Hipervnculo"/>
            <w:rFonts w:ascii="Verdana" w:hAnsi="Verdana"/>
            <w:i/>
            <w:noProof/>
            <w:sz w:val="20"/>
            <w:szCs w:val="20"/>
          </w:rPr>
          <w:t>B.3 Conclusión</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_Toc85550424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51</w:t>
        </w:r>
        <w:r w:rsidR="00FD0466" w:rsidRPr="003B5F71">
          <w:rPr>
            <w:rFonts w:ascii="Verdana" w:hAnsi="Verdana"/>
            <w:noProof/>
            <w:webHidden/>
            <w:sz w:val="20"/>
            <w:szCs w:val="20"/>
          </w:rPr>
          <w:fldChar w:fldCharType="end"/>
        </w:r>
      </w:hyperlink>
    </w:p>
    <w:p w14:paraId="468CB027"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7B0222DA" w14:textId="0F3B9728"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425" w:history="1">
        <w:r w:rsidR="00FD0466" w:rsidRPr="003B5F71">
          <w:rPr>
            <w:rStyle w:val="Hipervnculo"/>
            <w:rFonts w:ascii="Verdana" w:hAnsi="Verdana"/>
            <w:b/>
            <w:noProof/>
            <w:sz w:val="20"/>
            <w:szCs w:val="20"/>
          </w:rPr>
          <w:t>VII.3</w:t>
        </w:r>
      </w:hyperlink>
      <w:r w:rsidR="00FD0466" w:rsidRPr="003B5F71">
        <w:rPr>
          <w:rFonts w:ascii="Verdana" w:eastAsiaTheme="minorEastAsia" w:hAnsi="Verdana"/>
          <w:noProof/>
          <w:sz w:val="20"/>
          <w:szCs w:val="20"/>
          <w:lang w:eastAsia="es-CR"/>
        </w:rPr>
        <w:t xml:space="preserve"> </w:t>
      </w:r>
      <w:hyperlink w:anchor="_Toc85550426" w:history="1">
        <w:r w:rsidR="00FD0466" w:rsidRPr="003B5F71">
          <w:rPr>
            <w:rStyle w:val="Hipervnculo"/>
            <w:rFonts w:ascii="Verdana" w:hAnsi="Verdana"/>
            <w:b/>
            <w:noProof/>
            <w:sz w:val="20"/>
            <w:szCs w:val="20"/>
          </w:rPr>
          <w:t xml:space="preserve">DERECHO A LA INTEGRIDAD PERSONAL DE FAMILIARES DE PERSONAS VÍCTIMAS DE DESAPARICIÓN FORZADA Y </w:t>
        </w:r>
        <w:r w:rsidR="00F13426" w:rsidRPr="003B5F71">
          <w:rPr>
            <w:rStyle w:val="Hipervnculo"/>
            <w:rFonts w:ascii="Verdana" w:hAnsi="Verdana"/>
            <w:b/>
            <w:noProof/>
            <w:sz w:val="20"/>
            <w:szCs w:val="20"/>
          </w:rPr>
          <w:t xml:space="preserve">DE </w:t>
        </w:r>
        <w:r w:rsidR="00FD0466" w:rsidRPr="003B5F71">
          <w:rPr>
            <w:rStyle w:val="Hipervnculo"/>
            <w:rFonts w:ascii="Verdana" w:hAnsi="Verdana"/>
            <w:b/>
            <w:noProof/>
            <w:sz w:val="20"/>
            <w:szCs w:val="20"/>
          </w:rPr>
          <w:t>EJECUCIÓN EXTRAJUDICIAL</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_Toc85550426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52</w:t>
        </w:r>
        <w:r w:rsidR="00FD0466" w:rsidRPr="003B5F71">
          <w:rPr>
            <w:rFonts w:ascii="Verdana" w:hAnsi="Verdana"/>
            <w:noProof/>
            <w:webHidden/>
            <w:sz w:val="20"/>
            <w:szCs w:val="20"/>
          </w:rPr>
          <w:fldChar w:fldCharType="end"/>
        </w:r>
      </w:hyperlink>
    </w:p>
    <w:p w14:paraId="1BFFF9B6" w14:textId="578D949C"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27" w:history="1">
        <w:r w:rsidR="00FD0466" w:rsidRPr="003B5F71">
          <w:rPr>
            <w:rStyle w:val="Hipervnculo"/>
            <w:rFonts w:ascii="Verdana" w:hAnsi="Verdana"/>
            <w:b/>
            <w:i/>
            <w:noProof/>
            <w:sz w:val="20"/>
            <w:szCs w:val="20"/>
          </w:rPr>
          <w:t>A.</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Argumentos de la Comisión y los representantes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_Toc85550427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52</w:t>
        </w:r>
        <w:r w:rsidR="00FD0466" w:rsidRPr="003B5F71">
          <w:rPr>
            <w:rFonts w:ascii="Verdana" w:hAnsi="Verdana"/>
            <w:noProof/>
            <w:webHidden/>
            <w:sz w:val="20"/>
            <w:szCs w:val="20"/>
          </w:rPr>
          <w:fldChar w:fldCharType="end"/>
        </w:r>
      </w:hyperlink>
    </w:p>
    <w:p w14:paraId="461B7FFA" w14:textId="08DCB30F"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28" w:history="1">
        <w:r w:rsidR="00FD0466" w:rsidRPr="003B5F71">
          <w:rPr>
            <w:rStyle w:val="Hipervnculo"/>
            <w:rFonts w:ascii="Verdana" w:hAnsi="Verdana"/>
            <w:b/>
            <w:i/>
            <w:noProof/>
            <w:sz w:val="20"/>
            <w:szCs w:val="20"/>
          </w:rPr>
          <w:t>B.</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Consideraciones de la Corte</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_Toc85550428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52</w:t>
        </w:r>
        <w:r w:rsidR="00FD0466" w:rsidRPr="003B5F71">
          <w:rPr>
            <w:rFonts w:ascii="Verdana" w:hAnsi="Verdana"/>
            <w:noProof/>
            <w:webHidden/>
            <w:sz w:val="20"/>
            <w:szCs w:val="20"/>
          </w:rPr>
          <w:fldChar w:fldCharType="end"/>
        </w:r>
      </w:hyperlink>
    </w:p>
    <w:p w14:paraId="2DC7B6EE"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280970E4" w14:textId="190855A3"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429" w:history="1">
        <w:r w:rsidR="00FD0466" w:rsidRPr="003B5F71">
          <w:rPr>
            <w:rStyle w:val="Hipervnculo"/>
            <w:rFonts w:ascii="Verdana" w:hAnsi="Verdana"/>
            <w:b/>
            <w:noProof/>
            <w:sz w:val="20"/>
            <w:szCs w:val="20"/>
          </w:rPr>
          <w:t>VIII</w:t>
        </w:r>
      </w:hyperlink>
      <w:r w:rsidR="00FD0466" w:rsidRPr="003B5F71">
        <w:rPr>
          <w:rFonts w:ascii="Verdana" w:eastAsiaTheme="minorEastAsia" w:hAnsi="Verdana"/>
          <w:noProof/>
          <w:sz w:val="20"/>
          <w:szCs w:val="20"/>
          <w:lang w:eastAsia="es-CR"/>
        </w:rPr>
        <w:t xml:space="preserve"> </w:t>
      </w:r>
      <w:hyperlink w:anchor="_Toc85550430" w:history="1">
        <w:r w:rsidR="00FD0466" w:rsidRPr="003B5F71">
          <w:rPr>
            <w:rStyle w:val="Hipervnculo"/>
            <w:rFonts w:ascii="Verdana" w:hAnsi="Verdana"/>
            <w:b/>
            <w:noProof/>
            <w:sz w:val="20"/>
            <w:szCs w:val="20"/>
          </w:rPr>
          <w:t>REPARACIONES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_Toc85550430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54</w:t>
        </w:r>
        <w:r w:rsidR="00FD0466" w:rsidRPr="003B5F71">
          <w:rPr>
            <w:rFonts w:ascii="Verdana" w:hAnsi="Verdana"/>
            <w:noProof/>
            <w:webHidden/>
            <w:sz w:val="20"/>
            <w:szCs w:val="20"/>
          </w:rPr>
          <w:fldChar w:fldCharType="end"/>
        </w:r>
      </w:hyperlink>
    </w:p>
    <w:p w14:paraId="0D3C90DB" w14:textId="33C0F433"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31" w:history="1">
        <w:r w:rsidR="00FD0466" w:rsidRPr="003B5F71">
          <w:rPr>
            <w:rStyle w:val="Hipervnculo"/>
            <w:rFonts w:ascii="Verdana" w:hAnsi="Verdana"/>
            <w:b/>
            <w:i/>
            <w:noProof/>
            <w:sz w:val="20"/>
            <w:szCs w:val="20"/>
            <w:lang w:val="es-ES_tradnl"/>
          </w:rPr>
          <w:t>A.</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lang w:val="es-ES_tradnl"/>
          </w:rPr>
          <w:t>Parte Lesionada</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_Toc85550431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55</w:t>
        </w:r>
        <w:r w:rsidR="00FD0466" w:rsidRPr="003B5F71">
          <w:rPr>
            <w:rFonts w:ascii="Verdana" w:hAnsi="Verdana"/>
            <w:noProof/>
            <w:webHidden/>
            <w:sz w:val="20"/>
            <w:szCs w:val="20"/>
          </w:rPr>
          <w:fldChar w:fldCharType="end"/>
        </w:r>
      </w:hyperlink>
    </w:p>
    <w:p w14:paraId="678DD39C" w14:textId="1B1E6D47"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32" w:history="1">
        <w:r w:rsidR="00FD0466" w:rsidRPr="003B5F71">
          <w:rPr>
            <w:rStyle w:val="Hipervnculo"/>
            <w:rFonts w:ascii="Verdana" w:hAnsi="Verdana"/>
            <w:b/>
            <w:i/>
            <w:noProof/>
            <w:sz w:val="20"/>
            <w:szCs w:val="20"/>
          </w:rPr>
          <w:t>B.</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lang w:val="es-ES"/>
          </w:rPr>
          <w:t>Obligación de investigar los hechos e identificar, juzgar y, en su caso, sancionar a los responsables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_Toc85550432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55</w:t>
        </w:r>
        <w:r w:rsidR="00FD0466" w:rsidRPr="003B5F71">
          <w:rPr>
            <w:rFonts w:ascii="Verdana" w:hAnsi="Verdana"/>
            <w:noProof/>
            <w:webHidden/>
            <w:sz w:val="20"/>
            <w:szCs w:val="20"/>
          </w:rPr>
          <w:fldChar w:fldCharType="end"/>
        </w:r>
      </w:hyperlink>
    </w:p>
    <w:p w14:paraId="46FBEE66" w14:textId="7E51134E" w:rsidR="00FD0466" w:rsidRPr="003B5F71" w:rsidRDefault="005462FB" w:rsidP="005A5029">
      <w:pPr>
        <w:pStyle w:val="TDC3"/>
        <w:tabs>
          <w:tab w:val="left" w:pos="1100"/>
          <w:tab w:val="right" w:leader="dot" w:pos="8828"/>
        </w:tabs>
        <w:spacing w:after="0" w:line="240" w:lineRule="exact"/>
        <w:jc w:val="both"/>
        <w:rPr>
          <w:rFonts w:ascii="Verdana" w:eastAsiaTheme="minorEastAsia" w:hAnsi="Verdana"/>
          <w:noProof/>
          <w:sz w:val="20"/>
          <w:szCs w:val="20"/>
          <w:lang w:eastAsia="es-CR"/>
        </w:rPr>
      </w:pPr>
      <w:hyperlink w:anchor="_Toc85550433" w:history="1">
        <w:r w:rsidR="00FD0466" w:rsidRPr="003B5F71">
          <w:rPr>
            <w:rStyle w:val="Hipervnculo"/>
            <w:rFonts w:ascii="Verdana" w:hAnsi="Verdana"/>
            <w:i/>
            <w:noProof/>
            <w:sz w:val="20"/>
            <w:szCs w:val="20"/>
            <w:lang w:val="es-MX"/>
          </w:rPr>
          <w:t>B.1</w:t>
        </w:r>
        <w:r w:rsidR="00FD0466" w:rsidRPr="003B5F71">
          <w:rPr>
            <w:rFonts w:ascii="Verdana" w:eastAsiaTheme="minorEastAsia" w:hAnsi="Verdana"/>
            <w:noProof/>
            <w:sz w:val="20"/>
            <w:szCs w:val="20"/>
            <w:lang w:eastAsia="es-CR"/>
          </w:rPr>
          <w:tab/>
        </w:r>
        <w:r w:rsidR="00FD0466" w:rsidRPr="003B5F71">
          <w:rPr>
            <w:rStyle w:val="Hipervnculo"/>
            <w:rFonts w:ascii="Verdana" w:hAnsi="Verdana"/>
            <w:i/>
            <w:noProof/>
            <w:sz w:val="20"/>
            <w:szCs w:val="20"/>
            <w:lang w:val="es-MX"/>
          </w:rPr>
          <w:t>Investigación, enjuiciamiento y, en su caso, sanción de los responsables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_Toc85550433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55</w:t>
        </w:r>
        <w:r w:rsidR="00FD0466" w:rsidRPr="003B5F71">
          <w:rPr>
            <w:rFonts w:ascii="Verdana" w:hAnsi="Verdana"/>
            <w:noProof/>
            <w:webHidden/>
            <w:sz w:val="20"/>
            <w:szCs w:val="20"/>
          </w:rPr>
          <w:fldChar w:fldCharType="end"/>
        </w:r>
      </w:hyperlink>
    </w:p>
    <w:p w14:paraId="49F59A04" w14:textId="4FE5FD8A" w:rsidR="00FD0466" w:rsidRPr="003B5F71" w:rsidRDefault="005462FB" w:rsidP="005A5029">
      <w:pPr>
        <w:pStyle w:val="TDC3"/>
        <w:tabs>
          <w:tab w:val="left" w:pos="1100"/>
          <w:tab w:val="right" w:leader="dot" w:pos="8828"/>
        </w:tabs>
        <w:spacing w:after="0" w:line="240" w:lineRule="exact"/>
        <w:jc w:val="both"/>
        <w:rPr>
          <w:rFonts w:ascii="Verdana" w:eastAsiaTheme="minorEastAsia" w:hAnsi="Verdana"/>
          <w:noProof/>
          <w:sz w:val="20"/>
          <w:szCs w:val="20"/>
          <w:lang w:eastAsia="es-CR"/>
        </w:rPr>
      </w:pPr>
      <w:hyperlink w:anchor="_Toc85550434" w:history="1">
        <w:r w:rsidR="00FD0466" w:rsidRPr="003B5F71">
          <w:rPr>
            <w:rStyle w:val="Hipervnculo"/>
            <w:rFonts w:ascii="Verdana" w:hAnsi="Verdana"/>
            <w:i/>
            <w:noProof/>
            <w:sz w:val="20"/>
            <w:szCs w:val="20"/>
            <w:lang w:val="es-ES"/>
          </w:rPr>
          <w:t>B.2</w:t>
        </w:r>
        <w:r w:rsidR="00FD0466" w:rsidRPr="003B5F71">
          <w:rPr>
            <w:rFonts w:ascii="Verdana" w:eastAsiaTheme="minorEastAsia" w:hAnsi="Verdana"/>
            <w:noProof/>
            <w:sz w:val="20"/>
            <w:szCs w:val="20"/>
            <w:lang w:eastAsia="es-CR"/>
          </w:rPr>
          <w:tab/>
        </w:r>
        <w:r w:rsidR="00FD0466" w:rsidRPr="003B5F71">
          <w:rPr>
            <w:rStyle w:val="Hipervnculo"/>
            <w:rFonts w:ascii="Verdana" w:hAnsi="Verdana"/>
            <w:i/>
            <w:noProof/>
            <w:sz w:val="20"/>
            <w:szCs w:val="20"/>
            <w:lang w:val="es-ES"/>
          </w:rPr>
          <w:t xml:space="preserve">Determinación del paradero de </w:t>
        </w:r>
        <w:r w:rsidR="00FD0466" w:rsidRPr="003B5F71">
          <w:rPr>
            <w:rStyle w:val="Hipervnculo"/>
            <w:rFonts w:ascii="Verdana" w:hAnsi="Verdana"/>
            <w:i/>
            <w:noProof/>
            <w:sz w:val="20"/>
            <w:szCs w:val="20"/>
            <w:lang w:val="es-ES_tradnl"/>
          </w:rPr>
          <w:t>Luis Eduardo González González y Oscar Tassino Asteazu</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_Toc85550434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59</w:t>
        </w:r>
        <w:r w:rsidR="00FD0466" w:rsidRPr="003B5F71">
          <w:rPr>
            <w:rFonts w:ascii="Verdana" w:hAnsi="Verdana"/>
            <w:noProof/>
            <w:webHidden/>
            <w:sz w:val="20"/>
            <w:szCs w:val="20"/>
          </w:rPr>
          <w:fldChar w:fldCharType="end"/>
        </w:r>
      </w:hyperlink>
    </w:p>
    <w:p w14:paraId="6E2278EC" w14:textId="3A8A74D8"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35" w:history="1">
        <w:r w:rsidR="00FD0466" w:rsidRPr="003B5F71">
          <w:rPr>
            <w:rStyle w:val="Hipervnculo"/>
            <w:rFonts w:ascii="Verdana" w:hAnsi="Verdana"/>
            <w:b/>
            <w:i/>
            <w:noProof/>
            <w:sz w:val="20"/>
            <w:szCs w:val="20"/>
          </w:rPr>
          <w:t>C.</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Medidas de rehabilitación</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_Toc85550435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61</w:t>
        </w:r>
        <w:r w:rsidR="00FD0466" w:rsidRPr="003B5F71">
          <w:rPr>
            <w:rFonts w:ascii="Verdana" w:hAnsi="Verdana"/>
            <w:noProof/>
            <w:webHidden/>
            <w:sz w:val="20"/>
            <w:szCs w:val="20"/>
          </w:rPr>
          <w:fldChar w:fldCharType="end"/>
        </w:r>
      </w:hyperlink>
    </w:p>
    <w:p w14:paraId="3B85DE09" w14:textId="6C966434"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36" w:history="1">
        <w:r w:rsidR="00FD0466" w:rsidRPr="003B5F71">
          <w:rPr>
            <w:rStyle w:val="Hipervnculo"/>
            <w:rFonts w:ascii="Verdana" w:hAnsi="Verdana"/>
            <w:b/>
            <w:i/>
            <w:noProof/>
            <w:sz w:val="20"/>
            <w:szCs w:val="20"/>
          </w:rPr>
          <w:t>D.</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Medidas de satisfacción</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_Toc85550436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62</w:t>
        </w:r>
        <w:r w:rsidR="00FD0466" w:rsidRPr="003B5F71">
          <w:rPr>
            <w:rFonts w:ascii="Verdana" w:hAnsi="Verdana"/>
            <w:noProof/>
            <w:webHidden/>
            <w:sz w:val="20"/>
            <w:szCs w:val="20"/>
          </w:rPr>
          <w:fldChar w:fldCharType="end"/>
        </w:r>
      </w:hyperlink>
    </w:p>
    <w:p w14:paraId="19A3D31E" w14:textId="6B24CA6F"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37" w:history="1">
        <w:r w:rsidR="00FD0466" w:rsidRPr="003B5F71">
          <w:rPr>
            <w:rStyle w:val="Hipervnculo"/>
            <w:rFonts w:ascii="Verdana" w:hAnsi="Verdana"/>
            <w:i/>
            <w:noProof/>
            <w:sz w:val="20"/>
            <w:szCs w:val="20"/>
          </w:rPr>
          <w:t>D.1. Publicación y difusión de la sentencia</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_Toc85550437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63</w:t>
        </w:r>
        <w:r w:rsidR="00FD0466" w:rsidRPr="003B5F71">
          <w:rPr>
            <w:rFonts w:ascii="Verdana" w:hAnsi="Verdana"/>
            <w:noProof/>
            <w:webHidden/>
            <w:sz w:val="20"/>
            <w:szCs w:val="20"/>
          </w:rPr>
          <w:fldChar w:fldCharType="end"/>
        </w:r>
      </w:hyperlink>
    </w:p>
    <w:p w14:paraId="3CE6E331" w14:textId="558BD3B0"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38" w:history="1">
        <w:r w:rsidR="00FD0466" w:rsidRPr="003B5F71">
          <w:rPr>
            <w:rStyle w:val="Hipervnculo"/>
            <w:rFonts w:ascii="Verdana" w:hAnsi="Verdana"/>
            <w:i/>
            <w:noProof/>
            <w:sz w:val="20"/>
            <w:szCs w:val="20"/>
          </w:rPr>
          <w:t>D.2 Acto público de reconocimiento de responsabilidad</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_Toc85550438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63</w:t>
        </w:r>
        <w:r w:rsidR="00FD0466" w:rsidRPr="003B5F71">
          <w:rPr>
            <w:rFonts w:ascii="Verdana" w:hAnsi="Verdana"/>
            <w:noProof/>
            <w:webHidden/>
            <w:sz w:val="20"/>
            <w:szCs w:val="20"/>
          </w:rPr>
          <w:fldChar w:fldCharType="end"/>
        </w:r>
      </w:hyperlink>
    </w:p>
    <w:p w14:paraId="00A6989C" w14:textId="20B75E34"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39" w:history="1">
        <w:r w:rsidR="00FD0466" w:rsidRPr="003B5F71">
          <w:rPr>
            <w:rStyle w:val="Hipervnculo"/>
            <w:rFonts w:ascii="Verdana" w:hAnsi="Verdana"/>
            <w:b/>
            <w:i/>
            <w:noProof/>
            <w:sz w:val="20"/>
            <w:szCs w:val="20"/>
          </w:rPr>
          <w:t>E.</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rPr>
          <w:t>Garantías de no repetición</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_Toc85550439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64</w:t>
        </w:r>
        <w:r w:rsidR="00FD0466" w:rsidRPr="003B5F71">
          <w:rPr>
            <w:rFonts w:ascii="Verdana" w:hAnsi="Verdana"/>
            <w:noProof/>
            <w:webHidden/>
            <w:sz w:val="20"/>
            <w:szCs w:val="20"/>
          </w:rPr>
          <w:fldChar w:fldCharType="end"/>
        </w:r>
      </w:hyperlink>
    </w:p>
    <w:p w14:paraId="123948EE" w14:textId="32375270"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40" w:history="1">
        <w:r w:rsidR="00FD0466" w:rsidRPr="003B5F71">
          <w:rPr>
            <w:rStyle w:val="Hipervnculo"/>
            <w:rFonts w:ascii="Verdana" w:hAnsi="Verdana"/>
            <w:i/>
            <w:noProof/>
            <w:sz w:val="20"/>
            <w:szCs w:val="20"/>
          </w:rPr>
          <w:t>E.1</w:t>
        </w:r>
        <w:r w:rsidR="00FD0466" w:rsidRPr="003B5F71">
          <w:rPr>
            <w:rStyle w:val="Hipervnculo"/>
            <w:rFonts w:ascii="Verdana" w:hAnsi="Verdana"/>
            <w:noProof/>
            <w:sz w:val="20"/>
            <w:szCs w:val="20"/>
          </w:rPr>
          <w:t xml:space="preserve"> </w:t>
        </w:r>
        <w:r w:rsidR="00FD0466" w:rsidRPr="003B5F71">
          <w:rPr>
            <w:rStyle w:val="Hipervnculo"/>
            <w:rFonts w:ascii="Verdana" w:hAnsi="Verdana"/>
            <w:i/>
            <w:noProof/>
            <w:sz w:val="20"/>
            <w:szCs w:val="20"/>
          </w:rPr>
          <w:t>Acciones tendientes a asegurar la efectiva investigación de graves violaciones a derechos humanos cometidas durante la dictadura</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_Toc85550440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64</w:t>
        </w:r>
        <w:r w:rsidR="00FD0466" w:rsidRPr="003B5F71">
          <w:rPr>
            <w:rFonts w:ascii="Verdana" w:hAnsi="Verdana"/>
            <w:noProof/>
            <w:webHidden/>
            <w:sz w:val="20"/>
            <w:szCs w:val="20"/>
          </w:rPr>
          <w:fldChar w:fldCharType="end"/>
        </w:r>
      </w:hyperlink>
    </w:p>
    <w:p w14:paraId="3AAF850A" w14:textId="4BB12252"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441" w:history="1">
        <w:r w:rsidR="00FD0466" w:rsidRPr="003B5F71">
          <w:rPr>
            <w:rStyle w:val="Hipervnculo"/>
            <w:rFonts w:ascii="Verdana" w:hAnsi="Verdana"/>
            <w:noProof/>
            <w:sz w:val="20"/>
            <w:szCs w:val="20"/>
            <w:lang w:val="es-ES_tradnl"/>
          </w:rPr>
          <w:t>E.1.1 Inaplicabilidad de excluyentes de responsabilidad penal</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_Toc85550441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68</w:t>
        </w:r>
        <w:r w:rsidR="00FD0466" w:rsidRPr="003B5F71">
          <w:rPr>
            <w:rFonts w:ascii="Verdana" w:hAnsi="Verdana"/>
            <w:noProof/>
            <w:webHidden/>
            <w:sz w:val="20"/>
            <w:szCs w:val="20"/>
          </w:rPr>
          <w:fldChar w:fldCharType="end"/>
        </w:r>
      </w:hyperlink>
    </w:p>
    <w:p w14:paraId="7A8FA6E9" w14:textId="4221CA17" w:rsidR="00FD0466" w:rsidRPr="003B5F71" w:rsidRDefault="005462FB" w:rsidP="005A5029">
      <w:pPr>
        <w:pStyle w:val="TDC4"/>
        <w:tabs>
          <w:tab w:val="right" w:leader="dot" w:pos="8828"/>
        </w:tabs>
        <w:spacing w:after="0" w:line="240" w:lineRule="exact"/>
        <w:jc w:val="both"/>
        <w:rPr>
          <w:rFonts w:ascii="Verdana" w:eastAsiaTheme="minorEastAsia" w:hAnsi="Verdana"/>
          <w:noProof/>
          <w:sz w:val="20"/>
          <w:szCs w:val="20"/>
          <w:lang w:eastAsia="es-CR"/>
        </w:rPr>
      </w:pPr>
      <w:hyperlink w:anchor="_Toc85550442" w:history="1">
        <w:r w:rsidR="00FD0466" w:rsidRPr="003B5F71">
          <w:rPr>
            <w:rStyle w:val="Hipervnculo"/>
            <w:rFonts w:ascii="Verdana" w:hAnsi="Verdana"/>
            <w:noProof/>
            <w:sz w:val="20"/>
            <w:szCs w:val="20"/>
          </w:rPr>
          <w:t>E.1.2 Fortalecimiento de la Fiscalía Especializada en Crímenes de Lesa Humanidad</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_Toc85550442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70</w:t>
        </w:r>
        <w:r w:rsidR="00FD0466" w:rsidRPr="003B5F71">
          <w:rPr>
            <w:rFonts w:ascii="Verdana" w:hAnsi="Verdana"/>
            <w:noProof/>
            <w:webHidden/>
            <w:sz w:val="20"/>
            <w:szCs w:val="20"/>
          </w:rPr>
          <w:fldChar w:fldCharType="end"/>
        </w:r>
      </w:hyperlink>
    </w:p>
    <w:p w14:paraId="74032BBB" w14:textId="6ED7D282" w:rsidR="00FD0466" w:rsidRPr="003B5F71" w:rsidRDefault="005462FB" w:rsidP="005A5029">
      <w:pPr>
        <w:pStyle w:val="TDC3"/>
        <w:tabs>
          <w:tab w:val="right" w:leader="dot" w:pos="8828"/>
        </w:tabs>
        <w:spacing w:after="0" w:line="240" w:lineRule="exact"/>
        <w:jc w:val="both"/>
        <w:rPr>
          <w:rFonts w:ascii="Verdana" w:eastAsiaTheme="minorEastAsia" w:hAnsi="Verdana"/>
          <w:noProof/>
          <w:sz w:val="20"/>
          <w:szCs w:val="20"/>
          <w:lang w:eastAsia="es-CR"/>
        </w:rPr>
      </w:pPr>
      <w:hyperlink w:anchor="_Toc85550443" w:history="1">
        <w:r w:rsidR="00FD0466" w:rsidRPr="003B5F71">
          <w:rPr>
            <w:rStyle w:val="Hipervnculo"/>
            <w:rFonts w:ascii="Verdana" w:hAnsi="Verdana"/>
            <w:i/>
            <w:noProof/>
            <w:sz w:val="20"/>
            <w:szCs w:val="20"/>
          </w:rPr>
          <w:t>E.2 Capacitación y sensibilización de funcionarios de Fuerzas Armadas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_Toc85550443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70</w:t>
        </w:r>
        <w:r w:rsidR="00FD0466" w:rsidRPr="003B5F71">
          <w:rPr>
            <w:rFonts w:ascii="Verdana" w:hAnsi="Verdana"/>
            <w:noProof/>
            <w:webHidden/>
            <w:sz w:val="20"/>
            <w:szCs w:val="20"/>
          </w:rPr>
          <w:fldChar w:fldCharType="end"/>
        </w:r>
      </w:hyperlink>
    </w:p>
    <w:p w14:paraId="38B1A523" w14:textId="50E0FEC8"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44" w:history="1">
        <w:r w:rsidR="00FD0466" w:rsidRPr="003B5F71">
          <w:rPr>
            <w:rStyle w:val="Hipervnculo"/>
            <w:rFonts w:ascii="Verdana" w:hAnsi="Verdana"/>
            <w:b/>
            <w:i/>
            <w:noProof/>
            <w:sz w:val="20"/>
            <w:szCs w:val="20"/>
            <w:lang w:val="es-ES_tradnl"/>
          </w:rPr>
          <w:t>F.</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lang w:val="es-ES_tradnl"/>
          </w:rPr>
          <w:t>Otras medidas solicitadas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_Toc85550444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71</w:t>
        </w:r>
        <w:r w:rsidR="00FD0466" w:rsidRPr="003B5F71">
          <w:rPr>
            <w:rFonts w:ascii="Verdana" w:hAnsi="Verdana"/>
            <w:noProof/>
            <w:webHidden/>
            <w:sz w:val="20"/>
            <w:szCs w:val="20"/>
          </w:rPr>
          <w:fldChar w:fldCharType="end"/>
        </w:r>
      </w:hyperlink>
    </w:p>
    <w:p w14:paraId="12190177" w14:textId="71F0BE5A" w:rsidR="00FD0466" w:rsidRPr="003B5F71" w:rsidRDefault="005462FB" w:rsidP="005A5029">
      <w:pPr>
        <w:pStyle w:val="TDC2"/>
        <w:tabs>
          <w:tab w:val="left" w:pos="880"/>
          <w:tab w:val="right" w:leader="dot" w:pos="8828"/>
        </w:tabs>
        <w:spacing w:after="0" w:line="240" w:lineRule="exact"/>
        <w:jc w:val="both"/>
        <w:rPr>
          <w:rFonts w:ascii="Verdana" w:eastAsiaTheme="minorEastAsia" w:hAnsi="Verdana"/>
          <w:noProof/>
          <w:sz w:val="20"/>
          <w:szCs w:val="20"/>
          <w:lang w:eastAsia="es-CR"/>
        </w:rPr>
      </w:pPr>
      <w:hyperlink w:anchor="_Toc85550445" w:history="1">
        <w:r w:rsidR="00FD0466" w:rsidRPr="003B5F71">
          <w:rPr>
            <w:rStyle w:val="Hipervnculo"/>
            <w:rFonts w:ascii="Verdana" w:hAnsi="Verdana"/>
            <w:b/>
            <w:i/>
            <w:noProof/>
            <w:sz w:val="20"/>
            <w:szCs w:val="20"/>
            <w:lang w:val="es-ES_tradnl"/>
          </w:rPr>
          <w:t>G.</w:t>
        </w:r>
        <w:r w:rsidR="00FD0466" w:rsidRPr="003B5F71">
          <w:rPr>
            <w:rFonts w:ascii="Verdana" w:eastAsiaTheme="minorEastAsia" w:hAnsi="Verdana"/>
            <w:noProof/>
            <w:sz w:val="20"/>
            <w:szCs w:val="20"/>
            <w:lang w:eastAsia="es-CR"/>
          </w:rPr>
          <w:tab/>
        </w:r>
        <w:r w:rsidR="00FD0466" w:rsidRPr="003B5F71">
          <w:rPr>
            <w:rStyle w:val="Hipervnculo"/>
            <w:rFonts w:ascii="Verdana" w:hAnsi="Verdana"/>
            <w:b/>
            <w:i/>
            <w:noProof/>
            <w:sz w:val="20"/>
            <w:szCs w:val="20"/>
            <w:lang w:val="es-ES_tradnl"/>
          </w:rPr>
          <w:t>Indemnizaciones compensatorias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_Toc85550445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74</w:t>
        </w:r>
        <w:r w:rsidR="00FD0466" w:rsidRPr="003B5F71">
          <w:rPr>
            <w:rFonts w:ascii="Verdana" w:hAnsi="Verdana"/>
            <w:noProof/>
            <w:webHidden/>
            <w:sz w:val="20"/>
            <w:szCs w:val="20"/>
          </w:rPr>
          <w:fldChar w:fldCharType="end"/>
        </w:r>
      </w:hyperlink>
    </w:p>
    <w:p w14:paraId="523FD759" w14:textId="77777777" w:rsidR="003B5F71" w:rsidRDefault="003B5F71" w:rsidP="005A5029">
      <w:pPr>
        <w:pStyle w:val="TDC1"/>
        <w:tabs>
          <w:tab w:val="right" w:leader="dot" w:pos="8828"/>
        </w:tabs>
        <w:spacing w:after="0" w:line="240" w:lineRule="exact"/>
        <w:jc w:val="both"/>
        <w:rPr>
          <w:rFonts w:ascii="Verdana" w:hAnsi="Verdana"/>
          <w:noProof/>
          <w:sz w:val="20"/>
          <w:szCs w:val="20"/>
        </w:rPr>
      </w:pPr>
    </w:p>
    <w:p w14:paraId="6459EC39" w14:textId="531A8A69" w:rsidR="00FD0466" w:rsidRPr="003B5F71" w:rsidRDefault="005462FB" w:rsidP="005A5029">
      <w:pPr>
        <w:pStyle w:val="TDC1"/>
        <w:tabs>
          <w:tab w:val="right" w:leader="dot" w:pos="8828"/>
        </w:tabs>
        <w:spacing w:after="0" w:line="240" w:lineRule="exact"/>
        <w:jc w:val="both"/>
        <w:rPr>
          <w:rFonts w:ascii="Verdana" w:eastAsiaTheme="minorEastAsia" w:hAnsi="Verdana"/>
          <w:noProof/>
          <w:sz w:val="20"/>
          <w:szCs w:val="20"/>
          <w:lang w:eastAsia="es-CR"/>
        </w:rPr>
      </w:pPr>
      <w:hyperlink w:anchor="_Toc85550446" w:history="1">
        <w:r w:rsidR="00FD0466" w:rsidRPr="003B5F71">
          <w:rPr>
            <w:rStyle w:val="Hipervnculo"/>
            <w:rFonts w:ascii="Verdana" w:eastAsia="Calibri" w:hAnsi="Verdana" w:cs="Calibri"/>
            <w:b/>
            <w:noProof/>
            <w:sz w:val="20"/>
            <w:szCs w:val="20"/>
            <w:lang w:val="es-CO"/>
          </w:rPr>
          <w:t>IX PUNTOS RESOLUTIVOS</w:t>
        </w:r>
        <w:r w:rsidR="00FD0466" w:rsidRPr="003B5F71">
          <w:rPr>
            <w:rFonts w:ascii="Verdana" w:hAnsi="Verdana"/>
            <w:noProof/>
            <w:webHidden/>
            <w:sz w:val="20"/>
            <w:szCs w:val="20"/>
          </w:rPr>
          <w:tab/>
        </w:r>
        <w:r w:rsidR="00FD0466" w:rsidRPr="003B5F71">
          <w:rPr>
            <w:rFonts w:ascii="Verdana" w:hAnsi="Verdana"/>
            <w:noProof/>
            <w:webHidden/>
            <w:sz w:val="20"/>
            <w:szCs w:val="20"/>
          </w:rPr>
          <w:fldChar w:fldCharType="begin"/>
        </w:r>
        <w:r w:rsidR="00FD0466" w:rsidRPr="003B5F71">
          <w:rPr>
            <w:rFonts w:ascii="Verdana" w:hAnsi="Verdana"/>
            <w:noProof/>
            <w:webHidden/>
            <w:sz w:val="20"/>
            <w:szCs w:val="20"/>
          </w:rPr>
          <w:instrText xml:space="preserve"> PAGEREF _Toc85550446 \h </w:instrText>
        </w:r>
        <w:r w:rsidR="00FD0466" w:rsidRPr="003B5F71">
          <w:rPr>
            <w:rFonts w:ascii="Verdana" w:hAnsi="Verdana"/>
            <w:noProof/>
            <w:webHidden/>
            <w:sz w:val="20"/>
            <w:szCs w:val="20"/>
          </w:rPr>
        </w:r>
        <w:r w:rsidR="00FD0466" w:rsidRPr="003B5F71">
          <w:rPr>
            <w:rFonts w:ascii="Verdana" w:hAnsi="Verdana"/>
            <w:noProof/>
            <w:webHidden/>
            <w:sz w:val="20"/>
            <w:szCs w:val="20"/>
          </w:rPr>
          <w:fldChar w:fldCharType="separate"/>
        </w:r>
        <w:r w:rsidR="00E54DBB">
          <w:rPr>
            <w:rFonts w:ascii="Verdana" w:hAnsi="Verdana"/>
            <w:noProof/>
            <w:webHidden/>
            <w:sz w:val="20"/>
            <w:szCs w:val="20"/>
          </w:rPr>
          <w:t>79</w:t>
        </w:r>
        <w:r w:rsidR="00FD0466" w:rsidRPr="003B5F71">
          <w:rPr>
            <w:rFonts w:ascii="Verdana" w:hAnsi="Verdana"/>
            <w:noProof/>
            <w:webHidden/>
            <w:sz w:val="20"/>
            <w:szCs w:val="20"/>
          </w:rPr>
          <w:fldChar w:fldCharType="end"/>
        </w:r>
      </w:hyperlink>
    </w:p>
    <w:p w14:paraId="68C8372C" w14:textId="77777777" w:rsidR="00FD0466" w:rsidRDefault="00FD0466" w:rsidP="005A5029">
      <w:pPr>
        <w:spacing w:after="0" w:line="240" w:lineRule="exact"/>
        <w:jc w:val="both"/>
        <w:rPr>
          <w:rFonts w:ascii="Verdana" w:eastAsia="Calibri" w:hAnsi="Verdana" w:cs="Times New Roman"/>
          <w:strike/>
          <w:sz w:val="20"/>
          <w:szCs w:val="20"/>
          <w:lang w:val="es-ES_tradnl"/>
        </w:rPr>
      </w:pPr>
      <w:r w:rsidRPr="003B5F71">
        <w:rPr>
          <w:rFonts w:ascii="Verdana" w:eastAsia="Calibri" w:hAnsi="Verdana" w:cs="Times New Roman"/>
          <w:strike/>
          <w:sz w:val="20"/>
          <w:szCs w:val="20"/>
          <w:lang w:val="es-ES_tradnl"/>
        </w:rPr>
        <w:fldChar w:fldCharType="end"/>
      </w:r>
    </w:p>
    <w:p w14:paraId="63F98579" w14:textId="77777777" w:rsidR="00FD0466" w:rsidRPr="0039097A" w:rsidRDefault="00FD0466" w:rsidP="005A5029">
      <w:pPr>
        <w:spacing w:after="0" w:line="240" w:lineRule="exact"/>
        <w:rPr>
          <w:rFonts w:ascii="Verdana" w:eastAsia="Calibri" w:hAnsi="Verdana" w:cs="Times New Roman"/>
          <w:strike/>
          <w:sz w:val="20"/>
          <w:szCs w:val="20"/>
          <w:lang w:val="es-ES_tradnl"/>
        </w:rPr>
      </w:pPr>
    </w:p>
    <w:p w14:paraId="02EDDB93" w14:textId="5130473F" w:rsidR="00FD0466" w:rsidRPr="005A5029" w:rsidRDefault="00FD0466" w:rsidP="005A5029">
      <w:pPr>
        <w:spacing w:line="240" w:lineRule="exact"/>
        <w:rPr>
          <w:rFonts w:ascii="Verdana" w:eastAsia="Calibri" w:hAnsi="Verdana" w:cs="Times New Roman"/>
          <w:strike/>
          <w:sz w:val="20"/>
          <w:szCs w:val="20"/>
          <w:lang w:val="es-ES_tradnl"/>
        </w:rPr>
      </w:pPr>
      <w:r>
        <w:rPr>
          <w:rFonts w:ascii="Verdana" w:eastAsia="Calibri" w:hAnsi="Verdana" w:cs="Times New Roman"/>
          <w:strike/>
          <w:sz w:val="20"/>
          <w:szCs w:val="20"/>
          <w:lang w:val="es-ES_tradnl"/>
        </w:rPr>
        <w:br w:type="page"/>
      </w:r>
    </w:p>
    <w:p w14:paraId="7A0D4694" w14:textId="77777777" w:rsidR="00FD0466" w:rsidRPr="0039097A" w:rsidRDefault="00FD0466" w:rsidP="005A5029">
      <w:pPr>
        <w:pStyle w:val="Ttulo1"/>
        <w:spacing w:before="0" w:line="240" w:lineRule="exact"/>
        <w:jc w:val="center"/>
        <w:rPr>
          <w:rFonts w:ascii="Verdana" w:hAnsi="Verdana"/>
          <w:b/>
          <w:color w:val="auto"/>
          <w:sz w:val="20"/>
        </w:rPr>
      </w:pPr>
      <w:bookmarkStart w:id="0" w:name="_Toc85550374"/>
      <w:r w:rsidRPr="0039097A">
        <w:rPr>
          <w:rFonts w:ascii="Verdana" w:hAnsi="Verdana"/>
          <w:b/>
          <w:color w:val="auto"/>
          <w:sz w:val="20"/>
        </w:rPr>
        <w:lastRenderedPageBreak/>
        <w:t>I</w:t>
      </w:r>
      <w:bookmarkEnd w:id="0"/>
    </w:p>
    <w:p w14:paraId="6A59941A" w14:textId="77777777" w:rsidR="00FD0466" w:rsidRPr="0039097A" w:rsidRDefault="00FD0466" w:rsidP="005A5029">
      <w:pPr>
        <w:pStyle w:val="Ttulo1"/>
        <w:spacing w:before="0" w:line="240" w:lineRule="exact"/>
        <w:jc w:val="center"/>
        <w:rPr>
          <w:rFonts w:ascii="Verdana" w:hAnsi="Verdana"/>
          <w:b/>
          <w:color w:val="auto"/>
          <w:sz w:val="20"/>
        </w:rPr>
      </w:pPr>
      <w:bookmarkStart w:id="1" w:name="_Toc85550375"/>
      <w:r w:rsidRPr="0039097A">
        <w:rPr>
          <w:rFonts w:ascii="Verdana" w:hAnsi="Verdana"/>
          <w:b/>
          <w:color w:val="auto"/>
          <w:sz w:val="20"/>
        </w:rPr>
        <w:t>INTRODUCCIÓN DE LA CAUSA Y OBJETO DE LA CONTROVERSIA</w:t>
      </w:r>
      <w:bookmarkEnd w:id="1"/>
    </w:p>
    <w:p w14:paraId="09938F6D" w14:textId="77777777" w:rsidR="00FD0466" w:rsidRPr="0039097A" w:rsidRDefault="00FD0466" w:rsidP="005A5029">
      <w:pPr>
        <w:spacing w:after="0" w:line="240" w:lineRule="exact"/>
      </w:pPr>
    </w:p>
    <w:p w14:paraId="7CF2043D" w14:textId="79B5A077" w:rsidR="00FD0466" w:rsidRPr="0039097A" w:rsidRDefault="00FD0466" w:rsidP="005A5029">
      <w:pPr>
        <w:pStyle w:val="Prrafodelista"/>
        <w:numPr>
          <w:ilvl w:val="0"/>
          <w:numId w:val="2"/>
        </w:numPr>
        <w:spacing w:after="0" w:line="240" w:lineRule="exact"/>
        <w:ind w:left="0" w:firstLine="0"/>
        <w:jc w:val="both"/>
        <w:rPr>
          <w:rFonts w:ascii="Verdana" w:hAnsi="Verdana"/>
          <w:sz w:val="20"/>
        </w:rPr>
      </w:pPr>
      <w:r w:rsidRPr="0039097A">
        <w:rPr>
          <w:rFonts w:ascii="Verdana" w:hAnsi="Verdana"/>
          <w:i/>
          <w:sz w:val="20"/>
        </w:rPr>
        <w:t>El caso sometido a la Corte.</w:t>
      </w:r>
      <w:r w:rsidRPr="0039097A">
        <w:rPr>
          <w:rFonts w:ascii="Verdana" w:hAnsi="Verdana"/>
          <w:sz w:val="20"/>
        </w:rPr>
        <w:t xml:space="preserve"> – El 24 de mayo de 20</w:t>
      </w:r>
      <w:r w:rsidR="001702BB">
        <w:rPr>
          <w:rFonts w:ascii="Verdana" w:hAnsi="Verdana"/>
          <w:sz w:val="20"/>
        </w:rPr>
        <w:t>20</w:t>
      </w:r>
      <w:r w:rsidRPr="0039097A">
        <w:rPr>
          <w:rFonts w:ascii="Verdana" w:hAnsi="Verdana"/>
          <w:sz w:val="20"/>
        </w:rPr>
        <w:t xml:space="preserve"> la Comisión Interamericana de Derechos Humanos (en adelante también “la Comisión Interamericana” o “la Comisión”) sometió a la jurisdicción de la Corte el caso “Diana </w:t>
      </w:r>
      <w:proofErr w:type="spellStart"/>
      <w:r w:rsidRPr="0039097A">
        <w:rPr>
          <w:rFonts w:ascii="Verdana" w:hAnsi="Verdana"/>
          <w:sz w:val="20"/>
        </w:rPr>
        <w:t>Maidanik</w:t>
      </w:r>
      <w:proofErr w:type="spellEnd"/>
      <w:r w:rsidRPr="0039097A">
        <w:rPr>
          <w:rFonts w:ascii="Verdana" w:hAnsi="Verdana"/>
          <w:sz w:val="20"/>
        </w:rPr>
        <w:t xml:space="preserve"> y otros” contra la República Oriental del Uruguay (en adelante también “el Estado” o “Uruguay”). De acuerdo con lo indicado por la Comisión, el caso se relaciona con la alegada falta de investigación y sanción de la ejecución extrajudicial, ocurrida el 21 de abril de 1974, de Diana </w:t>
      </w:r>
      <w:proofErr w:type="spellStart"/>
      <w:r w:rsidRPr="0039097A">
        <w:rPr>
          <w:rFonts w:ascii="Verdana" w:hAnsi="Verdana"/>
          <w:sz w:val="20"/>
        </w:rPr>
        <w:t>Maidanik</w:t>
      </w:r>
      <w:proofErr w:type="spellEnd"/>
      <w:r w:rsidRPr="0039097A">
        <w:rPr>
          <w:rFonts w:ascii="Verdana" w:hAnsi="Verdana"/>
          <w:sz w:val="20"/>
        </w:rPr>
        <w:t>, Silvia Reyes y Laura Raggio, que fue conocida popularmente como “el caso de las muchachas de abril”. Conforme indicó la Comisión, las tres mujeres fueron asesinadas estando en la casa de Laura Raggio, en Montevideo</w:t>
      </w:r>
      <w:r w:rsidR="00DB4876">
        <w:rPr>
          <w:rFonts w:ascii="Verdana" w:hAnsi="Verdana"/>
          <w:sz w:val="20"/>
        </w:rPr>
        <w:t>,</w:t>
      </w:r>
      <w:r w:rsidRPr="0039097A">
        <w:rPr>
          <w:rFonts w:ascii="Verdana" w:hAnsi="Verdana"/>
          <w:sz w:val="20"/>
        </w:rPr>
        <w:t xml:space="preserve"> en un operativo llevado a cabo por miembros de las Fuerzas Armadas y de la policía. Asimismo, el caso se relaciona con las alegadas desapariciones forzadas de Luis Eduardo González</w:t>
      </w:r>
      <w:r w:rsidR="00DB4876">
        <w:rPr>
          <w:rFonts w:ascii="Verdana" w:hAnsi="Verdana"/>
          <w:sz w:val="20"/>
        </w:rPr>
        <w:t xml:space="preserve"> </w:t>
      </w:r>
      <w:proofErr w:type="spellStart"/>
      <w:r w:rsidR="00DB4876">
        <w:rPr>
          <w:rFonts w:ascii="Verdana" w:hAnsi="Verdana"/>
          <w:sz w:val="20"/>
        </w:rPr>
        <w:t>González</w:t>
      </w:r>
      <w:proofErr w:type="spellEnd"/>
      <w:r w:rsidRPr="0039097A">
        <w:rPr>
          <w:rFonts w:ascii="Verdana" w:hAnsi="Verdana"/>
          <w:sz w:val="20"/>
        </w:rPr>
        <w:t xml:space="preserve"> y Óscar </w:t>
      </w:r>
      <w:proofErr w:type="spellStart"/>
      <w:r w:rsidRPr="0039097A">
        <w:rPr>
          <w:rFonts w:ascii="Verdana" w:hAnsi="Verdana"/>
          <w:sz w:val="20"/>
        </w:rPr>
        <w:t>Tassino</w:t>
      </w:r>
      <w:proofErr w:type="spellEnd"/>
      <w:r w:rsidRPr="0039097A">
        <w:rPr>
          <w:rFonts w:ascii="Verdana" w:hAnsi="Verdana"/>
          <w:sz w:val="20"/>
        </w:rPr>
        <w:t xml:space="preserve"> </w:t>
      </w:r>
      <w:proofErr w:type="spellStart"/>
      <w:r w:rsidRPr="0039097A">
        <w:rPr>
          <w:rFonts w:ascii="Verdana" w:hAnsi="Verdana"/>
          <w:sz w:val="20"/>
        </w:rPr>
        <w:t>Asteazu</w:t>
      </w:r>
      <w:proofErr w:type="spellEnd"/>
      <w:r w:rsidRPr="0039097A">
        <w:rPr>
          <w:rFonts w:ascii="Verdana" w:hAnsi="Verdana"/>
          <w:sz w:val="20"/>
        </w:rPr>
        <w:t>, a partir del 13 de diciembre de 1974 y del 19 de julio de 1977, respectivamente. La Comisión determinó que la falta de investigación y sanción de dichas desapariciones, así como de las tres ejecuciones extrajudiciales antes indicadas continúan hasta el presente. Por todo lo expuesto, concluyó que se perpetraron violaciones a los derechos a la personalidad jurídica, a la vida, a la integridad personal, a la libertad personal, a las garantías judiciales y a la protección judicial. Asimismo, la Comisión entendió que el Estado es responsable por la violación del artículo I incisos a)</w:t>
      </w:r>
      <w:r w:rsidR="00865520">
        <w:rPr>
          <w:rFonts w:ascii="Verdana" w:hAnsi="Verdana"/>
          <w:sz w:val="20"/>
        </w:rPr>
        <w:t>,</w:t>
      </w:r>
      <w:r w:rsidRPr="0039097A">
        <w:rPr>
          <w:rFonts w:ascii="Verdana" w:hAnsi="Verdana"/>
          <w:sz w:val="20"/>
        </w:rPr>
        <w:t xml:space="preserve"> b) y c) de la Convención Interamericana sobre Desaparición Forzada de Personas</w:t>
      </w:r>
      <w:r w:rsidR="00DB4876">
        <w:rPr>
          <w:rFonts w:ascii="Verdana" w:hAnsi="Verdana"/>
          <w:sz w:val="20"/>
        </w:rPr>
        <w:t xml:space="preserve"> (en adelante también “CIDFP”)</w:t>
      </w:r>
      <w:r w:rsidRPr="0039097A">
        <w:rPr>
          <w:rFonts w:ascii="Verdana" w:hAnsi="Verdana"/>
          <w:sz w:val="20"/>
        </w:rPr>
        <w:t xml:space="preserve">. </w:t>
      </w:r>
    </w:p>
    <w:p w14:paraId="6B99887A" w14:textId="77777777" w:rsidR="00FD0466" w:rsidRPr="0039097A" w:rsidRDefault="00FD0466" w:rsidP="005A5029">
      <w:pPr>
        <w:pStyle w:val="Prrafodelista"/>
        <w:spacing w:after="0" w:line="240" w:lineRule="exact"/>
        <w:ind w:left="0"/>
        <w:jc w:val="both"/>
        <w:rPr>
          <w:rFonts w:ascii="Verdana" w:hAnsi="Verdana"/>
          <w:sz w:val="20"/>
        </w:rPr>
      </w:pPr>
    </w:p>
    <w:p w14:paraId="7C1594F2" w14:textId="77777777" w:rsidR="00FD0466" w:rsidRPr="0039097A" w:rsidRDefault="00FD0466" w:rsidP="005A5029">
      <w:pPr>
        <w:pStyle w:val="Prrafodelista"/>
        <w:numPr>
          <w:ilvl w:val="0"/>
          <w:numId w:val="2"/>
        </w:numPr>
        <w:spacing w:after="0" w:line="240" w:lineRule="exact"/>
        <w:ind w:left="0" w:firstLine="0"/>
        <w:jc w:val="both"/>
        <w:rPr>
          <w:rFonts w:ascii="Verdana" w:hAnsi="Verdana"/>
          <w:sz w:val="20"/>
        </w:rPr>
      </w:pPr>
      <w:r w:rsidRPr="0039097A">
        <w:rPr>
          <w:rFonts w:ascii="Verdana" w:hAnsi="Verdana"/>
          <w:i/>
          <w:sz w:val="20"/>
        </w:rPr>
        <w:t>Trámite ante la Comisión</w:t>
      </w:r>
      <w:r w:rsidRPr="0039097A">
        <w:rPr>
          <w:rFonts w:ascii="Verdana" w:hAnsi="Verdana"/>
          <w:sz w:val="20"/>
        </w:rPr>
        <w:t xml:space="preserve">. – El trámite ante la Comisión fue el siguiente:  </w:t>
      </w:r>
    </w:p>
    <w:p w14:paraId="63000604" w14:textId="77777777" w:rsidR="00FD0466" w:rsidRPr="0039097A" w:rsidRDefault="00FD0466" w:rsidP="005A5029">
      <w:pPr>
        <w:pStyle w:val="Prrafodelista"/>
        <w:spacing w:after="0" w:line="240" w:lineRule="exact"/>
        <w:rPr>
          <w:rFonts w:ascii="Verdana" w:hAnsi="Verdana"/>
          <w:sz w:val="20"/>
        </w:rPr>
      </w:pPr>
    </w:p>
    <w:p w14:paraId="04E7ACDB" w14:textId="77777777" w:rsidR="00FB3610" w:rsidRDefault="00FD0466" w:rsidP="005A5029">
      <w:pPr>
        <w:pStyle w:val="Prrafodelista"/>
        <w:numPr>
          <w:ilvl w:val="0"/>
          <w:numId w:val="3"/>
        </w:numPr>
        <w:spacing w:after="0" w:line="240" w:lineRule="exact"/>
        <w:jc w:val="both"/>
        <w:rPr>
          <w:rFonts w:ascii="Verdana" w:hAnsi="Verdana"/>
          <w:sz w:val="20"/>
        </w:rPr>
      </w:pPr>
      <w:r w:rsidRPr="0039097A">
        <w:rPr>
          <w:rFonts w:ascii="Verdana" w:hAnsi="Verdana"/>
          <w:i/>
          <w:sz w:val="20"/>
        </w:rPr>
        <w:t>Petición</w:t>
      </w:r>
      <w:r w:rsidRPr="0039097A">
        <w:rPr>
          <w:rFonts w:ascii="Verdana" w:hAnsi="Verdana"/>
          <w:sz w:val="20"/>
        </w:rPr>
        <w:t>. –  El 15 de agosto de 2007 el Instituto de Estudios Legales y Sociales del Uruguay (IELSUR) presentó la petición inicial.</w:t>
      </w:r>
    </w:p>
    <w:p w14:paraId="12F3BC45" w14:textId="47D9F223" w:rsidR="00FD0466" w:rsidRPr="0039097A" w:rsidRDefault="00FD0466" w:rsidP="005A5029">
      <w:pPr>
        <w:pStyle w:val="Prrafodelista"/>
        <w:spacing w:after="0" w:line="240" w:lineRule="exact"/>
        <w:jc w:val="both"/>
        <w:rPr>
          <w:rFonts w:ascii="Verdana" w:hAnsi="Verdana"/>
          <w:sz w:val="20"/>
        </w:rPr>
      </w:pPr>
    </w:p>
    <w:p w14:paraId="2B8A5D5D" w14:textId="46DF0A41" w:rsidR="00FD0466" w:rsidRDefault="00FD0466" w:rsidP="005A5029">
      <w:pPr>
        <w:pStyle w:val="Prrafodelista"/>
        <w:numPr>
          <w:ilvl w:val="0"/>
          <w:numId w:val="3"/>
        </w:numPr>
        <w:spacing w:after="0" w:line="240" w:lineRule="exact"/>
        <w:jc w:val="both"/>
        <w:rPr>
          <w:rFonts w:ascii="Verdana" w:hAnsi="Verdana"/>
          <w:sz w:val="20"/>
        </w:rPr>
      </w:pPr>
      <w:r w:rsidRPr="0039097A">
        <w:rPr>
          <w:rFonts w:ascii="Verdana" w:hAnsi="Verdana"/>
          <w:i/>
          <w:sz w:val="20"/>
        </w:rPr>
        <w:t>Informe de Admisibilidad</w:t>
      </w:r>
      <w:r w:rsidRPr="0039097A">
        <w:rPr>
          <w:rFonts w:ascii="Verdana" w:hAnsi="Verdana"/>
          <w:sz w:val="20"/>
        </w:rPr>
        <w:t>. – El 8 de noviembre de 2012 la Comisión aprobó el Informe de Admisibilidad No. 90/12, en el que admitió la petición.</w:t>
      </w:r>
    </w:p>
    <w:p w14:paraId="45556E1A" w14:textId="796DB415" w:rsidR="00FB3610" w:rsidRPr="00CA1127" w:rsidRDefault="00FB3610" w:rsidP="005A5029">
      <w:pPr>
        <w:spacing w:after="0" w:line="240" w:lineRule="exact"/>
        <w:jc w:val="both"/>
        <w:rPr>
          <w:rFonts w:ascii="Verdana" w:hAnsi="Verdana"/>
          <w:sz w:val="20"/>
        </w:rPr>
      </w:pPr>
    </w:p>
    <w:p w14:paraId="75DF2A16" w14:textId="11490A8A" w:rsidR="00FB3610" w:rsidRDefault="00FD0466" w:rsidP="005A5029">
      <w:pPr>
        <w:pStyle w:val="Prrafodelista"/>
        <w:numPr>
          <w:ilvl w:val="0"/>
          <w:numId w:val="3"/>
        </w:numPr>
        <w:spacing w:after="0" w:line="240" w:lineRule="exact"/>
        <w:jc w:val="both"/>
        <w:rPr>
          <w:rFonts w:ascii="Verdana" w:hAnsi="Verdana"/>
          <w:sz w:val="20"/>
        </w:rPr>
      </w:pPr>
      <w:r w:rsidRPr="0039097A">
        <w:rPr>
          <w:rFonts w:ascii="Verdana" w:hAnsi="Verdana"/>
          <w:i/>
          <w:sz w:val="20"/>
        </w:rPr>
        <w:t>Informe de Fondo</w:t>
      </w:r>
      <w:r w:rsidRPr="0039097A">
        <w:rPr>
          <w:rFonts w:ascii="Verdana" w:hAnsi="Verdana"/>
          <w:sz w:val="20"/>
        </w:rPr>
        <w:t xml:space="preserve">. – El 9 de noviembre de 2019 la Comisión aprobó el Informe de Fondo </w:t>
      </w:r>
      <w:r w:rsidR="00C64315">
        <w:rPr>
          <w:rFonts w:ascii="Verdana" w:hAnsi="Verdana"/>
          <w:sz w:val="20"/>
        </w:rPr>
        <w:t xml:space="preserve">No. 169/19 (en adelante </w:t>
      </w:r>
      <w:r w:rsidRPr="0039097A">
        <w:rPr>
          <w:rFonts w:ascii="Verdana" w:hAnsi="Verdana"/>
          <w:sz w:val="20"/>
        </w:rPr>
        <w:t>“Informe de Fondo”), en el cual llegó a una serie de conclusiones</w:t>
      </w:r>
      <w:r w:rsidRPr="0039097A">
        <w:rPr>
          <w:rStyle w:val="Refdenotaalpie"/>
          <w:rFonts w:ascii="Verdana" w:hAnsi="Verdana"/>
          <w:sz w:val="20"/>
        </w:rPr>
        <w:footnoteReference w:id="2"/>
      </w:r>
      <w:r w:rsidRPr="0039097A">
        <w:rPr>
          <w:rFonts w:ascii="Verdana" w:hAnsi="Verdana"/>
          <w:sz w:val="20"/>
        </w:rPr>
        <w:t xml:space="preserve"> y formuló varias recomendaciones al Estado.</w:t>
      </w:r>
    </w:p>
    <w:p w14:paraId="7304338F" w14:textId="0F2AFAC4" w:rsidR="00FB3610" w:rsidRPr="0039097A" w:rsidRDefault="00FD0466" w:rsidP="005A5029">
      <w:pPr>
        <w:spacing w:after="0" w:line="240" w:lineRule="exact"/>
      </w:pPr>
      <w:r w:rsidRPr="00CA1127">
        <w:rPr>
          <w:rFonts w:ascii="Verdana" w:hAnsi="Verdana"/>
          <w:sz w:val="20"/>
        </w:rPr>
        <w:t xml:space="preserve">  </w:t>
      </w:r>
    </w:p>
    <w:p w14:paraId="482F06C4" w14:textId="60D35FBC" w:rsidR="00FD0466" w:rsidRPr="0039097A" w:rsidRDefault="00FD0466" w:rsidP="005A5029">
      <w:pPr>
        <w:pStyle w:val="Prrafodelista"/>
        <w:numPr>
          <w:ilvl w:val="0"/>
          <w:numId w:val="3"/>
        </w:numPr>
        <w:spacing w:after="0" w:line="240" w:lineRule="exact"/>
        <w:jc w:val="both"/>
        <w:rPr>
          <w:rFonts w:ascii="Verdana" w:hAnsi="Verdana"/>
          <w:sz w:val="20"/>
        </w:rPr>
      </w:pPr>
      <w:r w:rsidRPr="0039097A">
        <w:rPr>
          <w:rFonts w:ascii="Verdana" w:hAnsi="Verdana"/>
          <w:i/>
          <w:sz w:val="20"/>
        </w:rPr>
        <w:t>Notificación al Estado</w:t>
      </w:r>
      <w:r w:rsidRPr="0039097A">
        <w:rPr>
          <w:rFonts w:ascii="Verdana" w:hAnsi="Verdana"/>
          <w:sz w:val="20"/>
        </w:rPr>
        <w:t xml:space="preserve">. – El Informe de Fondo fue notificado al Estado mediante una comunicación de 24 de febrero 2020. La Comisión otorgó a Uruguay el plazo de dos meses para que informara sobre el cumplimento de las recomendaciones. </w:t>
      </w:r>
      <w:r>
        <w:rPr>
          <w:rFonts w:ascii="Verdana" w:hAnsi="Verdana"/>
          <w:sz w:val="20"/>
        </w:rPr>
        <w:t xml:space="preserve">Conforme </w:t>
      </w:r>
      <w:r w:rsidR="00E45BBC">
        <w:rPr>
          <w:rFonts w:ascii="Verdana" w:hAnsi="Verdana"/>
          <w:sz w:val="20"/>
        </w:rPr>
        <w:t>señal</w:t>
      </w:r>
      <w:r>
        <w:rPr>
          <w:rFonts w:ascii="Verdana" w:hAnsi="Verdana"/>
          <w:sz w:val="20"/>
        </w:rPr>
        <w:t>ó la Comisión, e</w:t>
      </w:r>
      <w:r w:rsidRPr="0039097A">
        <w:rPr>
          <w:rFonts w:ascii="Verdana" w:hAnsi="Verdana"/>
          <w:sz w:val="20"/>
        </w:rPr>
        <w:t>l 14 de mayo de 2020 el Estado solicitó una prórroga</w:t>
      </w:r>
      <w:r>
        <w:rPr>
          <w:rFonts w:ascii="Verdana" w:hAnsi="Verdana"/>
          <w:sz w:val="20"/>
        </w:rPr>
        <w:t xml:space="preserve">, pero </w:t>
      </w:r>
      <w:r w:rsidRPr="0039097A">
        <w:rPr>
          <w:rFonts w:ascii="Verdana" w:hAnsi="Verdana"/>
          <w:sz w:val="20"/>
        </w:rPr>
        <w:t xml:space="preserve">no renunció a interponer una excepción preliminar por </w:t>
      </w:r>
      <w:r>
        <w:rPr>
          <w:rFonts w:ascii="Verdana" w:hAnsi="Verdana"/>
          <w:sz w:val="20"/>
        </w:rPr>
        <w:t xml:space="preserve">el </w:t>
      </w:r>
      <w:r w:rsidRPr="0039097A">
        <w:rPr>
          <w:rFonts w:ascii="Verdana" w:hAnsi="Verdana"/>
          <w:sz w:val="20"/>
        </w:rPr>
        <w:t>incumplimiento del plazo establecido en el artículo 51.1 de la Convención</w:t>
      </w:r>
      <w:r>
        <w:rPr>
          <w:rFonts w:ascii="Verdana" w:hAnsi="Verdana"/>
          <w:sz w:val="20"/>
        </w:rPr>
        <w:t xml:space="preserve"> para el sometimiento del caso a la Corte</w:t>
      </w:r>
      <w:r w:rsidRPr="0039097A">
        <w:rPr>
          <w:rFonts w:ascii="Verdana" w:hAnsi="Verdana"/>
          <w:sz w:val="20"/>
        </w:rPr>
        <w:t xml:space="preserve">.   </w:t>
      </w:r>
    </w:p>
    <w:p w14:paraId="4F2371C2" w14:textId="77777777" w:rsidR="00FD0466" w:rsidRPr="0039097A" w:rsidRDefault="00FD0466" w:rsidP="005A5029">
      <w:pPr>
        <w:pStyle w:val="Prrafodelista"/>
        <w:spacing w:after="0" w:line="240" w:lineRule="exact"/>
        <w:ind w:left="0"/>
        <w:jc w:val="both"/>
        <w:rPr>
          <w:rFonts w:ascii="Verdana" w:hAnsi="Verdana"/>
          <w:sz w:val="20"/>
        </w:rPr>
      </w:pPr>
    </w:p>
    <w:p w14:paraId="1DCFF02D" w14:textId="77777777" w:rsidR="00FD0466" w:rsidRPr="00DE69BB" w:rsidRDefault="00FD0466" w:rsidP="005A5029">
      <w:pPr>
        <w:pStyle w:val="Prrafodelista"/>
        <w:numPr>
          <w:ilvl w:val="0"/>
          <w:numId w:val="2"/>
        </w:numPr>
        <w:spacing w:after="0" w:line="240" w:lineRule="exact"/>
        <w:ind w:left="0" w:firstLine="0"/>
        <w:jc w:val="both"/>
        <w:rPr>
          <w:rFonts w:ascii="Verdana" w:hAnsi="Verdana"/>
          <w:sz w:val="20"/>
        </w:rPr>
      </w:pPr>
      <w:r w:rsidRPr="00DE69BB">
        <w:rPr>
          <w:rFonts w:ascii="Verdana" w:hAnsi="Verdana"/>
          <w:i/>
          <w:sz w:val="20"/>
        </w:rPr>
        <w:t>Sometimiento a la Corte</w:t>
      </w:r>
      <w:r w:rsidRPr="00DE69BB">
        <w:rPr>
          <w:rFonts w:ascii="Verdana" w:hAnsi="Verdana"/>
          <w:sz w:val="20"/>
        </w:rPr>
        <w:t xml:space="preserve">. – El 24 de mayo de 2020 la Comisión sometió a la Corte </w:t>
      </w:r>
      <w:r w:rsidRPr="00DE69BB">
        <w:rPr>
          <w:rFonts w:ascii="Verdana" w:hAnsi="Verdana" w:cs="Cambria"/>
          <w:sz w:val="20"/>
          <w:szCs w:val="20"/>
        </w:rPr>
        <w:t xml:space="preserve">“las acciones y omisiones estatales ocurridas o que continuaron ocurriendo con </w:t>
      </w:r>
      <w:r w:rsidRPr="00DE69BB">
        <w:rPr>
          <w:rFonts w:ascii="Verdana" w:hAnsi="Verdana" w:cs="Cambria"/>
          <w:sz w:val="20"/>
          <w:szCs w:val="20"/>
        </w:rPr>
        <w:lastRenderedPageBreak/>
        <w:t>posterioridad al 19 de abril de 1985”</w:t>
      </w:r>
      <w:r w:rsidRPr="00DE69BB">
        <w:rPr>
          <w:rStyle w:val="Refdenotaalpie"/>
          <w:rFonts w:ascii="Verdana" w:hAnsi="Verdana" w:cs="Cambria"/>
          <w:sz w:val="20"/>
          <w:szCs w:val="20"/>
        </w:rPr>
        <w:footnoteReference w:id="3"/>
      </w:r>
      <w:r w:rsidRPr="00DE69BB">
        <w:rPr>
          <w:rFonts w:ascii="Verdana" w:hAnsi="Verdana"/>
          <w:sz w:val="20"/>
          <w:szCs w:val="20"/>
        </w:rPr>
        <w:t>. Lo hizo, según indicó, “por la necesidad de obtención de justicia y reparación”</w:t>
      </w:r>
      <w:r w:rsidRPr="00DE69BB">
        <w:rPr>
          <w:rStyle w:val="Refdenotaalpie"/>
          <w:rFonts w:ascii="Verdana" w:hAnsi="Verdana"/>
          <w:sz w:val="20"/>
          <w:szCs w:val="20"/>
        </w:rPr>
        <w:footnoteReference w:id="4"/>
      </w:r>
      <w:r w:rsidRPr="00DE69BB">
        <w:rPr>
          <w:rFonts w:ascii="Verdana" w:hAnsi="Verdana"/>
          <w:sz w:val="20"/>
          <w:szCs w:val="20"/>
        </w:rPr>
        <w:t>. Este Tribunal nota, con preocupación, que entre la presentación de la petición inicial ante la Comisión y el sometimiento del caso ante la Corte transcurrió un tiempo superior a los 13 años.</w:t>
      </w:r>
    </w:p>
    <w:p w14:paraId="4D3DB9E0" w14:textId="77777777" w:rsidR="00FD0466" w:rsidRPr="0039097A" w:rsidRDefault="00FD0466" w:rsidP="005A5029">
      <w:pPr>
        <w:pStyle w:val="Prrafodelista"/>
        <w:spacing w:line="240" w:lineRule="exact"/>
        <w:rPr>
          <w:rFonts w:ascii="Verdana" w:hAnsi="Verdana"/>
          <w:sz w:val="20"/>
        </w:rPr>
      </w:pPr>
    </w:p>
    <w:p w14:paraId="5410A3CF" w14:textId="77777777"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i/>
          <w:sz w:val="20"/>
        </w:rPr>
        <w:t>Solicitudes de la Comisión.</w:t>
      </w:r>
      <w:r w:rsidRPr="0039097A">
        <w:rPr>
          <w:rFonts w:ascii="Verdana" w:hAnsi="Verdana"/>
          <w:sz w:val="20"/>
        </w:rPr>
        <w:t xml:space="preserve"> – La Comisión solicitó a este Tribunal que concluyera y declarara la responsabilidad internacional de Uruguay por las violaciones contenidas en el Informe No. 169/19 (</w:t>
      </w:r>
      <w:r w:rsidRPr="0039097A">
        <w:rPr>
          <w:rFonts w:ascii="Verdana" w:hAnsi="Verdana"/>
          <w:i/>
          <w:sz w:val="20"/>
        </w:rPr>
        <w:t>supra</w:t>
      </w:r>
      <w:r w:rsidRPr="0039097A">
        <w:rPr>
          <w:rFonts w:ascii="Verdana" w:hAnsi="Verdana"/>
          <w:sz w:val="20"/>
        </w:rPr>
        <w:t xml:space="preserve"> nota a pie de página 1) y que ordenara al Estado, como medidas de reparación, las incluidas en dicho infor</w:t>
      </w:r>
      <w:r w:rsidRPr="00BC464E">
        <w:rPr>
          <w:rFonts w:ascii="Verdana" w:hAnsi="Verdana"/>
          <w:sz w:val="20"/>
        </w:rPr>
        <w:t>me (</w:t>
      </w:r>
      <w:r w:rsidRPr="00BC464E">
        <w:rPr>
          <w:rFonts w:ascii="Verdana" w:hAnsi="Verdana"/>
          <w:i/>
          <w:sz w:val="20"/>
        </w:rPr>
        <w:t>infra</w:t>
      </w:r>
      <w:r w:rsidRPr="00BC464E">
        <w:rPr>
          <w:rFonts w:ascii="Verdana" w:hAnsi="Verdana"/>
          <w:sz w:val="20"/>
        </w:rPr>
        <w:t xml:space="preserve"> Capítulo VIII).</w:t>
      </w:r>
      <w:r w:rsidRPr="0039097A">
        <w:rPr>
          <w:rFonts w:ascii="Verdana" w:hAnsi="Verdana"/>
          <w:sz w:val="20"/>
        </w:rPr>
        <w:t xml:space="preserve">  </w:t>
      </w:r>
    </w:p>
    <w:p w14:paraId="1D692972" w14:textId="77777777" w:rsidR="00FD0466" w:rsidRPr="0039097A" w:rsidRDefault="00FD0466" w:rsidP="005A5029">
      <w:pPr>
        <w:pStyle w:val="Prrafodelista"/>
        <w:spacing w:line="240" w:lineRule="exact"/>
        <w:jc w:val="center"/>
        <w:rPr>
          <w:rFonts w:ascii="Verdana" w:hAnsi="Verdana"/>
          <w:sz w:val="20"/>
        </w:rPr>
      </w:pPr>
    </w:p>
    <w:p w14:paraId="6667CDCF" w14:textId="77777777" w:rsidR="00FD0466" w:rsidRPr="0039097A" w:rsidRDefault="00FD0466" w:rsidP="005A5029">
      <w:pPr>
        <w:pStyle w:val="Prrafodelista"/>
        <w:spacing w:after="0" w:line="240" w:lineRule="exact"/>
        <w:ind w:left="0"/>
        <w:jc w:val="center"/>
        <w:outlineLvl w:val="0"/>
        <w:rPr>
          <w:rFonts w:ascii="Verdana" w:hAnsi="Verdana"/>
          <w:b/>
          <w:sz w:val="20"/>
        </w:rPr>
      </w:pPr>
      <w:bookmarkStart w:id="2" w:name="_Toc85550376"/>
      <w:r w:rsidRPr="0039097A">
        <w:rPr>
          <w:rFonts w:ascii="Verdana" w:hAnsi="Verdana"/>
          <w:b/>
          <w:sz w:val="20"/>
        </w:rPr>
        <w:t>II</w:t>
      </w:r>
      <w:bookmarkEnd w:id="2"/>
    </w:p>
    <w:p w14:paraId="374F5E68" w14:textId="77777777" w:rsidR="00FD0466" w:rsidRPr="0039097A" w:rsidRDefault="00FD0466" w:rsidP="005A5029">
      <w:pPr>
        <w:pStyle w:val="Prrafodelista"/>
        <w:spacing w:after="0" w:line="240" w:lineRule="exact"/>
        <w:ind w:left="0"/>
        <w:jc w:val="center"/>
        <w:outlineLvl w:val="0"/>
        <w:rPr>
          <w:rFonts w:ascii="Verdana" w:hAnsi="Verdana"/>
          <w:b/>
          <w:sz w:val="20"/>
        </w:rPr>
      </w:pPr>
      <w:bookmarkStart w:id="3" w:name="_Toc85550377"/>
      <w:r w:rsidRPr="0039097A">
        <w:rPr>
          <w:rFonts w:ascii="Verdana" w:hAnsi="Verdana"/>
          <w:b/>
          <w:sz w:val="20"/>
        </w:rPr>
        <w:t>PROCEDIMIENTO ANTE LA CORTE</w:t>
      </w:r>
      <w:bookmarkEnd w:id="3"/>
    </w:p>
    <w:p w14:paraId="7AE59E4F" w14:textId="77777777" w:rsidR="00FD0466" w:rsidRPr="0039097A" w:rsidRDefault="00FD0466" w:rsidP="005A5029">
      <w:pPr>
        <w:pStyle w:val="Prrafodelista"/>
        <w:spacing w:line="240" w:lineRule="exact"/>
        <w:rPr>
          <w:rFonts w:ascii="Verdana" w:hAnsi="Verdana"/>
          <w:sz w:val="20"/>
        </w:rPr>
      </w:pPr>
    </w:p>
    <w:p w14:paraId="55F7376E" w14:textId="77777777"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i/>
          <w:sz w:val="20"/>
        </w:rPr>
        <w:t>Notificación al Estado y a los representantes.</w:t>
      </w:r>
      <w:r w:rsidRPr="0039097A">
        <w:rPr>
          <w:rFonts w:ascii="Verdana" w:hAnsi="Verdana"/>
          <w:sz w:val="20"/>
        </w:rPr>
        <w:t xml:space="preserve"> – El sometimiento del caso fue notificado a la representación de las presuntas víctimas (en adelante “los representantes”) y al Estado el 20 de julio </w:t>
      </w:r>
      <w:r w:rsidRPr="00DE69BB">
        <w:rPr>
          <w:rFonts w:ascii="Verdana" w:hAnsi="Verdana"/>
          <w:sz w:val="20"/>
        </w:rPr>
        <w:t>de 2020</w:t>
      </w:r>
      <w:r w:rsidRPr="00DE69BB">
        <w:rPr>
          <w:rStyle w:val="Refdenotaalpie"/>
          <w:rFonts w:ascii="Verdana" w:hAnsi="Verdana"/>
          <w:sz w:val="20"/>
        </w:rPr>
        <w:footnoteReference w:id="5"/>
      </w:r>
      <w:r w:rsidRPr="00DE69BB">
        <w:rPr>
          <w:rFonts w:ascii="Verdana" w:hAnsi="Verdana"/>
          <w:sz w:val="20"/>
        </w:rPr>
        <w:t>.</w:t>
      </w:r>
      <w:r w:rsidRPr="0039097A">
        <w:rPr>
          <w:rFonts w:ascii="Verdana" w:hAnsi="Verdana"/>
          <w:sz w:val="20"/>
        </w:rPr>
        <w:t xml:space="preserve">  </w:t>
      </w:r>
    </w:p>
    <w:p w14:paraId="0816652F" w14:textId="77777777" w:rsidR="00FD0466" w:rsidRPr="0039097A" w:rsidRDefault="00FD0466" w:rsidP="005A5029">
      <w:pPr>
        <w:pStyle w:val="Prrafodelista"/>
        <w:spacing w:line="240" w:lineRule="exact"/>
        <w:ind w:left="0"/>
        <w:jc w:val="both"/>
        <w:rPr>
          <w:rFonts w:ascii="Verdana" w:hAnsi="Verdana"/>
          <w:sz w:val="20"/>
        </w:rPr>
      </w:pPr>
    </w:p>
    <w:p w14:paraId="5E3476F7" w14:textId="0DA091CA"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i/>
          <w:sz w:val="20"/>
        </w:rPr>
        <w:t>Escrito de solicitudes, argumentos y pruebas.</w:t>
      </w:r>
      <w:r w:rsidRPr="0039097A">
        <w:rPr>
          <w:rFonts w:ascii="Verdana" w:hAnsi="Verdana"/>
          <w:sz w:val="20"/>
        </w:rPr>
        <w:t xml:space="preserve"> – El 19 de septiembre de 2020 los representantes presentaron su escrito de solicitudes, argumentos y pruebas (en adelante “escrito de solicitudes y argumentos”), conforme a los artículos 25 y 40 del Reglamento. Coincidieron sustancialmente con los alegatos de la Comisión. Solicitaron que se ordenara a Uruguay adoptar diversas medidas de reparación.   </w:t>
      </w:r>
    </w:p>
    <w:p w14:paraId="1DC4D918" w14:textId="77777777" w:rsidR="00FD0466" w:rsidRPr="0039097A" w:rsidRDefault="00FD0466" w:rsidP="005A5029">
      <w:pPr>
        <w:pStyle w:val="Prrafodelista"/>
        <w:spacing w:line="240" w:lineRule="exact"/>
        <w:rPr>
          <w:rFonts w:ascii="Verdana" w:hAnsi="Verdana"/>
          <w:sz w:val="20"/>
        </w:rPr>
      </w:pPr>
    </w:p>
    <w:p w14:paraId="23C92EC2" w14:textId="280CA35D"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i/>
          <w:sz w:val="20"/>
        </w:rPr>
        <w:t xml:space="preserve">Escrito de contestación. </w:t>
      </w:r>
      <w:r w:rsidRPr="0039097A">
        <w:rPr>
          <w:rFonts w:ascii="Verdana" w:hAnsi="Verdana"/>
          <w:sz w:val="20"/>
        </w:rPr>
        <w:t>– El 4 de diciembre 2020 el Estado presentó su escrito de contestación al sometimiento del caso</w:t>
      </w:r>
      <w:r w:rsidR="005B0255">
        <w:rPr>
          <w:rFonts w:ascii="Verdana" w:hAnsi="Verdana"/>
          <w:sz w:val="20"/>
        </w:rPr>
        <w:t xml:space="preserve"> por parte de la Comisión</w:t>
      </w:r>
      <w:r w:rsidRPr="0039097A">
        <w:rPr>
          <w:rFonts w:ascii="Verdana" w:hAnsi="Verdana"/>
          <w:sz w:val="20"/>
        </w:rPr>
        <w:t xml:space="preserve"> y al escrito de solicitudes y argumentos (en adelante “escrito de contestación”). </w:t>
      </w:r>
    </w:p>
    <w:p w14:paraId="7813956D" w14:textId="77777777" w:rsidR="00FD0466" w:rsidRPr="0039097A" w:rsidRDefault="00FD0466" w:rsidP="005A5029">
      <w:pPr>
        <w:pStyle w:val="Prrafodelista"/>
        <w:spacing w:line="240" w:lineRule="exact"/>
        <w:rPr>
          <w:rFonts w:ascii="Verdana" w:hAnsi="Verdana"/>
          <w:i/>
          <w:sz w:val="20"/>
        </w:rPr>
      </w:pPr>
    </w:p>
    <w:p w14:paraId="22586558" w14:textId="5C8824BE"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i/>
          <w:sz w:val="20"/>
        </w:rPr>
        <w:t>Audiencia pública</w:t>
      </w:r>
      <w:r w:rsidRPr="0039097A">
        <w:rPr>
          <w:rFonts w:ascii="Verdana" w:hAnsi="Verdana"/>
          <w:sz w:val="20"/>
        </w:rPr>
        <w:t>. – Mediante Resolución de 16 de abril de 2021, la Presidenta de la Corte</w:t>
      </w:r>
      <w:r w:rsidRPr="0039097A">
        <w:t xml:space="preserve"> </w:t>
      </w:r>
      <w:r w:rsidRPr="0039097A">
        <w:rPr>
          <w:rFonts w:ascii="Verdana" w:hAnsi="Verdana"/>
          <w:sz w:val="20"/>
        </w:rPr>
        <w:t>convocó a las partes y a la Comisión a una audiencia pública</w:t>
      </w:r>
      <w:r w:rsidR="00AA3F9D" w:rsidRPr="00AA3F9D">
        <w:rPr>
          <w:rFonts w:ascii="Verdana" w:hAnsi="Verdana"/>
          <w:sz w:val="20"/>
          <w:szCs w:val="20"/>
        </w:rPr>
        <w:t>. Debido a las circunstancias excepcionales ocasionadas por la pandemia del COVID-19</w:t>
      </w:r>
      <w:r w:rsidR="00AA3F9D">
        <w:rPr>
          <w:rFonts w:ascii="Verdana" w:hAnsi="Verdana"/>
          <w:sz w:val="20"/>
          <w:szCs w:val="20"/>
        </w:rPr>
        <w:t xml:space="preserve"> (en adelante, “la pandemia”)</w:t>
      </w:r>
      <w:r w:rsidR="00AA3F9D" w:rsidRPr="00AA3F9D">
        <w:rPr>
          <w:rFonts w:ascii="Verdana" w:hAnsi="Verdana"/>
          <w:sz w:val="20"/>
          <w:szCs w:val="20"/>
        </w:rPr>
        <w:t>, la audiencia pública se llevó a cabo mediante videoconferencia, de conformidad con lo establec</w:t>
      </w:r>
      <w:r w:rsidR="00AA3F9D">
        <w:rPr>
          <w:rFonts w:ascii="Verdana" w:hAnsi="Verdana"/>
          <w:sz w:val="20"/>
          <w:szCs w:val="20"/>
        </w:rPr>
        <w:t>ido en el Reglamento,</w:t>
      </w:r>
      <w:r w:rsidRPr="0039097A">
        <w:rPr>
          <w:rFonts w:ascii="Verdana" w:hAnsi="Verdana"/>
          <w:sz w:val="20"/>
        </w:rPr>
        <w:t xml:space="preserve"> los días 16 y 17 de junio 2021, durante el 142° Período Ordinario de Sesiones de la Corte, la cual tuvo lugar por medio de una plataforma de videoconferencia</w:t>
      </w:r>
      <w:r w:rsidRPr="0039097A">
        <w:rPr>
          <w:rStyle w:val="Refdenotaalpie"/>
          <w:rFonts w:ascii="Verdana" w:hAnsi="Verdana"/>
          <w:sz w:val="20"/>
        </w:rPr>
        <w:footnoteReference w:id="6"/>
      </w:r>
      <w:r w:rsidRPr="0039097A">
        <w:rPr>
          <w:rFonts w:ascii="Verdana" w:hAnsi="Verdana"/>
          <w:sz w:val="20"/>
        </w:rPr>
        <w:t>.</w:t>
      </w:r>
    </w:p>
    <w:p w14:paraId="3434A66E" w14:textId="77777777" w:rsidR="00FD0466" w:rsidRPr="0039097A" w:rsidRDefault="00FD0466" w:rsidP="005A5029">
      <w:pPr>
        <w:pStyle w:val="Prrafodelista"/>
        <w:spacing w:line="240" w:lineRule="exact"/>
        <w:rPr>
          <w:rFonts w:ascii="Verdana" w:hAnsi="Verdana"/>
          <w:sz w:val="20"/>
        </w:rPr>
      </w:pPr>
    </w:p>
    <w:p w14:paraId="62E18C0C" w14:textId="77777777"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i/>
          <w:sz w:val="20"/>
        </w:rPr>
        <w:lastRenderedPageBreak/>
        <w:t xml:space="preserve">Amici </w:t>
      </w:r>
      <w:proofErr w:type="spellStart"/>
      <w:r w:rsidRPr="0039097A">
        <w:rPr>
          <w:rFonts w:ascii="Verdana" w:hAnsi="Verdana"/>
          <w:i/>
          <w:sz w:val="20"/>
        </w:rPr>
        <w:t>Curiae</w:t>
      </w:r>
      <w:proofErr w:type="spellEnd"/>
      <w:r w:rsidRPr="0039097A">
        <w:rPr>
          <w:rFonts w:ascii="Verdana" w:hAnsi="Verdana"/>
          <w:sz w:val="20"/>
        </w:rPr>
        <w:t xml:space="preserve">. – El Tribunal recibió dos escritos de </w:t>
      </w:r>
      <w:proofErr w:type="spellStart"/>
      <w:r w:rsidRPr="0039097A">
        <w:rPr>
          <w:rFonts w:ascii="Verdana" w:hAnsi="Verdana"/>
          <w:i/>
          <w:sz w:val="20"/>
        </w:rPr>
        <w:t>amicus</w:t>
      </w:r>
      <w:proofErr w:type="spellEnd"/>
      <w:r w:rsidRPr="0039097A">
        <w:rPr>
          <w:rFonts w:ascii="Verdana" w:hAnsi="Verdana"/>
          <w:i/>
          <w:sz w:val="20"/>
        </w:rPr>
        <w:t xml:space="preserve"> </w:t>
      </w:r>
      <w:proofErr w:type="spellStart"/>
      <w:r w:rsidRPr="0039097A">
        <w:rPr>
          <w:rFonts w:ascii="Verdana" w:hAnsi="Verdana"/>
          <w:i/>
          <w:sz w:val="20"/>
        </w:rPr>
        <w:t>curiae</w:t>
      </w:r>
      <w:proofErr w:type="spellEnd"/>
      <w:r w:rsidRPr="0039097A">
        <w:rPr>
          <w:rFonts w:ascii="Verdana" w:hAnsi="Verdana"/>
          <w:sz w:val="20"/>
        </w:rPr>
        <w:t xml:space="preserve"> por parte de: i) la Línea de Investigación de Género, Derecho y Sociedad y el Grupo Derechos Humanos de la Universidad Externado de Colombia</w:t>
      </w:r>
      <w:r w:rsidRPr="0039097A">
        <w:rPr>
          <w:rStyle w:val="Refdenotaalpie"/>
          <w:rFonts w:ascii="Verdana" w:hAnsi="Verdana"/>
          <w:sz w:val="20"/>
        </w:rPr>
        <w:footnoteReference w:id="7"/>
      </w:r>
      <w:r w:rsidRPr="0039097A">
        <w:rPr>
          <w:rFonts w:ascii="Verdana" w:hAnsi="Verdana"/>
          <w:sz w:val="20"/>
        </w:rPr>
        <w:t xml:space="preserve"> y </w:t>
      </w:r>
      <w:proofErr w:type="spellStart"/>
      <w:r w:rsidRPr="0039097A">
        <w:rPr>
          <w:rFonts w:ascii="Verdana" w:hAnsi="Verdana"/>
          <w:sz w:val="20"/>
        </w:rPr>
        <w:t>ii</w:t>
      </w:r>
      <w:proofErr w:type="spellEnd"/>
      <w:r w:rsidRPr="0039097A">
        <w:rPr>
          <w:rFonts w:ascii="Verdana" w:hAnsi="Verdana"/>
          <w:sz w:val="20"/>
        </w:rPr>
        <w:t xml:space="preserve">) la Clínica Jurídica de la </w:t>
      </w:r>
      <w:proofErr w:type="spellStart"/>
      <w:r w:rsidRPr="0039097A">
        <w:rPr>
          <w:rFonts w:ascii="Verdana" w:hAnsi="Verdana"/>
          <w:sz w:val="20"/>
        </w:rPr>
        <w:t>Universitat</w:t>
      </w:r>
      <w:proofErr w:type="spellEnd"/>
      <w:r w:rsidRPr="0039097A">
        <w:rPr>
          <w:rFonts w:ascii="Verdana" w:hAnsi="Verdana"/>
          <w:sz w:val="20"/>
        </w:rPr>
        <w:t xml:space="preserve"> Pompeu Fabra</w:t>
      </w:r>
      <w:r w:rsidRPr="0039097A">
        <w:rPr>
          <w:rStyle w:val="Refdenotaalpie"/>
          <w:rFonts w:ascii="Verdana" w:hAnsi="Verdana"/>
          <w:sz w:val="20"/>
        </w:rPr>
        <w:footnoteReference w:id="8"/>
      </w:r>
      <w:r w:rsidRPr="0039097A">
        <w:rPr>
          <w:rFonts w:ascii="Verdana" w:hAnsi="Verdana"/>
          <w:sz w:val="20"/>
        </w:rPr>
        <w:t>.</w:t>
      </w:r>
    </w:p>
    <w:p w14:paraId="01C68A25" w14:textId="77777777" w:rsidR="00FD0466" w:rsidRPr="0039097A" w:rsidRDefault="00FD0466" w:rsidP="005A5029">
      <w:pPr>
        <w:pStyle w:val="Prrafodelista"/>
        <w:spacing w:line="240" w:lineRule="exact"/>
        <w:rPr>
          <w:rFonts w:ascii="Verdana" w:hAnsi="Verdana"/>
          <w:sz w:val="20"/>
        </w:rPr>
      </w:pPr>
    </w:p>
    <w:p w14:paraId="38AE627E" w14:textId="07E3E820" w:rsidR="00FD0466" w:rsidRPr="00DE69BB" w:rsidRDefault="00FD0466" w:rsidP="005A5029">
      <w:pPr>
        <w:pStyle w:val="Prrafodelista"/>
        <w:numPr>
          <w:ilvl w:val="0"/>
          <w:numId w:val="2"/>
        </w:numPr>
        <w:spacing w:line="240" w:lineRule="exact"/>
        <w:ind w:left="0" w:firstLine="0"/>
        <w:jc w:val="both"/>
        <w:rPr>
          <w:rFonts w:ascii="Verdana" w:hAnsi="Verdana"/>
          <w:sz w:val="20"/>
        </w:rPr>
      </w:pPr>
      <w:r w:rsidRPr="00DE69BB">
        <w:rPr>
          <w:rFonts w:ascii="Verdana" w:hAnsi="Verdana"/>
          <w:i/>
          <w:sz w:val="20"/>
        </w:rPr>
        <w:t>Alegatos y observaciones finales escritos.</w:t>
      </w:r>
      <w:r w:rsidRPr="00DE69BB">
        <w:rPr>
          <w:rFonts w:ascii="Verdana" w:hAnsi="Verdana"/>
          <w:sz w:val="20"/>
        </w:rPr>
        <w:t xml:space="preserve"> – El 16 de julio de 2021 la Comisión, el Estado y los representantes presentaron sus observaciones y alegatos finales por escrito, respectivamente. Los representantes remitieron documentación anexa a su presentación</w:t>
      </w:r>
      <w:r w:rsidRPr="00DE69BB">
        <w:rPr>
          <w:rStyle w:val="Refdenotaalpie"/>
          <w:rFonts w:ascii="Verdana" w:hAnsi="Verdana"/>
          <w:sz w:val="20"/>
        </w:rPr>
        <w:footnoteReference w:id="9"/>
      </w:r>
      <w:r w:rsidRPr="00DE69BB">
        <w:rPr>
          <w:rFonts w:ascii="Verdana" w:hAnsi="Verdana"/>
          <w:sz w:val="20"/>
        </w:rPr>
        <w:t xml:space="preserve">.   </w:t>
      </w:r>
    </w:p>
    <w:p w14:paraId="15054655" w14:textId="77777777" w:rsidR="00FD0466" w:rsidRPr="0039097A" w:rsidRDefault="00FD0466" w:rsidP="005A5029">
      <w:pPr>
        <w:pStyle w:val="Prrafodelista"/>
        <w:spacing w:line="240" w:lineRule="exact"/>
        <w:rPr>
          <w:rFonts w:ascii="Verdana" w:hAnsi="Verdana"/>
          <w:sz w:val="20"/>
        </w:rPr>
      </w:pPr>
    </w:p>
    <w:p w14:paraId="0667EB19" w14:textId="2E0692BA"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i/>
          <w:sz w:val="20"/>
        </w:rPr>
        <w:t>Deliberación del presente caso</w:t>
      </w:r>
      <w:r w:rsidRPr="0039097A">
        <w:rPr>
          <w:rFonts w:ascii="Verdana" w:hAnsi="Verdana"/>
          <w:sz w:val="20"/>
        </w:rPr>
        <w:t xml:space="preserve">. - La Corte deliberó la presente Sentencia, por medio de </w:t>
      </w:r>
      <w:r w:rsidR="008010B4">
        <w:rPr>
          <w:rFonts w:ascii="Verdana" w:hAnsi="Verdana"/>
          <w:sz w:val="20"/>
        </w:rPr>
        <w:t xml:space="preserve">una </w:t>
      </w:r>
      <w:r w:rsidRPr="0039097A">
        <w:rPr>
          <w:rFonts w:ascii="Verdana" w:hAnsi="Verdana"/>
          <w:sz w:val="20"/>
        </w:rPr>
        <w:t>sesi</w:t>
      </w:r>
      <w:r w:rsidR="008010B4">
        <w:rPr>
          <w:rFonts w:ascii="Verdana" w:hAnsi="Verdana"/>
          <w:sz w:val="20"/>
        </w:rPr>
        <w:t>ón</w:t>
      </w:r>
      <w:r w:rsidRPr="0039097A">
        <w:rPr>
          <w:rFonts w:ascii="Verdana" w:hAnsi="Verdana"/>
          <w:sz w:val="20"/>
        </w:rPr>
        <w:t xml:space="preserve"> virtual, </w:t>
      </w:r>
      <w:r w:rsidR="00DA437B">
        <w:rPr>
          <w:rFonts w:ascii="Verdana" w:hAnsi="Verdana"/>
          <w:sz w:val="20"/>
        </w:rPr>
        <w:t xml:space="preserve">el día 15 de noviembre de 2021. </w:t>
      </w:r>
      <w:r w:rsidRPr="0039097A">
        <w:rPr>
          <w:rFonts w:ascii="Verdana" w:hAnsi="Verdana"/>
          <w:sz w:val="20"/>
        </w:rPr>
        <w:t xml:space="preserve">  </w:t>
      </w:r>
    </w:p>
    <w:p w14:paraId="5BB2C4BE" w14:textId="77777777" w:rsidR="00FD0466" w:rsidRPr="0039097A" w:rsidRDefault="00FD0466" w:rsidP="005A5029">
      <w:pPr>
        <w:pStyle w:val="Prrafodelista"/>
        <w:spacing w:line="240" w:lineRule="exact"/>
        <w:rPr>
          <w:rFonts w:ascii="Verdana" w:hAnsi="Verdana"/>
          <w:sz w:val="20"/>
        </w:rPr>
      </w:pPr>
    </w:p>
    <w:p w14:paraId="7432A2BC" w14:textId="77777777" w:rsidR="00FD0466" w:rsidRPr="0039097A" w:rsidRDefault="00FD0466" w:rsidP="005A5029">
      <w:pPr>
        <w:pStyle w:val="Prrafodelista"/>
        <w:spacing w:after="120" w:line="240" w:lineRule="exact"/>
        <w:ind w:left="0"/>
        <w:jc w:val="center"/>
        <w:outlineLvl w:val="0"/>
        <w:rPr>
          <w:rFonts w:ascii="Verdana" w:hAnsi="Verdana"/>
          <w:b/>
          <w:sz w:val="20"/>
        </w:rPr>
      </w:pPr>
      <w:bookmarkStart w:id="4" w:name="_Toc85550378"/>
      <w:r w:rsidRPr="0039097A">
        <w:rPr>
          <w:rFonts w:ascii="Verdana" w:hAnsi="Verdana"/>
          <w:b/>
          <w:sz w:val="20"/>
        </w:rPr>
        <w:t>III</w:t>
      </w:r>
      <w:bookmarkEnd w:id="4"/>
    </w:p>
    <w:p w14:paraId="5599EDD9" w14:textId="77777777" w:rsidR="00FD0466" w:rsidRPr="0039097A" w:rsidRDefault="00FD0466" w:rsidP="005A5029">
      <w:pPr>
        <w:pStyle w:val="Prrafodelista"/>
        <w:spacing w:after="120" w:line="240" w:lineRule="exact"/>
        <w:ind w:left="0"/>
        <w:jc w:val="center"/>
        <w:outlineLvl w:val="0"/>
        <w:rPr>
          <w:rFonts w:ascii="Verdana" w:hAnsi="Verdana"/>
          <w:b/>
          <w:sz w:val="20"/>
        </w:rPr>
      </w:pPr>
      <w:bookmarkStart w:id="5" w:name="_Toc85550379"/>
      <w:r w:rsidRPr="0039097A">
        <w:rPr>
          <w:rFonts w:ascii="Verdana" w:hAnsi="Verdana"/>
          <w:b/>
          <w:sz w:val="20"/>
        </w:rPr>
        <w:t>COMPETENCIA</w:t>
      </w:r>
      <w:bookmarkEnd w:id="5"/>
    </w:p>
    <w:p w14:paraId="0D4678E0" w14:textId="77777777" w:rsidR="00FD0466" w:rsidRPr="0039097A" w:rsidRDefault="00FD0466" w:rsidP="005A5029">
      <w:pPr>
        <w:pStyle w:val="Prrafodelista"/>
        <w:spacing w:line="240" w:lineRule="exact"/>
        <w:rPr>
          <w:rFonts w:ascii="Verdana" w:hAnsi="Verdana"/>
          <w:sz w:val="20"/>
        </w:rPr>
      </w:pPr>
    </w:p>
    <w:p w14:paraId="6397D116" w14:textId="77777777"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sz w:val="20"/>
        </w:rPr>
        <w:t>Uruguay es Estado Parte de la Convención Americana sobre Derechos Humanos desde el 19 de abril de 1985 y reconoció la competencia contenciosa de la Corte en esa misma fecha. Uruguay también es parte en la Convención Interamericana sobre Desaparición Forzada de Personas y la Convención Interamericana para Prevenir, Sancionar y Erradicar la Violencia contra la Mujer, “Convención de Belém do Pará”, que están en vigor para el Estado desde el 2 de mayo de 1996. En consecuencia, la Corte es competente para conocer del presente caso, en los términos del artículo 62.3 de la Convención Americana y de las respectivas disposiciones de los otros tratados interamericanos señalados.</w:t>
      </w:r>
    </w:p>
    <w:p w14:paraId="1323217C" w14:textId="70498489" w:rsidR="009274E3" w:rsidRPr="0039097A" w:rsidRDefault="009274E3" w:rsidP="005A5029">
      <w:pPr>
        <w:pStyle w:val="Prrafodelista"/>
        <w:spacing w:line="240" w:lineRule="exact"/>
        <w:ind w:left="0"/>
        <w:jc w:val="both"/>
        <w:rPr>
          <w:rFonts w:ascii="Verdana" w:hAnsi="Verdana"/>
          <w:sz w:val="20"/>
        </w:rPr>
      </w:pPr>
    </w:p>
    <w:p w14:paraId="0D94F535" w14:textId="77777777" w:rsidR="00FD0466" w:rsidRPr="0039097A" w:rsidRDefault="00FD0466" w:rsidP="005A5029">
      <w:pPr>
        <w:pStyle w:val="Prrafodelista"/>
        <w:spacing w:line="240" w:lineRule="exact"/>
        <w:ind w:left="0"/>
        <w:jc w:val="center"/>
        <w:outlineLvl w:val="0"/>
        <w:rPr>
          <w:rFonts w:ascii="Verdana" w:hAnsi="Verdana"/>
          <w:b/>
          <w:sz w:val="20"/>
        </w:rPr>
      </w:pPr>
      <w:bookmarkStart w:id="6" w:name="_Toc85550380"/>
      <w:r w:rsidRPr="0039097A">
        <w:rPr>
          <w:rFonts w:ascii="Verdana" w:hAnsi="Verdana"/>
          <w:b/>
          <w:sz w:val="20"/>
        </w:rPr>
        <w:t>IV</w:t>
      </w:r>
      <w:bookmarkEnd w:id="6"/>
    </w:p>
    <w:p w14:paraId="268FAC07" w14:textId="77777777" w:rsidR="00FD0466" w:rsidRPr="0039097A" w:rsidRDefault="00FD0466" w:rsidP="005A5029">
      <w:pPr>
        <w:pStyle w:val="Prrafodelista"/>
        <w:spacing w:line="240" w:lineRule="exact"/>
        <w:ind w:left="0"/>
        <w:jc w:val="center"/>
        <w:outlineLvl w:val="0"/>
        <w:rPr>
          <w:rFonts w:ascii="Verdana" w:hAnsi="Verdana"/>
          <w:b/>
          <w:sz w:val="20"/>
        </w:rPr>
      </w:pPr>
      <w:bookmarkStart w:id="7" w:name="_Toc85550381"/>
      <w:r w:rsidRPr="0039097A">
        <w:rPr>
          <w:rFonts w:ascii="Verdana" w:hAnsi="Verdana"/>
          <w:b/>
          <w:sz w:val="20"/>
        </w:rPr>
        <w:t>CONSIDERACIONES PREVIAS</w:t>
      </w:r>
      <w:bookmarkEnd w:id="7"/>
    </w:p>
    <w:p w14:paraId="70C73DBD" w14:textId="77777777" w:rsidR="00FD0466" w:rsidRPr="0039097A" w:rsidRDefault="00FD0466" w:rsidP="005A5029">
      <w:pPr>
        <w:pStyle w:val="Prrafodelista"/>
        <w:spacing w:line="240" w:lineRule="exact"/>
        <w:ind w:left="0"/>
        <w:jc w:val="center"/>
        <w:outlineLvl w:val="0"/>
        <w:rPr>
          <w:rFonts w:ascii="Verdana" w:hAnsi="Verdana"/>
          <w:b/>
          <w:sz w:val="20"/>
        </w:rPr>
      </w:pPr>
    </w:p>
    <w:p w14:paraId="26987A84" w14:textId="77777777" w:rsidR="00FD0466" w:rsidRPr="0039097A" w:rsidRDefault="00FD0466" w:rsidP="005A5029">
      <w:pPr>
        <w:pStyle w:val="Prrafodelista"/>
        <w:numPr>
          <w:ilvl w:val="0"/>
          <w:numId w:val="17"/>
        </w:numPr>
        <w:spacing w:line="240" w:lineRule="exact"/>
        <w:outlineLvl w:val="1"/>
        <w:rPr>
          <w:rFonts w:ascii="Verdana" w:hAnsi="Verdana"/>
          <w:b/>
          <w:i/>
          <w:sz w:val="20"/>
        </w:rPr>
      </w:pPr>
      <w:bookmarkStart w:id="8" w:name="_Toc85550382"/>
      <w:r w:rsidRPr="0039097A">
        <w:rPr>
          <w:rFonts w:ascii="Verdana" w:hAnsi="Verdana"/>
          <w:b/>
          <w:i/>
          <w:sz w:val="20"/>
        </w:rPr>
        <w:t>Respecto a la determinación de las presuntas víctimas</w:t>
      </w:r>
      <w:bookmarkEnd w:id="8"/>
    </w:p>
    <w:p w14:paraId="42A0E15C" w14:textId="77777777" w:rsidR="00FD0466" w:rsidRPr="0039097A" w:rsidRDefault="00FD0466" w:rsidP="005A5029">
      <w:pPr>
        <w:pStyle w:val="Prrafodelista"/>
        <w:spacing w:line="240" w:lineRule="exact"/>
        <w:outlineLvl w:val="0"/>
        <w:rPr>
          <w:rFonts w:ascii="Verdana" w:hAnsi="Verdana"/>
          <w:b/>
          <w:i/>
          <w:sz w:val="20"/>
        </w:rPr>
      </w:pPr>
    </w:p>
    <w:p w14:paraId="30F2643C" w14:textId="1E5BA222" w:rsidR="00FD0466" w:rsidRPr="00CA1127"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sz w:val="20"/>
          <w:szCs w:val="20"/>
        </w:rPr>
        <w:t xml:space="preserve">La </w:t>
      </w:r>
      <w:r w:rsidRPr="0039097A">
        <w:rPr>
          <w:rFonts w:ascii="Verdana" w:hAnsi="Verdana"/>
          <w:b/>
          <w:i/>
          <w:sz w:val="20"/>
          <w:szCs w:val="20"/>
        </w:rPr>
        <w:t>Comisión</w:t>
      </w:r>
      <w:r w:rsidRPr="0039097A">
        <w:rPr>
          <w:rFonts w:ascii="Verdana" w:hAnsi="Verdana"/>
          <w:sz w:val="20"/>
          <w:szCs w:val="20"/>
        </w:rPr>
        <w:t xml:space="preserve"> determinó, en el Informe de Fondo, como víctimas a 2</w:t>
      </w:r>
      <w:r w:rsidR="00E66841">
        <w:rPr>
          <w:rFonts w:ascii="Verdana" w:hAnsi="Verdana"/>
          <w:sz w:val="20"/>
          <w:szCs w:val="20"/>
        </w:rPr>
        <w:t>3</w:t>
      </w:r>
      <w:r w:rsidRPr="0039097A">
        <w:rPr>
          <w:rFonts w:ascii="Verdana" w:hAnsi="Verdana"/>
          <w:sz w:val="20"/>
          <w:szCs w:val="20"/>
        </w:rPr>
        <w:t xml:space="preserve"> personas: a) </w:t>
      </w:r>
      <w:r w:rsidRPr="00CA1127">
        <w:rPr>
          <w:rFonts w:ascii="Verdana" w:hAnsi="Verdana"/>
          <w:sz w:val="20"/>
          <w:szCs w:val="20"/>
        </w:rPr>
        <w:t xml:space="preserve">Diana </w:t>
      </w:r>
      <w:proofErr w:type="spellStart"/>
      <w:r w:rsidRPr="00CA1127">
        <w:rPr>
          <w:rFonts w:ascii="Verdana" w:hAnsi="Verdana"/>
          <w:sz w:val="20"/>
          <w:szCs w:val="20"/>
        </w:rPr>
        <w:t>Maidanik</w:t>
      </w:r>
      <w:proofErr w:type="spellEnd"/>
      <w:r w:rsidRPr="00CA1127">
        <w:rPr>
          <w:rFonts w:ascii="Verdana" w:hAnsi="Verdana"/>
          <w:sz w:val="20"/>
          <w:szCs w:val="20"/>
        </w:rPr>
        <w:t xml:space="preserve"> </w:t>
      </w:r>
      <w:proofErr w:type="spellStart"/>
      <w:r w:rsidRPr="00CA1127">
        <w:rPr>
          <w:rFonts w:ascii="Verdana" w:hAnsi="Verdana"/>
          <w:sz w:val="20"/>
          <w:szCs w:val="20"/>
        </w:rPr>
        <w:t>Potasnik</w:t>
      </w:r>
      <w:proofErr w:type="spellEnd"/>
      <w:r w:rsidRPr="004B4E03">
        <w:rPr>
          <w:rFonts w:ascii="Verdana" w:hAnsi="Verdana"/>
          <w:sz w:val="20"/>
          <w:szCs w:val="20"/>
        </w:rPr>
        <w:t xml:space="preserve">, y sus familiares: </w:t>
      </w:r>
      <w:r w:rsidR="00B718AC" w:rsidRPr="00617293">
        <w:rPr>
          <w:rFonts w:ascii="Verdana" w:hAnsi="Verdana"/>
          <w:sz w:val="20"/>
          <w:szCs w:val="20"/>
        </w:rPr>
        <w:t xml:space="preserve">Flora </w:t>
      </w:r>
      <w:proofErr w:type="spellStart"/>
      <w:r w:rsidR="00B718AC" w:rsidRPr="00617293">
        <w:rPr>
          <w:rFonts w:ascii="Verdana" w:hAnsi="Verdana"/>
          <w:sz w:val="20"/>
          <w:szCs w:val="20"/>
        </w:rPr>
        <w:t>Potasnik</w:t>
      </w:r>
      <w:proofErr w:type="spellEnd"/>
      <w:r w:rsidR="00B718AC" w:rsidRPr="00617293">
        <w:rPr>
          <w:rFonts w:ascii="Verdana" w:hAnsi="Verdana"/>
          <w:sz w:val="20"/>
          <w:szCs w:val="20"/>
        </w:rPr>
        <w:t xml:space="preserve"> (madre)</w:t>
      </w:r>
      <w:r w:rsidR="00B718AC">
        <w:rPr>
          <w:rFonts w:ascii="Verdana" w:hAnsi="Verdana"/>
          <w:sz w:val="20"/>
          <w:szCs w:val="20"/>
        </w:rPr>
        <w:t xml:space="preserve"> y </w:t>
      </w:r>
      <w:r w:rsidRPr="004B4E03">
        <w:rPr>
          <w:rFonts w:ascii="Verdana" w:hAnsi="Verdana"/>
          <w:sz w:val="20"/>
          <w:szCs w:val="20"/>
        </w:rPr>
        <w:t xml:space="preserve">Mónica Raquel </w:t>
      </w:r>
      <w:proofErr w:type="spellStart"/>
      <w:r w:rsidRPr="004B4E03">
        <w:rPr>
          <w:rFonts w:ascii="Verdana" w:hAnsi="Verdana"/>
          <w:sz w:val="20"/>
          <w:szCs w:val="20"/>
        </w:rPr>
        <w:t>Wodzislawski</w:t>
      </w:r>
      <w:proofErr w:type="spellEnd"/>
      <w:r w:rsidR="00BC3F3B">
        <w:rPr>
          <w:rFonts w:ascii="Verdana" w:hAnsi="Verdana"/>
          <w:sz w:val="20"/>
          <w:szCs w:val="20"/>
        </w:rPr>
        <w:t xml:space="preserve"> (prima)</w:t>
      </w:r>
      <w:r w:rsidR="005D5B8A" w:rsidRPr="00CA1127">
        <w:rPr>
          <w:rFonts w:ascii="Verdana" w:hAnsi="Verdana"/>
          <w:sz w:val="20"/>
          <w:szCs w:val="20"/>
        </w:rPr>
        <w:t xml:space="preserve"> </w:t>
      </w:r>
      <w:r w:rsidRPr="00CA1127">
        <w:rPr>
          <w:rFonts w:ascii="Verdana" w:hAnsi="Verdana"/>
          <w:sz w:val="20"/>
          <w:szCs w:val="20"/>
        </w:rPr>
        <w:t xml:space="preserve">y; b) Laura Raggio </w:t>
      </w:r>
      <w:proofErr w:type="spellStart"/>
      <w:r w:rsidRPr="00CA1127">
        <w:rPr>
          <w:rFonts w:ascii="Verdana" w:hAnsi="Verdana"/>
          <w:sz w:val="20"/>
          <w:szCs w:val="20"/>
        </w:rPr>
        <w:t>Odizzio</w:t>
      </w:r>
      <w:proofErr w:type="spellEnd"/>
      <w:r w:rsidRPr="004B4E03">
        <w:rPr>
          <w:rFonts w:ascii="Verdana" w:hAnsi="Verdana"/>
          <w:sz w:val="20"/>
          <w:szCs w:val="20"/>
        </w:rPr>
        <w:t xml:space="preserve"> y sus familiares: Marta </w:t>
      </w:r>
      <w:proofErr w:type="spellStart"/>
      <w:r w:rsidRPr="004B4E03">
        <w:rPr>
          <w:rFonts w:ascii="Verdana" w:hAnsi="Verdana"/>
          <w:sz w:val="20"/>
          <w:szCs w:val="20"/>
        </w:rPr>
        <w:t>Odizzio</w:t>
      </w:r>
      <w:proofErr w:type="spellEnd"/>
      <w:r w:rsidRPr="004B4E03">
        <w:rPr>
          <w:rFonts w:ascii="Verdana" w:hAnsi="Verdana"/>
          <w:sz w:val="20"/>
          <w:szCs w:val="20"/>
        </w:rPr>
        <w:t xml:space="preserve"> de Raggio (madre), Horacio Enrique Raggio </w:t>
      </w:r>
      <w:proofErr w:type="spellStart"/>
      <w:r w:rsidRPr="004B4E03">
        <w:rPr>
          <w:rFonts w:ascii="Verdana" w:hAnsi="Verdana"/>
          <w:sz w:val="20"/>
          <w:szCs w:val="20"/>
        </w:rPr>
        <w:t>Odizzio</w:t>
      </w:r>
      <w:proofErr w:type="spellEnd"/>
      <w:r w:rsidRPr="004B4E03">
        <w:rPr>
          <w:rFonts w:ascii="Verdana" w:hAnsi="Verdana"/>
          <w:sz w:val="20"/>
          <w:szCs w:val="20"/>
        </w:rPr>
        <w:t xml:space="preserve"> (hermano) y Daniel Raggio </w:t>
      </w:r>
      <w:proofErr w:type="spellStart"/>
      <w:r w:rsidRPr="004B4E03">
        <w:rPr>
          <w:rFonts w:ascii="Verdana" w:hAnsi="Verdana"/>
          <w:sz w:val="20"/>
          <w:szCs w:val="20"/>
        </w:rPr>
        <w:t>Odizzio</w:t>
      </w:r>
      <w:proofErr w:type="spellEnd"/>
      <w:r w:rsidRPr="004B4E03">
        <w:rPr>
          <w:rFonts w:ascii="Verdana" w:hAnsi="Verdana"/>
          <w:sz w:val="20"/>
          <w:szCs w:val="20"/>
        </w:rPr>
        <w:t xml:space="preserve"> (hermano); c) </w:t>
      </w:r>
      <w:r w:rsidR="00E66841" w:rsidRPr="00CA1127">
        <w:rPr>
          <w:rFonts w:ascii="Verdana" w:hAnsi="Verdana"/>
          <w:sz w:val="20"/>
          <w:szCs w:val="20"/>
        </w:rPr>
        <w:t>S</w:t>
      </w:r>
      <w:r w:rsidRPr="00CA1127">
        <w:rPr>
          <w:rFonts w:ascii="Verdana" w:hAnsi="Verdana"/>
          <w:sz w:val="20"/>
          <w:szCs w:val="20"/>
        </w:rPr>
        <w:t>ilvia Reyes de Barrios</w:t>
      </w:r>
      <w:r w:rsidRPr="004B4E03">
        <w:rPr>
          <w:rFonts w:ascii="Verdana" w:hAnsi="Verdana"/>
          <w:sz w:val="20"/>
          <w:szCs w:val="20"/>
        </w:rPr>
        <w:t xml:space="preserve"> y sus familiares: </w:t>
      </w:r>
      <w:r w:rsidR="002965C5">
        <w:rPr>
          <w:rFonts w:ascii="Verdana" w:hAnsi="Verdana"/>
          <w:sz w:val="20"/>
          <w:szCs w:val="20"/>
        </w:rPr>
        <w:t xml:space="preserve">Arturo Ricardo Reyes </w:t>
      </w:r>
      <w:proofErr w:type="spellStart"/>
      <w:r w:rsidR="002965C5">
        <w:rPr>
          <w:rFonts w:ascii="Verdana" w:hAnsi="Verdana"/>
          <w:sz w:val="20"/>
          <w:szCs w:val="20"/>
        </w:rPr>
        <w:t>Gaetá</w:t>
      </w:r>
      <w:r w:rsidR="00FA54C8" w:rsidRPr="00CA1127">
        <w:rPr>
          <w:rFonts w:ascii="Verdana" w:hAnsi="Verdana"/>
          <w:sz w:val="20"/>
          <w:szCs w:val="20"/>
        </w:rPr>
        <w:t>n</w:t>
      </w:r>
      <w:proofErr w:type="spellEnd"/>
      <w:r w:rsidR="00FA54C8" w:rsidRPr="00CA1127">
        <w:rPr>
          <w:rFonts w:ascii="Verdana" w:hAnsi="Verdana"/>
          <w:sz w:val="20"/>
          <w:szCs w:val="20"/>
        </w:rPr>
        <w:t xml:space="preserve"> (padre), Celia Natividad </w:t>
      </w:r>
      <w:proofErr w:type="spellStart"/>
      <w:r w:rsidR="00FA54C8" w:rsidRPr="00CA1127">
        <w:rPr>
          <w:rFonts w:ascii="Verdana" w:hAnsi="Verdana"/>
          <w:sz w:val="20"/>
          <w:szCs w:val="20"/>
        </w:rPr>
        <w:t>Sedarri</w:t>
      </w:r>
      <w:proofErr w:type="spellEnd"/>
      <w:r w:rsidR="00FA54C8" w:rsidRPr="00CA1127">
        <w:rPr>
          <w:rFonts w:ascii="Verdana" w:hAnsi="Verdana"/>
          <w:sz w:val="20"/>
          <w:szCs w:val="20"/>
        </w:rPr>
        <w:t xml:space="preserve"> Aparicio</w:t>
      </w:r>
      <w:r w:rsidR="00FA54C8" w:rsidRPr="004B4E03">
        <w:rPr>
          <w:rFonts w:ascii="Verdana" w:hAnsi="Verdana"/>
          <w:sz w:val="20"/>
          <w:szCs w:val="20"/>
        </w:rPr>
        <w:t xml:space="preserve"> (madre), Estela Reyes </w:t>
      </w:r>
      <w:proofErr w:type="spellStart"/>
      <w:r w:rsidR="00FA54C8" w:rsidRPr="004B4E03">
        <w:rPr>
          <w:rFonts w:ascii="Verdana" w:hAnsi="Verdana"/>
          <w:sz w:val="20"/>
          <w:szCs w:val="20"/>
        </w:rPr>
        <w:t>Sedarri</w:t>
      </w:r>
      <w:proofErr w:type="spellEnd"/>
      <w:r w:rsidR="00FA54C8" w:rsidRPr="004B4E03">
        <w:rPr>
          <w:rFonts w:ascii="Verdana" w:hAnsi="Verdana"/>
          <w:sz w:val="20"/>
          <w:szCs w:val="20"/>
        </w:rPr>
        <w:t xml:space="preserve"> (hermana),</w:t>
      </w:r>
      <w:r w:rsidR="00FA54C8" w:rsidRPr="00CA1127">
        <w:rPr>
          <w:rFonts w:ascii="Verdana" w:hAnsi="Verdana"/>
          <w:sz w:val="20"/>
          <w:szCs w:val="20"/>
        </w:rPr>
        <w:t xml:space="preserve"> </w:t>
      </w:r>
      <w:proofErr w:type="spellStart"/>
      <w:r w:rsidR="00FA54C8" w:rsidRPr="00CA1127">
        <w:rPr>
          <w:rFonts w:ascii="Verdana" w:hAnsi="Verdana"/>
          <w:sz w:val="20"/>
          <w:szCs w:val="20"/>
        </w:rPr>
        <w:t>Whashington</w:t>
      </w:r>
      <w:proofErr w:type="spellEnd"/>
      <w:r w:rsidR="00FA54C8" w:rsidRPr="00CA1127">
        <w:rPr>
          <w:rFonts w:ascii="Verdana" w:hAnsi="Verdana"/>
          <w:sz w:val="20"/>
          <w:szCs w:val="20"/>
        </w:rPr>
        <w:t xml:space="preserve"> Javier Barrios Fernández (esposo)</w:t>
      </w:r>
      <w:r w:rsidR="00FA54C8" w:rsidRPr="004B4E03">
        <w:rPr>
          <w:rFonts w:ascii="Verdana" w:hAnsi="Verdana"/>
          <w:sz w:val="20"/>
          <w:szCs w:val="20"/>
        </w:rPr>
        <w:t xml:space="preserve">, </w:t>
      </w:r>
      <w:r w:rsidR="00FA54C8" w:rsidRPr="00CA1127">
        <w:rPr>
          <w:rFonts w:ascii="Verdana" w:hAnsi="Verdana"/>
          <w:sz w:val="20"/>
          <w:szCs w:val="20"/>
        </w:rPr>
        <w:t xml:space="preserve">Washington Barrios (suegro), </w:t>
      </w:r>
      <w:r w:rsidR="00E3178B">
        <w:rPr>
          <w:rFonts w:ascii="Verdana" w:hAnsi="Verdana"/>
          <w:sz w:val="20"/>
          <w:szCs w:val="20"/>
        </w:rPr>
        <w:t xml:space="preserve">Hilda </w:t>
      </w:r>
      <w:r w:rsidR="00FA54C8" w:rsidRPr="00CA1127">
        <w:rPr>
          <w:rFonts w:ascii="Verdana" w:hAnsi="Verdana"/>
          <w:sz w:val="20"/>
          <w:szCs w:val="20"/>
        </w:rPr>
        <w:lastRenderedPageBreak/>
        <w:t>María Fern</w:t>
      </w:r>
      <w:r w:rsidR="00240E12">
        <w:rPr>
          <w:rFonts w:ascii="Verdana" w:hAnsi="Verdana"/>
          <w:sz w:val="20"/>
          <w:szCs w:val="20"/>
        </w:rPr>
        <w:t>ández</w:t>
      </w:r>
      <w:r w:rsidR="00FA54C8" w:rsidRPr="00CA1127">
        <w:rPr>
          <w:rFonts w:ascii="Verdana" w:hAnsi="Verdana"/>
          <w:sz w:val="20"/>
          <w:szCs w:val="20"/>
        </w:rPr>
        <w:t xml:space="preserve"> Rodríguez (suegra)</w:t>
      </w:r>
      <w:r w:rsidR="00FA54C8" w:rsidRPr="004B4E03">
        <w:rPr>
          <w:rFonts w:ascii="Verdana" w:hAnsi="Verdana"/>
          <w:sz w:val="20"/>
          <w:szCs w:val="20"/>
        </w:rPr>
        <w:t xml:space="preserve"> y Jaqueline Barrios Fernández (cuña</w:t>
      </w:r>
      <w:r w:rsidR="00BC3F3B">
        <w:rPr>
          <w:rFonts w:ascii="Verdana" w:hAnsi="Verdana"/>
          <w:sz w:val="20"/>
          <w:szCs w:val="20"/>
        </w:rPr>
        <w:t>da, hija de Washington Barrios e Hilda</w:t>
      </w:r>
      <w:r w:rsidR="00FA54C8" w:rsidRPr="004B4E03">
        <w:rPr>
          <w:rFonts w:ascii="Verdana" w:hAnsi="Verdana"/>
          <w:sz w:val="20"/>
          <w:szCs w:val="20"/>
        </w:rPr>
        <w:t xml:space="preserve"> María Fern</w:t>
      </w:r>
      <w:r w:rsidR="00240E12">
        <w:rPr>
          <w:rFonts w:ascii="Verdana" w:hAnsi="Verdana"/>
          <w:sz w:val="20"/>
          <w:szCs w:val="20"/>
        </w:rPr>
        <w:t>á</w:t>
      </w:r>
      <w:r w:rsidR="00FA54C8" w:rsidRPr="004B4E03">
        <w:rPr>
          <w:rFonts w:ascii="Verdana" w:hAnsi="Verdana"/>
          <w:sz w:val="20"/>
          <w:szCs w:val="20"/>
        </w:rPr>
        <w:t>nd</w:t>
      </w:r>
      <w:r w:rsidR="00240E12">
        <w:rPr>
          <w:rFonts w:ascii="Verdana" w:hAnsi="Verdana"/>
          <w:sz w:val="20"/>
          <w:szCs w:val="20"/>
        </w:rPr>
        <w:t>ez</w:t>
      </w:r>
      <w:r w:rsidR="00FA54C8" w:rsidRPr="004B4E03">
        <w:rPr>
          <w:rFonts w:ascii="Verdana" w:hAnsi="Verdana"/>
          <w:sz w:val="20"/>
          <w:szCs w:val="20"/>
        </w:rPr>
        <w:t xml:space="preserve"> Rodríguez)</w:t>
      </w:r>
      <w:r w:rsidRPr="00CA1127">
        <w:rPr>
          <w:rFonts w:ascii="Verdana" w:hAnsi="Verdana"/>
          <w:sz w:val="20"/>
          <w:szCs w:val="20"/>
        </w:rPr>
        <w:t xml:space="preserve">; d) Luis Eduardo González </w:t>
      </w:r>
      <w:proofErr w:type="spellStart"/>
      <w:r w:rsidRPr="00CA1127">
        <w:rPr>
          <w:rFonts w:ascii="Verdana" w:hAnsi="Verdana"/>
          <w:sz w:val="20"/>
          <w:szCs w:val="20"/>
        </w:rPr>
        <w:t>González</w:t>
      </w:r>
      <w:proofErr w:type="spellEnd"/>
      <w:r w:rsidRPr="004B4E03">
        <w:rPr>
          <w:rFonts w:ascii="Verdana" w:hAnsi="Verdana"/>
          <w:sz w:val="20"/>
          <w:szCs w:val="20"/>
        </w:rPr>
        <w:t xml:space="preserve"> y sus familiares: Amalia González de González (madre), Elena Zaffaroni Rocco</w:t>
      </w:r>
      <w:r w:rsidR="00D657DD" w:rsidRPr="00CA1127">
        <w:rPr>
          <w:rFonts w:ascii="Verdana" w:hAnsi="Verdana"/>
          <w:sz w:val="20"/>
          <w:szCs w:val="20"/>
        </w:rPr>
        <w:t xml:space="preserve"> (esposa)</w:t>
      </w:r>
      <w:r w:rsidR="00865CB0" w:rsidRPr="00CA1127">
        <w:rPr>
          <w:rFonts w:ascii="Verdana" w:hAnsi="Verdana"/>
          <w:sz w:val="20"/>
          <w:szCs w:val="20"/>
        </w:rPr>
        <w:t>;</w:t>
      </w:r>
      <w:r w:rsidRPr="00CA1127">
        <w:rPr>
          <w:rFonts w:ascii="Verdana" w:hAnsi="Verdana"/>
          <w:sz w:val="20"/>
          <w:szCs w:val="20"/>
        </w:rPr>
        <w:t xml:space="preserve"> y e) </w:t>
      </w:r>
      <w:r w:rsidR="00D657DD" w:rsidRPr="00CA1127">
        <w:rPr>
          <w:rFonts w:ascii="Verdana" w:hAnsi="Verdana"/>
          <w:sz w:val="20"/>
          <w:szCs w:val="20"/>
        </w:rPr>
        <w:t>Ó</w:t>
      </w:r>
      <w:r w:rsidRPr="00CA1127">
        <w:rPr>
          <w:rFonts w:ascii="Verdana" w:hAnsi="Verdana"/>
          <w:sz w:val="20"/>
          <w:szCs w:val="20"/>
        </w:rPr>
        <w:t xml:space="preserve">scar </w:t>
      </w:r>
      <w:proofErr w:type="spellStart"/>
      <w:r w:rsidRPr="00CA1127">
        <w:rPr>
          <w:rFonts w:ascii="Verdana" w:hAnsi="Verdana"/>
          <w:sz w:val="20"/>
          <w:szCs w:val="20"/>
        </w:rPr>
        <w:t>Tassino</w:t>
      </w:r>
      <w:proofErr w:type="spellEnd"/>
      <w:r w:rsidRPr="00CA1127">
        <w:rPr>
          <w:rFonts w:ascii="Verdana" w:hAnsi="Verdana"/>
          <w:sz w:val="20"/>
          <w:szCs w:val="20"/>
        </w:rPr>
        <w:t xml:space="preserve"> </w:t>
      </w:r>
      <w:proofErr w:type="spellStart"/>
      <w:r w:rsidRPr="00CA1127">
        <w:rPr>
          <w:rFonts w:ascii="Verdana" w:hAnsi="Verdana"/>
          <w:sz w:val="20"/>
          <w:szCs w:val="20"/>
        </w:rPr>
        <w:t>Asteazu</w:t>
      </w:r>
      <w:proofErr w:type="spellEnd"/>
      <w:r w:rsidRPr="004B4E03">
        <w:rPr>
          <w:rFonts w:ascii="Verdana" w:hAnsi="Verdana"/>
          <w:sz w:val="20"/>
          <w:szCs w:val="20"/>
        </w:rPr>
        <w:t xml:space="preserve"> y sus familiares: </w:t>
      </w:r>
      <w:proofErr w:type="spellStart"/>
      <w:r w:rsidRPr="004B4E03">
        <w:rPr>
          <w:rFonts w:ascii="Verdana" w:hAnsi="Verdana"/>
          <w:sz w:val="20"/>
          <w:szCs w:val="20"/>
        </w:rPr>
        <w:t>Disnarda</w:t>
      </w:r>
      <w:proofErr w:type="spellEnd"/>
      <w:r w:rsidRPr="004B4E03">
        <w:rPr>
          <w:rFonts w:ascii="Verdana" w:hAnsi="Verdana"/>
          <w:sz w:val="20"/>
          <w:szCs w:val="20"/>
        </w:rPr>
        <w:t xml:space="preserve"> Ema Flores Soler de </w:t>
      </w:r>
      <w:proofErr w:type="spellStart"/>
      <w:r w:rsidRPr="004B4E03">
        <w:rPr>
          <w:rFonts w:ascii="Verdana" w:hAnsi="Verdana"/>
          <w:sz w:val="20"/>
          <w:szCs w:val="20"/>
        </w:rPr>
        <w:t>Tassino</w:t>
      </w:r>
      <w:proofErr w:type="spellEnd"/>
      <w:r w:rsidRPr="004B4E03">
        <w:rPr>
          <w:rFonts w:ascii="Verdana" w:hAnsi="Verdana"/>
          <w:sz w:val="20"/>
          <w:szCs w:val="20"/>
        </w:rPr>
        <w:t xml:space="preserve"> (esposa)</w:t>
      </w:r>
      <w:r w:rsidR="00865CB0" w:rsidRPr="004B4E03">
        <w:rPr>
          <w:rFonts w:ascii="Verdana" w:hAnsi="Verdana"/>
          <w:sz w:val="20"/>
          <w:szCs w:val="20"/>
        </w:rPr>
        <w:t>,</w:t>
      </w:r>
      <w:r w:rsidRPr="00CA1127">
        <w:rPr>
          <w:rFonts w:ascii="Verdana" w:hAnsi="Verdana"/>
          <w:sz w:val="20"/>
          <w:szCs w:val="20"/>
        </w:rPr>
        <w:t xml:space="preserve"> Karina Teresa </w:t>
      </w:r>
      <w:proofErr w:type="spellStart"/>
      <w:r w:rsidRPr="00CA1127">
        <w:rPr>
          <w:rFonts w:ascii="Verdana" w:hAnsi="Verdana"/>
          <w:sz w:val="20"/>
          <w:szCs w:val="20"/>
        </w:rPr>
        <w:t>Tassino</w:t>
      </w:r>
      <w:proofErr w:type="spellEnd"/>
      <w:r w:rsidRPr="00CA1127">
        <w:rPr>
          <w:rFonts w:ascii="Verdana" w:hAnsi="Verdana"/>
          <w:sz w:val="20"/>
          <w:szCs w:val="20"/>
        </w:rPr>
        <w:t xml:space="preserve"> (hija)</w:t>
      </w:r>
      <w:r w:rsidR="00865CB0" w:rsidRPr="00CA1127">
        <w:rPr>
          <w:rFonts w:ascii="Verdana" w:hAnsi="Verdana"/>
          <w:sz w:val="20"/>
          <w:szCs w:val="20"/>
        </w:rPr>
        <w:t>,</w:t>
      </w:r>
      <w:r w:rsidR="00D657DD" w:rsidRPr="00CA1127">
        <w:rPr>
          <w:rFonts w:ascii="Verdana" w:hAnsi="Verdana"/>
          <w:sz w:val="20"/>
          <w:szCs w:val="20"/>
        </w:rPr>
        <w:t xml:space="preserve"> </w:t>
      </w:r>
      <w:r w:rsidRPr="00CA1127">
        <w:rPr>
          <w:rFonts w:ascii="Verdana" w:hAnsi="Verdana"/>
          <w:sz w:val="20"/>
          <w:szCs w:val="20"/>
        </w:rPr>
        <w:t xml:space="preserve">Javier </w:t>
      </w:r>
      <w:proofErr w:type="spellStart"/>
      <w:r w:rsidRPr="00CA1127">
        <w:rPr>
          <w:rFonts w:ascii="Verdana" w:hAnsi="Verdana"/>
          <w:sz w:val="20"/>
          <w:szCs w:val="20"/>
        </w:rPr>
        <w:t>Tassino</w:t>
      </w:r>
      <w:proofErr w:type="spellEnd"/>
      <w:r w:rsidRPr="00CA1127">
        <w:rPr>
          <w:rFonts w:ascii="Verdana" w:hAnsi="Verdana"/>
          <w:sz w:val="20"/>
          <w:szCs w:val="20"/>
        </w:rPr>
        <w:t xml:space="preserve"> (hermano) y Álvaro Luis </w:t>
      </w:r>
      <w:proofErr w:type="spellStart"/>
      <w:r w:rsidRPr="00CA1127">
        <w:rPr>
          <w:rFonts w:ascii="Verdana" w:hAnsi="Verdana"/>
          <w:sz w:val="20"/>
          <w:szCs w:val="20"/>
        </w:rPr>
        <w:t>Tassino</w:t>
      </w:r>
      <w:proofErr w:type="spellEnd"/>
      <w:r w:rsidRPr="00CA1127">
        <w:rPr>
          <w:rFonts w:ascii="Verdana" w:hAnsi="Verdana"/>
          <w:sz w:val="20"/>
          <w:szCs w:val="20"/>
        </w:rPr>
        <w:t xml:space="preserve"> (hermano)</w:t>
      </w:r>
      <w:r w:rsidR="00B718AC">
        <w:rPr>
          <w:rFonts w:ascii="Verdana" w:hAnsi="Verdana"/>
          <w:sz w:val="20"/>
          <w:szCs w:val="20"/>
        </w:rPr>
        <w:t xml:space="preserve"> (</w:t>
      </w:r>
      <w:r w:rsidR="00B718AC">
        <w:rPr>
          <w:rFonts w:ascii="Verdana" w:hAnsi="Verdana"/>
          <w:i/>
          <w:sz w:val="20"/>
          <w:szCs w:val="20"/>
        </w:rPr>
        <w:t xml:space="preserve">infra </w:t>
      </w:r>
      <w:proofErr w:type="spellStart"/>
      <w:r w:rsidR="00B718AC">
        <w:rPr>
          <w:rFonts w:ascii="Verdana" w:hAnsi="Verdana"/>
          <w:sz w:val="20"/>
          <w:szCs w:val="20"/>
        </w:rPr>
        <w:t>párrs</w:t>
      </w:r>
      <w:proofErr w:type="spellEnd"/>
      <w:r w:rsidR="00B718AC">
        <w:rPr>
          <w:rFonts w:ascii="Verdana" w:hAnsi="Verdana"/>
          <w:sz w:val="20"/>
          <w:szCs w:val="20"/>
        </w:rPr>
        <w:t>.</w:t>
      </w:r>
      <w:r w:rsidR="00695924">
        <w:rPr>
          <w:rFonts w:ascii="Verdana" w:hAnsi="Verdana"/>
          <w:sz w:val="20"/>
          <w:szCs w:val="20"/>
        </w:rPr>
        <w:t xml:space="preserve"> 49 a 53</w:t>
      </w:r>
      <w:r w:rsidR="00B718AC">
        <w:rPr>
          <w:rFonts w:ascii="Verdana" w:hAnsi="Verdana"/>
          <w:sz w:val="20"/>
          <w:szCs w:val="20"/>
        </w:rPr>
        <w:t>)</w:t>
      </w:r>
      <w:r w:rsidRPr="004B4E03">
        <w:rPr>
          <w:rFonts w:ascii="Verdana" w:hAnsi="Verdana"/>
          <w:sz w:val="20"/>
          <w:szCs w:val="20"/>
        </w:rPr>
        <w:t xml:space="preserve"> </w:t>
      </w:r>
    </w:p>
    <w:p w14:paraId="5DFC1528" w14:textId="77777777" w:rsidR="00FD0466" w:rsidRPr="0039097A" w:rsidRDefault="00FD0466" w:rsidP="005A5029">
      <w:pPr>
        <w:pStyle w:val="Prrafodelista"/>
        <w:spacing w:line="240" w:lineRule="exact"/>
        <w:ind w:left="0"/>
        <w:jc w:val="both"/>
        <w:rPr>
          <w:rFonts w:ascii="Verdana" w:hAnsi="Verdana"/>
          <w:sz w:val="20"/>
        </w:rPr>
      </w:pPr>
    </w:p>
    <w:p w14:paraId="2AC484B0" w14:textId="7B00E1D4" w:rsidR="00FD0466" w:rsidRPr="000F5A15" w:rsidRDefault="00FD0466" w:rsidP="005A5029">
      <w:pPr>
        <w:pStyle w:val="Prrafodelista"/>
        <w:numPr>
          <w:ilvl w:val="0"/>
          <w:numId w:val="2"/>
        </w:numPr>
        <w:spacing w:line="240" w:lineRule="exact"/>
        <w:ind w:left="0" w:firstLine="0"/>
        <w:jc w:val="both"/>
      </w:pPr>
      <w:r w:rsidRPr="0039097A">
        <w:rPr>
          <w:rFonts w:ascii="Verdana" w:hAnsi="Verdana"/>
          <w:sz w:val="20"/>
        </w:rPr>
        <w:t xml:space="preserve">Los </w:t>
      </w:r>
      <w:r w:rsidRPr="0039097A">
        <w:rPr>
          <w:rFonts w:ascii="Verdana" w:hAnsi="Verdana"/>
          <w:b/>
          <w:i/>
          <w:sz w:val="20"/>
        </w:rPr>
        <w:t>representantes</w:t>
      </w:r>
      <w:r w:rsidRPr="0039097A">
        <w:rPr>
          <w:rFonts w:ascii="Verdana" w:hAnsi="Verdana"/>
          <w:sz w:val="20"/>
        </w:rPr>
        <w:t xml:space="preserve"> </w:t>
      </w:r>
      <w:r w:rsidRPr="0039097A">
        <w:rPr>
          <w:rFonts w:ascii="Verdana" w:hAnsi="Verdana"/>
          <w:sz w:val="20"/>
          <w:szCs w:val="20"/>
        </w:rPr>
        <w:t>señalaron como una de las víctimas del caso a Emiliano Galván Reyes, quien no fue tenido como víctima por la Comisión</w:t>
      </w:r>
      <w:r w:rsidR="00D657DD">
        <w:rPr>
          <w:rFonts w:ascii="Verdana" w:hAnsi="Verdana"/>
          <w:sz w:val="20"/>
          <w:szCs w:val="20"/>
        </w:rPr>
        <w:t xml:space="preserve">. </w:t>
      </w:r>
      <w:r w:rsidRPr="0039097A">
        <w:rPr>
          <w:rFonts w:ascii="Verdana" w:hAnsi="Verdana"/>
          <w:sz w:val="20"/>
          <w:szCs w:val="20"/>
        </w:rPr>
        <w:t xml:space="preserve">Además, señalaron que Daniel Edgardo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Raúl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hermanos de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comparecen en representación de su madre, Amalia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quien por </w:t>
      </w:r>
      <w:r w:rsidR="00865CB0">
        <w:rPr>
          <w:rFonts w:ascii="Verdana" w:hAnsi="Verdana"/>
          <w:sz w:val="20"/>
          <w:szCs w:val="20"/>
        </w:rPr>
        <w:t>la edad</w:t>
      </w:r>
      <w:r w:rsidRPr="0039097A">
        <w:rPr>
          <w:rFonts w:ascii="Verdana" w:hAnsi="Verdana"/>
          <w:sz w:val="20"/>
          <w:szCs w:val="20"/>
        </w:rPr>
        <w:t xml:space="preserve"> avanzada</w:t>
      </w:r>
      <w:r w:rsidR="00865CB0">
        <w:rPr>
          <w:rFonts w:ascii="Verdana" w:hAnsi="Verdana"/>
          <w:sz w:val="20"/>
          <w:szCs w:val="20"/>
        </w:rPr>
        <w:t xml:space="preserve"> que tenía </w:t>
      </w:r>
      <w:r w:rsidRPr="0039097A">
        <w:rPr>
          <w:rFonts w:ascii="Verdana" w:hAnsi="Verdana"/>
          <w:sz w:val="20"/>
          <w:szCs w:val="20"/>
        </w:rPr>
        <w:t xml:space="preserve">no pudo otorgar poder de representación, acto que sí pudieron hacer </w:t>
      </w:r>
      <w:r>
        <w:rPr>
          <w:rFonts w:ascii="Verdana" w:hAnsi="Verdana"/>
          <w:sz w:val="20"/>
          <w:szCs w:val="20"/>
        </w:rPr>
        <w:t>ellos</w:t>
      </w:r>
      <w:r w:rsidRPr="0039097A">
        <w:rPr>
          <w:rFonts w:ascii="Verdana" w:hAnsi="Verdana"/>
          <w:sz w:val="20"/>
          <w:szCs w:val="20"/>
        </w:rPr>
        <w:t>.</w:t>
      </w:r>
      <w:r w:rsidRPr="0039097A">
        <w:rPr>
          <w:rFonts w:ascii="Verdana" w:hAnsi="Verdana"/>
          <w:sz w:val="16"/>
          <w:szCs w:val="16"/>
        </w:rPr>
        <w:t xml:space="preserve"> </w:t>
      </w:r>
    </w:p>
    <w:p w14:paraId="50230FA8" w14:textId="77777777" w:rsidR="00FD0466" w:rsidRPr="0039097A" w:rsidRDefault="00FD0466" w:rsidP="005A5029">
      <w:pPr>
        <w:pStyle w:val="Prrafodelista"/>
        <w:spacing w:line="240" w:lineRule="exact"/>
        <w:rPr>
          <w:rFonts w:ascii="Verdana" w:hAnsi="Verdana"/>
          <w:sz w:val="20"/>
        </w:rPr>
      </w:pPr>
    </w:p>
    <w:p w14:paraId="6C1C70F4" w14:textId="77777777" w:rsidR="00FD0466" w:rsidRPr="0039097A" w:rsidRDefault="00FD0466" w:rsidP="005A5029">
      <w:pPr>
        <w:pStyle w:val="Prrafodelista"/>
        <w:numPr>
          <w:ilvl w:val="0"/>
          <w:numId w:val="2"/>
        </w:numPr>
        <w:spacing w:line="240" w:lineRule="exact"/>
        <w:ind w:left="0" w:firstLine="0"/>
        <w:jc w:val="both"/>
        <w:rPr>
          <w:rFonts w:ascii="Verdana" w:hAnsi="Verdana"/>
          <w:sz w:val="20"/>
          <w:szCs w:val="20"/>
        </w:rPr>
      </w:pPr>
      <w:r w:rsidRPr="0039097A">
        <w:rPr>
          <w:rFonts w:ascii="Verdana" w:hAnsi="Verdana"/>
          <w:sz w:val="20"/>
          <w:szCs w:val="20"/>
        </w:rPr>
        <w:t>El artículo 35.1 del Reglamento dispone que el caso será sometido a la Corte mediante la presentación del Informe de Fondo de la Comisión, el cual deberá contener “la identificación de las presuntas víctimas”. De conformidad con dicha norma, corresponde a la Comisión y no a este Tribunal identificar con precisión y en la debida oportunidad procesal a las presuntas víctimas en un caso ante la Corte. La seguridad jurídica exige, como regla general, que todas las presuntas víctimas estén debidamente identificadas en el Informe de Fondo, no siendo posible añadir nuevas presuntas víctimas luego del mismo, salvo en la circunstancia excepcional contemplada en el artículo 35.2 del Reglamento de la Corte, referido a violaciones masivas o colectivas.</w:t>
      </w:r>
    </w:p>
    <w:p w14:paraId="1A262113" w14:textId="77777777" w:rsidR="00FD0466" w:rsidRPr="0039097A" w:rsidRDefault="00FD0466" w:rsidP="005A5029">
      <w:pPr>
        <w:pStyle w:val="Prrafodelista"/>
        <w:spacing w:line="240" w:lineRule="exact"/>
        <w:rPr>
          <w:rFonts w:ascii="Verdana" w:hAnsi="Verdana"/>
          <w:sz w:val="20"/>
          <w:szCs w:val="20"/>
        </w:rPr>
      </w:pPr>
    </w:p>
    <w:p w14:paraId="43CFA70D" w14:textId="3772FAF4" w:rsidR="00FD0466" w:rsidRDefault="00FD0466" w:rsidP="005A5029">
      <w:pPr>
        <w:pStyle w:val="Prrafodelista"/>
        <w:numPr>
          <w:ilvl w:val="0"/>
          <w:numId w:val="2"/>
        </w:numPr>
        <w:spacing w:line="240" w:lineRule="exact"/>
        <w:ind w:left="0" w:firstLine="0"/>
        <w:jc w:val="both"/>
        <w:rPr>
          <w:rFonts w:ascii="Verdana" w:hAnsi="Verdana"/>
          <w:sz w:val="20"/>
          <w:szCs w:val="20"/>
        </w:rPr>
      </w:pPr>
      <w:r w:rsidRPr="0039097A">
        <w:rPr>
          <w:rFonts w:ascii="Verdana" w:hAnsi="Verdana"/>
          <w:sz w:val="20"/>
          <w:szCs w:val="20"/>
        </w:rPr>
        <w:t>El artículo 35.2 no resulta aplicable al caso, que no refiere a hechos masivos o colectivos. Por ende, la Corte no considerará como presuntas víctimas</w:t>
      </w:r>
      <w:r>
        <w:rPr>
          <w:rFonts w:ascii="Verdana" w:hAnsi="Verdana"/>
          <w:sz w:val="20"/>
          <w:szCs w:val="20"/>
        </w:rPr>
        <w:t xml:space="preserve"> ni, en su caso, como beneficiarias de medidas de reparación,</w:t>
      </w:r>
      <w:r w:rsidRPr="0039097A">
        <w:rPr>
          <w:rFonts w:ascii="Verdana" w:hAnsi="Verdana"/>
          <w:sz w:val="20"/>
          <w:szCs w:val="20"/>
        </w:rPr>
        <w:t xml:space="preserve"> a </w:t>
      </w:r>
      <w:r>
        <w:rPr>
          <w:rFonts w:ascii="Verdana" w:hAnsi="Verdana"/>
          <w:sz w:val="20"/>
          <w:szCs w:val="20"/>
        </w:rPr>
        <w:t xml:space="preserve">las siguientes </w:t>
      </w:r>
      <w:r w:rsidRPr="0039097A">
        <w:rPr>
          <w:rFonts w:ascii="Verdana" w:hAnsi="Verdana"/>
          <w:sz w:val="20"/>
          <w:szCs w:val="20"/>
        </w:rPr>
        <w:t>personas nombradas por los representantes</w:t>
      </w:r>
      <w:r>
        <w:rPr>
          <w:rFonts w:ascii="Verdana" w:hAnsi="Verdana"/>
          <w:sz w:val="20"/>
          <w:szCs w:val="20"/>
        </w:rPr>
        <w:t>,</w:t>
      </w:r>
      <w:r w:rsidRPr="0039097A">
        <w:rPr>
          <w:rFonts w:ascii="Verdana" w:hAnsi="Verdana"/>
          <w:sz w:val="20"/>
          <w:szCs w:val="20"/>
        </w:rPr>
        <w:t xml:space="preserve"> que no fueron indicadas por la Comisión en el Informe de Fondo</w:t>
      </w:r>
      <w:r>
        <w:rPr>
          <w:rFonts w:ascii="Verdana" w:hAnsi="Verdana"/>
          <w:sz w:val="20"/>
          <w:szCs w:val="20"/>
        </w:rPr>
        <w:t xml:space="preserve">:  </w:t>
      </w:r>
      <w:r w:rsidRPr="0039097A">
        <w:rPr>
          <w:rFonts w:ascii="Verdana" w:hAnsi="Verdana"/>
          <w:sz w:val="20"/>
          <w:szCs w:val="20"/>
        </w:rPr>
        <w:t xml:space="preserve">Emiliano Galván Reyes, Daniel Edgardo González </w:t>
      </w:r>
      <w:proofErr w:type="spellStart"/>
      <w:r w:rsidRPr="0039097A">
        <w:rPr>
          <w:rFonts w:ascii="Verdana" w:hAnsi="Verdana"/>
          <w:sz w:val="20"/>
          <w:szCs w:val="20"/>
        </w:rPr>
        <w:t>González</w:t>
      </w:r>
      <w:proofErr w:type="spellEnd"/>
      <w:r>
        <w:rPr>
          <w:rFonts w:ascii="Verdana" w:hAnsi="Verdana"/>
          <w:sz w:val="20"/>
          <w:szCs w:val="20"/>
        </w:rPr>
        <w:t xml:space="preserve"> y</w:t>
      </w:r>
      <w:r w:rsidRPr="0039097A">
        <w:rPr>
          <w:rFonts w:ascii="Verdana" w:hAnsi="Verdana"/>
          <w:sz w:val="20"/>
          <w:szCs w:val="20"/>
        </w:rPr>
        <w:t xml:space="preserve"> </w:t>
      </w:r>
      <w:r>
        <w:rPr>
          <w:rFonts w:ascii="Verdana" w:hAnsi="Verdana"/>
          <w:sz w:val="20"/>
          <w:szCs w:val="20"/>
        </w:rPr>
        <w:t xml:space="preserve">Raúl González </w:t>
      </w:r>
      <w:proofErr w:type="spellStart"/>
      <w:r>
        <w:rPr>
          <w:rFonts w:ascii="Verdana" w:hAnsi="Verdana"/>
          <w:sz w:val="20"/>
          <w:szCs w:val="20"/>
        </w:rPr>
        <w:t>González</w:t>
      </w:r>
      <w:proofErr w:type="spellEnd"/>
      <w:r>
        <w:rPr>
          <w:rFonts w:ascii="Verdana" w:hAnsi="Verdana"/>
          <w:sz w:val="20"/>
          <w:szCs w:val="20"/>
        </w:rPr>
        <w:t>.</w:t>
      </w:r>
      <w:r w:rsidRPr="0039097A">
        <w:rPr>
          <w:rFonts w:ascii="Verdana" w:hAnsi="Verdana"/>
          <w:sz w:val="20"/>
          <w:szCs w:val="20"/>
        </w:rPr>
        <w:t xml:space="preserve"> </w:t>
      </w:r>
    </w:p>
    <w:p w14:paraId="457ED3BD" w14:textId="77777777" w:rsidR="00FD0466" w:rsidRPr="00E53751" w:rsidRDefault="00FD0466" w:rsidP="005A5029">
      <w:pPr>
        <w:pStyle w:val="Prrafodelista"/>
        <w:spacing w:line="240" w:lineRule="exact"/>
        <w:ind w:left="0"/>
        <w:jc w:val="both"/>
        <w:rPr>
          <w:rFonts w:ascii="Verdana" w:hAnsi="Verdana"/>
          <w:sz w:val="20"/>
          <w:szCs w:val="20"/>
        </w:rPr>
      </w:pPr>
    </w:p>
    <w:p w14:paraId="2D8DC2CB" w14:textId="77777777" w:rsidR="00FD0466" w:rsidRPr="0039097A" w:rsidRDefault="00FD0466" w:rsidP="005A5029">
      <w:pPr>
        <w:pStyle w:val="Prrafodelista"/>
        <w:numPr>
          <w:ilvl w:val="0"/>
          <w:numId w:val="17"/>
        </w:numPr>
        <w:spacing w:line="240" w:lineRule="exact"/>
        <w:ind w:left="284" w:firstLine="0"/>
        <w:jc w:val="both"/>
        <w:outlineLvl w:val="1"/>
        <w:rPr>
          <w:rFonts w:ascii="Verdana" w:hAnsi="Verdana"/>
          <w:b/>
          <w:i/>
          <w:sz w:val="20"/>
        </w:rPr>
      </w:pPr>
      <w:bookmarkStart w:id="9" w:name="_Toc85550383"/>
      <w:r w:rsidRPr="0039097A">
        <w:rPr>
          <w:rFonts w:ascii="Verdana" w:hAnsi="Verdana"/>
          <w:b/>
          <w:i/>
          <w:sz w:val="20"/>
        </w:rPr>
        <w:t>Respecto a la Declaración Americana de Derechos y Deberes del Hombre</w:t>
      </w:r>
      <w:bookmarkEnd w:id="9"/>
    </w:p>
    <w:p w14:paraId="3276A403" w14:textId="77777777" w:rsidR="00FD0466" w:rsidRPr="0039097A" w:rsidRDefault="00FD0466" w:rsidP="005A5029">
      <w:pPr>
        <w:pStyle w:val="Prrafodelista"/>
        <w:spacing w:line="240" w:lineRule="exact"/>
        <w:rPr>
          <w:rFonts w:ascii="Verdana" w:hAnsi="Verdana"/>
          <w:sz w:val="20"/>
          <w:szCs w:val="20"/>
        </w:rPr>
      </w:pPr>
    </w:p>
    <w:p w14:paraId="0C7EDEC2" w14:textId="0E133585" w:rsidR="00FD0466" w:rsidRPr="0039097A" w:rsidRDefault="00FD0466" w:rsidP="005A5029">
      <w:pPr>
        <w:pStyle w:val="Prrafodelista"/>
        <w:numPr>
          <w:ilvl w:val="0"/>
          <w:numId w:val="2"/>
        </w:numPr>
        <w:spacing w:line="240" w:lineRule="exact"/>
        <w:ind w:left="0" w:firstLine="0"/>
        <w:jc w:val="both"/>
        <w:rPr>
          <w:rFonts w:ascii="Verdana" w:hAnsi="Verdana"/>
          <w:sz w:val="20"/>
          <w:szCs w:val="20"/>
        </w:rPr>
      </w:pPr>
      <w:r w:rsidRPr="0039097A">
        <w:rPr>
          <w:rFonts w:ascii="Verdana" w:hAnsi="Verdana"/>
          <w:sz w:val="20"/>
          <w:szCs w:val="20"/>
        </w:rPr>
        <w:t xml:space="preserve">Los </w:t>
      </w:r>
      <w:r w:rsidRPr="0039097A">
        <w:rPr>
          <w:rFonts w:ascii="Verdana" w:hAnsi="Verdana"/>
          <w:b/>
          <w:i/>
          <w:sz w:val="20"/>
          <w:szCs w:val="20"/>
        </w:rPr>
        <w:t>representantes</w:t>
      </w:r>
      <w:r w:rsidRPr="0039097A">
        <w:rPr>
          <w:rFonts w:ascii="Verdana" w:hAnsi="Verdana"/>
          <w:sz w:val="20"/>
          <w:szCs w:val="20"/>
        </w:rPr>
        <w:t xml:space="preserve"> sostuvieron, en su escrito de solicitudes y argumentos, que “se han violado por parte del Estado los derechos de las [presuntas] víctimas, consagrados tanto en la Declaración Americana de los Derechos y Deberes del Hombre como </w:t>
      </w:r>
      <w:r w:rsidR="00865CB0">
        <w:rPr>
          <w:rFonts w:ascii="Verdana" w:hAnsi="Verdana"/>
          <w:sz w:val="20"/>
          <w:szCs w:val="20"/>
        </w:rPr>
        <w:t xml:space="preserve">[en] </w:t>
      </w:r>
      <w:r w:rsidRPr="0039097A">
        <w:rPr>
          <w:rFonts w:ascii="Verdana" w:hAnsi="Verdana"/>
          <w:sz w:val="20"/>
          <w:szCs w:val="20"/>
        </w:rPr>
        <w:t xml:space="preserve">la Convención Americana sobre Derechos Humanos”, aduciendo violaciones de diversos artículos de </w:t>
      </w:r>
      <w:r w:rsidR="00E1365E">
        <w:rPr>
          <w:rFonts w:ascii="Verdana" w:hAnsi="Verdana"/>
          <w:sz w:val="20"/>
          <w:szCs w:val="20"/>
        </w:rPr>
        <w:t>ambos</w:t>
      </w:r>
      <w:r w:rsidRPr="0039097A">
        <w:rPr>
          <w:rFonts w:ascii="Verdana" w:hAnsi="Verdana"/>
          <w:sz w:val="20"/>
          <w:szCs w:val="20"/>
        </w:rPr>
        <w:t xml:space="preserve"> instrumento</w:t>
      </w:r>
      <w:r w:rsidR="00E1365E">
        <w:rPr>
          <w:rFonts w:ascii="Verdana" w:hAnsi="Verdana"/>
          <w:sz w:val="20"/>
          <w:szCs w:val="20"/>
        </w:rPr>
        <w:t>s</w:t>
      </w:r>
      <w:r w:rsidRPr="0039097A">
        <w:rPr>
          <w:rFonts w:ascii="Verdana" w:hAnsi="Verdana"/>
          <w:sz w:val="20"/>
          <w:szCs w:val="20"/>
        </w:rPr>
        <w:t xml:space="preserve"> y solicitando que la Corte las declare.</w:t>
      </w:r>
    </w:p>
    <w:p w14:paraId="7A347FE1" w14:textId="77777777" w:rsidR="00FD0466" w:rsidRPr="0039097A" w:rsidRDefault="00FD0466" w:rsidP="005A5029">
      <w:pPr>
        <w:pStyle w:val="Prrafodelista"/>
        <w:spacing w:line="240" w:lineRule="exact"/>
        <w:ind w:left="0"/>
        <w:jc w:val="both"/>
        <w:rPr>
          <w:rFonts w:ascii="Verdana" w:hAnsi="Verdana"/>
          <w:sz w:val="20"/>
          <w:szCs w:val="20"/>
        </w:rPr>
      </w:pPr>
    </w:p>
    <w:p w14:paraId="254C31E0" w14:textId="0A1BFB61" w:rsidR="005A5029" w:rsidRDefault="00FD0466" w:rsidP="005A5029">
      <w:pPr>
        <w:pStyle w:val="Prrafodelista"/>
        <w:numPr>
          <w:ilvl w:val="0"/>
          <w:numId w:val="2"/>
        </w:numPr>
        <w:spacing w:line="240" w:lineRule="exact"/>
        <w:ind w:left="0" w:firstLine="0"/>
        <w:jc w:val="both"/>
        <w:rPr>
          <w:rFonts w:ascii="Verdana" w:hAnsi="Verdana"/>
          <w:sz w:val="20"/>
          <w:szCs w:val="20"/>
        </w:rPr>
      </w:pPr>
      <w:r w:rsidRPr="0039097A">
        <w:rPr>
          <w:rFonts w:ascii="Verdana" w:hAnsi="Verdana"/>
          <w:sz w:val="20"/>
          <w:szCs w:val="20"/>
        </w:rPr>
        <w:t>Este Tribunal ha señalado que su competencia contenciosa no se sustenta en la Declaración Americana</w:t>
      </w:r>
      <w:r w:rsidR="00E1365E">
        <w:rPr>
          <w:rFonts w:ascii="Verdana" w:hAnsi="Verdana"/>
          <w:sz w:val="20"/>
          <w:szCs w:val="20"/>
        </w:rPr>
        <w:t xml:space="preserve"> de los Derechos y Deberes del Hombre</w:t>
      </w:r>
      <w:r w:rsidRPr="0039097A">
        <w:rPr>
          <w:rFonts w:ascii="Verdana" w:hAnsi="Verdana"/>
          <w:sz w:val="20"/>
          <w:szCs w:val="20"/>
        </w:rPr>
        <w:t xml:space="preserve">, sino </w:t>
      </w:r>
      <w:r w:rsidR="00E1365E">
        <w:rPr>
          <w:rFonts w:ascii="Verdana" w:hAnsi="Verdana"/>
          <w:sz w:val="20"/>
          <w:szCs w:val="20"/>
        </w:rPr>
        <w:t xml:space="preserve">que </w:t>
      </w:r>
      <w:r w:rsidRPr="0039097A">
        <w:rPr>
          <w:rFonts w:ascii="Verdana" w:hAnsi="Verdana"/>
          <w:sz w:val="20"/>
          <w:szCs w:val="20"/>
        </w:rPr>
        <w:t>se sustenta en la Convención Americana y otros tratados que le asignen competencia</w:t>
      </w:r>
      <w:r w:rsidRPr="0039097A">
        <w:rPr>
          <w:rStyle w:val="Refdenotaalpie"/>
          <w:rFonts w:ascii="Verdana" w:hAnsi="Verdana"/>
          <w:sz w:val="20"/>
          <w:szCs w:val="20"/>
        </w:rPr>
        <w:footnoteReference w:id="10"/>
      </w:r>
      <w:r w:rsidRPr="0039097A">
        <w:rPr>
          <w:rFonts w:ascii="Verdana" w:hAnsi="Verdana"/>
          <w:sz w:val="20"/>
          <w:szCs w:val="20"/>
        </w:rPr>
        <w:t xml:space="preserve">. Por ello, no tendrá en cuenta los alegatos de los representantes sobre la </w:t>
      </w:r>
      <w:r w:rsidR="00E1365E">
        <w:rPr>
          <w:rFonts w:ascii="Verdana" w:hAnsi="Verdana"/>
          <w:sz w:val="20"/>
          <w:szCs w:val="20"/>
        </w:rPr>
        <w:t xml:space="preserve">referida </w:t>
      </w:r>
      <w:r w:rsidRPr="0039097A">
        <w:rPr>
          <w:rFonts w:ascii="Verdana" w:hAnsi="Verdana"/>
          <w:sz w:val="20"/>
          <w:szCs w:val="20"/>
        </w:rPr>
        <w:t xml:space="preserve">Declaración Americana. </w:t>
      </w:r>
    </w:p>
    <w:p w14:paraId="6E8776BA" w14:textId="084F5B01" w:rsidR="005A5029" w:rsidRDefault="005A5029" w:rsidP="005A5029">
      <w:pPr>
        <w:pStyle w:val="Prrafodelista"/>
        <w:spacing w:line="240" w:lineRule="exact"/>
        <w:ind w:left="0"/>
        <w:jc w:val="both"/>
        <w:rPr>
          <w:rFonts w:ascii="Verdana" w:hAnsi="Verdana"/>
          <w:sz w:val="20"/>
          <w:szCs w:val="20"/>
        </w:rPr>
      </w:pPr>
    </w:p>
    <w:p w14:paraId="6762E04C" w14:textId="6F9C6118" w:rsidR="005A5029" w:rsidRDefault="005A5029" w:rsidP="005A5029">
      <w:pPr>
        <w:pStyle w:val="Prrafodelista"/>
        <w:spacing w:line="240" w:lineRule="exact"/>
        <w:ind w:left="0"/>
        <w:jc w:val="both"/>
        <w:rPr>
          <w:rFonts w:ascii="Verdana" w:hAnsi="Verdana"/>
          <w:sz w:val="20"/>
          <w:szCs w:val="20"/>
        </w:rPr>
      </w:pPr>
    </w:p>
    <w:p w14:paraId="5D45B9D2" w14:textId="32B1BF30" w:rsidR="005A5029" w:rsidRDefault="005A5029" w:rsidP="005A5029">
      <w:pPr>
        <w:pStyle w:val="Prrafodelista"/>
        <w:spacing w:line="240" w:lineRule="exact"/>
        <w:ind w:left="0"/>
        <w:jc w:val="both"/>
        <w:rPr>
          <w:rFonts w:ascii="Verdana" w:hAnsi="Verdana"/>
          <w:sz w:val="20"/>
          <w:szCs w:val="20"/>
        </w:rPr>
      </w:pPr>
    </w:p>
    <w:p w14:paraId="6800661B" w14:textId="3E42FBF0" w:rsidR="005A5029" w:rsidRDefault="005A5029" w:rsidP="005A5029">
      <w:pPr>
        <w:pStyle w:val="Prrafodelista"/>
        <w:spacing w:line="240" w:lineRule="exact"/>
        <w:ind w:left="0"/>
        <w:jc w:val="both"/>
        <w:rPr>
          <w:rFonts w:ascii="Verdana" w:hAnsi="Verdana"/>
          <w:sz w:val="20"/>
          <w:szCs w:val="20"/>
        </w:rPr>
      </w:pPr>
    </w:p>
    <w:p w14:paraId="2AC7F709" w14:textId="05CC0C00" w:rsidR="005A5029" w:rsidRDefault="005A5029" w:rsidP="005A5029">
      <w:pPr>
        <w:pStyle w:val="Prrafodelista"/>
        <w:spacing w:line="240" w:lineRule="exact"/>
        <w:ind w:left="0"/>
        <w:jc w:val="both"/>
        <w:rPr>
          <w:rFonts w:ascii="Verdana" w:hAnsi="Verdana"/>
          <w:sz w:val="20"/>
          <w:szCs w:val="20"/>
        </w:rPr>
      </w:pPr>
    </w:p>
    <w:p w14:paraId="7FF52247" w14:textId="77777777" w:rsidR="005A5029" w:rsidRPr="005A5029" w:rsidRDefault="005A5029" w:rsidP="005A5029">
      <w:pPr>
        <w:pStyle w:val="Prrafodelista"/>
        <w:spacing w:line="240" w:lineRule="exact"/>
        <w:ind w:left="0"/>
        <w:jc w:val="both"/>
        <w:rPr>
          <w:rFonts w:ascii="Verdana" w:hAnsi="Verdana"/>
          <w:sz w:val="20"/>
          <w:szCs w:val="20"/>
        </w:rPr>
      </w:pPr>
    </w:p>
    <w:p w14:paraId="04F14D4E" w14:textId="77777777" w:rsidR="00FD0466" w:rsidRPr="0039097A" w:rsidRDefault="00FD0466" w:rsidP="005A5029">
      <w:pPr>
        <w:pStyle w:val="Prrafodelista"/>
        <w:spacing w:line="240" w:lineRule="exact"/>
        <w:ind w:left="0"/>
        <w:jc w:val="center"/>
        <w:outlineLvl w:val="0"/>
        <w:rPr>
          <w:rFonts w:ascii="Verdana" w:hAnsi="Verdana"/>
          <w:b/>
          <w:sz w:val="20"/>
        </w:rPr>
      </w:pPr>
      <w:bookmarkStart w:id="10" w:name="_Toc85550384"/>
      <w:r w:rsidRPr="0039097A">
        <w:rPr>
          <w:rFonts w:ascii="Verdana" w:hAnsi="Verdana"/>
          <w:b/>
          <w:sz w:val="20"/>
        </w:rPr>
        <w:lastRenderedPageBreak/>
        <w:t>V</w:t>
      </w:r>
      <w:bookmarkEnd w:id="10"/>
    </w:p>
    <w:p w14:paraId="382F650E" w14:textId="77777777" w:rsidR="00FD0466" w:rsidRPr="0039097A" w:rsidRDefault="00FD0466" w:rsidP="005A5029">
      <w:pPr>
        <w:pStyle w:val="Prrafodelista"/>
        <w:spacing w:line="240" w:lineRule="exact"/>
        <w:ind w:left="0"/>
        <w:jc w:val="center"/>
        <w:outlineLvl w:val="0"/>
        <w:rPr>
          <w:rFonts w:ascii="Verdana" w:hAnsi="Verdana"/>
          <w:b/>
          <w:sz w:val="20"/>
        </w:rPr>
      </w:pPr>
      <w:bookmarkStart w:id="11" w:name="_Toc85550385"/>
      <w:r w:rsidRPr="0039097A">
        <w:rPr>
          <w:rFonts w:ascii="Verdana" w:hAnsi="Verdana"/>
          <w:b/>
          <w:sz w:val="20"/>
        </w:rPr>
        <w:t>PRUEBA</w:t>
      </w:r>
      <w:bookmarkEnd w:id="11"/>
    </w:p>
    <w:p w14:paraId="0D449B03" w14:textId="77777777" w:rsidR="00FD0466" w:rsidRPr="0039097A" w:rsidRDefault="00FD0466" w:rsidP="005A5029">
      <w:pPr>
        <w:pStyle w:val="Prrafodelista"/>
        <w:spacing w:line="240" w:lineRule="exact"/>
        <w:rPr>
          <w:rFonts w:ascii="Verdana" w:hAnsi="Verdana"/>
          <w:sz w:val="20"/>
        </w:rPr>
      </w:pPr>
    </w:p>
    <w:p w14:paraId="1BFB7C29" w14:textId="77777777" w:rsidR="00FD0466" w:rsidRPr="0039097A" w:rsidRDefault="00FD0466" w:rsidP="005A5029">
      <w:pPr>
        <w:pStyle w:val="Prrafodelista"/>
        <w:spacing w:line="240" w:lineRule="exact"/>
        <w:ind w:left="284"/>
        <w:jc w:val="both"/>
        <w:outlineLvl w:val="1"/>
        <w:rPr>
          <w:rFonts w:ascii="Verdana" w:hAnsi="Verdana"/>
          <w:b/>
          <w:i/>
          <w:sz w:val="20"/>
        </w:rPr>
      </w:pPr>
      <w:bookmarkStart w:id="12" w:name="_Toc85550386"/>
      <w:r w:rsidRPr="0039097A">
        <w:rPr>
          <w:rFonts w:ascii="Verdana" w:hAnsi="Verdana"/>
          <w:b/>
          <w:i/>
          <w:sz w:val="20"/>
        </w:rPr>
        <w:t>A. Admisibilidad de la prueba documental</w:t>
      </w:r>
      <w:bookmarkEnd w:id="12"/>
      <w:r w:rsidRPr="0039097A">
        <w:rPr>
          <w:rFonts w:ascii="Verdana" w:hAnsi="Verdana"/>
          <w:b/>
          <w:i/>
          <w:sz w:val="20"/>
        </w:rPr>
        <w:t xml:space="preserve">  </w:t>
      </w:r>
    </w:p>
    <w:p w14:paraId="19D701F8" w14:textId="77777777" w:rsidR="00FD0466" w:rsidRPr="0039097A" w:rsidRDefault="00FD0466" w:rsidP="005A5029">
      <w:pPr>
        <w:pStyle w:val="Prrafodelista"/>
        <w:spacing w:line="240" w:lineRule="exact"/>
        <w:ind w:left="0"/>
        <w:jc w:val="both"/>
        <w:rPr>
          <w:rFonts w:ascii="Verdana" w:hAnsi="Verdana"/>
          <w:sz w:val="20"/>
        </w:rPr>
      </w:pPr>
    </w:p>
    <w:p w14:paraId="68734F19" w14:textId="6E346984"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sz w:val="20"/>
        </w:rPr>
        <w:t>La Corte recibió diversos documentos presentados como prueba por la Comisión y los representantes junto con sus escritos principales (</w:t>
      </w:r>
      <w:r w:rsidRPr="0039097A">
        <w:rPr>
          <w:rFonts w:ascii="Verdana" w:hAnsi="Verdana"/>
          <w:i/>
          <w:sz w:val="20"/>
        </w:rPr>
        <w:t xml:space="preserve">supra </w:t>
      </w:r>
      <w:proofErr w:type="spellStart"/>
      <w:r w:rsidRPr="0039097A">
        <w:rPr>
          <w:rFonts w:ascii="Verdana" w:hAnsi="Verdana"/>
          <w:sz w:val="20"/>
        </w:rPr>
        <w:t>párrs</w:t>
      </w:r>
      <w:proofErr w:type="spellEnd"/>
      <w:r w:rsidRPr="0039097A">
        <w:rPr>
          <w:rFonts w:ascii="Verdana" w:hAnsi="Verdana"/>
          <w:sz w:val="20"/>
        </w:rPr>
        <w:t xml:space="preserve">. </w:t>
      </w:r>
      <w:r w:rsidR="00865CB0">
        <w:rPr>
          <w:rFonts w:ascii="Verdana" w:hAnsi="Verdana"/>
          <w:sz w:val="20"/>
        </w:rPr>
        <w:t>3</w:t>
      </w:r>
      <w:r>
        <w:rPr>
          <w:rFonts w:ascii="Verdana" w:hAnsi="Verdana"/>
          <w:sz w:val="20"/>
        </w:rPr>
        <w:t xml:space="preserve">, </w:t>
      </w:r>
      <w:r w:rsidR="00865CB0">
        <w:rPr>
          <w:rFonts w:ascii="Verdana" w:hAnsi="Verdana"/>
          <w:sz w:val="20"/>
        </w:rPr>
        <w:t>6</w:t>
      </w:r>
      <w:r>
        <w:rPr>
          <w:rFonts w:ascii="Verdana" w:hAnsi="Verdana"/>
          <w:sz w:val="20"/>
        </w:rPr>
        <w:t xml:space="preserve"> y </w:t>
      </w:r>
      <w:r w:rsidR="00865CB0">
        <w:rPr>
          <w:rFonts w:ascii="Verdana" w:hAnsi="Verdana"/>
          <w:sz w:val="20"/>
        </w:rPr>
        <w:t>7</w:t>
      </w:r>
      <w:r w:rsidRPr="0039097A">
        <w:rPr>
          <w:rFonts w:ascii="Verdana" w:hAnsi="Verdana"/>
          <w:sz w:val="20"/>
        </w:rPr>
        <w:t>). Como en otros casos, este Tribunal admite aquellos documentos presentados oportunamente (artículo 57 del Reglamento) por las partes y la Comisión, cuya admisibilidad no fue controvertida ni objetada, ni cuya autenticidad fue puesta en duda</w:t>
      </w:r>
      <w:r w:rsidRPr="0039097A">
        <w:rPr>
          <w:rStyle w:val="Refdenotaalpie"/>
          <w:rFonts w:ascii="Verdana" w:hAnsi="Verdana"/>
          <w:sz w:val="20"/>
        </w:rPr>
        <w:footnoteReference w:id="11"/>
      </w:r>
      <w:r w:rsidRPr="0039097A">
        <w:rPr>
          <w:rFonts w:ascii="Verdana" w:hAnsi="Verdana"/>
          <w:sz w:val="20"/>
        </w:rPr>
        <w:t xml:space="preserve">.  </w:t>
      </w:r>
    </w:p>
    <w:p w14:paraId="2AAE6147" w14:textId="77777777" w:rsidR="00FD0466" w:rsidRPr="0039097A" w:rsidRDefault="00FD0466" w:rsidP="005A5029">
      <w:pPr>
        <w:pStyle w:val="Prrafodelista"/>
        <w:spacing w:line="240" w:lineRule="exact"/>
        <w:rPr>
          <w:rFonts w:ascii="Verdana" w:hAnsi="Verdana"/>
          <w:sz w:val="20"/>
        </w:rPr>
      </w:pPr>
    </w:p>
    <w:p w14:paraId="7ED6A98B" w14:textId="7BD80F1C"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sz w:val="20"/>
        </w:rPr>
        <w:t>Además, en virtud de lo dispuesto en la Resolución de la Presidenta de la Corte de 16 de abril de 2021 (</w:t>
      </w:r>
      <w:r w:rsidRPr="0039097A">
        <w:rPr>
          <w:rFonts w:ascii="Verdana" w:hAnsi="Verdana"/>
          <w:i/>
          <w:sz w:val="20"/>
        </w:rPr>
        <w:t>supra</w:t>
      </w:r>
      <w:r w:rsidRPr="0039097A">
        <w:rPr>
          <w:rFonts w:ascii="Verdana" w:hAnsi="Verdana"/>
          <w:sz w:val="20"/>
        </w:rPr>
        <w:t xml:space="preserve"> párr. </w:t>
      </w:r>
      <w:r w:rsidR="0072352E">
        <w:rPr>
          <w:rFonts w:ascii="Verdana" w:hAnsi="Verdana"/>
          <w:sz w:val="20"/>
        </w:rPr>
        <w:t>8</w:t>
      </w:r>
      <w:r w:rsidRPr="0039097A">
        <w:rPr>
          <w:rFonts w:ascii="Verdana" w:hAnsi="Verdana"/>
          <w:sz w:val="20"/>
        </w:rPr>
        <w:t xml:space="preserve">), quedan incorporados al acervo probatorio, como prueba documental, </w:t>
      </w:r>
      <w:r w:rsidR="00CE0345">
        <w:rPr>
          <w:rFonts w:ascii="Verdana" w:hAnsi="Verdana"/>
          <w:sz w:val="20"/>
        </w:rPr>
        <w:t xml:space="preserve">los </w:t>
      </w:r>
      <w:r w:rsidRPr="0039097A">
        <w:rPr>
          <w:rFonts w:ascii="Verdana" w:hAnsi="Verdana"/>
          <w:sz w:val="20"/>
        </w:rPr>
        <w:t>expedientes judiciales que fueron remitidos por el Estado a solicitud del Tribunal</w:t>
      </w:r>
      <w:r w:rsidRPr="0039097A">
        <w:rPr>
          <w:rStyle w:val="Refdenotaalpie"/>
          <w:rFonts w:ascii="Verdana" w:hAnsi="Verdana"/>
          <w:sz w:val="20"/>
        </w:rPr>
        <w:footnoteReference w:id="12"/>
      </w:r>
      <w:r w:rsidRPr="0039097A">
        <w:rPr>
          <w:rFonts w:ascii="Verdana" w:hAnsi="Verdana"/>
          <w:sz w:val="20"/>
        </w:rPr>
        <w:t xml:space="preserve">. </w:t>
      </w:r>
    </w:p>
    <w:p w14:paraId="0C334803" w14:textId="77777777" w:rsidR="00FD0466" w:rsidRPr="0039097A" w:rsidRDefault="00FD0466" w:rsidP="005A5029">
      <w:pPr>
        <w:pStyle w:val="Prrafodelista"/>
        <w:spacing w:line="240" w:lineRule="exact"/>
        <w:rPr>
          <w:rFonts w:ascii="Verdana" w:hAnsi="Verdana"/>
          <w:sz w:val="20"/>
        </w:rPr>
      </w:pPr>
    </w:p>
    <w:p w14:paraId="265E6126" w14:textId="77777777" w:rsidR="00FD0466" w:rsidRPr="00E53751" w:rsidRDefault="00FD0466" w:rsidP="005A5029">
      <w:pPr>
        <w:pStyle w:val="Prrafodelista"/>
        <w:numPr>
          <w:ilvl w:val="0"/>
          <w:numId w:val="2"/>
        </w:numPr>
        <w:spacing w:line="240" w:lineRule="exact"/>
        <w:ind w:left="0" w:firstLine="0"/>
        <w:jc w:val="both"/>
        <w:rPr>
          <w:rFonts w:ascii="Verdana" w:hAnsi="Verdana"/>
          <w:sz w:val="20"/>
          <w:szCs w:val="20"/>
        </w:rPr>
      </w:pPr>
      <w:r w:rsidRPr="0039097A">
        <w:rPr>
          <w:rFonts w:ascii="Verdana" w:hAnsi="Verdana"/>
          <w:sz w:val="20"/>
        </w:rPr>
        <w:t xml:space="preserve">Por </w:t>
      </w:r>
      <w:r>
        <w:rPr>
          <w:rFonts w:ascii="Verdana" w:hAnsi="Verdana"/>
          <w:sz w:val="20"/>
        </w:rPr>
        <w:t>otra</w:t>
      </w:r>
      <w:r w:rsidRPr="0039097A">
        <w:rPr>
          <w:rFonts w:ascii="Verdana" w:hAnsi="Verdana"/>
          <w:sz w:val="20"/>
        </w:rPr>
        <w:t xml:space="preserve"> parte, el </w:t>
      </w:r>
      <w:r w:rsidRPr="00E53751">
        <w:rPr>
          <w:rFonts w:ascii="Verdana" w:hAnsi="Verdana"/>
          <w:b/>
          <w:i/>
          <w:sz w:val="20"/>
        </w:rPr>
        <w:t>Estado</w:t>
      </w:r>
      <w:r w:rsidRPr="0039097A">
        <w:rPr>
          <w:rFonts w:ascii="Verdana" w:hAnsi="Verdana"/>
          <w:sz w:val="20"/>
        </w:rPr>
        <w:t>, l</w:t>
      </w:r>
      <w:r>
        <w:rPr>
          <w:rFonts w:ascii="Verdana" w:hAnsi="Verdana"/>
          <w:sz w:val="20"/>
        </w:rPr>
        <w:t>os días</w:t>
      </w:r>
      <w:r w:rsidRPr="0039097A">
        <w:rPr>
          <w:rFonts w:ascii="Verdana" w:hAnsi="Verdana"/>
          <w:sz w:val="20"/>
        </w:rPr>
        <w:t xml:space="preserve"> 24 de diciembre de 2020</w:t>
      </w:r>
      <w:r>
        <w:rPr>
          <w:rFonts w:ascii="Verdana" w:hAnsi="Verdana"/>
          <w:sz w:val="20"/>
        </w:rPr>
        <w:t>, 14 de mayo y 16 de julio de 2021</w:t>
      </w:r>
      <w:r w:rsidRPr="0039097A">
        <w:rPr>
          <w:rFonts w:ascii="Verdana" w:hAnsi="Verdana"/>
          <w:sz w:val="20"/>
        </w:rPr>
        <w:t xml:space="preserve"> presentó documentación relativa a “hechos nuevos</w:t>
      </w:r>
      <w:r>
        <w:rPr>
          <w:rFonts w:ascii="Verdana" w:hAnsi="Verdana"/>
          <w:sz w:val="20"/>
        </w:rPr>
        <w:t>”,</w:t>
      </w:r>
      <w:r w:rsidRPr="0039097A">
        <w:rPr>
          <w:rFonts w:ascii="Verdana" w:hAnsi="Verdana"/>
          <w:sz w:val="20"/>
        </w:rPr>
        <w:t xml:space="preserve"> acaecidos con posterioridad a la remisión del escrito de contestación</w:t>
      </w:r>
      <w:r>
        <w:rPr>
          <w:rFonts w:ascii="Verdana" w:hAnsi="Verdana"/>
          <w:sz w:val="20"/>
        </w:rPr>
        <w:t>.</w:t>
      </w:r>
      <w:r w:rsidRPr="0039097A">
        <w:rPr>
          <w:rFonts w:ascii="Verdana" w:hAnsi="Verdana"/>
          <w:sz w:val="20"/>
        </w:rPr>
        <w:t xml:space="preserve"> </w:t>
      </w:r>
      <w:r>
        <w:rPr>
          <w:rFonts w:ascii="Verdana" w:hAnsi="Verdana"/>
          <w:sz w:val="20"/>
        </w:rPr>
        <w:t xml:space="preserve">Los </w:t>
      </w:r>
      <w:r w:rsidRPr="00E53751">
        <w:rPr>
          <w:rFonts w:ascii="Verdana" w:hAnsi="Verdana"/>
          <w:b/>
          <w:i/>
          <w:sz w:val="20"/>
        </w:rPr>
        <w:t>representantes</w:t>
      </w:r>
      <w:r>
        <w:rPr>
          <w:rFonts w:ascii="Verdana" w:hAnsi="Verdana"/>
          <w:sz w:val="20"/>
        </w:rPr>
        <w:t xml:space="preserve"> y la </w:t>
      </w:r>
      <w:r w:rsidRPr="00E53751">
        <w:rPr>
          <w:rFonts w:ascii="Verdana" w:hAnsi="Verdana"/>
          <w:b/>
          <w:i/>
          <w:sz w:val="20"/>
        </w:rPr>
        <w:t>Comisión</w:t>
      </w:r>
      <w:r>
        <w:rPr>
          <w:rFonts w:ascii="Verdana" w:hAnsi="Verdana"/>
          <w:sz w:val="20"/>
        </w:rPr>
        <w:t xml:space="preserve"> no cuestionaron la admisibilidad de dicha documentación</w:t>
      </w:r>
      <w:r>
        <w:rPr>
          <w:rStyle w:val="Refdenotaalpie"/>
          <w:rFonts w:ascii="Verdana" w:hAnsi="Verdana"/>
          <w:sz w:val="20"/>
        </w:rPr>
        <w:footnoteReference w:id="13"/>
      </w:r>
      <w:r>
        <w:rPr>
          <w:rFonts w:ascii="Verdana" w:hAnsi="Verdana"/>
          <w:sz w:val="20"/>
        </w:rPr>
        <w:t xml:space="preserve">. </w:t>
      </w:r>
    </w:p>
    <w:p w14:paraId="0DC1C247" w14:textId="77777777" w:rsidR="00FD0466" w:rsidRPr="00FB3F10" w:rsidRDefault="00FD0466" w:rsidP="005A5029">
      <w:pPr>
        <w:pStyle w:val="Prrafodelista"/>
        <w:spacing w:line="240" w:lineRule="exact"/>
        <w:ind w:left="0"/>
        <w:jc w:val="both"/>
      </w:pPr>
    </w:p>
    <w:p w14:paraId="5D46DE9B" w14:textId="609D0E09" w:rsidR="00FD0466" w:rsidRPr="00E53751" w:rsidRDefault="00FD0466" w:rsidP="005A5029">
      <w:pPr>
        <w:pStyle w:val="Prrafodelista"/>
        <w:numPr>
          <w:ilvl w:val="0"/>
          <w:numId w:val="2"/>
        </w:numPr>
        <w:spacing w:line="240" w:lineRule="exact"/>
        <w:ind w:left="0" w:firstLine="0"/>
        <w:jc w:val="both"/>
        <w:rPr>
          <w:rFonts w:ascii="Verdana" w:hAnsi="Verdana"/>
          <w:sz w:val="20"/>
          <w:szCs w:val="20"/>
        </w:rPr>
      </w:pPr>
      <w:r w:rsidRPr="0039097A">
        <w:rPr>
          <w:rFonts w:ascii="Verdana" w:eastAsia="Verdana" w:hAnsi="Verdana" w:cs="Verdana"/>
          <w:sz w:val="20"/>
        </w:rPr>
        <w:t xml:space="preserve">La </w:t>
      </w:r>
      <w:r w:rsidRPr="00E53751">
        <w:rPr>
          <w:rFonts w:ascii="Verdana" w:eastAsia="Verdana" w:hAnsi="Verdana" w:cs="Verdana"/>
          <w:b/>
          <w:i/>
          <w:sz w:val="20"/>
        </w:rPr>
        <w:t xml:space="preserve">Corte </w:t>
      </w:r>
      <w:r w:rsidRPr="0039097A">
        <w:rPr>
          <w:rFonts w:ascii="Verdana" w:eastAsia="Verdana" w:hAnsi="Verdana" w:cs="Verdana"/>
          <w:sz w:val="20"/>
        </w:rPr>
        <w:t>entiende que la documentación remitida por el Estado</w:t>
      </w:r>
      <w:r>
        <w:rPr>
          <w:rFonts w:ascii="Verdana" w:eastAsia="Verdana" w:hAnsi="Verdana" w:cs="Verdana"/>
          <w:sz w:val="20"/>
        </w:rPr>
        <w:t xml:space="preserve"> trata sobre hechos supervinientes o que resultan útiles para la resolución de la causa. Debe precisarse que si bien todos los documentos remitidos por el Estado como demostrativos de “hechos nuevos” fueron elaborados con posterioridad a la fecha de presentación de su contestación, algunos contienen información de hechos cuya fecha no precisan, y que pueden ser anteriores la presentación de la contestación. No obstante, esos documentos refieren a las causas judiciales atinentes al caso y resultan útiles. </w:t>
      </w:r>
    </w:p>
    <w:p w14:paraId="02D6BEB9" w14:textId="77777777" w:rsidR="00FD0466" w:rsidRPr="00E53751" w:rsidRDefault="00FD0466" w:rsidP="005A5029">
      <w:pPr>
        <w:pStyle w:val="Prrafodelista"/>
        <w:spacing w:line="240" w:lineRule="exact"/>
        <w:rPr>
          <w:rFonts w:ascii="Verdana" w:eastAsia="Verdana" w:hAnsi="Verdana" w:cs="Verdana"/>
          <w:sz w:val="20"/>
        </w:rPr>
      </w:pPr>
    </w:p>
    <w:p w14:paraId="035F6D97" w14:textId="2052C230" w:rsidR="00FD0466" w:rsidRPr="00E53751" w:rsidRDefault="00FD0466" w:rsidP="005A5029">
      <w:pPr>
        <w:pStyle w:val="Prrafodelista"/>
        <w:numPr>
          <w:ilvl w:val="0"/>
          <w:numId w:val="2"/>
        </w:numPr>
        <w:spacing w:line="240" w:lineRule="exact"/>
        <w:ind w:left="0" w:firstLine="0"/>
        <w:jc w:val="both"/>
        <w:rPr>
          <w:rFonts w:ascii="Verdana" w:hAnsi="Verdana"/>
          <w:sz w:val="20"/>
          <w:szCs w:val="20"/>
        </w:rPr>
      </w:pPr>
      <w:r>
        <w:rPr>
          <w:rFonts w:ascii="Verdana" w:eastAsia="Verdana" w:hAnsi="Verdana" w:cs="Verdana"/>
          <w:sz w:val="20"/>
        </w:rPr>
        <w:t xml:space="preserve">Algunos documentos presentados por el Estado no se refieren a hechos directamente vinculados a las presuntas víctimas o a las causas judiciales relativas al caso. Se trata, siguiendo el listado de documentos señalado en la nota a pie de página </w:t>
      </w:r>
      <w:r w:rsidRPr="00CA1127">
        <w:rPr>
          <w:rFonts w:ascii="Verdana" w:eastAsia="Verdana" w:hAnsi="Verdana" w:cs="Verdana"/>
          <w:sz w:val="20"/>
        </w:rPr>
        <w:t>12</w:t>
      </w:r>
      <w:r w:rsidRPr="003F2319">
        <w:rPr>
          <w:rFonts w:ascii="Verdana" w:eastAsia="Verdana" w:hAnsi="Verdana" w:cs="Verdana"/>
          <w:sz w:val="20"/>
        </w:rPr>
        <w:t xml:space="preserve"> </w:t>
      </w:r>
      <w:r w:rsidRPr="00CA1127">
        <w:rPr>
          <w:rFonts w:ascii="Verdana" w:eastAsia="Verdana" w:hAnsi="Verdana" w:cs="Verdana"/>
          <w:sz w:val="20"/>
        </w:rPr>
        <w:t>del párrafo 2</w:t>
      </w:r>
      <w:r w:rsidR="009C3CBF">
        <w:rPr>
          <w:rFonts w:ascii="Verdana" w:eastAsia="Verdana" w:hAnsi="Verdana" w:cs="Verdana"/>
          <w:sz w:val="20"/>
        </w:rPr>
        <w:t>1</w:t>
      </w:r>
      <w:r>
        <w:rPr>
          <w:rFonts w:ascii="Verdana" w:eastAsia="Verdana" w:hAnsi="Verdana" w:cs="Verdana"/>
          <w:sz w:val="20"/>
        </w:rPr>
        <w:t>, de los siguientes: e</w:t>
      </w:r>
      <w:r w:rsidRPr="0039097A">
        <w:rPr>
          <w:rFonts w:ascii="Verdana" w:eastAsia="Verdana" w:hAnsi="Verdana" w:cs="Verdana"/>
          <w:sz w:val="20"/>
        </w:rPr>
        <w:t xml:space="preserve">l documento </w:t>
      </w:r>
      <w:r>
        <w:rPr>
          <w:rFonts w:ascii="Verdana" w:eastAsia="Verdana" w:hAnsi="Verdana" w:cs="Verdana"/>
          <w:sz w:val="20"/>
        </w:rPr>
        <w:t>b), que tiene por objeto dar cuenta del modo en que órgano judiciales uruguayos entienden la aplicación de la prescripción penal respecto a ciertos delitos, así como a la utilización de la categoría de crímenes de lesa humanidad; los documentos c) y f</w:t>
      </w:r>
      <w:r w:rsidRPr="0039097A">
        <w:rPr>
          <w:rFonts w:ascii="Verdana" w:eastAsia="Verdana" w:hAnsi="Verdana" w:cs="Verdana"/>
          <w:sz w:val="20"/>
        </w:rPr>
        <w:t>)</w:t>
      </w:r>
      <w:r>
        <w:rPr>
          <w:rFonts w:ascii="Verdana" w:eastAsia="Verdana" w:hAnsi="Verdana" w:cs="Verdana"/>
          <w:sz w:val="20"/>
        </w:rPr>
        <w:t xml:space="preserve">, que </w:t>
      </w:r>
      <w:r w:rsidRPr="0039097A">
        <w:rPr>
          <w:rFonts w:ascii="Verdana" w:eastAsia="Verdana" w:hAnsi="Verdana" w:cs="Verdana"/>
          <w:sz w:val="20"/>
        </w:rPr>
        <w:t xml:space="preserve">el </w:t>
      </w:r>
      <w:r w:rsidR="009C3CBF">
        <w:rPr>
          <w:rFonts w:ascii="Verdana" w:eastAsia="Verdana" w:hAnsi="Verdana" w:cs="Verdana"/>
          <w:sz w:val="20"/>
        </w:rPr>
        <w:t>Uruguay</w:t>
      </w:r>
      <w:r w:rsidRPr="0039097A">
        <w:rPr>
          <w:rFonts w:ascii="Verdana" w:eastAsia="Verdana" w:hAnsi="Verdana" w:cs="Verdana"/>
          <w:sz w:val="20"/>
        </w:rPr>
        <w:t xml:space="preserve"> remitió aduciendo que resultaba</w:t>
      </w:r>
      <w:r w:rsidR="000217F5">
        <w:rPr>
          <w:rFonts w:ascii="Verdana" w:eastAsia="Verdana" w:hAnsi="Verdana" w:cs="Verdana"/>
          <w:sz w:val="20"/>
        </w:rPr>
        <w:t>n</w:t>
      </w:r>
      <w:r w:rsidRPr="0039097A">
        <w:rPr>
          <w:rFonts w:ascii="Verdana" w:eastAsia="Verdana" w:hAnsi="Verdana" w:cs="Verdana"/>
          <w:sz w:val="20"/>
        </w:rPr>
        <w:t xml:space="preserve"> pertinente</w:t>
      </w:r>
      <w:r w:rsidR="000217F5">
        <w:rPr>
          <w:rFonts w:ascii="Verdana" w:eastAsia="Verdana" w:hAnsi="Verdana" w:cs="Verdana"/>
          <w:sz w:val="20"/>
        </w:rPr>
        <w:t>s</w:t>
      </w:r>
      <w:r w:rsidRPr="0039097A">
        <w:rPr>
          <w:rFonts w:ascii="Verdana" w:eastAsia="Verdana" w:hAnsi="Verdana" w:cs="Verdana"/>
          <w:sz w:val="20"/>
        </w:rPr>
        <w:t xml:space="preserve"> para acreditar el compromiso estatal con</w:t>
      </w:r>
      <w:r>
        <w:rPr>
          <w:rFonts w:ascii="Verdana" w:eastAsia="Verdana" w:hAnsi="Verdana" w:cs="Verdana"/>
          <w:sz w:val="20"/>
        </w:rPr>
        <w:t xml:space="preserve"> la búsqueda de la verdad y</w:t>
      </w:r>
      <w:r w:rsidRPr="0039097A">
        <w:rPr>
          <w:rFonts w:ascii="Verdana" w:eastAsia="Verdana" w:hAnsi="Verdana" w:cs="Verdana"/>
          <w:sz w:val="20"/>
        </w:rPr>
        <w:t xml:space="preserve"> la persecución penal de crímenes cometidos durante la dictadura militar, lo que consideró relevante que la Corte tenga en cuenta, en relación con las medidas de reparación reclamadas por la Comisión y los representantes</w:t>
      </w:r>
      <w:r>
        <w:rPr>
          <w:rFonts w:ascii="Verdana" w:eastAsia="Verdana" w:hAnsi="Verdana" w:cs="Verdana"/>
          <w:sz w:val="20"/>
        </w:rPr>
        <w:t>, y el</w:t>
      </w:r>
      <w:r w:rsidRPr="0039097A">
        <w:rPr>
          <w:rFonts w:ascii="Verdana" w:eastAsia="Verdana" w:hAnsi="Verdana" w:cs="Verdana"/>
          <w:sz w:val="20"/>
        </w:rPr>
        <w:t xml:space="preserve"> documento </w:t>
      </w:r>
      <w:r>
        <w:rPr>
          <w:rFonts w:ascii="Verdana" w:eastAsia="Verdana" w:hAnsi="Verdana" w:cs="Verdana"/>
          <w:sz w:val="20"/>
        </w:rPr>
        <w:t>g</w:t>
      </w:r>
      <w:r w:rsidRPr="0039097A">
        <w:rPr>
          <w:rFonts w:ascii="Verdana" w:eastAsia="Verdana" w:hAnsi="Verdana" w:cs="Verdana"/>
          <w:sz w:val="20"/>
        </w:rPr>
        <w:t>)</w:t>
      </w:r>
      <w:r>
        <w:rPr>
          <w:rFonts w:ascii="Verdana" w:eastAsia="Verdana" w:hAnsi="Verdana" w:cs="Verdana"/>
          <w:sz w:val="20"/>
        </w:rPr>
        <w:t>,</w:t>
      </w:r>
      <w:r w:rsidRPr="0039097A">
        <w:rPr>
          <w:rFonts w:ascii="Verdana" w:eastAsia="Verdana" w:hAnsi="Verdana" w:cs="Verdana"/>
          <w:sz w:val="20"/>
        </w:rPr>
        <w:t xml:space="preserve"> </w:t>
      </w:r>
      <w:r>
        <w:rPr>
          <w:rFonts w:ascii="Verdana" w:eastAsia="Verdana" w:hAnsi="Verdana" w:cs="Verdana"/>
          <w:sz w:val="20"/>
        </w:rPr>
        <w:t xml:space="preserve">cuya importancia, conforme </w:t>
      </w:r>
      <w:r w:rsidRPr="0039097A">
        <w:rPr>
          <w:rFonts w:ascii="Verdana" w:eastAsia="Verdana" w:hAnsi="Verdana" w:cs="Verdana"/>
          <w:sz w:val="20"/>
        </w:rPr>
        <w:t>el Estado indicó</w:t>
      </w:r>
      <w:r>
        <w:rPr>
          <w:rFonts w:ascii="Verdana" w:eastAsia="Verdana" w:hAnsi="Verdana" w:cs="Verdana"/>
          <w:sz w:val="20"/>
        </w:rPr>
        <w:t>,</w:t>
      </w:r>
      <w:r w:rsidRPr="0039097A">
        <w:rPr>
          <w:rFonts w:ascii="Verdana" w:eastAsia="Verdana" w:hAnsi="Verdana" w:cs="Verdana"/>
          <w:sz w:val="20"/>
        </w:rPr>
        <w:t xml:space="preserve"> radica en demostrar que en la actualidad la búsqueda de los restos mortales de los detenidos desaparecidos constituye “una […] política de Estado”. En ese marco,</w:t>
      </w:r>
      <w:r>
        <w:rPr>
          <w:rFonts w:ascii="Verdana" w:eastAsia="Verdana" w:hAnsi="Verdana" w:cs="Verdana"/>
          <w:sz w:val="20"/>
        </w:rPr>
        <w:t xml:space="preserve"> es decir, a efectos de los aspectos puntuales que el Estado busca acreditar en cada caso,</w:t>
      </w:r>
      <w:r w:rsidRPr="0039097A">
        <w:rPr>
          <w:rFonts w:ascii="Verdana" w:eastAsia="Verdana" w:hAnsi="Verdana" w:cs="Verdana"/>
          <w:sz w:val="20"/>
        </w:rPr>
        <w:t xml:space="preserve"> la Corte entiende procedente tener en cuenta la documentación referida.</w:t>
      </w:r>
      <w:r>
        <w:rPr>
          <w:rFonts w:ascii="Verdana" w:eastAsia="Verdana" w:hAnsi="Verdana" w:cs="Verdana"/>
          <w:sz w:val="16"/>
        </w:rPr>
        <w:t xml:space="preserve"> </w:t>
      </w:r>
    </w:p>
    <w:p w14:paraId="7EFBFE0A" w14:textId="77777777" w:rsidR="00FD0466" w:rsidRDefault="00FD0466" w:rsidP="005A5029">
      <w:pPr>
        <w:pStyle w:val="Prrafodelista"/>
        <w:spacing w:line="240" w:lineRule="exact"/>
        <w:ind w:left="0"/>
        <w:jc w:val="both"/>
        <w:rPr>
          <w:rFonts w:ascii="Verdana" w:hAnsi="Verdana"/>
          <w:sz w:val="20"/>
          <w:szCs w:val="20"/>
        </w:rPr>
      </w:pPr>
    </w:p>
    <w:p w14:paraId="244DC1B5" w14:textId="77777777" w:rsidR="00FD0466" w:rsidRPr="00DE69BB" w:rsidRDefault="00FD0466" w:rsidP="005A5029">
      <w:pPr>
        <w:pStyle w:val="Prrafodelista"/>
        <w:numPr>
          <w:ilvl w:val="0"/>
          <w:numId w:val="2"/>
        </w:numPr>
        <w:spacing w:line="240" w:lineRule="exact"/>
        <w:ind w:left="0" w:firstLine="0"/>
        <w:jc w:val="both"/>
        <w:rPr>
          <w:rFonts w:ascii="Verdana" w:hAnsi="Verdana"/>
          <w:sz w:val="20"/>
          <w:szCs w:val="20"/>
        </w:rPr>
      </w:pPr>
      <w:r w:rsidRPr="001E4B94">
        <w:rPr>
          <w:rFonts w:ascii="Verdana" w:eastAsia="Verdana" w:hAnsi="Verdana" w:cs="Verdana"/>
          <w:sz w:val="20"/>
          <w:szCs w:val="20"/>
        </w:rPr>
        <w:t xml:space="preserve">Los documentos antes señalados, presentados por el Estado, quedan entonces admitidos, en virtud de lo dispuesto en los artículos 57.2 y 58.a del Reglamento. </w:t>
      </w:r>
    </w:p>
    <w:p w14:paraId="560CFFAA" w14:textId="77777777" w:rsidR="00FD0466" w:rsidRPr="00DE69BB" w:rsidRDefault="00FD0466" w:rsidP="005A5029">
      <w:pPr>
        <w:pStyle w:val="Prrafodelista"/>
        <w:spacing w:line="240" w:lineRule="exact"/>
        <w:rPr>
          <w:rFonts w:ascii="Verdana" w:hAnsi="Verdana"/>
          <w:sz w:val="20"/>
          <w:szCs w:val="20"/>
        </w:rPr>
      </w:pPr>
    </w:p>
    <w:p w14:paraId="4BB8FE77" w14:textId="77777777" w:rsidR="00FD0466" w:rsidRPr="001E4B94" w:rsidRDefault="00FD0466" w:rsidP="005A5029">
      <w:pPr>
        <w:pStyle w:val="Prrafodelista"/>
        <w:numPr>
          <w:ilvl w:val="0"/>
          <w:numId w:val="2"/>
        </w:numPr>
        <w:spacing w:line="240" w:lineRule="exact"/>
        <w:ind w:left="0" w:firstLine="0"/>
        <w:jc w:val="both"/>
        <w:rPr>
          <w:rFonts w:ascii="Verdana" w:hAnsi="Verdana"/>
          <w:sz w:val="20"/>
          <w:szCs w:val="20"/>
        </w:rPr>
      </w:pPr>
      <w:r>
        <w:rPr>
          <w:rFonts w:ascii="Verdana" w:hAnsi="Verdana"/>
          <w:sz w:val="20"/>
          <w:szCs w:val="20"/>
        </w:rPr>
        <w:t>Por otra parte, la Corte incorpora de oficio, con base en las facultades previstas en el artículo 58.a de su Reg</w:t>
      </w:r>
      <w:r w:rsidRPr="00DE69BB">
        <w:rPr>
          <w:rFonts w:ascii="Verdana" w:hAnsi="Verdana"/>
          <w:sz w:val="20"/>
          <w:szCs w:val="20"/>
        </w:rPr>
        <w:t xml:space="preserve">lamento, y considerando que se trata de disposiciones normativas que por su naturaleza son de conocimiento público, los textos de las siguientes leyes de Uruguay: a) </w:t>
      </w:r>
      <w:r w:rsidRPr="00DE69BB">
        <w:rPr>
          <w:rFonts w:ascii="Verdana" w:hAnsi="Verdana"/>
          <w:sz w:val="20"/>
          <w:szCs w:val="20"/>
          <w:lang w:val="es-ES"/>
        </w:rPr>
        <w:t>ley 17.347, de 13 de junio de 2001, de aprobación de la Convención sobre la imprescriptibilidad de los crímenes de guerra y de los crímenes de lesa humanidad, y b) ley 18.026, de 13 de septiembre de 2006, de Cooperación con la Corte Penal Internacional en Materia de Lucha contra el Genocidio, los Crímenes de Guerra y de Lesa Humanidad.</w:t>
      </w:r>
      <w:r>
        <w:rPr>
          <w:rFonts w:ascii="Verdana" w:hAnsi="Verdana"/>
          <w:sz w:val="20"/>
          <w:szCs w:val="20"/>
          <w:lang w:val="es-ES"/>
        </w:rPr>
        <w:t xml:space="preserve"> </w:t>
      </w:r>
    </w:p>
    <w:p w14:paraId="1306EFAD" w14:textId="77777777" w:rsidR="00FD0466" w:rsidRPr="0039097A" w:rsidRDefault="00FD0466" w:rsidP="005A5029">
      <w:pPr>
        <w:pStyle w:val="Prrafodelista"/>
        <w:spacing w:line="240" w:lineRule="exact"/>
        <w:ind w:left="0"/>
        <w:jc w:val="both"/>
        <w:rPr>
          <w:rFonts w:ascii="Verdana" w:hAnsi="Verdana"/>
          <w:sz w:val="20"/>
        </w:rPr>
      </w:pPr>
    </w:p>
    <w:p w14:paraId="0C258E87" w14:textId="544C2520" w:rsidR="00FD0466" w:rsidRPr="00E53751" w:rsidRDefault="00FD0466" w:rsidP="005A5029">
      <w:pPr>
        <w:pStyle w:val="Prrafodelista"/>
        <w:numPr>
          <w:ilvl w:val="0"/>
          <w:numId w:val="2"/>
        </w:numPr>
        <w:spacing w:line="240" w:lineRule="exact"/>
        <w:ind w:left="0" w:firstLine="0"/>
        <w:jc w:val="both"/>
        <w:rPr>
          <w:rFonts w:ascii="Verdana" w:hAnsi="Verdana"/>
          <w:sz w:val="20"/>
        </w:rPr>
      </w:pPr>
      <w:r w:rsidRPr="001E4B94">
        <w:rPr>
          <w:rFonts w:ascii="Verdana" w:hAnsi="Verdana"/>
          <w:sz w:val="20"/>
        </w:rPr>
        <w:t xml:space="preserve">Los </w:t>
      </w:r>
      <w:r w:rsidRPr="00E53751">
        <w:rPr>
          <w:rFonts w:ascii="Verdana" w:hAnsi="Verdana"/>
          <w:b/>
          <w:i/>
          <w:sz w:val="20"/>
        </w:rPr>
        <w:t>representantes</w:t>
      </w:r>
      <w:r w:rsidRPr="001E4B94">
        <w:rPr>
          <w:rFonts w:ascii="Verdana" w:hAnsi="Verdana"/>
          <w:sz w:val="20"/>
        </w:rPr>
        <w:t>, el 7 de junio de 2021</w:t>
      </w:r>
      <w:r w:rsidR="009C3CBF">
        <w:rPr>
          <w:rFonts w:ascii="Verdana" w:hAnsi="Verdana"/>
          <w:sz w:val="20"/>
        </w:rPr>
        <w:t>,</w:t>
      </w:r>
      <w:r w:rsidRPr="001E4B94">
        <w:rPr>
          <w:rFonts w:ascii="Verdana" w:hAnsi="Verdana"/>
          <w:sz w:val="20"/>
        </w:rPr>
        <w:t xml:space="preserve"> remitieron una nota de prensa del día anterior, que “</w:t>
      </w:r>
      <w:r w:rsidRPr="001E4B94">
        <w:rPr>
          <w:rFonts w:ascii="Verdana" w:eastAsia="Verdana" w:hAnsi="Verdana" w:cs="Verdana"/>
          <w:sz w:val="20"/>
        </w:rPr>
        <w:t>amplía la información relatada por el Estado en su comunicación del 14 de mayo del 2021 acerca de los documentos encontrados en el Grupo de Artillaría 5”.</w:t>
      </w:r>
      <w:r w:rsidRPr="001E4B94">
        <w:rPr>
          <w:rFonts w:ascii="Verdana" w:eastAsia="Verdana" w:hAnsi="Verdana" w:cs="Verdana"/>
          <w:b/>
          <w:sz w:val="16"/>
          <w:szCs w:val="16"/>
        </w:rPr>
        <w:t xml:space="preserve"> </w:t>
      </w:r>
      <w:r w:rsidRPr="001E4B94">
        <w:rPr>
          <w:rFonts w:ascii="Verdana" w:eastAsia="Verdana" w:hAnsi="Verdana" w:cs="Verdana"/>
          <w:sz w:val="20"/>
          <w:szCs w:val="20"/>
        </w:rPr>
        <w:t>Por otra parte, junto con sus alegatos finales escritos, remitieron copia de una notificación de 15 de julio de 2021, referida a una providencia judicial del día anterior</w:t>
      </w:r>
      <w:r>
        <w:rPr>
          <w:rStyle w:val="Refdenotaalpie"/>
          <w:rFonts w:ascii="Verdana" w:eastAsia="Verdana" w:hAnsi="Verdana" w:cs="Verdana"/>
          <w:sz w:val="20"/>
          <w:szCs w:val="20"/>
        </w:rPr>
        <w:footnoteReference w:id="14"/>
      </w:r>
      <w:r w:rsidRPr="001E4B94">
        <w:rPr>
          <w:rFonts w:ascii="Verdana" w:eastAsia="Verdana" w:hAnsi="Verdana" w:cs="Verdana"/>
          <w:sz w:val="20"/>
          <w:szCs w:val="20"/>
        </w:rPr>
        <w:t>.</w:t>
      </w:r>
      <w:r w:rsidRPr="001E4B94">
        <w:rPr>
          <w:rFonts w:ascii="Verdana" w:eastAsia="Verdana" w:hAnsi="Verdana" w:cs="Verdana"/>
          <w:b/>
          <w:sz w:val="16"/>
          <w:szCs w:val="16"/>
        </w:rPr>
        <w:t xml:space="preserve"> </w:t>
      </w:r>
      <w:r w:rsidRPr="00E53751">
        <w:rPr>
          <w:rFonts w:ascii="Verdana" w:eastAsia="Verdana" w:hAnsi="Verdana" w:cs="Verdana"/>
          <w:sz w:val="20"/>
          <w:szCs w:val="20"/>
        </w:rPr>
        <w:t xml:space="preserve">La </w:t>
      </w:r>
      <w:r w:rsidRPr="00E53751">
        <w:rPr>
          <w:rFonts w:ascii="Verdana" w:eastAsia="Verdana" w:hAnsi="Verdana" w:cs="Verdana"/>
          <w:b/>
          <w:i/>
          <w:sz w:val="20"/>
          <w:szCs w:val="20"/>
        </w:rPr>
        <w:t>Comisión</w:t>
      </w:r>
      <w:r w:rsidRPr="00E53751">
        <w:rPr>
          <w:rFonts w:ascii="Verdana" w:eastAsia="Verdana" w:hAnsi="Verdana" w:cs="Verdana"/>
          <w:sz w:val="20"/>
          <w:szCs w:val="20"/>
        </w:rPr>
        <w:t xml:space="preserve"> no se pronunció sobre el primer documento, y señaló no tener observaciones respecto del segundo. El </w:t>
      </w:r>
      <w:r w:rsidRPr="00E53751">
        <w:rPr>
          <w:rFonts w:ascii="Verdana" w:eastAsia="Verdana" w:hAnsi="Verdana" w:cs="Verdana"/>
          <w:b/>
          <w:i/>
          <w:sz w:val="20"/>
          <w:szCs w:val="20"/>
        </w:rPr>
        <w:t>Estado</w:t>
      </w:r>
      <w:r w:rsidRPr="00E53751">
        <w:rPr>
          <w:rFonts w:ascii="Verdana" w:eastAsia="Verdana" w:hAnsi="Verdana" w:cs="Verdana"/>
          <w:sz w:val="20"/>
          <w:szCs w:val="20"/>
        </w:rPr>
        <w:t xml:space="preserve"> no presentó observaciones sobre ninguno de los dos documentos</w:t>
      </w:r>
      <w:r w:rsidRPr="001E4B94">
        <w:rPr>
          <w:rFonts w:ascii="Verdana" w:eastAsia="Verdana" w:hAnsi="Verdana" w:cs="Verdana"/>
          <w:sz w:val="20"/>
          <w:szCs w:val="20"/>
        </w:rPr>
        <w:t>.</w:t>
      </w:r>
      <w:r w:rsidRPr="001E4B94">
        <w:rPr>
          <w:rFonts w:ascii="Verdana" w:eastAsia="Verdana" w:hAnsi="Verdana" w:cs="Verdana"/>
          <w:b/>
          <w:sz w:val="16"/>
          <w:szCs w:val="16"/>
        </w:rPr>
        <w:t xml:space="preserve"> </w:t>
      </w:r>
      <w:r w:rsidRPr="001E4B94">
        <w:rPr>
          <w:rFonts w:ascii="Verdana" w:eastAsia="Verdana" w:hAnsi="Verdana" w:cs="Verdana"/>
          <w:sz w:val="20"/>
          <w:szCs w:val="20"/>
        </w:rPr>
        <w:t xml:space="preserve">La </w:t>
      </w:r>
      <w:r w:rsidRPr="00E53751">
        <w:rPr>
          <w:rFonts w:ascii="Verdana" w:eastAsia="Verdana" w:hAnsi="Verdana" w:cs="Verdana"/>
          <w:b/>
          <w:i/>
          <w:sz w:val="20"/>
          <w:szCs w:val="20"/>
        </w:rPr>
        <w:t>Corte</w:t>
      </w:r>
      <w:r w:rsidRPr="001E4B94">
        <w:rPr>
          <w:rFonts w:ascii="Verdana" w:eastAsia="Verdana" w:hAnsi="Verdana" w:cs="Verdana"/>
          <w:sz w:val="20"/>
          <w:szCs w:val="20"/>
        </w:rPr>
        <w:t xml:space="preserve"> considerará la nota de prensa remitida el 7 de junio de 2021 por los representantes, que se refiere al documento antes señalado como documento c), remitido por el Estado</w:t>
      </w:r>
      <w:r w:rsidR="009C3CBF">
        <w:rPr>
          <w:rFonts w:ascii="Verdana" w:eastAsia="Verdana" w:hAnsi="Verdana" w:cs="Verdana"/>
          <w:sz w:val="20"/>
          <w:szCs w:val="20"/>
        </w:rPr>
        <w:t xml:space="preserve"> (</w:t>
      </w:r>
      <w:r w:rsidR="009C3CBF">
        <w:rPr>
          <w:rFonts w:ascii="Verdana" w:eastAsia="Verdana" w:hAnsi="Verdana" w:cs="Verdana"/>
          <w:i/>
          <w:sz w:val="20"/>
          <w:szCs w:val="20"/>
        </w:rPr>
        <w:t>supra</w:t>
      </w:r>
      <w:r w:rsidR="009C3CBF">
        <w:rPr>
          <w:rFonts w:ascii="Verdana" w:eastAsia="Verdana" w:hAnsi="Verdana" w:cs="Verdana"/>
          <w:sz w:val="20"/>
          <w:szCs w:val="20"/>
        </w:rPr>
        <w:t xml:space="preserve"> nota a pie de página 12)</w:t>
      </w:r>
      <w:r w:rsidRPr="001E4B94">
        <w:rPr>
          <w:rFonts w:ascii="Verdana" w:eastAsia="Verdana" w:hAnsi="Verdana" w:cs="Verdana"/>
          <w:sz w:val="20"/>
          <w:szCs w:val="20"/>
        </w:rPr>
        <w:t xml:space="preserve">. El documento de </w:t>
      </w:r>
      <w:r w:rsidRPr="001E4B94">
        <w:rPr>
          <w:rFonts w:ascii="Verdana" w:eastAsia="Verdana" w:hAnsi="Verdana" w:cs="Verdana"/>
          <w:sz w:val="20"/>
          <w:szCs w:val="20"/>
        </w:rPr>
        <w:lastRenderedPageBreak/>
        <w:t>15 de julio de 2021 acredita un hecho superviniente atinente a actuaciones judiciales vinculadas a los hechos del caso. Por ello, con base en el artículo 57.2 del Reglamento, ambos documentos quedan admitidos.</w:t>
      </w:r>
    </w:p>
    <w:p w14:paraId="17D979E2" w14:textId="77777777" w:rsidR="00FD0466" w:rsidRDefault="00FD0466" w:rsidP="005A5029">
      <w:pPr>
        <w:pStyle w:val="Prrafodelista"/>
        <w:spacing w:line="240" w:lineRule="exact"/>
        <w:ind w:left="0"/>
        <w:jc w:val="both"/>
        <w:rPr>
          <w:rFonts w:ascii="Verdana" w:hAnsi="Verdana"/>
          <w:sz w:val="20"/>
        </w:rPr>
      </w:pPr>
    </w:p>
    <w:p w14:paraId="0D25865B" w14:textId="77777777" w:rsidR="00FD0466" w:rsidRPr="0039097A" w:rsidRDefault="00FD0466" w:rsidP="005A5029">
      <w:pPr>
        <w:pStyle w:val="Prrafodelista"/>
        <w:spacing w:line="240" w:lineRule="exact"/>
        <w:ind w:left="284"/>
        <w:jc w:val="both"/>
        <w:outlineLvl w:val="1"/>
        <w:rPr>
          <w:rFonts w:ascii="Verdana" w:hAnsi="Verdana"/>
          <w:b/>
          <w:i/>
          <w:sz w:val="20"/>
        </w:rPr>
      </w:pPr>
      <w:bookmarkStart w:id="13" w:name="_Toc85550387"/>
      <w:r w:rsidRPr="0039097A">
        <w:rPr>
          <w:rFonts w:ascii="Verdana" w:eastAsia="Verdana" w:hAnsi="Verdana" w:cs="Verdana"/>
          <w:b/>
          <w:i/>
          <w:sz w:val="20"/>
        </w:rPr>
        <w:t>B. Admisibilidad de la prueba testimonial y pericial</w:t>
      </w:r>
      <w:bookmarkEnd w:id="13"/>
    </w:p>
    <w:p w14:paraId="73A00DD3" w14:textId="77777777" w:rsidR="00FD0466" w:rsidRDefault="00FD0466" w:rsidP="005A5029">
      <w:pPr>
        <w:pStyle w:val="Prrafodelista"/>
        <w:spacing w:line="240" w:lineRule="exact"/>
        <w:ind w:left="0"/>
        <w:jc w:val="both"/>
        <w:rPr>
          <w:rFonts w:ascii="Verdana" w:hAnsi="Verdana"/>
          <w:sz w:val="20"/>
        </w:rPr>
      </w:pPr>
    </w:p>
    <w:p w14:paraId="5E3F3D67" w14:textId="026C3F78" w:rsidR="00FD0466" w:rsidRPr="0039097A" w:rsidRDefault="00FD0466" w:rsidP="005A5029">
      <w:pPr>
        <w:pStyle w:val="Prrafodelista"/>
        <w:numPr>
          <w:ilvl w:val="0"/>
          <w:numId w:val="2"/>
        </w:numPr>
        <w:spacing w:after="0" w:line="240" w:lineRule="exact"/>
        <w:ind w:left="0" w:firstLine="0"/>
        <w:jc w:val="both"/>
        <w:rPr>
          <w:rFonts w:ascii="Verdana" w:hAnsi="Verdana"/>
          <w:sz w:val="20"/>
        </w:rPr>
      </w:pPr>
      <w:r w:rsidRPr="0039097A">
        <w:rPr>
          <w:rFonts w:ascii="Verdana" w:hAnsi="Verdana"/>
          <w:sz w:val="20"/>
        </w:rPr>
        <w:t>La Corte admit</w:t>
      </w:r>
      <w:r>
        <w:rPr>
          <w:rFonts w:ascii="Verdana" w:hAnsi="Verdana"/>
          <w:sz w:val="20"/>
        </w:rPr>
        <w:t>e</w:t>
      </w:r>
      <w:r w:rsidRPr="0039097A">
        <w:rPr>
          <w:rFonts w:ascii="Verdana" w:hAnsi="Verdana"/>
          <w:sz w:val="20"/>
        </w:rPr>
        <w:t xml:space="preserve"> las declaraciones de Elena Zaffaroni Rocco, </w:t>
      </w:r>
      <w:r w:rsidR="005F5194">
        <w:rPr>
          <w:rFonts w:ascii="Verdana" w:hAnsi="Verdana"/>
          <w:sz w:val="20"/>
        </w:rPr>
        <w:t xml:space="preserve">del testigo </w:t>
      </w:r>
      <w:r w:rsidRPr="0039097A">
        <w:rPr>
          <w:rFonts w:ascii="Verdana" w:hAnsi="Verdana"/>
          <w:sz w:val="20"/>
        </w:rPr>
        <w:t xml:space="preserve">Ricardo </w:t>
      </w:r>
      <w:proofErr w:type="spellStart"/>
      <w:r w:rsidRPr="0039097A">
        <w:rPr>
          <w:rFonts w:ascii="Verdana" w:hAnsi="Verdana"/>
          <w:sz w:val="20"/>
        </w:rPr>
        <w:t>Perciballe</w:t>
      </w:r>
      <w:proofErr w:type="spellEnd"/>
      <w:r w:rsidR="005F5194">
        <w:rPr>
          <w:rFonts w:ascii="Verdana" w:hAnsi="Verdana"/>
          <w:sz w:val="20"/>
        </w:rPr>
        <w:t xml:space="preserve">, </w:t>
      </w:r>
      <w:r w:rsidR="00E16251">
        <w:rPr>
          <w:rFonts w:ascii="Verdana" w:hAnsi="Verdana"/>
          <w:sz w:val="20"/>
        </w:rPr>
        <w:t xml:space="preserve">titular de la </w:t>
      </w:r>
      <w:r w:rsidR="00E16251" w:rsidRPr="0039097A">
        <w:rPr>
          <w:rFonts w:ascii="Verdana" w:hAnsi="Verdana" w:cs="Times New Roman"/>
          <w:sz w:val="20"/>
          <w:szCs w:val="20"/>
        </w:rPr>
        <w:t>Fiscalía Especializada en Crímenes de Lesa Humanidad</w:t>
      </w:r>
      <w:r w:rsidR="00E16251">
        <w:rPr>
          <w:rFonts w:ascii="Verdana" w:hAnsi="Verdana"/>
          <w:sz w:val="20"/>
        </w:rPr>
        <w:t xml:space="preserve"> (</w:t>
      </w:r>
      <w:r w:rsidR="00E16251">
        <w:rPr>
          <w:rFonts w:ascii="Verdana" w:hAnsi="Verdana"/>
          <w:i/>
          <w:sz w:val="20"/>
        </w:rPr>
        <w:t>infra</w:t>
      </w:r>
      <w:r w:rsidR="00E16251">
        <w:rPr>
          <w:rFonts w:ascii="Verdana" w:hAnsi="Verdana"/>
          <w:sz w:val="20"/>
        </w:rPr>
        <w:t xml:space="preserve"> párr.</w:t>
      </w:r>
      <w:r w:rsidR="00BC464E">
        <w:rPr>
          <w:rFonts w:ascii="Verdana" w:hAnsi="Verdana"/>
          <w:sz w:val="20"/>
        </w:rPr>
        <w:t xml:space="preserve"> 47</w:t>
      </w:r>
      <w:r w:rsidR="00E16251">
        <w:rPr>
          <w:rFonts w:ascii="Verdana" w:hAnsi="Verdana"/>
          <w:sz w:val="20"/>
        </w:rPr>
        <w:t>)</w:t>
      </w:r>
      <w:r w:rsidR="005F5194">
        <w:rPr>
          <w:rFonts w:ascii="Verdana" w:hAnsi="Verdana"/>
          <w:sz w:val="20"/>
        </w:rPr>
        <w:t>,</w:t>
      </w:r>
      <w:r w:rsidRPr="0039097A">
        <w:rPr>
          <w:rFonts w:ascii="Verdana" w:hAnsi="Verdana"/>
          <w:sz w:val="20"/>
        </w:rPr>
        <w:t xml:space="preserve"> y </w:t>
      </w:r>
      <w:r w:rsidR="005F5194">
        <w:rPr>
          <w:rFonts w:ascii="Verdana" w:hAnsi="Verdana"/>
          <w:sz w:val="20"/>
        </w:rPr>
        <w:t xml:space="preserve">del perito </w:t>
      </w:r>
      <w:r w:rsidRPr="0039097A">
        <w:rPr>
          <w:rFonts w:ascii="Verdana" w:hAnsi="Verdana"/>
          <w:sz w:val="20"/>
        </w:rPr>
        <w:t xml:space="preserve">Pablo Simón </w:t>
      </w:r>
      <w:proofErr w:type="spellStart"/>
      <w:r w:rsidRPr="0039097A">
        <w:rPr>
          <w:rFonts w:ascii="Verdana" w:hAnsi="Verdana"/>
          <w:sz w:val="20"/>
        </w:rPr>
        <w:t>Chargoñia</w:t>
      </w:r>
      <w:proofErr w:type="spellEnd"/>
      <w:r w:rsidRPr="0039097A">
        <w:rPr>
          <w:rFonts w:ascii="Verdana" w:hAnsi="Verdana"/>
          <w:sz w:val="20"/>
        </w:rPr>
        <w:t xml:space="preserve"> Pérez, dadas en forma oral en la </w:t>
      </w:r>
      <w:r>
        <w:rPr>
          <w:rFonts w:ascii="Verdana" w:hAnsi="Verdana"/>
          <w:sz w:val="20"/>
        </w:rPr>
        <w:t>audiencia pública</w:t>
      </w:r>
      <w:r w:rsidRPr="0039097A">
        <w:rPr>
          <w:rFonts w:ascii="Verdana" w:hAnsi="Verdana"/>
          <w:sz w:val="20"/>
        </w:rPr>
        <w:t>, así como las declaraciones rendidas por escrito ante fedatario público y en español, idioma de trabajo del caso, que fueron presentadas en forma oportuna, en la medida en que se ajusten al objeto que fue definido por la Presidencia, en la Resolución mediante la cual ordenó recibirlas (</w:t>
      </w:r>
      <w:r w:rsidRPr="0039097A">
        <w:rPr>
          <w:rFonts w:ascii="Verdana" w:hAnsi="Verdana"/>
          <w:i/>
          <w:sz w:val="20"/>
        </w:rPr>
        <w:t>supra</w:t>
      </w:r>
      <w:r w:rsidRPr="0039097A">
        <w:rPr>
          <w:rFonts w:ascii="Verdana" w:hAnsi="Verdana"/>
          <w:sz w:val="20"/>
        </w:rPr>
        <w:t xml:space="preserve"> párr. </w:t>
      </w:r>
      <w:r w:rsidR="005F5194">
        <w:rPr>
          <w:rFonts w:ascii="Verdana" w:hAnsi="Verdana"/>
          <w:sz w:val="20"/>
        </w:rPr>
        <w:t>8</w:t>
      </w:r>
      <w:r w:rsidRPr="0039097A">
        <w:rPr>
          <w:rFonts w:ascii="Verdana" w:hAnsi="Verdana"/>
          <w:sz w:val="20"/>
        </w:rPr>
        <w:t>)</w:t>
      </w:r>
      <w:r w:rsidRPr="0039097A">
        <w:rPr>
          <w:rStyle w:val="Refdenotaalpie"/>
          <w:rFonts w:ascii="Verdana" w:hAnsi="Verdana"/>
          <w:sz w:val="20"/>
        </w:rPr>
        <w:footnoteReference w:id="15"/>
      </w:r>
      <w:r w:rsidRPr="0039097A">
        <w:rPr>
          <w:rFonts w:ascii="Verdana" w:hAnsi="Verdana"/>
          <w:sz w:val="20"/>
        </w:rPr>
        <w:t>.</w:t>
      </w:r>
    </w:p>
    <w:p w14:paraId="3B238C08" w14:textId="77777777" w:rsidR="00FD0466" w:rsidRPr="0039097A" w:rsidRDefault="00FD0466" w:rsidP="005A5029">
      <w:pPr>
        <w:pStyle w:val="Prrafodelista"/>
        <w:spacing w:after="0" w:line="240" w:lineRule="exact"/>
        <w:ind w:left="0"/>
        <w:jc w:val="both"/>
        <w:rPr>
          <w:rFonts w:ascii="Verdana" w:hAnsi="Verdana"/>
          <w:sz w:val="20"/>
        </w:rPr>
      </w:pPr>
    </w:p>
    <w:p w14:paraId="5DBFF329" w14:textId="77777777" w:rsidR="00FD0466" w:rsidRPr="0039097A" w:rsidRDefault="00FD0466" w:rsidP="005A5029">
      <w:pPr>
        <w:pStyle w:val="Ttulo1"/>
        <w:spacing w:before="0" w:line="240" w:lineRule="exact"/>
        <w:jc w:val="center"/>
        <w:rPr>
          <w:rFonts w:ascii="Verdana" w:hAnsi="Verdana"/>
          <w:b/>
          <w:color w:val="auto"/>
          <w:sz w:val="20"/>
        </w:rPr>
      </w:pPr>
      <w:bookmarkStart w:id="14" w:name="_Toc85550388"/>
      <w:r w:rsidRPr="0039097A">
        <w:rPr>
          <w:rFonts w:ascii="Verdana" w:hAnsi="Verdana"/>
          <w:b/>
          <w:color w:val="auto"/>
          <w:sz w:val="20"/>
        </w:rPr>
        <w:t>VI</w:t>
      </w:r>
      <w:bookmarkEnd w:id="14"/>
    </w:p>
    <w:p w14:paraId="27E04716" w14:textId="77777777" w:rsidR="00FD0466" w:rsidRPr="0039097A" w:rsidRDefault="00FD0466" w:rsidP="005A5029">
      <w:pPr>
        <w:pStyle w:val="Ttulo1"/>
        <w:spacing w:before="0" w:line="240" w:lineRule="exact"/>
        <w:jc w:val="center"/>
        <w:rPr>
          <w:rFonts w:ascii="Verdana" w:hAnsi="Verdana"/>
          <w:b/>
          <w:color w:val="auto"/>
          <w:sz w:val="20"/>
        </w:rPr>
      </w:pPr>
      <w:bookmarkStart w:id="15" w:name="_Toc85550389"/>
      <w:r w:rsidRPr="0039097A">
        <w:rPr>
          <w:rFonts w:ascii="Verdana" w:hAnsi="Verdana"/>
          <w:b/>
          <w:color w:val="auto"/>
          <w:sz w:val="20"/>
        </w:rPr>
        <w:t>HECHOS</w:t>
      </w:r>
      <w:bookmarkEnd w:id="15"/>
    </w:p>
    <w:p w14:paraId="6213CCA4" w14:textId="77777777" w:rsidR="00FD0466" w:rsidRPr="0039097A" w:rsidRDefault="00FD0466" w:rsidP="005A5029">
      <w:pPr>
        <w:pStyle w:val="Prrafodelista"/>
        <w:spacing w:line="240" w:lineRule="exact"/>
        <w:ind w:left="0"/>
        <w:jc w:val="both"/>
        <w:rPr>
          <w:rFonts w:ascii="Verdana" w:hAnsi="Verdana"/>
          <w:sz w:val="20"/>
        </w:rPr>
      </w:pPr>
    </w:p>
    <w:p w14:paraId="2C9E8B84" w14:textId="31CF6E6C" w:rsidR="00FD0466" w:rsidRPr="00E53751" w:rsidRDefault="00FD0466" w:rsidP="005A5029">
      <w:pPr>
        <w:pStyle w:val="Prrafodelista"/>
        <w:numPr>
          <w:ilvl w:val="0"/>
          <w:numId w:val="2"/>
        </w:numPr>
        <w:spacing w:line="240" w:lineRule="exact"/>
        <w:ind w:left="0" w:firstLine="0"/>
        <w:jc w:val="both"/>
        <w:rPr>
          <w:rFonts w:ascii="Verdana" w:hAnsi="Verdana"/>
          <w:sz w:val="20"/>
        </w:rPr>
      </w:pPr>
      <w:r w:rsidRPr="00E53751">
        <w:rPr>
          <w:rFonts w:ascii="Verdana" w:hAnsi="Verdana"/>
          <w:sz w:val="20"/>
        </w:rPr>
        <w:t>La Corte, en lo que sigue, establecerá los hechos del caso. Lo hará con base en el marco fáctico sometido al conocimiento del Tribunal por la Comisión, teniendo en cuenta informaci</w:t>
      </w:r>
      <w:r w:rsidRPr="00DE69BB">
        <w:rPr>
          <w:rFonts w:ascii="Verdana" w:hAnsi="Verdana"/>
          <w:sz w:val="20"/>
        </w:rPr>
        <w:t>ón complementaria allegada a</w:t>
      </w:r>
      <w:r w:rsidR="005F5194">
        <w:rPr>
          <w:rFonts w:ascii="Verdana" w:hAnsi="Verdana"/>
          <w:sz w:val="20"/>
        </w:rPr>
        <w:t xml:space="preserve"> </w:t>
      </w:r>
      <w:r w:rsidRPr="00DE69BB">
        <w:rPr>
          <w:rFonts w:ascii="Verdana" w:hAnsi="Verdana"/>
          <w:sz w:val="20"/>
        </w:rPr>
        <w:t>l</w:t>
      </w:r>
      <w:r w:rsidR="005F5194">
        <w:rPr>
          <w:rFonts w:ascii="Verdana" w:hAnsi="Verdana"/>
          <w:sz w:val="20"/>
        </w:rPr>
        <w:t>a Corte</w:t>
      </w:r>
      <w:r w:rsidRPr="00DE69BB">
        <w:rPr>
          <w:rFonts w:ascii="Verdana" w:hAnsi="Verdana"/>
          <w:sz w:val="20"/>
        </w:rPr>
        <w:t xml:space="preserve"> y hechos relevantes posteriores a la emisión del Informe de Fondo. Al respecto, el Estado </w:t>
      </w:r>
      <w:r w:rsidRPr="00DE69BB">
        <w:rPr>
          <w:rFonts w:ascii="Verdana" w:hAnsi="Verdana"/>
          <w:sz w:val="20"/>
          <w:szCs w:val="20"/>
        </w:rPr>
        <w:t xml:space="preserve">afirmó que </w:t>
      </w:r>
      <w:r w:rsidRPr="00DE69BB">
        <w:rPr>
          <w:rFonts w:ascii="Verdana" w:eastAsia="Verdana" w:hAnsi="Verdana" w:cs="Verdana"/>
          <w:sz w:val="20"/>
          <w:szCs w:val="20"/>
        </w:rPr>
        <w:t xml:space="preserve">“no </w:t>
      </w:r>
      <w:proofErr w:type="spellStart"/>
      <w:r w:rsidRPr="00DE69BB">
        <w:rPr>
          <w:rFonts w:ascii="Verdana" w:eastAsia="Verdana" w:hAnsi="Verdana" w:cs="Verdana"/>
          <w:sz w:val="20"/>
          <w:szCs w:val="20"/>
        </w:rPr>
        <w:t>pretend</w:t>
      </w:r>
      <w:proofErr w:type="spellEnd"/>
      <w:r w:rsidRPr="00DE69BB">
        <w:rPr>
          <w:rFonts w:ascii="Verdana" w:eastAsia="Verdana" w:hAnsi="Verdana" w:cs="Verdana"/>
          <w:sz w:val="20"/>
          <w:szCs w:val="20"/>
        </w:rPr>
        <w:t>[e] negar</w:t>
      </w:r>
      <w:r w:rsidRPr="00DE69BB">
        <w:rPr>
          <w:rFonts w:ascii="Verdana" w:hAnsi="Verdana"/>
          <w:sz w:val="20"/>
          <w:szCs w:val="20"/>
        </w:rPr>
        <w:t xml:space="preserve"> los terrib</w:t>
      </w:r>
      <w:r w:rsidRPr="00E53751">
        <w:rPr>
          <w:rFonts w:ascii="Verdana" w:hAnsi="Verdana"/>
          <w:sz w:val="20"/>
          <w:szCs w:val="20"/>
        </w:rPr>
        <w:t>les hechos perpetrados durante la dictadura cívica militar, ni el padecimiento de las víctimas y sus familiares”,</w:t>
      </w:r>
      <w:r w:rsidRPr="00E53751">
        <w:rPr>
          <w:rFonts w:ascii="Verdana" w:hAnsi="Verdana"/>
          <w:sz w:val="24"/>
          <w:szCs w:val="24"/>
        </w:rPr>
        <w:t xml:space="preserve"> </w:t>
      </w:r>
      <w:r w:rsidRPr="00E53751">
        <w:rPr>
          <w:rFonts w:ascii="Verdana" w:hAnsi="Verdana"/>
          <w:sz w:val="20"/>
          <w:szCs w:val="20"/>
        </w:rPr>
        <w:t>y que “los hechos de este proceso no han sido controvertidos”. La Corte determinará los hechos teniendo en cuenta la falta de controversia sobre los mismos, y considerando las precisiones que surgen del acervo probatorio.</w:t>
      </w:r>
      <w:r w:rsidRPr="00E53751">
        <w:rPr>
          <w:rFonts w:ascii="Verdana" w:hAnsi="Verdana"/>
          <w:b/>
          <w:sz w:val="20"/>
          <w:szCs w:val="20"/>
        </w:rPr>
        <w:t xml:space="preserve"> </w:t>
      </w:r>
    </w:p>
    <w:p w14:paraId="595B1BEC" w14:textId="77777777" w:rsidR="00FD0466" w:rsidRPr="0039097A" w:rsidRDefault="00FD0466" w:rsidP="005A5029">
      <w:pPr>
        <w:pStyle w:val="Prrafodelista"/>
        <w:spacing w:line="240" w:lineRule="exact"/>
        <w:ind w:left="0"/>
        <w:jc w:val="both"/>
        <w:rPr>
          <w:rFonts w:ascii="Verdana" w:hAnsi="Verdana"/>
          <w:sz w:val="20"/>
        </w:rPr>
      </w:pPr>
    </w:p>
    <w:p w14:paraId="174B05D4" w14:textId="77777777" w:rsidR="00FD0466" w:rsidRPr="0039097A" w:rsidRDefault="00FD0466" w:rsidP="005A5029">
      <w:pPr>
        <w:pStyle w:val="Prrafodelista"/>
        <w:numPr>
          <w:ilvl w:val="0"/>
          <w:numId w:val="2"/>
        </w:numPr>
        <w:spacing w:line="240" w:lineRule="exact"/>
        <w:ind w:left="0" w:firstLine="0"/>
        <w:jc w:val="both"/>
        <w:rPr>
          <w:rFonts w:ascii="Verdana" w:hAnsi="Verdana"/>
          <w:sz w:val="20"/>
        </w:rPr>
      </w:pPr>
      <w:r w:rsidRPr="0039097A">
        <w:rPr>
          <w:rFonts w:ascii="Verdana" w:hAnsi="Verdana"/>
          <w:sz w:val="20"/>
        </w:rPr>
        <w:t xml:space="preserve">A continuación, se expondrán los hechos establecidos en el siguiente orden: a) contexto; b) sobre las presuntas víctimas; c) antecedentes y hechos del caso, y d) reparaciones obtenidas a nivel interno. </w:t>
      </w:r>
    </w:p>
    <w:p w14:paraId="342B485E" w14:textId="77777777" w:rsidR="00FD0466" w:rsidRPr="0039097A" w:rsidRDefault="00FD0466" w:rsidP="005A5029">
      <w:pPr>
        <w:pStyle w:val="Prrafodelista"/>
        <w:spacing w:line="240" w:lineRule="exact"/>
        <w:ind w:left="0"/>
        <w:jc w:val="both"/>
        <w:rPr>
          <w:rFonts w:ascii="Verdana" w:hAnsi="Verdana"/>
          <w:sz w:val="20"/>
        </w:rPr>
      </w:pPr>
    </w:p>
    <w:p w14:paraId="7B841A62" w14:textId="77777777" w:rsidR="00FD0466" w:rsidRPr="0039097A" w:rsidRDefault="00FD0466" w:rsidP="005A5029">
      <w:pPr>
        <w:pStyle w:val="Prrafodelista"/>
        <w:numPr>
          <w:ilvl w:val="0"/>
          <w:numId w:val="4"/>
        </w:numPr>
        <w:autoSpaceDE w:val="0"/>
        <w:autoSpaceDN w:val="0"/>
        <w:adjustRightInd w:val="0"/>
        <w:spacing w:after="0" w:line="240" w:lineRule="exact"/>
        <w:ind w:left="284" w:firstLine="0"/>
        <w:jc w:val="both"/>
        <w:outlineLvl w:val="1"/>
        <w:rPr>
          <w:rFonts w:ascii="Verdana" w:hAnsi="Verdana" w:cs="Times New Roman"/>
          <w:b/>
          <w:bCs/>
          <w:i/>
          <w:sz w:val="20"/>
          <w:szCs w:val="20"/>
        </w:rPr>
      </w:pPr>
      <w:bookmarkStart w:id="16" w:name="_Toc85550390"/>
      <w:r w:rsidRPr="0039097A">
        <w:rPr>
          <w:rFonts w:ascii="Verdana" w:hAnsi="Verdana" w:cs="Times New Roman"/>
          <w:b/>
          <w:bCs/>
          <w:i/>
          <w:sz w:val="20"/>
          <w:szCs w:val="20"/>
        </w:rPr>
        <w:t>Contexto</w:t>
      </w:r>
      <w:bookmarkEnd w:id="16"/>
    </w:p>
    <w:p w14:paraId="15F51272" w14:textId="77777777" w:rsidR="00FD0466" w:rsidRPr="0039097A" w:rsidRDefault="00FD0466" w:rsidP="005A5029">
      <w:pPr>
        <w:pStyle w:val="Prrafodelista"/>
        <w:autoSpaceDE w:val="0"/>
        <w:autoSpaceDN w:val="0"/>
        <w:adjustRightInd w:val="0"/>
        <w:spacing w:after="0" w:line="240" w:lineRule="exact"/>
        <w:jc w:val="both"/>
        <w:rPr>
          <w:rFonts w:ascii="Verdana" w:hAnsi="Verdana" w:cs="Times New Roman"/>
          <w:b/>
          <w:bCs/>
          <w:i/>
          <w:sz w:val="20"/>
          <w:szCs w:val="20"/>
        </w:rPr>
      </w:pPr>
    </w:p>
    <w:p w14:paraId="75D1682B" w14:textId="7DCC024B" w:rsidR="00FD0466" w:rsidRPr="0039097A" w:rsidRDefault="00FD0466" w:rsidP="005A5029">
      <w:pPr>
        <w:pStyle w:val="Prrafodelista"/>
        <w:autoSpaceDE w:val="0"/>
        <w:autoSpaceDN w:val="0"/>
        <w:adjustRightInd w:val="0"/>
        <w:spacing w:after="0" w:line="240" w:lineRule="exact"/>
        <w:ind w:left="567"/>
        <w:jc w:val="both"/>
        <w:outlineLvl w:val="1"/>
        <w:rPr>
          <w:rFonts w:ascii="Verdana" w:hAnsi="Verdana" w:cs="Times New Roman"/>
          <w:bCs/>
          <w:i/>
          <w:sz w:val="20"/>
          <w:szCs w:val="20"/>
        </w:rPr>
      </w:pPr>
      <w:bookmarkStart w:id="17" w:name="_Toc85550391"/>
      <w:r w:rsidRPr="0039097A">
        <w:rPr>
          <w:rFonts w:ascii="Verdana" w:hAnsi="Verdana" w:cs="Times New Roman"/>
          <w:bCs/>
          <w:i/>
          <w:sz w:val="20"/>
          <w:szCs w:val="20"/>
        </w:rPr>
        <w:t xml:space="preserve">A.1. </w:t>
      </w:r>
      <w:r w:rsidRPr="0039097A">
        <w:rPr>
          <w:rFonts w:ascii="Verdana" w:hAnsi="Verdana" w:cs="Times New Roman"/>
          <w:bCs/>
          <w:i/>
          <w:sz w:val="20"/>
          <w:szCs w:val="20"/>
          <w:u w:val="single"/>
        </w:rPr>
        <w:t xml:space="preserve">Sobre las graves violaciones de derechos humanos cometidas durante la dictadura y actos posteriores que dieron cuenta de </w:t>
      </w:r>
      <w:proofErr w:type="gramStart"/>
      <w:r w:rsidRPr="0039097A">
        <w:rPr>
          <w:rFonts w:ascii="Verdana" w:hAnsi="Verdana" w:cs="Times New Roman"/>
          <w:bCs/>
          <w:i/>
          <w:sz w:val="20"/>
          <w:szCs w:val="20"/>
          <w:u w:val="single"/>
        </w:rPr>
        <w:t>los mismos</w:t>
      </w:r>
      <w:bookmarkEnd w:id="17"/>
      <w:proofErr w:type="gramEnd"/>
    </w:p>
    <w:p w14:paraId="7D9621C5" w14:textId="403B4E4F" w:rsidR="00FD0466" w:rsidRPr="0039097A" w:rsidRDefault="00FD0466" w:rsidP="005A5029">
      <w:pPr>
        <w:autoSpaceDE w:val="0"/>
        <w:autoSpaceDN w:val="0"/>
        <w:adjustRightInd w:val="0"/>
        <w:spacing w:after="0" w:line="240" w:lineRule="exact"/>
        <w:ind w:left="360"/>
        <w:jc w:val="both"/>
        <w:rPr>
          <w:rFonts w:ascii="Verdana" w:hAnsi="Verdana" w:cs="Times New Roman"/>
          <w:b/>
          <w:bCs/>
          <w:sz w:val="20"/>
          <w:szCs w:val="20"/>
        </w:rPr>
      </w:pPr>
    </w:p>
    <w:p w14:paraId="039A6EFE" w14:textId="757E30EF" w:rsidR="00FD0466" w:rsidRPr="0039097A" w:rsidRDefault="00FD0466" w:rsidP="005A5029">
      <w:pPr>
        <w:pStyle w:val="Prrafodelista"/>
        <w:numPr>
          <w:ilvl w:val="0"/>
          <w:numId w:val="46"/>
        </w:numPr>
        <w:tabs>
          <w:tab w:val="left" w:pos="993"/>
        </w:tabs>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De acuerdo con el Informe de Fondo,</w:t>
      </w:r>
      <w:r w:rsidR="00CE0345">
        <w:rPr>
          <w:rFonts w:ascii="Verdana" w:hAnsi="Verdana" w:cs="Times New Roman"/>
          <w:sz w:val="20"/>
          <w:szCs w:val="20"/>
        </w:rPr>
        <w:t xml:space="preserve"> los hechos que dieron origen a</w:t>
      </w:r>
      <w:r w:rsidRPr="0039097A">
        <w:rPr>
          <w:rFonts w:ascii="Verdana" w:hAnsi="Verdana" w:cs="Times New Roman"/>
          <w:sz w:val="20"/>
          <w:szCs w:val="20"/>
        </w:rPr>
        <w:t xml:space="preserve">l presente caso se dieron en el marco de la dictadura cívico militar en Uruguay, que se mantuvo desde el 27 de junio de 1973, luego de un golpe de Estado, hasta el 28 de febrero de 1985. La Corte ya ha conocido dicho contexto en el caso </w:t>
      </w:r>
      <w:r w:rsidRPr="0039097A">
        <w:rPr>
          <w:rFonts w:ascii="Verdana" w:hAnsi="Verdana" w:cs="Times New Roman"/>
          <w:i/>
          <w:sz w:val="20"/>
          <w:szCs w:val="20"/>
        </w:rPr>
        <w:t>Gelman Vs. Uruguay</w:t>
      </w:r>
      <w:r w:rsidRPr="0039097A">
        <w:rPr>
          <w:rStyle w:val="Refdenotaalpie"/>
          <w:rFonts w:ascii="Verdana" w:hAnsi="Verdana" w:cs="Times New Roman"/>
          <w:sz w:val="20"/>
          <w:szCs w:val="20"/>
        </w:rPr>
        <w:footnoteReference w:id="16"/>
      </w:r>
      <w:r w:rsidRPr="0039097A">
        <w:rPr>
          <w:rFonts w:ascii="Verdana" w:hAnsi="Verdana" w:cs="Times New Roman"/>
          <w:sz w:val="20"/>
          <w:szCs w:val="20"/>
        </w:rPr>
        <w:t xml:space="preserve">. De acuerdo </w:t>
      </w:r>
      <w:r w:rsidR="00482E22">
        <w:rPr>
          <w:rFonts w:ascii="Verdana" w:hAnsi="Verdana" w:cs="Times New Roman"/>
          <w:sz w:val="20"/>
          <w:szCs w:val="20"/>
        </w:rPr>
        <w:t>con</w:t>
      </w:r>
      <w:r w:rsidRPr="0039097A">
        <w:rPr>
          <w:rFonts w:ascii="Verdana" w:hAnsi="Verdana" w:cs="Times New Roman"/>
          <w:sz w:val="20"/>
          <w:szCs w:val="20"/>
        </w:rPr>
        <w:t xml:space="preserve"> lo que ya ha constatado este Tribunal en esa oportunidad, en dicho periodo se cometieron graves violaciones de derechos humanos por parte de agentes estatales.</w:t>
      </w:r>
      <w:r w:rsidRPr="0039097A">
        <w:rPr>
          <w:rFonts w:ascii="Verdana" w:hAnsi="Verdana" w:cs="Times New Roman"/>
          <w:b/>
          <w:sz w:val="20"/>
          <w:szCs w:val="20"/>
        </w:rPr>
        <w:t xml:space="preserve"> </w:t>
      </w:r>
      <w:r w:rsidRPr="0039097A">
        <w:rPr>
          <w:rFonts w:ascii="Verdana" w:hAnsi="Verdana" w:cs="Times New Roman"/>
          <w:sz w:val="20"/>
          <w:szCs w:val="20"/>
        </w:rPr>
        <w:t xml:space="preserve">A continuación se da cuenta de ello, considerando lo expuesto en la sentencia aludida y algunos elementos adicionales. </w:t>
      </w:r>
    </w:p>
    <w:p w14:paraId="56A0B374"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r w:rsidRPr="0039097A">
        <w:rPr>
          <w:rFonts w:ascii="Verdana" w:hAnsi="Verdana" w:cs="Times New Roman"/>
          <w:sz w:val="20"/>
          <w:szCs w:val="20"/>
        </w:rPr>
        <w:t xml:space="preserve"> </w:t>
      </w:r>
    </w:p>
    <w:p w14:paraId="6E115748" w14:textId="02A5205F"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lastRenderedPageBreak/>
        <w:t xml:space="preserve">En el caso </w:t>
      </w:r>
      <w:r w:rsidRPr="0039097A">
        <w:rPr>
          <w:rFonts w:ascii="Verdana" w:hAnsi="Verdana" w:cs="Times New Roman"/>
          <w:i/>
          <w:sz w:val="20"/>
          <w:szCs w:val="20"/>
        </w:rPr>
        <w:t>Gelman Vs. Uruguay,</w:t>
      </w:r>
      <w:r w:rsidRPr="0039097A">
        <w:rPr>
          <w:rFonts w:ascii="Verdana" w:hAnsi="Verdana" w:cs="Times New Roman"/>
          <w:sz w:val="20"/>
          <w:szCs w:val="20"/>
        </w:rPr>
        <w:t xml:space="preserve"> la Corte expresó que los hechos se dieron </w:t>
      </w:r>
      <w:r w:rsidRPr="0039097A">
        <w:rPr>
          <w:rFonts w:ascii="Verdana" w:hAnsi="Verdana" w:cs="Arial"/>
          <w:sz w:val="20"/>
          <w:szCs w:val="20"/>
          <w:shd w:val="clear" w:color="auto" w:fill="FFFFFF"/>
        </w:rPr>
        <w:t>“en un contexto de práctica sistemática de detenciones arbitrarias, torturas, ejecuciones y desapariciones forzadas perpetradas por las fuerzas de seguridad e inteligencia de la dictadura uruguaya, en el marco de la doctrina de seguridad nacional y de la Operación Cóndor”</w:t>
      </w:r>
      <w:r w:rsidRPr="0039097A">
        <w:rPr>
          <w:rStyle w:val="Refdenotaalpie"/>
          <w:rFonts w:ascii="Verdana" w:hAnsi="Verdana" w:cs="Arial"/>
          <w:sz w:val="20"/>
          <w:szCs w:val="20"/>
          <w:shd w:val="clear" w:color="auto" w:fill="FFFFFF"/>
        </w:rPr>
        <w:footnoteReference w:id="17"/>
      </w:r>
      <w:r w:rsidRPr="0039097A">
        <w:rPr>
          <w:rFonts w:ascii="Verdana" w:hAnsi="Verdana" w:cs="Arial"/>
          <w:sz w:val="20"/>
          <w:szCs w:val="20"/>
          <w:shd w:val="clear" w:color="auto" w:fill="FFFFFF"/>
        </w:rPr>
        <w:t xml:space="preserve">. </w:t>
      </w:r>
      <w:r w:rsidRPr="0039097A">
        <w:rPr>
          <w:rFonts w:ascii="Verdana" w:hAnsi="Verdana" w:cs="Arial"/>
          <w:sz w:val="20"/>
          <w:szCs w:val="20"/>
        </w:rPr>
        <w:t xml:space="preserve">Por su parte la Comisión señaló en </w:t>
      </w:r>
      <w:r w:rsidRPr="0039097A">
        <w:rPr>
          <w:rFonts w:ascii="Verdana" w:hAnsi="Verdana" w:cs="Times New Roman"/>
          <w:sz w:val="20"/>
          <w:szCs w:val="20"/>
        </w:rPr>
        <w:t>su “</w:t>
      </w:r>
      <w:r w:rsidR="00BA302F">
        <w:rPr>
          <w:rFonts w:ascii="Verdana" w:hAnsi="Verdana" w:cs="Times New Roman"/>
          <w:sz w:val="20"/>
          <w:szCs w:val="20"/>
        </w:rPr>
        <w:t>[I]</w:t>
      </w:r>
      <w:proofErr w:type="spellStart"/>
      <w:r w:rsidRPr="0039097A">
        <w:rPr>
          <w:rFonts w:ascii="Verdana" w:hAnsi="Verdana" w:cs="Times New Roman"/>
          <w:sz w:val="20"/>
          <w:szCs w:val="20"/>
        </w:rPr>
        <w:t>nforme</w:t>
      </w:r>
      <w:proofErr w:type="spellEnd"/>
      <w:r w:rsidRPr="0039097A">
        <w:rPr>
          <w:rFonts w:ascii="Verdana" w:hAnsi="Verdana" w:cs="Times New Roman"/>
          <w:sz w:val="20"/>
          <w:szCs w:val="20"/>
        </w:rPr>
        <w:t xml:space="preserve"> de país de 1978” respecto de Uruguay, que desde 1973 </w:t>
      </w:r>
      <w:r w:rsidR="00BA302F">
        <w:rPr>
          <w:rFonts w:ascii="Verdana" w:hAnsi="Verdana" w:cs="Times New Roman"/>
          <w:sz w:val="20"/>
          <w:szCs w:val="20"/>
        </w:rPr>
        <w:t xml:space="preserve">había </w:t>
      </w:r>
      <w:r w:rsidRPr="0039097A">
        <w:rPr>
          <w:rFonts w:ascii="Verdana" w:hAnsi="Verdana" w:cs="Times New Roman"/>
          <w:sz w:val="20"/>
          <w:szCs w:val="20"/>
        </w:rPr>
        <w:t>recibi</w:t>
      </w:r>
      <w:r w:rsidR="00BA302F">
        <w:rPr>
          <w:rFonts w:ascii="Verdana" w:hAnsi="Verdana" w:cs="Times New Roman"/>
          <w:sz w:val="20"/>
          <w:szCs w:val="20"/>
        </w:rPr>
        <w:t>do</w:t>
      </w:r>
      <w:r w:rsidRPr="0039097A">
        <w:rPr>
          <w:rFonts w:ascii="Verdana" w:hAnsi="Verdana" w:cs="Times New Roman"/>
          <w:sz w:val="20"/>
          <w:szCs w:val="20"/>
        </w:rPr>
        <w:t xml:space="preserve"> información “en que se imputa</w:t>
      </w:r>
      <w:r w:rsidR="00BA302F">
        <w:rPr>
          <w:rFonts w:ascii="Verdana" w:hAnsi="Verdana" w:cs="Times New Roman"/>
          <w:sz w:val="20"/>
          <w:szCs w:val="20"/>
        </w:rPr>
        <w:t>[</w:t>
      </w:r>
      <w:proofErr w:type="spellStart"/>
      <w:r w:rsidR="00BA302F">
        <w:rPr>
          <w:rFonts w:ascii="Verdana" w:hAnsi="Verdana" w:cs="Times New Roman"/>
          <w:sz w:val="20"/>
          <w:szCs w:val="20"/>
        </w:rPr>
        <w:t>ba</w:t>
      </w:r>
      <w:proofErr w:type="spellEnd"/>
      <w:r w:rsidR="00BA302F">
        <w:rPr>
          <w:rFonts w:ascii="Verdana" w:hAnsi="Verdana" w:cs="Times New Roman"/>
          <w:sz w:val="20"/>
          <w:szCs w:val="20"/>
        </w:rPr>
        <w:t>]</w:t>
      </w:r>
      <w:r w:rsidRPr="0039097A">
        <w:rPr>
          <w:rFonts w:ascii="Verdana" w:hAnsi="Verdana" w:cs="Times New Roman"/>
          <w:sz w:val="20"/>
          <w:szCs w:val="20"/>
        </w:rPr>
        <w:t xml:space="preserve"> a autoridades uruguayas la responsabilidad de la muerte violenta, como resultado de los apremios físicos, de un número considerable de hombres y mujeres que se encontraban detenidas”</w:t>
      </w:r>
      <w:r w:rsidRPr="0039097A">
        <w:rPr>
          <w:rStyle w:val="Refdenotaalpie"/>
          <w:rFonts w:ascii="Verdana" w:hAnsi="Verdana" w:cs="Times New Roman"/>
          <w:sz w:val="20"/>
          <w:szCs w:val="20"/>
        </w:rPr>
        <w:footnoteReference w:id="18"/>
      </w:r>
      <w:r w:rsidRPr="0039097A">
        <w:rPr>
          <w:rFonts w:ascii="Verdana" w:hAnsi="Verdana" w:cs="Times New Roman"/>
          <w:sz w:val="20"/>
          <w:szCs w:val="20"/>
        </w:rPr>
        <w:t>.</w:t>
      </w:r>
      <w:r w:rsidRPr="0039097A">
        <w:rPr>
          <w:rFonts w:ascii="Verdana" w:hAnsi="Verdana" w:cs="Arial"/>
          <w:sz w:val="20"/>
          <w:szCs w:val="20"/>
        </w:rPr>
        <w:t xml:space="preserve"> Asimismo, </w:t>
      </w:r>
      <w:r w:rsidRPr="0039097A">
        <w:rPr>
          <w:rFonts w:ascii="Verdana" w:hAnsi="Verdana" w:cs="Times New Roman"/>
          <w:sz w:val="20"/>
          <w:szCs w:val="20"/>
        </w:rPr>
        <w:t xml:space="preserve">esta Corte estableció que durante la dictadura, se implementaron “formas cotidianas de vigilancia y control de la sociedad y, más específicamente, de represión a las organizaciones políticas de izquierda”, y que durante dicho periodo se registraron numerosos casos de sustracción de </w:t>
      </w:r>
      <w:proofErr w:type="gramStart"/>
      <w:r w:rsidRPr="0039097A">
        <w:rPr>
          <w:rFonts w:ascii="Verdana" w:hAnsi="Verdana" w:cs="Times New Roman"/>
          <w:sz w:val="20"/>
          <w:szCs w:val="20"/>
        </w:rPr>
        <w:t>niños y niñas</w:t>
      </w:r>
      <w:proofErr w:type="gramEnd"/>
      <w:r w:rsidRPr="0039097A">
        <w:rPr>
          <w:rFonts w:ascii="Verdana" w:hAnsi="Verdana" w:cs="Times New Roman"/>
          <w:sz w:val="20"/>
          <w:szCs w:val="20"/>
        </w:rPr>
        <w:t>, desapariciones forzadas, torturas y ejecuciones extrajudiciales</w:t>
      </w:r>
      <w:r w:rsidRPr="0039097A">
        <w:rPr>
          <w:rStyle w:val="Refdenotaalpie"/>
          <w:rFonts w:ascii="Verdana" w:hAnsi="Verdana" w:cs="Times New Roman"/>
          <w:sz w:val="20"/>
          <w:szCs w:val="20"/>
        </w:rPr>
        <w:footnoteReference w:id="19"/>
      </w:r>
      <w:r w:rsidRPr="0039097A">
        <w:rPr>
          <w:rFonts w:ascii="Verdana" w:hAnsi="Verdana" w:cs="Arial"/>
          <w:sz w:val="20"/>
          <w:szCs w:val="20"/>
        </w:rPr>
        <w:t>.</w:t>
      </w:r>
    </w:p>
    <w:p w14:paraId="2A4E65CF"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1CA48B65" w14:textId="7FE2586D"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El 9 de abril de 1985 se votó en la Cámara de Representantes, de forma unánime, la conformación de una Comisión Investigadora</w:t>
      </w:r>
      <w:r>
        <w:rPr>
          <w:rFonts w:ascii="Verdana" w:hAnsi="Verdana" w:cs="Times New Roman"/>
          <w:sz w:val="20"/>
          <w:szCs w:val="20"/>
        </w:rPr>
        <w:t xml:space="preserve"> Parlamentaria</w:t>
      </w:r>
      <w:r w:rsidRPr="0039097A">
        <w:rPr>
          <w:rStyle w:val="Refdenotaalpie"/>
          <w:rFonts w:ascii="Verdana" w:hAnsi="Verdana" w:cs="Times New Roman"/>
          <w:sz w:val="20"/>
          <w:szCs w:val="20"/>
        </w:rPr>
        <w:footnoteReference w:id="20"/>
      </w:r>
      <w:r w:rsidRPr="0039097A">
        <w:rPr>
          <w:rFonts w:ascii="Verdana" w:hAnsi="Verdana" w:cs="Times New Roman"/>
          <w:sz w:val="20"/>
          <w:szCs w:val="20"/>
        </w:rPr>
        <w:t xml:space="preserve"> creada a los efectos de esclarecer la situación de las personas desaparecidas y de los hechos que la motivaron</w:t>
      </w:r>
      <w:r w:rsidRPr="0039097A">
        <w:rPr>
          <w:rStyle w:val="Refdenotaalpie"/>
          <w:rFonts w:ascii="Verdana" w:hAnsi="Verdana" w:cs="Times New Roman"/>
          <w:sz w:val="20"/>
          <w:szCs w:val="20"/>
        </w:rPr>
        <w:footnoteReference w:id="21"/>
      </w:r>
      <w:r w:rsidRPr="0039097A">
        <w:rPr>
          <w:rFonts w:ascii="Verdana" w:hAnsi="Verdana" w:cs="Times New Roman"/>
          <w:sz w:val="20"/>
          <w:szCs w:val="20"/>
        </w:rPr>
        <w:t xml:space="preserve">. Los trabajos realizados por </w:t>
      </w:r>
      <w:r>
        <w:rPr>
          <w:rFonts w:ascii="Verdana" w:hAnsi="Verdana" w:cs="Times New Roman"/>
          <w:sz w:val="20"/>
          <w:szCs w:val="20"/>
        </w:rPr>
        <w:t xml:space="preserve">esa </w:t>
      </w:r>
      <w:r w:rsidRPr="0039097A">
        <w:rPr>
          <w:rFonts w:ascii="Verdana" w:hAnsi="Verdana" w:cs="Times New Roman"/>
          <w:sz w:val="20"/>
          <w:szCs w:val="20"/>
        </w:rPr>
        <w:t>Comisión</w:t>
      </w:r>
      <w:r>
        <w:rPr>
          <w:rFonts w:ascii="Verdana" w:hAnsi="Verdana" w:cs="Times New Roman"/>
          <w:sz w:val="20"/>
          <w:szCs w:val="20"/>
        </w:rPr>
        <w:t xml:space="preserve"> </w:t>
      </w:r>
      <w:r w:rsidRPr="0039097A">
        <w:rPr>
          <w:rFonts w:ascii="Verdana" w:hAnsi="Verdana" w:cs="Times New Roman"/>
          <w:sz w:val="20"/>
          <w:szCs w:val="20"/>
        </w:rPr>
        <w:t>versaron</w:t>
      </w:r>
      <w:r>
        <w:rPr>
          <w:rFonts w:ascii="Verdana" w:hAnsi="Verdana" w:cs="Times New Roman"/>
          <w:sz w:val="20"/>
          <w:szCs w:val="20"/>
        </w:rPr>
        <w:t>,</w:t>
      </w:r>
      <w:r w:rsidRPr="0039097A">
        <w:rPr>
          <w:rFonts w:ascii="Verdana" w:hAnsi="Verdana" w:cs="Times New Roman"/>
          <w:sz w:val="20"/>
          <w:szCs w:val="20"/>
        </w:rPr>
        <w:t xml:space="preserve"> en primera instancia</w:t>
      </w:r>
      <w:r>
        <w:rPr>
          <w:rFonts w:ascii="Verdana" w:hAnsi="Verdana" w:cs="Times New Roman"/>
          <w:sz w:val="20"/>
          <w:szCs w:val="20"/>
        </w:rPr>
        <w:t>,</w:t>
      </w:r>
      <w:r w:rsidRPr="0039097A">
        <w:rPr>
          <w:rFonts w:ascii="Verdana" w:hAnsi="Verdana" w:cs="Times New Roman"/>
          <w:sz w:val="20"/>
          <w:szCs w:val="20"/>
        </w:rPr>
        <w:t xml:space="preserve"> sobre l</w:t>
      </w:r>
      <w:r w:rsidR="00BA302F">
        <w:rPr>
          <w:rFonts w:ascii="Verdana" w:hAnsi="Verdana" w:cs="Times New Roman"/>
          <w:sz w:val="20"/>
          <w:szCs w:val="20"/>
        </w:rPr>
        <w:t>a identificación</w:t>
      </w:r>
      <w:r w:rsidRPr="0039097A">
        <w:rPr>
          <w:rFonts w:ascii="Verdana" w:hAnsi="Verdana" w:cs="Times New Roman"/>
          <w:sz w:val="20"/>
          <w:szCs w:val="20"/>
        </w:rPr>
        <w:t xml:space="preserve"> de personas que se encontraban desaparecidas, </w:t>
      </w:r>
      <w:r w:rsidR="00BA302F">
        <w:rPr>
          <w:rFonts w:ascii="Verdana" w:hAnsi="Verdana" w:cs="Times New Roman"/>
          <w:sz w:val="20"/>
          <w:szCs w:val="20"/>
        </w:rPr>
        <w:t xml:space="preserve">cuyos nombres fueron </w:t>
      </w:r>
      <w:r w:rsidRPr="0039097A">
        <w:rPr>
          <w:rFonts w:ascii="Verdana" w:hAnsi="Verdana" w:cs="Times New Roman"/>
          <w:sz w:val="20"/>
          <w:szCs w:val="20"/>
        </w:rPr>
        <w:t xml:space="preserve">facilitados por sus familiares, </w:t>
      </w:r>
      <w:r w:rsidR="00BA302F">
        <w:rPr>
          <w:rFonts w:ascii="Verdana" w:hAnsi="Verdana" w:cs="Times New Roman"/>
          <w:sz w:val="20"/>
          <w:szCs w:val="20"/>
        </w:rPr>
        <w:t xml:space="preserve">entre quienes se </w:t>
      </w:r>
      <w:r w:rsidRPr="0039097A">
        <w:rPr>
          <w:rFonts w:ascii="Verdana" w:hAnsi="Verdana" w:cs="Times New Roman"/>
          <w:sz w:val="20"/>
          <w:szCs w:val="20"/>
        </w:rPr>
        <w:t>inclu</w:t>
      </w:r>
      <w:r w:rsidR="00BA302F">
        <w:rPr>
          <w:rFonts w:ascii="Verdana" w:hAnsi="Verdana" w:cs="Times New Roman"/>
          <w:sz w:val="20"/>
          <w:szCs w:val="20"/>
        </w:rPr>
        <w:t>yó</w:t>
      </w:r>
      <w:r w:rsidRPr="0039097A">
        <w:rPr>
          <w:rFonts w:ascii="Verdana" w:hAnsi="Verdana" w:cs="Times New Roman"/>
          <w:sz w:val="20"/>
          <w:szCs w:val="20"/>
        </w:rPr>
        <w:t xml:space="preserve"> a los</w:t>
      </w:r>
      <w:r>
        <w:rPr>
          <w:rFonts w:ascii="Verdana" w:hAnsi="Verdana" w:cs="Times New Roman"/>
          <w:sz w:val="20"/>
          <w:szCs w:val="20"/>
        </w:rPr>
        <w:t xml:space="preserve"> señores </w:t>
      </w:r>
      <w:r w:rsidRPr="0039097A">
        <w:rPr>
          <w:rFonts w:ascii="Verdana" w:hAnsi="Verdana" w:cs="Times New Roman"/>
          <w:sz w:val="20"/>
          <w:szCs w:val="20"/>
        </w:rPr>
        <w:t>Luis Eduardo González</w:t>
      </w:r>
      <w:r>
        <w:rPr>
          <w:rFonts w:ascii="Verdana" w:hAnsi="Verdana" w:cs="Times New Roman"/>
          <w:sz w:val="20"/>
          <w:szCs w:val="20"/>
        </w:rPr>
        <w:t xml:space="preserve"> </w:t>
      </w:r>
      <w:proofErr w:type="spellStart"/>
      <w:r>
        <w:rPr>
          <w:rFonts w:ascii="Verdana" w:hAnsi="Verdana" w:cs="Times New Roman"/>
          <w:sz w:val="20"/>
          <w:szCs w:val="20"/>
        </w:rPr>
        <w:t>Gonz</w:t>
      </w:r>
      <w:r w:rsidR="001B5524">
        <w:rPr>
          <w:rFonts w:ascii="Verdana" w:hAnsi="Verdana" w:cs="Times New Roman"/>
          <w:sz w:val="20"/>
          <w:szCs w:val="20"/>
        </w:rPr>
        <w:t>á</w:t>
      </w:r>
      <w:r>
        <w:rPr>
          <w:rFonts w:ascii="Verdana" w:hAnsi="Verdana" w:cs="Times New Roman"/>
          <w:sz w:val="20"/>
          <w:szCs w:val="20"/>
        </w:rPr>
        <w:t>lez</w:t>
      </w:r>
      <w:proofErr w:type="spellEnd"/>
      <w:r w:rsidRPr="0039097A">
        <w:rPr>
          <w:rFonts w:ascii="Verdana" w:hAnsi="Verdana" w:cs="Times New Roman"/>
          <w:sz w:val="20"/>
          <w:szCs w:val="20"/>
        </w:rPr>
        <w:t xml:space="preserve"> y Óscar </w:t>
      </w:r>
      <w:proofErr w:type="spellStart"/>
      <w:r w:rsidRPr="0039097A">
        <w:rPr>
          <w:rFonts w:ascii="Verdana" w:hAnsi="Verdana" w:cs="Times New Roman"/>
          <w:sz w:val="20"/>
          <w:szCs w:val="20"/>
        </w:rPr>
        <w:t>Tassino</w:t>
      </w:r>
      <w:proofErr w:type="spellEnd"/>
      <w:r>
        <w:rPr>
          <w:rFonts w:ascii="Verdana" w:hAnsi="Verdana" w:cs="Times New Roman"/>
          <w:sz w:val="20"/>
          <w:szCs w:val="20"/>
        </w:rPr>
        <w:t xml:space="preserve"> </w:t>
      </w:r>
      <w:proofErr w:type="spellStart"/>
      <w:r>
        <w:rPr>
          <w:rFonts w:ascii="Verdana" w:hAnsi="Verdana" w:cs="Times New Roman"/>
          <w:sz w:val="20"/>
          <w:szCs w:val="20"/>
        </w:rPr>
        <w:t>Asteazu</w:t>
      </w:r>
      <w:proofErr w:type="spellEnd"/>
      <w:r w:rsidRPr="0039097A">
        <w:rPr>
          <w:rFonts w:ascii="Verdana" w:hAnsi="Verdana" w:cs="Times New Roman"/>
          <w:sz w:val="20"/>
          <w:szCs w:val="20"/>
        </w:rPr>
        <w:t xml:space="preserve">. </w:t>
      </w:r>
    </w:p>
    <w:p w14:paraId="6F846952" w14:textId="77777777" w:rsidR="00FD0466"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45C96181" w14:textId="046DDB66" w:rsidR="00FD0466" w:rsidRPr="00DE69BB"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DE69BB">
        <w:rPr>
          <w:rFonts w:ascii="Verdana" w:hAnsi="Verdana" w:cs="Times New Roman"/>
          <w:sz w:val="20"/>
          <w:szCs w:val="20"/>
        </w:rPr>
        <w:t>Como resultado de su labor, la Comisión Investigadora Parlamentaria determinó que</w:t>
      </w:r>
      <w:r w:rsidR="00B90D64">
        <w:rPr>
          <w:rFonts w:ascii="Verdana" w:hAnsi="Verdana" w:cs="Times New Roman"/>
          <w:sz w:val="20"/>
          <w:szCs w:val="20"/>
        </w:rPr>
        <w:t>,</w:t>
      </w:r>
      <w:r w:rsidRPr="00DE69BB">
        <w:rPr>
          <w:rFonts w:ascii="Verdana" w:hAnsi="Verdana" w:cs="Times New Roman"/>
          <w:sz w:val="20"/>
          <w:szCs w:val="20"/>
        </w:rPr>
        <w:t xml:space="preserve"> en múltiples ocasiones, las desapariciones tuvieron lugar</w:t>
      </w:r>
      <w:r w:rsidRPr="00DE69BB">
        <w:rPr>
          <w:rFonts w:ascii="Verdana" w:hAnsi="Verdana" w:cs="Times New Roman"/>
          <w:iCs/>
          <w:sz w:val="20"/>
          <w:szCs w:val="20"/>
        </w:rPr>
        <w:t xml:space="preserve"> “luego de la intervención de efectivos de las denominadas Fuerzas</w:t>
      </w:r>
      <w:r w:rsidRPr="00DE69BB">
        <w:rPr>
          <w:rFonts w:ascii="Verdana" w:hAnsi="Verdana" w:cs="Times New Roman"/>
          <w:sz w:val="20"/>
          <w:szCs w:val="20"/>
        </w:rPr>
        <w:t xml:space="preserve"> </w:t>
      </w:r>
      <w:r w:rsidRPr="00DE69BB">
        <w:rPr>
          <w:rFonts w:ascii="Verdana" w:hAnsi="Verdana" w:cs="Times New Roman"/>
          <w:iCs/>
          <w:sz w:val="20"/>
          <w:szCs w:val="20"/>
        </w:rPr>
        <w:t>Conjuntas, que […] detuvieron y retiraron de sus hogares [a las víctimas]”, muchas de las cuales fueron vistas por última vez detenidas en establecimientos militares</w:t>
      </w:r>
      <w:r w:rsidRPr="00DE69BB">
        <w:rPr>
          <w:rStyle w:val="Refdenotaalpie"/>
          <w:rFonts w:ascii="Verdana" w:hAnsi="Verdana" w:cs="Times New Roman"/>
          <w:sz w:val="20"/>
          <w:szCs w:val="20"/>
        </w:rPr>
        <w:footnoteReference w:id="22"/>
      </w:r>
      <w:r w:rsidRPr="00DE69BB">
        <w:rPr>
          <w:rFonts w:ascii="Verdana" w:hAnsi="Verdana" w:cs="Times New Roman"/>
          <w:sz w:val="20"/>
          <w:szCs w:val="20"/>
        </w:rPr>
        <w:t xml:space="preserve">. </w:t>
      </w:r>
    </w:p>
    <w:p w14:paraId="59AE6F4C" w14:textId="77777777" w:rsidR="00FD0466" w:rsidRPr="0039097A" w:rsidRDefault="00FD0466" w:rsidP="005A5029">
      <w:pPr>
        <w:autoSpaceDE w:val="0"/>
        <w:autoSpaceDN w:val="0"/>
        <w:adjustRightInd w:val="0"/>
        <w:spacing w:after="0" w:line="240" w:lineRule="exact"/>
        <w:jc w:val="both"/>
        <w:rPr>
          <w:rFonts w:ascii="Verdana" w:hAnsi="Verdana" w:cs="Arial"/>
          <w:sz w:val="20"/>
          <w:szCs w:val="20"/>
        </w:rPr>
      </w:pPr>
    </w:p>
    <w:p w14:paraId="13F0A3DC" w14:textId="058684CA"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Arial"/>
          <w:sz w:val="20"/>
          <w:szCs w:val="20"/>
        </w:rPr>
      </w:pPr>
      <w:r w:rsidRPr="0039097A">
        <w:rPr>
          <w:rFonts w:ascii="Verdana" w:hAnsi="Verdana" w:cs="Arial"/>
          <w:sz w:val="20"/>
          <w:szCs w:val="20"/>
        </w:rPr>
        <w:t>Por otra parte, m</w:t>
      </w:r>
      <w:r w:rsidRPr="0039097A">
        <w:rPr>
          <w:rFonts w:ascii="Verdana" w:hAnsi="Verdana" w:cs="Times New Roman"/>
          <w:sz w:val="20"/>
          <w:szCs w:val="20"/>
        </w:rPr>
        <w:t xml:space="preserve">ediante la Resolución Presidencial </w:t>
      </w:r>
      <w:proofErr w:type="spellStart"/>
      <w:r w:rsidRPr="0039097A">
        <w:rPr>
          <w:rFonts w:ascii="Verdana" w:hAnsi="Verdana" w:cs="Times New Roman"/>
          <w:sz w:val="20"/>
          <w:szCs w:val="20"/>
        </w:rPr>
        <w:t>N°</w:t>
      </w:r>
      <w:proofErr w:type="spellEnd"/>
      <w:r w:rsidRPr="0039097A">
        <w:rPr>
          <w:rFonts w:ascii="Verdana" w:hAnsi="Verdana" w:cs="Times New Roman"/>
          <w:sz w:val="20"/>
          <w:szCs w:val="20"/>
        </w:rPr>
        <w:t xml:space="preserve"> 858/000 de 9 de agosto de 2000</w:t>
      </w:r>
      <w:r w:rsidRPr="0039097A">
        <w:rPr>
          <w:rStyle w:val="Refdenotaalpie"/>
          <w:rFonts w:ascii="Verdana" w:hAnsi="Verdana" w:cs="Times New Roman"/>
          <w:sz w:val="20"/>
          <w:szCs w:val="20"/>
        </w:rPr>
        <w:footnoteReference w:id="23"/>
      </w:r>
      <w:r w:rsidRPr="0039097A">
        <w:rPr>
          <w:rFonts w:ascii="Verdana" w:hAnsi="Verdana" w:cs="Times New Roman"/>
          <w:sz w:val="20"/>
          <w:szCs w:val="20"/>
        </w:rPr>
        <w:t xml:space="preserve">, se dispuso la creación de la Comisión para la Paz, con una integración plural, con el cometido de “recibir, analizar, clasificar y recopilar información sobre las desapariciones forzadas ocurridas durante el régimen de facto”. </w:t>
      </w:r>
    </w:p>
    <w:p w14:paraId="11CADBF5" w14:textId="77777777" w:rsidR="00FD0466" w:rsidRPr="0039097A" w:rsidRDefault="00FD0466" w:rsidP="005A5029">
      <w:pPr>
        <w:pStyle w:val="Prrafodelista"/>
        <w:spacing w:line="240" w:lineRule="exact"/>
        <w:rPr>
          <w:rFonts w:ascii="Verdana" w:hAnsi="Verdana" w:cs="Times New Roman"/>
          <w:sz w:val="20"/>
          <w:szCs w:val="20"/>
        </w:rPr>
      </w:pPr>
    </w:p>
    <w:p w14:paraId="2E64FFDA" w14:textId="44632390"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Arial"/>
          <w:sz w:val="20"/>
          <w:szCs w:val="20"/>
        </w:rPr>
      </w:pPr>
      <w:r w:rsidRPr="0039097A">
        <w:rPr>
          <w:rFonts w:ascii="Verdana" w:hAnsi="Verdana" w:cs="Times New Roman"/>
          <w:sz w:val="20"/>
          <w:szCs w:val="20"/>
        </w:rPr>
        <w:lastRenderedPageBreak/>
        <w:t xml:space="preserve">La Comisión </w:t>
      </w:r>
      <w:r w:rsidR="00BA302F">
        <w:rPr>
          <w:rFonts w:ascii="Verdana" w:hAnsi="Verdana" w:cs="Times New Roman"/>
          <w:sz w:val="20"/>
          <w:szCs w:val="20"/>
        </w:rPr>
        <w:t>para</w:t>
      </w:r>
      <w:r w:rsidRPr="0039097A">
        <w:rPr>
          <w:rFonts w:ascii="Verdana" w:hAnsi="Verdana" w:cs="Times New Roman"/>
          <w:sz w:val="20"/>
          <w:szCs w:val="20"/>
        </w:rPr>
        <w:t xml:space="preserve"> la Paz presentó su informe fina</w:t>
      </w:r>
      <w:r>
        <w:rPr>
          <w:rFonts w:ascii="Verdana" w:hAnsi="Verdana" w:cs="Times New Roman"/>
          <w:sz w:val="20"/>
          <w:szCs w:val="20"/>
        </w:rPr>
        <w:t>l, fechado el 10 de abril de</w:t>
      </w:r>
      <w:r w:rsidRPr="0039097A">
        <w:rPr>
          <w:rFonts w:ascii="Verdana" w:hAnsi="Verdana" w:cs="Times New Roman"/>
          <w:sz w:val="20"/>
          <w:szCs w:val="20"/>
        </w:rPr>
        <w:t xml:space="preserve"> 2003, indicando que “ha formado convicción plena acerca de las graves violaciones a los derechos humanos perpetradas durante el régimen de facto</w:t>
      </w:r>
      <w:r w:rsidR="00BA302F">
        <w:rPr>
          <w:rFonts w:ascii="Verdana" w:hAnsi="Verdana" w:cs="Times New Roman"/>
          <w:sz w:val="20"/>
          <w:szCs w:val="20"/>
        </w:rPr>
        <w:t>”. Aseveró que</w:t>
      </w:r>
      <w:r w:rsidRPr="0039097A">
        <w:rPr>
          <w:rFonts w:ascii="Verdana" w:hAnsi="Verdana" w:cs="Times New Roman"/>
          <w:sz w:val="20"/>
          <w:szCs w:val="20"/>
        </w:rPr>
        <w:t xml:space="preserve"> </w:t>
      </w:r>
      <w:r w:rsidR="00BA302F">
        <w:rPr>
          <w:rFonts w:ascii="Verdana" w:hAnsi="Verdana" w:cs="Times New Roman"/>
          <w:sz w:val="20"/>
          <w:szCs w:val="20"/>
        </w:rPr>
        <w:t>“</w:t>
      </w:r>
      <w:r w:rsidRPr="0039097A">
        <w:rPr>
          <w:rFonts w:ascii="Verdana" w:hAnsi="Verdana" w:cs="Times New Roman"/>
          <w:sz w:val="20"/>
          <w:szCs w:val="20"/>
        </w:rPr>
        <w:t>[d</w:t>
      </w:r>
      <w:r w:rsidR="00BA302F">
        <w:rPr>
          <w:rFonts w:ascii="Verdana" w:hAnsi="Verdana" w:cs="Times New Roman"/>
          <w:sz w:val="20"/>
          <w:szCs w:val="20"/>
        </w:rPr>
        <w:t>]</w:t>
      </w:r>
      <w:proofErr w:type="spellStart"/>
      <w:r w:rsidRPr="0039097A">
        <w:rPr>
          <w:rFonts w:ascii="Verdana" w:hAnsi="Verdana" w:cs="Times New Roman"/>
          <w:sz w:val="20"/>
          <w:szCs w:val="20"/>
        </w:rPr>
        <w:t>esde</w:t>
      </w:r>
      <w:proofErr w:type="spellEnd"/>
      <w:r w:rsidRPr="0039097A">
        <w:rPr>
          <w:rFonts w:ascii="Verdana" w:hAnsi="Verdana" w:cs="Times New Roman"/>
          <w:sz w:val="20"/>
          <w:szCs w:val="20"/>
        </w:rPr>
        <w:t xml:space="preserve"> la tortura, la detención ilegítima en centros clandestinos, hasta llegar a los casos más graves de desaparición forzada, se </w:t>
      </w:r>
      <w:proofErr w:type="spellStart"/>
      <w:r w:rsidRPr="0039097A">
        <w:rPr>
          <w:rFonts w:ascii="Verdana" w:hAnsi="Verdana" w:cs="Times New Roman"/>
          <w:sz w:val="20"/>
          <w:szCs w:val="20"/>
        </w:rPr>
        <w:t>constat</w:t>
      </w:r>
      <w:proofErr w:type="spellEnd"/>
      <w:r w:rsidR="00BA302F">
        <w:rPr>
          <w:rFonts w:ascii="Verdana" w:hAnsi="Verdana" w:cs="Times New Roman"/>
          <w:sz w:val="20"/>
          <w:szCs w:val="20"/>
        </w:rPr>
        <w:t>[</w:t>
      </w:r>
      <w:proofErr w:type="spellStart"/>
      <w:r w:rsidR="00BA302F">
        <w:rPr>
          <w:rFonts w:ascii="Verdana" w:hAnsi="Verdana" w:cs="Times New Roman"/>
          <w:sz w:val="20"/>
          <w:szCs w:val="20"/>
        </w:rPr>
        <w:t>ó</w:t>
      </w:r>
      <w:proofErr w:type="spellEnd"/>
      <w:r w:rsidR="00BA302F">
        <w:rPr>
          <w:rFonts w:ascii="Verdana" w:hAnsi="Verdana" w:cs="Times New Roman"/>
          <w:sz w:val="20"/>
          <w:szCs w:val="20"/>
        </w:rPr>
        <w:t>]</w:t>
      </w:r>
      <w:r w:rsidRPr="0039097A">
        <w:rPr>
          <w:rFonts w:ascii="Verdana" w:hAnsi="Verdana" w:cs="Times New Roman"/>
          <w:sz w:val="20"/>
          <w:szCs w:val="20"/>
        </w:rPr>
        <w:t xml:space="preserve"> la actuación de agentes estatales que, en el ejercicio de su función pública, obraron al margen de la ley y empleando métodos represivos ilegales”</w:t>
      </w:r>
      <w:r w:rsidRPr="0039097A">
        <w:rPr>
          <w:rStyle w:val="Refdenotaalpie"/>
          <w:rFonts w:ascii="Verdana" w:hAnsi="Verdana" w:cs="Times New Roman"/>
          <w:sz w:val="20"/>
          <w:szCs w:val="20"/>
        </w:rPr>
        <w:footnoteReference w:id="24"/>
      </w:r>
      <w:r w:rsidRPr="0039097A">
        <w:rPr>
          <w:rFonts w:ascii="Verdana" w:hAnsi="Verdana" w:cs="Times New Roman"/>
          <w:sz w:val="20"/>
          <w:szCs w:val="20"/>
        </w:rPr>
        <w:t>.</w:t>
      </w:r>
      <w:r w:rsidRPr="0039097A">
        <w:rPr>
          <w:rFonts w:ascii="Verdana" w:hAnsi="Verdana" w:cs="Arial"/>
          <w:sz w:val="20"/>
          <w:szCs w:val="20"/>
        </w:rPr>
        <w:t xml:space="preserve"> </w:t>
      </w:r>
      <w:r w:rsidRPr="0039097A">
        <w:rPr>
          <w:rFonts w:ascii="Verdana" w:hAnsi="Verdana" w:cs="Times New Roman"/>
          <w:sz w:val="20"/>
          <w:szCs w:val="20"/>
        </w:rPr>
        <w:t xml:space="preserve">Expresó que “los restos de todas las personas desaparecidas que fallecieron a partir de 1973 </w:t>
      </w:r>
      <w:r w:rsidR="00BA302F">
        <w:rPr>
          <w:rFonts w:ascii="Verdana" w:hAnsi="Verdana" w:cs="Times New Roman"/>
          <w:sz w:val="20"/>
          <w:szCs w:val="20"/>
        </w:rPr>
        <w:t>[</w:t>
      </w:r>
      <w:r w:rsidRPr="0039097A">
        <w:rPr>
          <w:rFonts w:ascii="Verdana" w:hAnsi="Verdana" w:cs="Times New Roman"/>
          <w:sz w:val="20"/>
          <w:szCs w:val="20"/>
        </w:rPr>
        <w:t>...</w:t>
      </w:r>
      <w:r w:rsidR="00BA302F">
        <w:rPr>
          <w:rFonts w:ascii="Verdana" w:hAnsi="Verdana" w:cs="Times New Roman"/>
          <w:sz w:val="20"/>
          <w:szCs w:val="20"/>
        </w:rPr>
        <w:t>]</w:t>
      </w:r>
      <w:r w:rsidRPr="0039097A">
        <w:rPr>
          <w:rFonts w:ascii="Verdana" w:hAnsi="Verdana" w:cs="Times New Roman"/>
          <w:sz w:val="20"/>
          <w:szCs w:val="20"/>
        </w:rPr>
        <w:t xml:space="preserve"> habrían sido exhumados hacia fines del año 1984[,] incinerados o cremados mediante la utilización de calderas u hornos de fabricación informal […] y arrojado[s] finalmente al Río de la Plata, en una zona cercana al Barrio Paso de la Arena que ha sido ubicada y señalada con precisión”</w:t>
      </w:r>
      <w:r w:rsidRPr="0039097A">
        <w:rPr>
          <w:rStyle w:val="Refdenotaalpie"/>
          <w:rFonts w:ascii="Verdana" w:hAnsi="Verdana" w:cs="Times New Roman"/>
          <w:sz w:val="20"/>
          <w:szCs w:val="20"/>
        </w:rPr>
        <w:footnoteReference w:id="25"/>
      </w:r>
      <w:r w:rsidRPr="0039097A">
        <w:rPr>
          <w:rFonts w:ascii="Verdana" w:hAnsi="Verdana" w:cs="Times New Roman"/>
          <w:sz w:val="20"/>
          <w:szCs w:val="20"/>
        </w:rPr>
        <w:t>.</w:t>
      </w:r>
      <w:r w:rsidRPr="0039097A">
        <w:rPr>
          <w:rFonts w:ascii="Verdana" w:hAnsi="Verdana" w:cs="Arial"/>
          <w:sz w:val="20"/>
          <w:szCs w:val="20"/>
        </w:rPr>
        <w:t xml:space="preserve"> </w:t>
      </w:r>
      <w:r w:rsidR="00752FF4">
        <w:rPr>
          <w:rFonts w:ascii="Verdana" w:hAnsi="Verdana" w:cs="Arial"/>
          <w:sz w:val="20"/>
          <w:szCs w:val="20"/>
        </w:rPr>
        <w:t xml:space="preserve">En el Informe de Fondo, la Comisión Interamericana señaló que </w:t>
      </w:r>
      <w:r w:rsidR="00752FF4">
        <w:rPr>
          <w:rFonts w:ascii="Verdana" w:hAnsi="Verdana" w:cs="Times New Roman"/>
          <w:sz w:val="20"/>
          <w:szCs w:val="20"/>
        </w:rPr>
        <w:t>e</w:t>
      </w:r>
      <w:r w:rsidRPr="0039097A">
        <w:rPr>
          <w:rFonts w:ascii="Verdana" w:hAnsi="Verdana" w:cs="Times New Roman"/>
          <w:sz w:val="20"/>
          <w:szCs w:val="20"/>
        </w:rPr>
        <w:t>l 10 de abril de 2003</w:t>
      </w:r>
      <w:r w:rsidR="00AA4A12">
        <w:rPr>
          <w:rFonts w:ascii="Verdana" w:hAnsi="Verdana" w:cs="Times New Roman"/>
          <w:sz w:val="20"/>
          <w:szCs w:val="20"/>
        </w:rPr>
        <w:t xml:space="preserve">, por medio de un Decreto, </w:t>
      </w:r>
      <w:r w:rsidR="00752FF4">
        <w:rPr>
          <w:rFonts w:ascii="Verdana" w:hAnsi="Verdana" w:cs="Times New Roman"/>
          <w:sz w:val="20"/>
          <w:szCs w:val="20"/>
        </w:rPr>
        <w:t>“</w:t>
      </w:r>
      <w:r w:rsidRPr="0039097A">
        <w:rPr>
          <w:rFonts w:ascii="Verdana" w:hAnsi="Verdana" w:cs="Times New Roman"/>
          <w:sz w:val="20"/>
          <w:szCs w:val="20"/>
        </w:rPr>
        <w:t xml:space="preserve">el Presidente de la República aceptó </w:t>
      </w:r>
      <w:r w:rsidR="00752FF4">
        <w:rPr>
          <w:rFonts w:ascii="Verdana" w:hAnsi="Verdana" w:cs="Times New Roman"/>
          <w:sz w:val="20"/>
          <w:szCs w:val="20"/>
        </w:rPr>
        <w:t>‘</w:t>
      </w:r>
      <w:r w:rsidRPr="0039097A">
        <w:rPr>
          <w:rFonts w:ascii="Verdana" w:hAnsi="Verdana" w:cs="Times New Roman"/>
          <w:sz w:val="20"/>
          <w:szCs w:val="20"/>
        </w:rPr>
        <w:t>en todos sus términos las conclusiones del Informe Final de la Comisión para la Paz, asumiendo que las mismas constituyen la versión oficial sobre la situación de los detenidos-desaparecidos durante el régimen de facto</w:t>
      </w:r>
      <w:r w:rsidR="00752FF4">
        <w:rPr>
          <w:rFonts w:ascii="Verdana" w:hAnsi="Verdana" w:cs="Times New Roman"/>
          <w:sz w:val="20"/>
          <w:szCs w:val="20"/>
        </w:rPr>
        <w:t>’</w:t>
      </w:r>
      <w:r w:rsidRPr="0039097A">
        <w:rPr>
          <w:rFonts w:ascii="Verdana" w:hAnsi="Verdana" w:cs="Times New Roman"/>
          <w:sz w:val="20"/>
          <w:szCs w:val="20"/>
        </w:rPr>
        <w:t>”.</w:t>
      </w:r>
    </w:p>
    <w:p w14:paraId="73B80A5C"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Arial"/>
          <w:sz w:val="20"/>
          <w:szCs w:val="20"/>
        </w:rPr>
      </w:pPr>
    </w:p>
    <w:p w14:paraId="76726627" w14:textId="121D6046"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Arial"/>
          <w:sz w:val="20"/>
          <w:szCs w:val="20"/>
        </w:rPr>
      </w:pPr>
      <w:r w:rsidRPr="0039097A">
        <w:rPr>
          <w:rFonts w:ascii="Verdana" w:hAnsi="Verdana" w:cs="Times New Roman"/>
          <w:sz w:val="20"/>
          <w:szCs w:val="20"/>
        </w:rPr>
        <w:t>Asimismo, el “Informe de la Comisión Investigadora sobre el Destino Final de 33 ciudadanos detenidos en el Periodo comprendido entre el 27 de junio de 1973 y 1 de marzo de 1985”, de 8 de agosto de 2005, realizado por la Comisión Investigadora del Ejército Nacional, por orden expresa del Presidente de la República, hizo constar respecto de personas detenidas que:</w:t>
      </w:r>
    </w:p>
    <w:p w14:paraId="1DC5D464" w14:textId="77777777" w:rsidR="00FD0466" w:rsidRPr="0039097A" w:rsidRDefault="00FD0466" w:rsidP="005A5029">
      <w:pPr>
        <w:pStyle w:val="Prrafodelista"/>
        <w:spacing w:line="240" w:lineRule="exact"/>
        <w:rPr>
          <w:rFonts w:ascii="Verdana" w:hAnsi="Verdana" w:cs="Arial"/>
          <w:sz w:val="20"/>
          <w:szCs w:val="20"/>
        </w:rPr>
      </w:pPr>
    </w:p>
    <w:p w14:paraId="4971BB4C" w14:textId="7339FF09" w:rsidR="00FD0466" w:rsidRPr="0039097A" w:rsidRDefault="00FD0466" w:rsidP="005A5029">
      <w:pPr>
        <w:pStyle w:val="Prrafodelista"/>
        <w:autoSpaceDE w:val="0"/>
        <w:autoSpaceDN w:val="0"/>
        <w:adjustRightInd w:val="0"/>
        <w:spacing w:after="0" w:line="240" w:lineRule="exact"/>
        <w:ind w:left="284" w:right="333"/>
        <w:jc w:val="both"/>
        <w:rPr>
          <w:rFonts w:ascii="Verdana" w:hAnsi="Verdana" w:cs="Arial"/>
          <w:sz w:val="20"/>
          <w:szCs w:val="20"/>
        </w:rPr>
      </w:pPr>
      <w:r w:rsidRPr="0039097A">
        <w:rPr>
          <w:rFonts w:ascii="Verdana" w:hAnsi="Verdana" w:cs="Times New Roman"/>
          <w:sz w:val="18"/>
          <w:szCs w:val="20"/>
        </w:rPr>
        <w:t>cuando un detenido fallecía antes, durante o después de los interrogatorios, no se daba intervención a la justicia, y en algunos casos se le comunicaba que se había producido una fuga, lo que determinaba un comunicado solicitando su detención, habiendo el ciudadano fallecido con anterioridad. En algunos casos únicamente se emitía un comunicado solicitando su requisitoria para ocultar su fallecimiento</w:t>
      </w:r>
      <w:r w:rsidRPr="0039097A">
        <w:rPr>
          <w:rStyle w:val="Refdenotaalpie"/>
          <w:rFonts w:ascii="Verdana" w:hAnsi="Verdana" w:cs="Times New Roman"/>
          <w:sz w:val="20"/>
          <w:szCs w:val="20"/>
        </w:rPr>
        <w:footnoteReference w:id="26"/>
      </w:r>
      <w:r w:rsidRPr="0039097A">
        <w:rPr>
          <w:rFonts w:ascii="Verdana" w:hAnsi="Verdana" w:cs="Times New Roman"/>
          <w:sz w:val="20"/>
          <w:szCs w:val="20"/>
        </w:rPr>
        <w:t>.</w:t>
      </w:r>
      <w:r w:rsidRPr="0039097A">
        <w:rPr>
          <w:rFonts w:ascii="Verdana" w:hAnsi="Verdana" w:cs="Times New Roman"/>
          <w:b/>
          <w:sz w:val="20"/>
          <w:szCs w:val="20"/>
        </w:rPr>
        <w:t xml:space="preserve"> </w:t>
      </w:r>
    </w:p>
    <w:p w14:paraId="2B2B2A94" w14:textId="77777777" w:rsidR="00FD0466" w:rsidRPr="0039097A" w:rsidRDefault="00FD0466" w:rsidP="005A5029">
      <w:pPr>
        <w:pStyle w:val="Prrafodelista"/>
        <w:spacing w:line="240" w:lineRule="exact"/>
      </w:pPr>
    </w:p>
    <w:p w14:paraId="320D2CAF" w14:textId="1A9A8C20"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4"/>
        </w:rPr>
      </w:pPr>
      <w:r w:rsidRPr="0039097A">
        <w:rPr>
          <w:rFonts w:ascii="Verdana" w:hAnsi="Verdana" w:cs="Times New Roman"/>
          <w:sz w:val="20"/>
          <w:szCs w:val="20"/>
        </w:rPr>
        <w:t xml:space="preserve">El </w:t>
      </w:r>
      <w:r w:rsidRPr="0039097A">
        <w:rPr>
          <w:rFonts w:ascii="Verdana" w:hAnsi="Verdana" w:cs="Times New Roman"/>
          <w:sz w:val="20"/>
          <w:szCs w:val="24"/>
        </w:rPr>
        <w:t>18 de setiembre de 2019 s</w:t>
      </w:r>
      <w:r w:rsidR="00E16251">
        <w:rPr>
          <w:rFonts w:ascii="Verdana" w:hAnsi="Verdana" w:cs="Times New Roman"/>
          <w:sz w:val="20"/>
          <w:szCs w:val="24"/>
        </w:rPr>
        <w:t>e</w:t>
      </w:r>
      <w:r w:rsidRPr="0039097A">
        <w:rPr>
          <w:rFonts w:ascii="Verdana" w:hAnsi="Verdana" w:cs="Times New Roman"/>
          <w:sz w:val="20"/>
          <w:szCs w:val="24"/>
        </w:rPr>
        <w:t xml:space="preserve"> sanci</w:t>
      </w:r>
      <w:r w:rsidR="00E16251">
        <w:rPr>
          <w:rFonts w:ascii="Verdana" w:hAnsi="Verdana" w:cs="Times New Roman"/>
          <w:sz w:val="20"/>
          <w:szCs w:val="24"/>
        </w:rPr>
        <w:t>o</w:t>
      </w:r>
      <w:r w:rsidRPr="0039097A">
        <w:rPr>
          <w:rFonts w:ascii="Verdana" w:hAnsi="Verdana" w:cs="Times New Roman"/>
          <w:sz w:val="20"/>
          <w:szCs w:val="24"/>
        </w:rPr>
        <w:t>n</w:t>
      </w:r>
      <w:r w:rsidR="00E16251">
        <w:rPr>
          <w:rFonts w:ascii="Verdana" w:hAnsi="Verdana" w:cs="Times New Roman"/>
          <w:sz w:val="20"/>
          <w:szCs w:val="24"/>
        </w:rPr>
        <w:t>ó</w:t>
      </w:r>
      <w:r w:rsidRPr="0039097A">
        <w:rPr>
          <w:rFonts w:ascii="Verdana" w:hAnsi="Verdana" w:cs="Times New Roman"/>
          <w:sz w:val="20"/>
          <w:szCs w:val="24"/>
        </w:rPr>
        <w:t xml:space="preserve"> de la </w:t>
      </w:r>
      <w:r w:rsidR="00E16251">
        <w:rPr>
          <w:rFonts w:ascii="Verdana" w:hAnsi="Verdana" w:cs="Times New Roman"/>
          <w:sz w:val="20"/>
          <w:szCs w:val="24"/>
        </w:rPr>
        <w:t>l</w:t>
      </w:r>
      <w:r w:rsidRPr="0039097A">
        <w:rPr>
          <w:rFonts w:ascii="Verdana" w:hAnsi="Verdana" w:cs="Times New Roman"/>
          <w:sz w:val="20"/>
          <w:szCs w:val="24"/>
        </w:rPr>
        <w:t>ey 19.822</w:t>
      </w:r>
      <w:r w:rsidR="00E16251">
        <w:rPr>
          <w:rFonts w:ascii="Verdana" w:hAnsi="Verdana" w:cs="Times New Roman"/>
          <w:sz w:val="20"/>
          <w:szCs w:val="24"/>
        </w:rPr>
        <w:t>,</w:t>
      </w:r>
      <w:r w:rsidRPr="0039097A">
        <w:rPr>
          <w:rFonts w:ascii="Verdana" w:hAnsi="Verdana" w:cs="Times New Roman"/>
          <w:sz w:val="20"/>
          <w:szCs w:val="24"/>
        </w:rPr>
        <w:t xml:space="preserve"> a través de la cual se encomendó</w:t>
      </w:r>
      <w:r w:rsidR="00E16251">
        <w:rPr>
          <w:rFonts w:ascii="Verdana" w:hAnsi="Verdana" w:cs="Times New Roman"/>
          <w:sz w:val="20"/>
          <w:szCs w:val="24"/>
        </w:rPr>
        <w:t xml:space="preserve">, </w:t>
      </w:r>
      <w:r w:rsidRPr="0039097A">
        <w:rPr>
          <w:rFonts w:ascii="Verdana" w:hAnsi="Verdana" w:cs="Times New Roman"/>
          <w:sz w:val="20"/>
          <w:szCs w:val="24"/>
        </w:rPr>
        <w:t>en su artículo 1°</w:t>
      </w:r>
      <w:r w:rsidR="00E16251">
        <w:rPr>
          <w:rFonts w:ascii="Verdana" w:hAnsi="Verdana" w:cs="Times New Roman"/>
          <w:sz w:val="20"/>
          <w:szCs w:val="24"/>
        </w:rPr>
        <w:t>,</w:t>
      </w:r>
      <w:r w:rsidRPr="0039097A">
        <w:rPr>
          <w:rFonts w:ascii="Verdana" w:hAnsi="Verdana" w:cs="Times New Roman"/>
          <w:sz w:val="20"/>
          <w:szCs w:val="24"/>
        </w:rPr>
        <w:t xml:space="preserve"> a la Institución Nacional de Derechos Humanos y Defensoría del Pueblo (en adelante </w:t>
      </w:r>
      <w:r w:rsidR="00E16251">
        <w:rPr>
          <w:rFonts w:ascii="Verdana" w:hAnsi="Verdana" w:cs="Times New Roman"/>
          <w:sz w:val="20"/>
          <w:szCs w:val="24"/>
        </w:rPr>
        <w:t xml:space="preserve">también </w:t>
      </w:r>
      <w:r w:rsidRPr="0039097A">
        <w:rPr>
          <w:rFonts w:ascii="Verdana" w:hAnsi="Verdana" w:cs="Times New Roman"/>
          <w:sz w:val="20"/>
          <w:szCs w:val="24"/>
        </w:rPr>
        <w:t>INDDHH) “la búsqueda de las personas detenidas y desaparecidas en el marco de la actuación ilegítima del Estado ocurrida entre el 13 de junio de 1968 al 26 de junio de 1973, así como durante el terrorismo de Estado desplegado entre el 27 de junio de 1973 al 28 de febrero de 1985”</w:t>
      </w:r>
      <w:r w:rsidR="0092512E">
        <w:rPr>
          <w:rStyle w:val="Refdenotaalpie"/>
          <w:rFonts w:ascii="Verdana" w:hAnsi="Verdana" w:cs="Times New Roman"/>
          <w:sz w:val="20"/>
          <w:szCs w:val="24"/>
        </w:rPr>
        <w:footnoteReference w:id="27"/>
      </w:r>
      <w:r w:rsidRPr="0039097A">
        <w:rPr>
          <w:rFonts w:ascii="Verdana" w:hAnsi="Verdana" w:cs="Times New Roman"/>
          <w:sz w:val="20"/>
          <w:szCs w:val="24"/>
        </w:rPr>
        <w:t>.</w:t>
      </w:r>
    </w:p>
    <w:p w14:paraId="3E7802E7"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4"/>
        </w:rPr>
      </w:pPr>
    </w:p>
    <w:p w14:paraId="1D141CC8" w14:textId="7DDF393D" w:rsidR="00FD0466" w:rsidRPr="00F137AF"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4"/>
        </w:rPr>
      </w:pPr>
      <w:r w:rsidRPr="0039097A">
        <w:rPr>
          <w:rFonts w:ascii="Verdana" w:hAnsi="Verdana" w:cs="Times New Roman"/>
          <w:sz w:val="20"/>
          <w:szCs w:val="24"/>
        </w:rPr>
        <w:t xml:space="preserve">Desde la asignación de estas tareas, la INDDHH ya ha elaborado dos informes sobre la búsqueda de detenidos desaparecidos, el primero el 18 de mayo de 2020 y el segundo el 7 de octubre de 2020, habiendo asimismo elaborado los “Lineamientos </w:t>
      </w:r>
      <w:r w:rsidRPr="00F137AF">
        <w:rPr>
          <w:rFonts w:ascii="Verdana" w:hAnsi="Verdana" w:cs="Times New Roman"/>
          <w:sz w:val="20"/>
          <w:szCs w:val="24"/>
        </w:rPr>
        <w:t xml:space="preserve">estratégicos para dar cumplimiento al mandato de la ley 19.822”. </w:t>
      </w:r>
    </w:p>
    <w:p w14:paraId="27A0D55D" w14:textId="77777777" w:rsidR="00FD0466" w:rsidRPr="00F137AF" w:rsidRDefault="00FD0466" w:rsidP="005A5029">
      <w:pPr>
        <w:pStyle w:val="Prrafodelista"/>
        <w:spacing w:line="240" w:lineRule="exact"/>
        <w:rPr>
          <w:rFonts w:ascii="Verdana" w:hAnsi="Verdana" w:cs="Times New Roman"/>
          <w:sz w:val="20"/>
          <w:szCs w:val="24"/>
        </w:rPr>
      </w:pPr>
    </w:p>
    <w:p w14:paraId="602606CF" w14:textId="5FD864B4" w:rsidR="00FD0466" w:rsidRPr="00F137AF"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4"/>
        </w:rPr>
      </w:pPr>
      <w:r w:rsidRPr="00F137AF">
        <w:rPr>
          <w:rFonts w:ascii="Verdana" w:hAnsi="Verdana" w:cs="Times New Roman"/>
          <w:sz w:val="20"/>
          <w:szCs w:val="24"/>
        </w:rPr>
        <w:t xml:space="preserve">De los informes relacionados con la búsqueda de los restos mortales de los detenidos desaparecidos </w:t>
      </w:r>
      <w:r w:rsidR="00472AAE">
        <w:rPr>
          <w:rFonts w:ascii="Verdana" w:hAnsi="Verdana" w:cs="Times New Roman"/>
          <w:sz w:val="20"/>
          <w:szCs w:val="24"/>
        </w:rPr>
        <w:t>surge que hay</w:t>
      </w:r>
      <w:r w:rsidRPr="00F137AF">
        <w:rPr>
          <w:rFonts w:ascii="Verdana" w:hAnsi="Verdana" w:cs="Times New Roman"/>
          <w:sz w:val="20"/>
          <w:szCs w:val="24"/>
        </w:rPr>
        <w:t xml:space="preserve"> tres </w:t>
      </w:r>
      <w:r w:rsidR="00472AAE">
        <w:rPr>
          <w:rFonts w:ascii="Verdana" w:hAnsi="Verdana" w:cs="Times New Roman"/>
          <w:sz w:val="20"/>
          <w:szCs w:val="24"/>
        </w:rPr>
        <w:t>“</w:t>
      </w:r>
      <w:r w:rsidRPr="00F137AF">
        <w:rPr>
          <w:rFonts w:ascii="Verdana" w:hAnsi="Verdana" w:cs="Times New Roman"/>
          <w:sz w:val="20"/>
          <w:szCs w:val="24"/>
        </w:rPr>
        <w:t>escenarios</w:t>
      </w:r>
      <w:r w:rsidR="00472AAE">
        <w:rPr>
          <w:rFonts w:ascii="Verdana" w:hAnsi="Verdana" w:cs="Times New Roman"/>
          <w:sz w:val="20"/>
          <w:szCs w:val="24"/>
        </w:rPr>
        <w:t>”</w:t>
      </w:r>
      <w:r w:rsidRPr="00F137AF">
        <w:rPr>
          <w:rFonts w:ascii="Verdana" w:hAnsi="Verdana" w:cs="Times New Roman"/>
          <w:sz w:val="20"/>
          <w:szCs w:val="24"/>
        </w:rPr>
        <w:t xml:space="preserve"> de excavaciones activos: la </w:t>
      </w:r>
      <w:r w:rsidRPr="00F137AF">
        <w:rPr>
          <w:rFonts w:ascii="Verdana" w:hAnsi="Verdana" w:cs="Times New Roman"/>
          <w:sz w:val="20"/>
          <w:szCs w:val="24"/>
        </w:rPr>
        <w:lastRenderedPageBreak/>
        <w:t xml:space="preserve">Brigada de Comunicaciones </w:t>
      </w:r>
      <w:proofErr w:type="spellStart"/>
      <w:r w:rsidRPr="00F137AF">
        <w:rPr>
          <w:rFonts w:ascii="Verdana" w:hAnsi="Verdana" w:cs="Times New Roman"/>
          <w:sz w:val="20"/>
          <w:szCs w:val="24"/>
        </w:rPr>
        <w:t>N</w:t>
      </w:r>
      <w:r w:rsidR="003F2319">
        <w:rPr>
          <w:rFonts w:ascii="Verdana" w:hAnsi="Verdana" w:cs="Times New Roman"/>
          <w:sz w:val="20"/>
          <w:szCs w:val="24"/>
        </w:rPr>
        <w:t>°</w:t>
      </w:r>
      <w:proofErr w:type="spellEnd"/>
      <w:r w:rsidRPr="00F137AF">
        <w:rPr>
          <w:rFonts w:ascii="Verdana" w:hAnsi="Verdana" w:cs="Times New Roman"/>
          <w:sz w:val="20"/>
          <w:szCs w:val="24"/>
        </w:rPr>
        <w:t xml:space="preserve"> 1, el ex Batallón </w:t>
      </w:r>
      <w:proofErr w:type="spellStart"/>
      <w:r w:rsidRPr="00F137AF">
        <w:rPr>
          <w:rFonts w:ascii="Verdana" w:hAnsi="Verdana" w:cs="Times New Roman"/>
          <w:sz w:val="20"/>
          <w:szCs w:val="24"/>
        </w:rPr>
        <w:t>N</w:t>
      </w:r>
      <w:r w:rsidR="003F2319">
        <w:rPr>
          <w:rFonts w:ascii="Verdana" w:hAnsi="Verdana" w:cs="Times New Roman"/>
          <w:sz w:val="20"/>
          <w:szCs w:val="24"/>
        </w:rPr>
        <w:t>°</w:t>
      </w:r>
      <w:proofErr w:type="spellEnd"/>
      <w:r w:rsidRPr="00F137AF">
        <w:rPr>
          <w:rFonts w:ascii="Verdana" w:hAnsi="Verdana" w:cs="Times New Roman"/>
          <w:sz w:val="20"/>
          <w:szCs w:val="24"/>
        </w:rPr>
        <w:t xml:space="preserve"> 13 (actual Servicio de Transporte del Ejército) y el Batallón de Infantería Paracaidista </w:t>
      </w:r>
      <w:proofErr w:type="spellStart"/>
      <w:r w:rsidRPr="00F137AF">
        <w:rPr>
          <w:rFonts w:ascii="Verdana" w:hAnsi="Verdana" w:cs="Times New Roman"/>
          <w:sz w:val="20"/>
          <w:szCs w:val="24"/>
        </w:rPr>
        <w:t>N</w:t>
      </w:r>
      <w:r w:rsidR="003F2319">
        <w:rPr>
          <w:rFonts w:ascii="Verdana" w:hAnsi="Verdana" w:cs="Times New Roman"/>
          <w:sz w:val="20"/>
          <w:szCs w:val="24"/>
        </w:rPr>
        <w:t>°</w:t>
      </w:r>
      <w:proofErr w:type="spellEnd"/>
      <w:r w:rsidRPr="00F137AF">
        <w:rPr>
          <w:rFonts w:ascii="Verdana" w:hAnsi="Verdana" w:cs="Times New Roman"/>
          <w:sz w:val="20"/>
          <w:szCs w:val="24"/>
        </w:rPr>
        <w:t xml:space="preserve"> 14. De acuerdo con los informes presentados a la Corte, en las excavaciones realizadas entre los años 2005 y 2020, se han hallado e identificado los restos de al menos nueve personas</w:t>
      </w:r>
      <w:r w:rsidRPr="00F137AF">
        <w:rPr>
          <w:rStyle w:val="Refdenotaalpie"/>
          <w:rFonts w:ascii="Verdana" w:hAnsi="Verdana" w:cs="Times New Roman"/>
          <w:sz w:val="20"/>
          <w:szCs w:val="24"/>
        </w:rPr>
        <w:footnoteReference w:id="28"/>
      </w:r>
      <w:r w:rsidRPr="00F137AF">
        <w:rPr>
          <w:rFonts w:ascii="Verdana" w:hAnsi="Verdana" w:cs="Times New Roman"/>
          <w:sz w:val="20"/>
          <w:szCs w:val="24"/>
        </w:rPr>
        <w:t xml:space="preserve">.  </w:t>
      </w:r>
    </w:p>
    <w:p w14:paraId="2DE00B9E" w14:textId="77777777" w:rsidR="00FD0466" w:rsidRPr="0039097A" w:rsidRDefault="00FD0466" w:rsidP="005A5029">
      <w:pPr>
        <w:autoSpaceDE w:val="0"/>
        <w:autoSpaceDN w:val="0"/>
        <w:adjustRightInd w:val="0"/>
        <w:spacing w:after="0" w:line="240" w:lineRule="exact"/>
        <w:jc w:val="both"/>
        <w:rPr>
          <w:rFonts w:ascii="Verdana" w:hAnsi="Verdana" w:cs="Times New Roman"/>
          <w:sz w:val="20"/>
          <w:szCs w:val="20"/>
        </w:rPr>
      </w:pPr>
    </w:p>
    <w:p w14:paraId="072A6CC4" w14:textId="77777777" w:rsidR="00FD0466" w:rsidRPr="0039097A" w:rsidRDefault="00FD0466" w:rsidP="005A5029">
      <w:pPr>
        <w:pStyle w:val="Ttulo2"/>
        <w:spacing w:line="240" w:lineRule="exact"/>
        <w:ind w:left="567"/>
        <w:rPr>
          <w:rFonts w:ascii="Verdana" w:hAnsi="Verdana" w:cs="Times New Roman"/>
          <w:i/>
          <w:color w:val="auto"/>
          <w:sz w:val="20"/>
          <w:szCs w:val="20"/>
        </w:rPr>
      </w:pPr>
      <w:bookmarkStart w:id="18" w:name="_Toc85550392"/>
      <w:r w:rsidRPr="0039097A">
        <w:rPr>
          <w:rFonts w:ascii="Verdana" w:hAnsi="Verdana" w:cs="Times New Roman"/>
          <w:i/>
          <w:color w:val="auto"/>
          <w:sz w:val="20"/>
          <w:szCs w:val="20"/>
        </w:rPr>
        <w:t xml:space="preserve">A.2. </w:t>
      </w:r>
      <w:r w:rsidRPr="0039097A">
        <w:rPr>
          <w:rFonts w:ascii="Verdana" w:hAnsi="Verdana" w:cs="Times New Roman"/>
          <w:i/>
          <w:color w:val="auto"/>
          <w:sz w:val="20"/>
          <w:szCs w:val="20"/>
          <w:u w:val="single"/>
        </w:rPr>
        <w:t>Sobre la Ley de Caducidad y actos posteriores tendientes a la supresión de sus efectos</w:t>
      </w:r>
      <w:bookmarkEnd w:id="18"/>
    </w:p>
    <w:p w14:paraId="019B4FCF"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3E5158F1" w14:textId="0B9C32EC"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El 22 de diciembre 1986, se expidió la </w:t>
      </w:r>
      <w:r w:rsidR="00472AAE">
        <w:rPr>
          <w:rFonts w:ascii="Verdana" w:hAnsi="Verdana" w:cs="Times New Roman"/>
          <w:sz w:val="20"/>
          <w:szCs w:val="20"/>
        </w:rPr>
        <w:t>l</w:t>
      </w:r>
      <w:r w:rsidRPr="0039097A">
        <w:rPr>
          <w:rFonts w:ascii="Verdana" w:hAnsi="Verdana" w:cs="Times New Roman"/>
          <w:sz w:val="20"/>
          <w:szCs w:val="20"/>
        </w:rPr>
        <w:t>ey 15.848 o Ley de Caducidad de la Pretensión Punitiva del Estado</w:t>
      </w:r>
      <w:r w:rsidRPr="0039097A">
        <w:rPr>
          <w:rStyle w:val="Refdenotaalpie"/>
          <w:rFonts w:ascii="Verdana" w:hAnsi="Verdana" w:cs="Times New Roman"/>
          <w:sz w:val="20"/>
          <w:szCs w:val="20"/>
        </w:rPr>
        <w:footnoteReference w:id="29"/>
      </w:r>
      <w:r w:rsidR="00472AAE">
        <w:rPr>
          <w:rFonts w:ascii="Verdana" w:hAnsi="Verdana" w:cs="Times New Roman"/>
          <w:sz w:val="20"/>
          <w:szCs w:val="20"/>
        </w:rPr>
        <w:t xml:space="preserve"> (en adelante también “Ley de Caducidad”)</w:t>
      </w:r>
      <w:r w:rsidRPr="0039097A">
        <w:rPr>
          <w:rFonts w:ascii="Verdana" w:hAnsi="Verdana" w:cs="Times New Roman"/>
          <w:sz w:val="20"/>
          <w:szCs w:val="20"/>
        </w:rPr>
        <w:t xml:space="preserve"> a través de la cual se estableció lo siguiente:</w:t>
      </w:r>
    </w:p>
    <w:p w14:paraId="51CDFDDA" w14:textId="77777777" w:rsidR="00FD0466" w:rsidRPr="0039097A" w:rsidRDefault="00FD0466" w:rsidP="005A5029">
      <w:pPr>
        <w:autoSpaceDE w:val="0"/>
        <w:autoSpaceDN w:val="0"/>
        <w:adjustRightInd w:val="0"/>
        <w:spacing w:after="0" w:line="240" w:lineRule="exact"/>
        <w:jc w:val="both"/>
        <w:rPr>
          <w:rFonts w:ascii="Verdana" w:hAnsi="Verdana" w:cs="Times New Roman"/>
          <w:sz w:val="20"/>
          <w:szCs w:val="20"/>
        </w:rPr>
      </w:pPr>
    </w:p>
    <w:p w14:paraId="66907381" w14:textId="5B537024" w:rsidR="00FD0466" w:rsidRPr="00CA1127" w:rsidRDefault="00FD0466" w:rsidP="005A5029">
      <w:pPr>
        <w:autoSpaceDE w:val="0"/>
        <w:autoSpaceDN w:val="0"/>
        <w:adjustRightInd w:val="0"/>
        <w:spacing w:after="0" w:line="240" w:lineRule="exact"/>
        <w:ind w:left="284" w:right="333"/>
        <w:jc w:val="both"/>
        <w:rPr>
          <w:rFonts w:ascii="Verdana" w:hAnsi="Verdana" w:cs="Times New Roman"/>
          <w:sz w:val="16"/>
          <w:szCs w:val="16"/>
        </w:rPr>
      </w:pPr>
      <w:r w:rsidRPr="00CA1127">
        <w:rPr>
          <w:rFonts w:ascii="Verdana" w:hAnsi="Verdana" w:cs="Times New Roman"/>
          <w:sz w:val="16"/>
          <w:szCs w:val="16"/>
        </w:rPr>
        <w:t>Artículo 1</w:t>
      </w:r>
      <w:r w:rsidR="003F2319" w:rsidRPr="00CA1127">
        <w:rPr>
          <w:rFonts w:ascii="Verdana" w:hAnsi="Verdana" w:cs="Times New Roman"/>
          <w:sz w:val="16"/>
          <w:szCs w:val="16"/>
        </w:rPr>
        <w:t xml:space="preserve">° </w:t>
      </w:r>
      <w:r w:rsidRPr="00CA1127">
        <w:rPr>
          <w:rFonts w:ascii="Verdana" w:hAnsi="Verdana" w:cs="Times New Roman"/>
          <w:sz w:val="16"/>
          <w:szCs w:val="16"/>
        </w:rPr>
        <w:t xml:space="preserve">.- </w:t>
      </w:r>
      <w:proofErr w:type="spellStart"/>
      <w:r w:rsidRPr="00CA1127">
        <w:rPr>
          <w:rFonts w:ascii="Verdana" w:hAnsi="Verdana" w:cs="Times New Roman"/>
          <w:sz w:val="16"/>
          <w:szCs w:val="16"/>
        </w:rPr>
        <w:t>Reconócese</w:t>
      </w:r>
      <w:proofErr w:type="spellEnd"/>
      <w:r w:rsidRPr="00CA1127">
        <w:rPr>
          <w:rFonts w:ascii="Verdana" w:hAnsi="Verdana" w:cs="Times New Roman"/>
          <w:sz w:val="16"/>
          <w:szCs w:val="16"/>
        </w:rPr>
        <w:t xml:space="preserve"> que, como consecuencia de la lógica de los hechos originados por el acuerdo celebrado entre partidos políticos y las Fuerzas Armadas en agosto de 1984 y a efecto de concluir la transición hacia la plena vigencia del orden constitucional, ha caducado el ejercicio de la pretensión punitiva del Estado respecto de los delitos cometidos hasta el 1º de marzo de 1985 por funcionarios militares y policiales, equiparados y asimilados por móviles políticos o en ocasión del cumplimiento de sus funciones y en ocasión de acciones ordenadas por los mandos que actuaron durante el período de facto.</w:t>
      </w:r>
    </w:p>
    <w:p w14:paraId="4EABF780" w14:textId="35EA76F0" w:rsidR="00FD0466" w:rsidRPr="00CA1127" w:rsidRDefault="00FD0466" w:rsidP="005A5029">
      <w:pPr>
        <w:autoSpaceDE w:val="0"/>
        <w:autoSpaceDN w:val="0"/>
        <w:adjustRightInd w:val="0"/>
        <w:spacing w:after="0" w:line="240" w:lineRule="exact"/>
        <w:ind w:right="333"/>
        <w:jc w:val="both"/>
        <w:rPr>
          <w:rFonts w:ascii="Verdana" w:hAnsi="Verdana" w:cs="Times New Roman"/>
          <w:sz w:val="16"/>
          <w:szCs w:val="16"/>
        </w:rPr>
      </w:pPr>
    </w:p>
    <w:p w14:paraId="3642C8F6" w14:textId="52AFE189" w:rsidR="00FD0466" w:rsidRPr="00CA1127" w:rsidRDefault="00FD0466" w:rsidP="005A5029">
      <w:pPr>
        <w:autoSpaceDE w:val="0"/>
        <w:autoSpaceDN w:val="0"/>
        <w:adjustRightInd w:val="0"/>
        <w:spacing w:after="0" w:line="240" w:lineRule="exact"/>
        <w:ind w:left="284" w:right="333"/>
        <w:jc w:val="both"/>
        <w:rPr>
          <w:rFonts w:ascii="Verdana" w:hAnsi="Verdana" w:cs="Times New Roman"/>
          <w:sz w:val="16"/>
          <w:szCs w:val="16"/>
        </w:rPr>
      </w:pPr>
      <w:r w:rsidRPr="00CA1127">
        <w:rPr>
          <w:rFonts w:ascii="Verdana" w:hAnsi="Verdana" w:cs="Times New Roman"/>
          <w:sz w:val="16"/>
          <w:szCs w:val="16"/>
        </w:rPr>
        <w:t>Artículo 3°. - A los efectos previstos en los artículos anteriores, el Juez interviniente en las denuncias correspondientes, requerirá al Poder Ejecutivo que informe, dentro del plazo perentorio de treinta días de recibida la comunicación, si el hecho investigado lo considera comprendido o no en el artículo 1</w:t>
      </w:r>
      <w:r w:rsidR="00B25843" w:rsidRPr="00CA1127">
        <w:rPr>
          <w:rFonts w:ascii="Verdana" w:hAnsi="Verdana" w:cs="Times New Roman"/>
          <w:sz w:val="16"/>
          <w:szCs w:val="16"/>
        </w:rPr>
        <w:t>°</w:t>
      </w:r>
      <w:r w:rsidRPr="00CA1127">
        <w:rPr>
          <w:rFonts w:ascii="Verdana" w:hAnsi="Verdana" w:cs="Times New Roman"/>
          <w:sz w:val="16"/>
          <w:szCs w:val="16"/>
        </w:rPr>
        <w:t xml:space="preserve"> de la presente ley. Si el Poder Ejecutivo así lo comunicare, el Juez dispondrá la clausura y el archivo de los antecedentes. Si en cambio, no contestare o informa que no se halla comprendido dispondrá continuar la indagatoria</w:t>
      </w:r>
      <w:r w:rsidRPr="00CA1127">
        <w:rPr>
          <w:rStyle w:val="Refdenotaalpie"/>
          <w:rFonts w:ascii="Verdana" w:hAnsi="Verdana" w:cs="Times New Roman"/>
          <w:sz w:val="16"/>
          <w:szCs w:val="16"/>
        </w:rPr>
        <w:footnoteReference w:id="30"/>
      </w:r>
      <w:r w:rsidRPr="00CA1127">
        <w:rPr>
          <w:rFonts w:ascii="Verdana" w:hAnsi="Verdana" w:cs="Times New Roman"/>
          <w:sz w:val="16"/>
          <w:szCs w:val="16"/>
        </w:rPr>
        <w:t>.</w:t>
      </w:r>
    </w:p>
    <w:p w14:paraId="3B244894" w14:textId="77777777" w:rsidR="00FD0466" w:rsidRPr="0039097A" w:rsidRDefault="00FD0466" w:rsidP="005A5029">
      <w:pPr>
        <w:spacing w:after="0" w:line="240" w:lineRule="exact"/>
        <w:rPr>
          <w:rFonts w:ascii="Verdana" w:hAnsi="Verdana" w:cs="Times New Roman"/>
          <w:sz w:val="20"/>
          <w:szCs w:val="20"/>
        </w:rPr>
      </w:pPr>
    </w:p>
    <w:p w14:paraId="7A012CFB" w14:textId="105A8747"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En el 2009 la </w:t>
      </w:r>
      <w:r w:rsidR="004812C6">
        <w:rPr>
          <w:rFonts w:ascii="Verdana" w:hAnsi="Verdana" w:cs="Times New Roman"/>
          <w:sz w:val="20"/>
          <w:szCs w:val="20"/>
        </w:rPr>
        <w:t xml:space="preserve">Suprema </w:t>
      </w:r>
      <w:r w:rsidRPr="0039097A">
        <w:rPr>
          <w:rFonts w:ascii="Verdana" w:hAnsi="Verdana" w:cs="Times New Roman"/>
          <w:sz w:val="20"/>
          <w:szCs w:val="20"/>
        </w:rPr>
        <w:t xml:space="preserve">Corte </w:t>
      </w:r>
      <w:r w:rsidR="004812C6">
        <w:rPr>
          <w:rFonts w:ascii="Verdana" w:hAnsi="Verdana" w:cs="Times New Roman"/>
          <w:sz w:val="20"/>
          <w:szCs w:val="20"/>
        </w:rPr>
        <w:t>de Justicia</w:t>
      </w:r>
      <w:r w:rsidRPr="0039097A">
        <w:rPr>
          <w:rFonts w:ascii="Verdana" w:hAnsi="Verdana" w:cs="Times New Roman"/>
          <w:sz w:val="20"/>
          <w:szCs w:val="20"/>
        </w:rPr>
        <w:t xml:space="preserve"> de Uruguay declaró con lugar un recurso de inconstitucionalidad, en un caso concreto, contra los artículos 1, 3 y 4 de la Ley de Caducidad. En dicha decisión expresó:</w:t>
      </w:r>
    </w:p>
    <w:p w14:paraId="1A278382" w14:textId="77777777" w:rsidR="00FD0466" w:rsidRPr="0039097A" w:rsidRDefault="00FD0466" w:rsidP="005A5029">
      <w:pPr>
        <w:autoSpaceDE w:val="0"/>
        <w:autoSpaceDN w:val="0"/>
        <w:adjustRightInd w:val="0"/>
        <w:spacing w:after="0" w:line="240" w:lineRule="exact"/>
        <w:jc w:val="both"/>
        <w:rPr>
          <w:rFonts w:ascii="Verdana" w:hAnsi="Verdana" w:cs="Times New Roman"/>
          <w:sz w:val="20"/>
          <w:szCs w:val="20"/>
        </w:rPr>
      </w:pPr>
    </w:p>
    <w:p w14:paraId="78ECE279" w14:textId="7C045AEC" w:rsidR="00FD0466" w:rsidRPr="004B4E03" w:rsidRDefault="00B52707" w:rsidP="005A5029">
      <w:pPr>
        <w:autoSpaceDE w:val="0"/>
        <w:autoSpaceDN w:val="0"/>
        <w:adjustRightInd w:val="0"/>
        <w:spacing w:after="0" w:line="240" w:lineRule="exact"/>
        <w:ind w:left="284" w:right="333"/>
        <w:jc w:val="both"/>
        <w:rPr>
          <w:rFonts w:ascii="Verdana" w:hAnsi="Verdana" w:cs="Times New Roman"/>
          <w:sz w:val="16"/>
          <w:szCs w:val="16"/>
        </w:rPr>
      </w:pPr>
      <w:r>
        <w:rPr>
          <w:rFonts w:ascii="Verdana" w:hAnsi="Verdana" w:cs="Times New Roman"/>
          <w:sz w:val="16"/>
          <w:szCs w:val="16"/>
        </w:rPr>
        <w:lastRenderedPageBreak/>
        <w:t>[D]</w:t>
      </w:r>
      <w:proofErr w:type="spellStart"/>
      <w:r w:rsidR="00FD0466" w:rsidRPr="004B4E03">
        <w:rPr>
          <w:rFonts w:ascii="Verdana" w:hAnsi="Verdana" w:cs="Times New Roman"/>
          <w:sz w:val="16"/>
          <w:szCs w:val="16"/>
        </w:rPr>
        <w:t>eclarar</w:t>
      </w:r>
      <w:proofErr w:type="spellEnd"/>
      <w:r w:rsidR="00FD0466" w:rsidRPr="004B4E03">
        <w:rPr>
          <w:rFonts w:ascii="Verdana" w:hAnsi="Verdana" w:cs="Times New Roman"/>
          <w:sz w:val="16"/>
          <w:szCs w:val="16"/>
        </w:rPr>
        <w:t xml:space="preserve"> la caducidad de las acciones penales, en cualquier supuesto, excede las facultades de los legisladores e inva</w:t>
      </w:r>
      <w:r w:rsidR="00FD0466" w:rsidRPr="00CA1127">
        <w:rPr>
          <w:rFonts w:ascii="Verdana" w:hAnsi="Verdana" w:cs="Times New Roman"/>
          <w:sz w:val="16"/>
          <w:szCs w:val="16"/>
        </w:rPr>
        <w:t>de el ámbito de una función constitucionalmente asignada a los jueces, por lo que, por los motivos que fueren, el legislador no podía atribuirse la facultad de resolver que había operado la caducidad de las acciones penales respecto de ciertos delitos.</w:t>
      </w:r>
      <w:r>
        <w:rPr>
          <w:rFonts w:ascii="Verdana" w:hAnsi="Verdana" w:cs="Times New Roman"/>
          <w:sz w:val="16"/>
          <w:szCs w:val="16"/>
        </w:rPr>
        <w:t xml:space="preserve"> […]</w:t>
      </w:r>
    </w:p>
    <w:p w14:paraId="32B92A67" w14:textId="77777777" w:rsidR="00FD0466" w:rsidRPr="00CA1127" w:rsidRDefault="00FD0466" w:rsidP="005A5029">
      <w:pPr>
        <w:autoSpaceDE w:val="0"/>
        <w:autoSpaceDN w:val="0"/>
        <w:adjustRightInd w:val="0"/>
        <w:spacing w:after="0" w:line="240" w:lineRule="exact"/>
        <w:ind w:left="284" w:right="333"/>
        <w:jc w:val="both"/>
        <w:rPr>
          <w:rFonts w:ascii="Verdana" w:hAnsi="Verdana" w:cs="Times New Roman"/>
          <w:sz w:val="16"/>
          <w:szCs w:val="16"/>
        </w:rPr>
      </w:pPr>
    </w:p>
    <w:p w14:paraId="049C815F" w14:textId="26B15B14" w:rsidR="00FD0466" w:rsidRPr="00CA1127" w:rsidRDefault="00FD0466" w:rsidP="005A5029">
      <w:pPr>
        <w:autoSpaceDE w:val="0"/>
        <w:autoSpaceDN w:val="0"/>
        <w:adjustRightInd w:val="0"/>
        <w:spacing w:after="0" w:line="240" w:lineRule="exact"/>
        <w:ind w:left="284" w:right="333"/>
        <w:jc w:val="both"/>
        <w:rPr>
          <w:rFonts w:ascii="Verdana" w:hAnsi="Verdana" w:cs="Times New Roman"/>
          <w:sz w:val="16"/>
          <w:szCs w:val="16"/>
        </w:rPr>
      </w:pPr>
      <w:r w:rsidRPr="00CA1127">
        <w:rPr>
          <w:rFonts w:ascii="Verdana" w:hAnsi="Verdana" w:cs="Times New Roman"/>
          <w:sz w:val="16"/>
          <w:szCs w:val="16"/>
        </w:rPr>
        <w:t>A modo de síntesis, la ilegitimidad de una ley de amnistía dictada en beneficio de funcionarios militares y policiales que cometieron [graves violaciones de derechos humanos</w:t>
      </w:r>
      <w:r w:rsidR="004812C6" w:rsidRPr="00CA1127">
        <w:rPr>
          <w:rFonts w:ascii="Verdana" w:hAnsi="Verdana" w:cs="Times New Roman"/>
          <w:sz w:val="16"/>
          <w:szCs w:val="16"/>
        </w:rPr>
        <w:t>]</w:t>
      </w:r>
      <w:r w:rsidRPr="00CA1127">
        <w:rPr>
          <w:rFonts w:ascii="Verdana" w:hAnsi="Verdana" w:cs="Times New Roman"/>
          <w:sz w:val="16"/>
          <w:szCs w:val="16"/>
        </w:rPr>
        <w:t>, gozando de impunidad durante regímenes de facto, ha sido declarada por órganos jurisdiccionales, tanto de la comunidad internacional como de los Estados que pasaron por procesos similares al vivido por el Uruguay en la misma época. Tales pronunciamientos, por la similitud con la cuestión analizada y por la relevancia que han tenido, no podrían soslayarse en el examen de constitucionalidad de la Ley [No.] 15.848 y han sido tenidos en cuenta por la Corporación para dictar el presente fallo</w:t>
      </w:r>
      <w:r w:rsidRPr="00CA1127">
        <w:rPr>
          <w:rStyle w:val="Refdenotaalpie"/>
          <w:rFonts w:ascii="Verdana" w:hAnsi="Verdana" w:cs="Times New Roman"/>
          <w:sz w:val="16"/>
          <w:szCs w:val="16"/>
        </w:rPr>
        <w:footnoteReference w:id="31"/>
      </w:r>
      <w:r w:rsidRPr="00CA1127">
        <w:rPr>
          <w:rFonts w:ascii="Verdana" w:hAnsi="Verdana" w:cs="Times New Roman"/>
          <w:sz w:val="16"/>
          <w:szCs w:val="16"/>
        </w:rPr>
        <w:t xml:space="preserve">. </w:t>
      </w:r>
    </w:p>
    <w:p w14:paraId="031BC5B9" w14:textId="77777777" w:rsidR="00FD0466" w:rsidRPr="0039097A" w:rsidRDefault="00FD0466" w:rsidP="005A5029">
      <w:pPr>
        <w:autoSpaceDE w:val="0"/>
        <w:autoSpaceDN w:val="0"/>
        <w:adjustRightInd w:val="0"/>
        <w:spacing w:after="0" w:line="240" w:lineRule="exact"/>
        <w:jc w:val="both"/>
        <w:rPr>
          <w:rFonts w:ascii="Verdana" w:hAnsi="Verdana" w:cs="Times New Roman"/>
          <w:sz w:val="20"/>
          <w:szCs w:val="20"/>
        </w:rPr>
      </w:pPr>
    </w:p>
    <w:p w14:paraId="5B7D0420" w14:textId="7CFFD9DD"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Por su parte, en la sentencia del 24 de febrero de 2011 del caso </w:t>
      </w:r>
      <w:r w:rsidRPr="0039097A">
        <w:rPr>
          <w:rFonts w:ascii="Verdana" w:hAnsi="Verdana" w:cs="Times New Roman"/>
          <w:i/>
          <w:sz w:val="20"/>
          <w:szCs w:val="20"/>
        </w:rPr>
        <w:t>Gelman vs. Uruguay</w:t>
      </w:r>
      <w:r w:rsidRPr="0039097A">
        <w:rPr>
          <w:rFonts w:ascii="Verdana" w:hAnsi="Verdana" w:cs="Times New Roman"/>
          <w:sz w:val="20"/>
          <w:szCs w:val="20"/>
        </w:rPr>
        <w:t xml:space="preserve">, la Corte </w:t>
      </w:r>
      <w:proofErr w:type="spellStart"/>
      <w:r w:rsidRPr="0039097A">
        <w:rPr>
          <w:rFonts w:ascii="Verdana" w:hAnsi="Verdana" w:cs="Times New Roman"/>
          <w:sz w:val="20"/>
          <w:szCs w:val="20"/>
        </w:rPr>
        <w:t>lnteramericana</w:t>
      </w:r>
      <w:proofErr w:type="spellEnd"/>
      <w:r w:rsidRPr="0039097A">
        <w:rPr>
          <w:rFonts w:ascii="Verdana" w:hAnsi="Verdana" w:cs="Times New Roman"/>
          <w:sz w:val="20"/>
          <w:szCs w:val="20"/>
        </w:rPr>
        <w:t xml:space="preserve"> consideró que “las disposiciones de la Ley de Caducidad que impiden la investigación y sanción de graves violaciones de derechos humanos carecen de efectos jurídicos y, en consecuencia, no pueden seguir representando un obstáculo para la investigación de los hechos del presente caso y la identificación y el castigo de los responsables, ni pueden tener igual o similar impacto respecto de otros casos de graves violaciones de derechos humanos consagrados en la Convención Americana que puedan haber ocurrido en el Uruguay”</w:t>
      </w:r>
      <w:r w:rsidRPr="0039097A">
        <w:rPr>
          <w:rStyle w:val="Refdenotaalpie"/>
          <w:rFonts w:ascii="Verdana" w:hAnsi="Verdana" w:cs="Times New Roman"/>
          <w:sz w:val="20"/>
          <w:szCs w:val="20"/>
        </w:rPr>
        <w:footnoteReference w:id="32"/>
      </w:r>
      <w:r w:rsidRPr="0039097A">
        <w:rPr>
          <w:rFonts w:ascii="Verdana" w:hAnsi="Verdana" w:cs="Times New Roman"/>
          <w:sz w:val="20"/>
          <w:szCs w:val="20"/>
        </w:rPr>
        <w:t xml:space="preserve">. </w:t>
      </w:r>
    </w:p>
    <w:p w14:paraId="66142920"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2E7A97E1" w14:textId="5126B180"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El 1 de noviembre de 2011 Uruguay promulgó la Ley 18.831 a través de la cual se modificó la </w:t>
      </w:r>
      <w:r w:rsidR="00B52707">
        <w:rPr>
          <w:rFonts w:ascii="Verdana" w:hAnsi="Verdana" w:cs="Times New Roman"/>
          <w:sz w:val="20"/>
          <w:szCs w:val="20"/>
        </w:rPr>
        <w:t>l</w:t>
      </w:r>
      <w:r w:rsidRPr="0039097A">
        <w:rPr>
          <w:rFonts w:ascii="Verdana" w:hAnsi="Verdana" w:cs="Times New Roman"/>
          <w:sz w:val="20"/>
          <w:szCs w:val="20"/>
        </w:rPr>
        <w:t xml:space="preserve">ey 15.848. </w:t>
      </w:r>
      <w:r w:rsidR="00B52707">
        <w:rPr>
          <w:rFonts w:ascii="Verdana" w:hAnsi="Verdana" w:cs="Times New Roman"/>
          <w:sz w:val="20"/>
          <w:szCs w:val="20"/>
        </w:rPr>
        <w:t>L</w:t>
      </w:r>
      <w:r w:rsidRPr="0039097A">
        <w:rPr>
          <w:rFonts w:ascii="Verdana" w:hAnsi="Verdana" w:cs="Times New Roman"/>
          <w:sz w:val="20"/>
          <w:szCs w:val="20"/>
        </w:rPr>
        <w:t xml:space="preserve">a </w:t>
      </w:r>
      <w:r w:rsidR="00B52707">
        <w:rPr>
          <w:rFonts w:ascii="Verdana" w:hAnsi="Verdana" w:cs="Times New Roman"/>
          <w:sz w:val="20"/>
          <w:szCs w:val="20"/>
        </w:rPr>
        <w:t>l</w:t>
      </w:r>
      <w:r w:rsidRPr="0039097A">
        <w:rPr>
          <w:rFonts w:ascii="Verdana" w:hAnsi="Verdana" w:cs="Times New Roman"/>
          <w:sz w:val="20"/>
          <w:szCs w:val="20"/>
        </w:rPr>
        <w:t>ey 18.831 indica:</w:t>
      </w:r>
    </w:p>
    <w:p w14:paraId="302151C1" w14:textId="77777777" w:rsidR="00FD0466" w:rsidRPr="0039097A" w:rsidRDefault="00FD0466" w:rsidP="005A5029">
      <w:pPr>
        <w:autoSpaceDE w:val="0"/>
        <w:autoSpaceDN w:val="0"/>
        <w:adjustRightInd w:val="0"/>
        <w:spacing w:after="0" w:line="240" w:lineRule="exact"/>
        <w:jc w:val="both"/>
        <w:rPr>
          <w:rFonts w:ascii="Verdana" w:hAnsi="Verdana" w:cs="Times New Roman"/>
          <w:sz w:val="20"/>
          <w:szCs w:val="20"/>
        </w:rPr>
      </w:pPr>
    </w:p>
    <w:p w14:paraId="094A29BD" w14:textId="450D0C9A" w:rsidR="00FD0466" w:rsidRPr="0039097A" w:rsidRDefault="00FD0466" w:rsidP="005A5029">
      <w:pPr>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Artículo 1</w:t>
      </w:r>
      <w:r w:rsidR="000D49BD">
        <w:rPr>
          <w:rFonts w:ascii="Verdana" w:hAnsi="Verdana" w:cs="Times New Roman"/>
          <w:sz w:val="18"/>
          <w:szCs w:val="20"/>
        </w:rPr>
        <w:t>°</w:t>
      </w:r>
      <w:r w:rsidRPr="0039097A">
        <w:rPr>
          <w:rFonts w:ascii="Verdana" w:hAnsi="Verdana" w:cs="Times New Roman"/>
          <w:sz w:val="18"/>
          <w:szCs w:val="20"/>
        </w:rPr>
        <w:t>. Se restablece el pleno ejercicio de la pretensión punitiva del Estado para los delitos cometidos en aplicación del terrorismo de Estado hasta el 1 º de marzo de 1985, comprendidos en el artículo 1</w:t>
      </w:r>
      <w:r w:rsidR="000D49BD">
        <w:rPr>
          <w:rFonts w:ascii="Verdana" w:hAnsi="Verdana" w:cs="Times New Roman"/>
          <w:sz w:val="18"/>
          <w:szCs w:val="20"/>
        </w:rPr>
        <w:t>°</w:t>
      </w:r>
      <w:r w:rsidRPr="0039097A">
        <w:rPr>
          <w:rFonts w:ascii="Verdana" w:hAnsi="Verdana" w:cs="Times New Roman"/>
          <w:sz w:val="18"/>
          <w:szCs w:val="20"/>
        </w:rPr>
        <w:t xml:space="preserve"> de la Ley </w:t>
      </w:r>
      <w:proofErr w:type="spellStart"/>
      <w:r w:rsidRPr="0039097A">
        <w:rPr>
          <w:rFonts w:ascii="Verdana" w:hAnsi="Verdana" w:cs="Times New Roman"/>
          <w:sz w:val="18"/>
          <w:szCs w:val="20"/>
        </w:rPr>
        <w:t>N</w:t>
      </w:r>
      <w:r w:rsidR="000D49BD">
        <w:rPr>
          <w:rFonts w:ascii="Verdana" w:hAnsi="Verdana" w:cs="Times New Roman"/>
          <w:sz w:val="18"/>
          <w:szCs w:val="20"/>
        </w:rPr>
        <w:t>°</w:t>
      </w:r>
      <w:proofErr w:type="spellEnd"/>
      <w:r w:rsidRPr="0039097A">
        <w:rPr>
          <w:rFonts w:ascii="Verdana" w:hAnsi="Verdana" w:cs="Times New Roman"/>
          <w:sz w:val="18"/>
          <w:szCs w:val="20"/>
        </w:rPr>
        <w:t xml:space="preserve"> 15.848, de 22 de diciembre de 1986.</w:t>
      </w:r>
    </w:p>
    <w:p w14:paraId="7D2FFC37" w14:textId="77777777" w:rsidR="00FD0466" w:rsidRPr="0039097A" w:rsidRDefault="00FD0466" w:rsidP="005A5029">
      <w:pPr>
        <w:autoSpaceDE w:val="0"/>
        <w:autoSpaceDN w:val="0"/>
        <w:adjustRightInd w:val="0"/>
        <w:spacing w:after="0" w:line="240" w:lineRule="exact"/>
        <w:ind w:left="284" w:right="333"/>
        <w:jc w:val="both"/>
        <w:rPr>
          <w:rFonts w:ascii="Verdana" w:hAnsi="Verdana" w:cs="Times New Roman"/>
          <w:sz w:val="18"/>
          <w:szCs w:val="20"/>
        </w:rPr>
      </w:pPr>
    </w:p>
    <w:p w14:paraId="34EBD1E7" w14:textId="173EAFB0" w:rsidR="00FD0466" w:rsidRPr="0039097A" w:rsidRDefault="00FD0466" w:rsidP="005A5029">
      <w:pPr>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Artículo 2</w:t>
      </w:r>
      <w:r w:rsidR="000D49BD">
        <w:rPr>
          <w:rFonts w:ascii="Verdana" w:hAnsi="Verdana" w:cs="Times New Roman"/>
          <w:sz w:val="18"/>
          <w:szCs w:val="20"/>
        </w:rPr>
        <w:t>°</w:t>
      </w:r>
      <w:r w:rsidRPr="0039097A">
        <w:rPr>
          <w:rFonts w:ascii="Verdana" w:hAnsi="Verdana" w:cs="Times New Roman"/>
          <w:sz w:val="18"/>
          <w:szCs w:val="20"/>
        </w:rPr>
        <w:t>. No se computará plazo alguno, procesal, de prescripción o de caducidad, en el período comprendido entre el 22 de diciembre de 1986 y la vigencia de esta ley, para los delitos a que refiere el artículo 1° de esta ley.</w:t>
      </w:r>
    </w:p>
    <w:p w14:paraId="55E05193" w14:textId="77777777" w:rsidR="00FD0466" w:rsidRPr="0039097A" w:rsidRDefault="00FD0466" w:rsidP="005A5029">
      <w:pPr>
        <w:autoSpaceDE w:val="0"/>
        <w:autoSpaceDN w:val="0"/>
        <w:adjustRightInd w:val="0"/>
        <w:spacing w:after="0" w:line="240" w:lineRule="exact"/>
        <w:ind w:left="284" w:right="333"/>
        <w:jc w:val="both"/>
        <w:rPr>
          <w:rFonts w:ascii="Verdana" w:hAnsi="Verdana" w:cs="Times New Roman"/>
          <w:sz w:val="18"/>
          <w:szCs w:val="20"/>
        </w:rPr>
      </w:pPr>
    </w:p>
    <w:p w14:paraId="19A65942" w14:textId="60E0BBC5" w:rsidR="00FD0466" w:rsidRPr="0039097A" w:rsidRDefault="00FD0466" w:rsidP="005A5029">
      <w:pPr>
        <w:autoSpaceDE w:val="0"/>
        <w:autoSpaceDN w:val="0"/>
        <w:adjustRightInd w:val="0"/>
        <w:spacing w:after="0" w:line="240" w:lineRule="exact"/>
        <w:ind w:left="284" w:right="333"/>
        <w:jc w:val="both"/>
        <w:rPr>
          <w:rFonts w:ascii="Verdana" w:hAnsi="Verdana" w:cs="Times New Roman"/>
          <w:sz w:val="20"/>
          <w:szCs w:val="20"/>
        </w:rPr>
      </w:pPr>
      <w:r w:rsidRPr="0039097A">
        <w:rPr>
          <w:rFonts w:ascii="Verdana" w:hAnsi="Verdana" w:cs="Times New Roman"/>
          <w:sz w:val="18"/>
          <w:szCs w:val="20"/>
        </w:rPr>
        <w:t>Artículo 3</w:t>
      </w:r>
      <w:r w:rsidR="000D49BD">
        <w:rPr>
          <w:rFonts w:ascii="Verdana" w:hAnsi="Verdana" w:cs="Times New Roman"/>
          <w:sz w:val="18"/>
          <w:szCs w:val="20"/>
        </w:rPr>
        <w:t>°</w:t>
      </w:r>
      <w:r w:rsidRPr="0039097A">
        <w:rPr>
          <w:rFonts w:ascii="Verdana" w:hAnsi="Verdana" w:cs="Times New Roman"/>
          <w:sz w:val="18"/>
          <w:szCs w:val="20"/>
        </w:rPr>
        <w:t>. Declárase q</w:t>
      </w:r>
      <w:r>
        <w:rPr>
          <w:rFonts w:ascii="Verdana" w:hAnsi="Verdana" w:cs="Times New Roman"/>
          <w:sz w:val="18"/>
          <w:szCs w:val="20"/>
        </w:rPr>
        <w:t>ue, los delitos a que refieren l</w:t>
      </w:r>
      <w:r w:rsidRPr="0039097A">
        <w:rPr>
          <w:rFonts w:ascii="Verdana" w:hAnsi="Verdana" w:cs="Times New Roman"/>
          <w:sz w:val="18"/>
          <w:szCs w:val="20"/>
        </w:rPr>
        <w:t xml:space="preserve">os artículos </w:t>
      </w:r>
      <w:proofErr w:type="gramStart"/>
      <w:r w:rsidRPr="0039097A">
        <w:rPr>
          <w:rFonts w:ascii="Verdana" w:hAnsi="Verdana" w:cs="Times New Roman"/>
          <w:sz w:val="18"/>
          <w:szCs w:val="20"/>
        </w:rPr>
        <w:t>anteriores,</w:t>
      </w:r>
      <w:proofErr w:type="gramEnd"/>
      <w:r w:rsidRPr="0039097A">
        <w:rPr>
          <w:rFonts w:ascii="Verdana" w:hAnsi="Verdana" w:cs="Times New Roman"/>
          <w:sz w:val="18"/>
          <w:szCs w:val="20"/>
        </w:rPr>
        <w:t xml:space="preserve"> son crímenes de lesa humanidad de conformidad con los tratados internacionales de los que la República es parte</w:t>
      </w:r>
      <w:r w:rsidRPr="0039097A">
        <w:rPr>
          <w:rStyle w:val="Refdenotaalpie"/>
          <w:rFonts w:ascii="Verdana" w:hAnsi="Verdana" w:cs="Times New Roman"/>
          <w:sz w:val="18"/>
          <w:szCs w:val="20"/>
        </w:rPr>
        <w:footnoteReference w:id="33"/>
      </w:r>
      <w:r w:rsidRPr="0039097A">
        <w:rPr>
          <w:rFonts w:ascii="Verdana" w:hAnsi="Verdana" w:cs="Times New Roman"/>
          <w:sz w:val="18"/>
          <w:szCs w:val="20"/>
        </w:rPr>
        <w:t>.</w:t>
      </w:r>
      <w:r w:rsidRPr="0039097A">
        <w:rPr>
          <w:rFonts w:ascii="Verdana" w:hAnsi="Verdana" w:cs="Times New Roman"/>
          <w:sz w:val="20"/>
          <w:szCs w:val="20"/>
        </w:rPr>
        <w:t xml:space="preserve"> </w:t>
      </w:r>
    </w:p>
    <w:p w14:paraId="1DBAFF30" w14:textId="77777777" w:rsidR="00FD0466" w:rsidRPr="0039097A" w:rsidRDefault="00FD0466" w:rsidP="005A5029">
      <w:pPr>
        <w:autoSpaceDE w:val="0"/>
        <w:autoSpaceDN w:val="0"/>
        <w:adjustRightInd w:val="0"/>
        <w:spacing w:after="0" w:line="240" w:lineRule="exact"/>
        <w:jc w:val="both"/>
        <w:rPr>
          <w:rFonts w:ascii="Verdana" w:hAnsi="Verdana" w:cs="Times New Roman"/>
          <w:sz w:val="20"/>
          <w:szCs w:val="20"/>
        </w:rPr>
      </w:pPr>
    </w:p>
    <w:p w14:paraId="29DC8F7C" w14:textId="638664CD" w:rsidR="00FD0466" w:rsidRPr="0039097A" w:rsidRDefault="00C72200"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t>Además</w:t>
      </w:r>
      <w:r w:rsidR="00FD0466" w:rsidRPr="0039097A">
        <w:rPr>
          <w:rFonts w:ascii="Verdana" w:hAnsi="Verdana" w:cs="Times New Roman"/>
          <w:sz w:val="20"/>
          <w:szCs w:val="20"/>
        </w:rPr>
        <w:t xml:space="preserve">, </w:t>
      </w:r>
      <w:r w:rsidR="007659D8">
        <w:rPr>
          <w:rFonts w:ascii="Verdana" w:hAnsi="Verdana" w:cs="Times New Roman"/>
          <w:sz w:val="20"/>
          <w:szCs w:val="20"/>
        </w:rPr>
        <w:t xml:space="preserve">antes, </w:t>
      </w:r>
      <w:r w:rsidR="00FD0466" w:rsidRPr="0039097A">
        <w:rPr>
          <w:rFonts w:ascii="Verdana" w:hAnsi="Verdana" w:cs="Times New Roman"/>
          <w:sz w:val="20"/>
          <w:szCs w:val="20"/>
        </w:rPr>
        <w:t xml:space="preserve">el </w:t>
      </w:r>
      <w:r>
        <w:rPr>
          <w:rFonts w:ascii="Verdana" w:hAnsi="Verdana" w:cs="Times New Roman"/>
          <w:sz w:val="20"/>
          <w:szCs w:val="20"/>
        </w:rPr>
        <w:t xml:space="preserve">30 de junio de 2011 el </w:t>
      </w:r>
      <w:r w:rsidR="00FD0466" w:rsidRPr="0039097A">
        <w:rPr>
          <w:rFonts w:ascii="Verdana" w:hAnsi="Verdana" w:cs="Times New Roman"/>
          <w:sz w:val="20"/>
          <w:szCs w:val="20"/>
        </w:rPr>
        <w:t xml:space="preserve">Poder Ejecutivo </w:t>
      </w:r>
      <w:r w:rsidR="007659D8">
        <w:rPr>
          <w:rFonts w:ascii="Verdana" w:hAnsi="Verdana" w:cs="Times New Roman"/>
          <w:sz w:val="20"/>
          <w:szCs w:val="20"/>
        </w:rPr>
        <w:t>había emitido</w:t>
      </w:r>
      <w:r w:rsidR="00FD0466" w:rsidRPr="0039097A">
        <w:rPr>
          <w:rFonts w:ascii="Verdana" w:hAnsi="Verdana" w:cs="Times New Roman"/>
          <w:sz w:val="20"/>
          <w:szCs w:val="20"/>
        </w:rPr>
        <w:t xml:space="preserve"> el Decreto 323/2011, el cual revocó “por razones de legitimidad, los actos administrativos y mensajes emanados del Poder Ejecutivo en aplicación del artículo 3 de la Ley de Caducidad que consideran que los hechos denunciados estaban comprendidos en las disposiciones del artículo 1 de la referida ley”</w:t>
      </w:r>
      <w:r w:rsidR="00FD0466" w:rsidRPr="0039097A">
        <w:rPr>
          <w:rStyle w:val="Refdenotaalpie"/>
          <w:rFonts w:ascii="Verdana" w:hAnsi="Verdana" w:cs="Times New Roman"/>
          <w:sz w:val="20"/>
          <w:szCs w:val="20"/>
        </w:rPr>
        <w:footnoteReference w:id="34"/>
      </w:r>
      <w:r w:rsidR="00FD0466" w:rsidRPr="0039097A">
        <w:rPr>
          <w:rFonts w:ascii="Verdana" w:hAnsi="Verdana" w:cs="Times New Roman"/>
          <w:sz w:val="20"/>
          <w:szCs w:val="20"/>
        </w:rPr>
        <w:t xml:space="preserve">. </w:t>
      </w:r>
    </w:p>
    <w:p w14:paraId="0D79409F"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7FB0CC8E" w14:textId="4066286A" w:rsidR="00FD0466" w:rsidRPr="00E53751"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Posteriormente, el 22 de febrero de 2013 la Suprema Corte de Justicia de Uruguay declaró la inconstitucionalidad de los artículos 2 y 3 de la Ley 18.831 de 2011, frente a un caso concreto</w:t>
      </w:r>
      <w:r w:rsidRPr="0039097A">
        <w:rPr>
          <w:rStyle w:val="Refdenotaalpie"/>
          <w:rFonts w:ascii="Verdana" w:hAnsi="Verdana" w:cs="Times New Roman"/>
          <w:sz w:val="20"/>
          <w:szCs w:val="20"/>
        </w:rPr>
        <w:footnoteReference w:id="35"/>
      </w:r>
      <w:r w:rsidRPr="0039097A">
        <w:rPr>
          <w:rFonts w:ascii="Verdana" w:hAnsi="Verdana" w:cs="Times New Roman"/>
          <w:sz w:val="20"/>
          <w:szCs w:val="20"/>
        </w:rPr>
        <w:t>.</w:t>
      </w:r>
    </w:p>
    <w:p w14:paraId="3CA457A7"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07C36316" w14:textId="2A2936C9"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Según información presentada en el Informe de Fondo, en 2017 y 2018 la Suprema Corte de Justicia emitió sentencias declarando que es inconstitucional la imprescriptibilidad de crímenes de lesa humanidad cometidos durante la dictadura con razonamientos similares a los indicados en su decisión de 2013</w:t>
      </w:r>
      <w:r w:rsidRPr="0039097A">
        <w:rPr>
          <w:rStyle w:val="Refdenotaalpie"/>
          <w:rFonts w:ascii="Verdana" w:hAnsi="Verdana" w:cs="Times New Roman"/>
          <w:sz w:val="20"/>
          <w:szCs w:val="20"/>
        </w:rPr>
        <w:footnoteReference w:id="36"/>
      </w:r>
      <w:r w:rsidRPr="0039097A">
        <w:rPr>
          <w:rFonts w:ascii="Verdana" w:hAnsi="Verdana" w:cs="Times New Roman"/>
          <w:sz w:val="20"/>
          <w:szCs w:val="20"/>
        </w:rPr>
        <w:t xml:space="preserve">. </w:t>
      </w:r>
    </w:p>
    <w:p w14:paraId="6DBCE60E" w14:textId="77777777" w:rsidR="00FD0466" w:rsidRPr="0039097A" w:rsidRDefault="00FD0466" w:rsidP="005A5029">
      <w:pPr>
        <w:pStyle w:val="Prrafodelista"/>
        <w:spacing w:line="240" w:lineRule="exact"/>
        <w:rPr>
          <w:rFonts w:ascii="Verdana" w:hAnsi="Verdana" w:cs="Times New Roman"/>
          <w:sz w:val="20"/>
          <w:szCs w:val="20"/>
        </w:rPr>
      </w:pPr>
    </w:p>
    <w:p w14:paraId="02D2A798" w14:textId="066CA493"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El 25 de octubre de 2017 se aprobó la ley</w:t>
      </w:r>
      <w:r w:rsidR="00C72200">
        <w:rPr>
          <w:rFonts w:ascii="Verdana" w:hAnsi="Verdana" w:cs="Times New Roman"/>
          <w:sz w:val="20"/>
          <w:szCs w:val="20"/>
        </w:rPr>
        <w:t xml:space="preserve"> </w:t>
      </w:r>
      <w:r w:rsidRPr="0039097A">
        <w:rPr>
          <w:rFonts w:ascii="Verdana" w:hAnsi="Verdana" w:cs="Times New Roman"/>
          <w:sz w:val="20"/>
          <w:szCs w:val="20"/>
        </w:rPr>
        <w:t>19.550</w:t>
      </w:r>
      <w:r w:rsidR="00C72200">
        <w:rPr>
          <w:rFonts w:ascii="Verdana" w:hAnsi="Verdana" w:cs="Times New Roman"/>
          <w:sz w:val="20"/>
          <w:szCs w:val="20"/>
        </w:rPr>
        <w:t>,</w:t>
      </w:r>
      <w:r w:rsidRPr="0039097A">
        <w:rPr>
          <w:rFonts w:ascii="Verdana" w:hAnsi="Verdana" w:cs="Times New Roman"/>
          <w:sz w:val="20"/>
          <w:szCs w:val="20"/>
        </w:rPr>
        <w:t xml:space="preserve"> que faculta a la Fiscalía General de la Nación a la transformación de una Fiscalía Letrada Nacional en una Fiscalía Especializada en Crímenes de Lesa Humanidad</w:t>
      </w:r>
      <w:r w:rsidR="00CC0AF1">
        <w:rPr>
          <w:rFonts w:ascii="Verdana" w:hAnsi="Verdana" w:cs="Times New Roman"/>
          <w:sz w:val="20"/>
          <w:szCs w:val="20"/>
        </w:rPr>
        <w:t xml:space="preserve"> (en adelante también “Fiscalía Especializada” o, en referencia a su titular, “Fiscal Especializado”)</w:t>
      </w:r>
      <w:r>
        <w:rPr>
          <w:rStyle w:val="Refdenotaalpie"/>
          <w:rFonts w:ascii="Verdana" w:hAnsi="Verdana" w:cs="Times New Roman"/>
          <w:sz w:val="20"/>
          <w:szCs w:val="20"/>
        </w:rPr>
        <w:footnoteReference w:id="37"/>
      </w:r>
      <w:r w:rsidRPr="0039097A">
        <w:rPr>
          <w:rFonts w:ascii="Verdana" w:hAnsi="Verdana" w:cs="Times New Roman"/>
          <w:sz w:val="20"/>
          <w:szCs w:val="20"/>
        </w:rPr>
        <w:t xml:space="preserve">. </w:t>
      </w:r>
      <w:r w:rsidR="00CC0AF1">
        <w:rPr>
          <w:rFonts w:ascii="Verdana" w:hAnsi="Verdana" w:cs="Times New Roman"/>
          <w:sz w:val="20"/>
          <w:szCs w:val="20"/>
        </w:rPr>
        <w:t xml:space="preserve">Los representantes informaron que la misma </w:t>
      </w:r>
      <w:r w:rsidRPr="0039097A">
        <w:rPr>
          <w:rFonts w:ascii="Verdana" w:hAnsi="Verdana" w:cs="Times New Roman"/>
          <w:sz w:val="20"/>
          <w:szCs w:val="20"/>
        </w:rPr>
        <w:t>fue instalada efectivamente el 22 de febrero de 2018.</w:t>
      </w:r>
    </w:p>
    <w:p w14:paraId="6674131C" w14:textId="77777777" w:rsidR="00FD0466" w:rsidRPr="0039097A" w:rsidRDefault="00FD0466" w:rsidP="005A5029">
      <w:pPr>
        <w:pStyle w:val="Prrafodelista"/>
        <w:spacing w:line="240" w:lineRule="exact"/>
        <w:rPr>
          <w:rFonts w:ascii="Verdana" w:hAnsi="Verdana" w:cs="Times New Roman"/>
          <w:sz w:val="20"/>
          <w:szCs w:val="20"/>
        </w:rPr>
      </w:pPr>
    </w:p>
    <w:p w14:paraId="0E0E0F6A" w14:textId="10F24956" w:rsidR="00FD0466" w:rsidRPr="00F137AF"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b/>
          <w:sz w:val="20"/>
          <w:szCs w:val="20"/>
        </w:rPr>
      </w:pPr>
      <w:r w:rsidRPr="00F137AF">
        <w:rPr>
          <w:rFonts w:ascii="Verdana" w:hAnsi="Verdana" w:cs="Times New Roman"/>
          <w:sz w:val="20"/>
          <w:szCs w:val="20"/>
        </w:rPr>
        <w:t xml:space="preserve">El 30 de mayo de 2019 la Suprema Corte de Justicia desestimó un recurso de casación, </w:t>
      </w:r>
      <w:r>
        <w:rPr>
          <w:rFonts w:ascii="Verdana" w:hAnsi="Verdana" w:cs="Times New Roman"/>
          <w:sz w:val="20"/>
          <w:szCs w:val="20"/>
        </w:rPr>
        <w:t>res</w:t>
      </w:r>
      <w:r w:rsidRPr="00F137AF">
        <w:rPr>
          <w:rFonts w:ascii="Verdana" w:hAnsi="Verdana" w:cs="Times New Roman"/>
          <w:sz w:val="20"/>
          <w:szCs w:val="20"/>
        </w:rPr>
        <w:t>p</w:t>
      </w:r>
      <w:r>
        <w:rPr>
          <w:rFonts w:ascii="Verdana" w:hAnsi="Verdana" w:cs="Times New Roman"/>
          <w:sz w:val="20"/>
          <w:szCs w:val="20"/>
        </w:rPr>
        <w:t>e</w:t>
      </w:r>
      <w:r w:rsidRPr="00F137AF">
        <w:rPr>
          <w:rFonts w:ascii="Verdana" w:hAnsi="Verdana" w:cs="Times New Roman"/>
          <w:sz w:val="20"/>
          <w:szCs w:val="20"/>
        </w:rPr>
        <w:t>cto de un</w:t>
      </w:r>
      <w:r>
        <w:rPr>
          <w:rFonts w:ascii="Verdana" w:hAnsi="Verdana" w:cs="Times New Roman"/>
          <w:sz w:val="20"/>
          <w:szCs w:val="20"/>
        </w:rPr>
        <w:t xml:space="preserve"> </w:t>
      </w:r>
      <w:r w:rsidRPr="00F137AF">
        <w:rPr>
          <w:rFonts w:ascii="Verdana" w:hAnsi="Verdana" w:cs="Times New Roman"/>
          <w:sz w:val="20"/>
          <w:szCs w:val="20"/>
        </w:rPr>
        <w:t>“homicidio muy especialmente agravado”, “cometido durante la dictadura cívico militar”, por considerar que no corresponde computar el plazo de prescripción durante los periodos</w:t>
      </w:r>
      <w:r w:rsidRPr="00E53751">
        <w:rPr>
          <w:rFonts w:ascii="Verdana" w:hAnsi="Verdana" w:cs="Times New Roman"/>
          <w:sz w:val="20"/>
          <w:szCs w:val="20"/>
        </w:rPr>
        <w:t xml:space="preserve"> del régimen de facto y de vigencia de la Ley de Caducidad. Ello, no por considerar imprescriptible </w:t>
      </w:r>
      <w:r>
        <w:rPr>
          <w:rFonts w:ascii="Verdana" w:hAnsi="Verdana" w:cs="Times New Roman"/>
          <w:sz w:val="20"/>
          <w:szCs w:val="20"/>
        </w:rPr>
        <w:t>el delito</w:t>
      </w:r>
      <w:r w:rsidRPr="00E53751">
        <w:rPr>
          <w:rFonts w:ascii="Verdana" w:hAnsi="Verdana" w:cs="Times New Roman"/>
          <w:sz w:val="20"/>
          <w:szCs w:val="20"/>
        </w:rPr>
        <w:t xml:space="preserve">, sino por entender que el tiempo insumido durante dichos periodos no debía tenerse en cuenta a efectos de la prescripción, en tanto que </w:t>
      </w:r>
      <w:r w:rsidRPr="00F137AF">
        <w:rPr>
          <w:rFonts w:ascii="Verdana" w:hAnsi="Verdana" w:cs="Times New Roman"/>
          <w:sz w:val="20"/>
          <w:szCs w:val="20"/>
        </w:rPr>
        <w:t>durante el mismo no habían podido ejercerse las acciones legales respectivas</w:t>
      </w:r>
      <w:r w:rsidRPr="00F137AF">
        <w:rPr>
          <w:rStyle w:val="Refdenotaalpie"/>
          <w:rFonts w:ascii="Verdana" w:hAnsi="Verdana" w:cs="Times New Roman"/>
          <w:sz w:val="20"/>
          <w:szCs w:val="20"/>
        </w:rPr>
        <w:footnoteReference w:id="38"/>
      </w:r>
      <w:r w:rsidRPr="00F137AF">
        <w:rPr>
          <w:rFonts w:ascii="Verdana" w:hAnsi="Verdana" w:cs="Times New Roman"/>
          <w:sz w:val="20"/>
          <w:szCs w:val="20"/>
        </w:rPr>
        <w:t>. Conforme constató esta Corte Interamericana en noviembre de 2020</w:t>
      </w:r>
      <w:r w:rsidR="00335DF8">
        <w:rPr>
          <w:rFonts w:ascii="Verdana" w:hAnsi="Verdana" w:cs="Times New Roman"/>
          <w:sz w:val="20"/>
          <w:szCs w:val="20"/>
        </w:rPr>
        <w:t>,</w:t>
      </w:r>
      <w:r w:rsidRPr="00F137AF">
        <w:rPr>
          <w:rFonts w:ascii="Verdana" w:hAnsi="Verdana" w:cs="Times New Roman"/>
          <w:b/>
          <w:sz w:val="20"/>
          <w:szCs w:val="20"/>
        </w:rPr>
        <w:t xml:space="preserve"> </w:t>
      </w:r>
      <w:r w:rsidRPr="00F137AF">
        <w:rPr>
          <w:rFonts w:ascii="Verdana" w:hAnsi="Verdana"/>
          <w:sz w:val="20"/>
          <w:szCs w:val="20"/>
        </w:rPr>
        <w:t>“salvo algunas excepciones” que se presentaron entre 2014 y 2017 “se ha mantenido la interpretación realizada en la decisión emitida en febrero de 2013 por la Suprema Corte de Justicia, en cuanto a la inconstitucionalidad de los artículos 2 y 3 de la Ley No. 18.831, que se refieren a la imprescriptibilidad y carácter de crímenes de lesa humanidad de las violaciones ocurridas durante la dictadura”</w:t>
      </w:r>
      <w:r w:rsidRPr="00F137AF">
        <w:rPr>
          <w:rStyle w:val="Refdenotaalpie"/>
          <w:rFonts w:ascii="Verdana" w:hAnsi="Verdana"/>
          <w:sz w:val="20"/>
          <w:szCs w:val="20"/>
        </w:rPr>
        <w:footnoteReference w:id="39"/>
      </w:r>
      <w:r w:rsidRPr="00F137AF">
        <w:rPr>
          <w:rFonts w:ascii="Verdana" w:hAnsi="Verdana"/>
          <w:sz w:val="20"/>
          <w:szCs w:val="20"/>
        </w:rPr>
        <w:t>.</w:t>
      </w:r>
    </w:p>
    <w:p w14:paraId="39BAF230" w14:textId="08C3E01C" w:rsidR="005A5029" w:rsidRDefault="005A5029"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5D795A1A" w14:textId="27A8B125" w:rsidR="005A5029" w:rsidRDefault="005A5029"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0DA09FA0" w14:textId="30DCDCC7" w:rsidR="005A5029" w:rsidRDefault="005A5029"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240E8D32" w14:textId="77777777" w:rsidR="005A5029" w:rsidRPr="00F137AF" w:rsidRDefault="005A5029"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4F1FCE16" w14:textId="77777777" w:rsidR="00FD0466" w:rsidRPr="00F137AF" w:rsidRDefault="00FD0466" w:rsidP="005A5029">
      <w:pPr>
        <w:pStyle w:val="Prrafodelista"/>
        <w:numPr>
          <w:ilvl w:val="0"/>
          <w:numId w:val="4"/>
        </w:numPr>
        <w:autoSpaceDE w:val="0"/>
        <w:autoSpaceDN w:val="0"/>
        <w:adjustRightInd w:val="0"/>
        <w:spacing w:after="0" w:line="240" w:lineRule="exact"/>
        <w:ind w:left="284" w:firstLine="0"/>
        <w:jc w:val="both"/>
        <w:outlineLvl w:val="1"/>
        <w:rPr>
          <w:rFonts w:ascii="Verdana" w:hAnsi="Verdana" w:cs="Times New Roman"/>
          <w:b/>
          <w:i/>
          <w:sz w:val="20"/>
          <w:szCs w:val="20"/>
        </w:rPr>
      </w:pPr>
      <w:bookmarkStart w:id="19" w:name="_Toc85550393"/>
      <w:r w:rsidRPr="00F137AF">
        <w:rPr>
          <w:rFonts w:ascii="Verdana" w:hAnsi="Verdana" w:cs="Times New Roman"/>
          <w:b/>
          <w:i/>
          <w:sz w:val="20"/>
          <w:szCs w:val="20"/>
        </w:rPr>
        <w:lastRenderedPageBreak/>
        <w:t>Sobre las presuntas víctimas</w:t>
      </w:r>
      <w:bookmarkEnd w:id="19"/>
    </w:p>
    <w:p w14:paraId="61D9AEF7" w14:textId="5AEC3C1D" w:rsidR="00FF7751" w:rsidRPr="00CA1127" w:rsidRDefault="00FF7751" w:rsidP="005A5029">
      <w:pPr>
        <w:autoSpaceDE w:val="0"/>
        <w:autoSpaceDN w:val="0"/>
        <w:adjustRightInd w:val="0"/>
        <w:spacing w:after="0" w:line="240" w:lineRule="exact"/>
        <w:jc w:val="both"/>
        <w:rPr>
          <w:rFonts w:ascii="Verdana" w:hAnsi="Verdana" w:cs="Times New Roman"/>
          <w:sz w:val="20"/>
          <w:szCs w:val="20"/>
        </w:rPr>
      </w:pPr>
    </w:p>
    <w:p w14:paraId="2500F03F" w14:textId="13EC5EFE" w:rsidR="00FD0466" w:rsidRPr="00F137AF"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F137AF">
        <w:rPr>
          <w:rFonts w:ascii="Verdana" w:hAnsi="Verdana" w:cs="Times New Roman"/>
          <w:bCs/>
          <w:sz w:val="20"/>
          <w:szCs w:val="20"/>
        </w:rPr>
        <w:t xml:space="preserve">Diana </w:t>
      </w:r>
      <w:proofErr w:type="spellStart"/>
      <w:r w:rsidRPr="00F137AF">
        <w:rPr>
          <w:rFonts w:ascii="Verdana" w:hAnsi="Verdana" w:cs="Times New Roman"/>
          <w:bCs/>
          <w:sz w:val="20"/>
          <w:szCs w:val="20"/>
        </w:rPr>
        <w:t>Maidanik</w:t>
      </w:r>
      <w:proofErr w:type="spellEnd"/>
      <w:r w:rsidRPr="00F137AF">
        <w:rPr>
          <w:rFonts w:ascii="Verdana" w:hAnsi="Verdana" w:cs="Times New Roman"/>
          <w:bCs/>
          <w:sz w:val="20"/>
          <w:szCs w:val="20"/>
        </w:rPr>
        <w:t xml:space="preserve"> </w:t>
      </w:r>
      <w:proofErr w:type="spellStart"/>
      <w:r w:rsidRPr="00F137AF">
        <w:rPr>
          <w:rFonts w:ascii="Verdana" w:hAnsi="Verdana" w:cs="Times New Roman"/>
          <w:bCs/>
          <w:sz w:val="20"/>
          <w:szCs w:val="20"/>
        </w:rPr>
        <w:t>Potasnik</w:t>
      </w:r>
      <w:proofErr w:type="spellEnd"/>
      <w:r w:rsidRPr="00F137AF">
        <w:rPr>
          <w:rFonts w:ascii="Verdana" w:hAnsi="Verdana" w:cs="Times New Roman"/>
          <w:b/>
          <w:bCs/>
          <w:sz w:val="20"/>
          <w:szCs w:val="20"/>
        </w:rPr>
        <w:t xml:space="preserve"> </w:t>
      </w:r>
      <w:r w:rsidRPr="00F137AF">
        <w:rPr>
          <w:rFonts w:ascii="Verdana" w:hAnsi="Verdana" w:cs="Times New Roman"/>
          <w:sz w:val="20"/>
          <w:szCs w:val="20"/>
        </w:rPr>
        <w:t xml:space="preserve">tenía 21 años al momento de los hechos, era estudiante de psicología infantil, y </w:t>
      </w:r>
      <w:r w:rsidR="00FF7751">
        <w:rPr>
          <w:rFonts w:ascii="Verdana" w:hAnsi="Verdana" w:cs="Times New Roman"/>
          <w:sz w:val="20"/>
          <w:szCs w:val="20"/>
        </w:rPr>
        <w:t xml:space="preserve">son </w:t>
      </w:r>
      <w:r w:rsidRPr="00F137AF">
        <w:rPr>
          <w:rFonts w:ascii="Verdana" w:hAnsi="Verdana" w:cs="Times New Roman"/>
          <w:sz w:val="20"/>
          <w:szCs w:val="20"/>
        </w:rPr>
        <w:t xml:space="preserve">sus familiares </w:t>
      </w:r>
      <w:r w:rsidR="00FF7751">
        <w:rPr>
          <w:rFonts w:ascii="Verdana" w:hAnsi="Verdana" w:cs="Times New Roman"/>
          <w:sz w:val="20"/>
          <w:szCs w:val="20"/>
        </w:rPr>
        <w:t xml:space="preserve">su madre, Flora </w:t>
      </w:r>
      <w:proofErr w:type="spellStart"/>
      <w:r w:rsidR="00FF7751">
        <w:rPr>
          <w:rFonts w:ascii="Verdana" w:hAnsi="Verdana" w:cs="Times New Roman"/>
          <w:sz w:val="20"/>
          <w:szCs w:val="20"/>
        </w:rPr>
        <w:t>Potasnik</w:t>
      </w:r>
      <w:proofErr w:type="spellEnd"/>
      <w:r w:rsidR="00FF7751">
        <w:rPr>
          <w:rFonts w:ascii="Verdana" w:hAnsi="Verdana" w:cs="Times New Roman"/>
          <w:sz w:val="20"/>
          <w:szCs w:val="20"/>
        </w:rPr>
        <w:t>, y su prima,</w:t>
      </w:r>
      <w:r w:rsidRPr="00F137AF">
        <w:rPr>
          <w:rFonts w:ascii="Verdana" w:hAnsi="Verdana" w:cs="Times New Roman"/>
          <w:sz w:val="20"/>
          <w:szCs w:val="20"/>
        </w:rPr>
        <w:t xml:space="preserve"> Mónica Raquel </w:t>
      </w:r>
      <w:proofErr w:type="spellStart"/>
      <w:r w:rsidRPr="00F137AF">
        <w:rPr>
          <w:rFonts w:ascii="Verdana" w:hAnsi="Verdana" w:cs="Times New Roman"/>
          <w:sz w:val="20"/>
          <w:szCs w:val="20"/>
        </w:rPr>
        <w:t>Wodzislawski</w:t>
      </w:r>
      <w:proofErr w:type="spellEnd"/>
      <w:r w:rsidRPr="00F137AF">
        <w:rPr>
          <w:rStyle w:val="Refdenotaalpie"/>
          <w:rFonts w:ascii="Verdana" w:hAnsi="Verdana" w:cs="Times New Roman"/>
          <w:sz w:val="20"/>
          <w:szCs w:val="20"/>
        </w:rPr>
        <w:footnoteReference w:id="40"/>
      </w:r>
      <w:r w:rsidRPr="00F137AF">
        <w:rPr>
          <w:rFonts w:ascii="Verdana" w:hAnsi="Verdana" w:cs="Times New Roman"/>
          <w:sz w:val="20"/>
          <w:szCs w:val="20"/>
        </w:rPr>
        <w:t xml:space="preserve">. </w:t>
      </w:r>
    </w:p>
    <w:p w14:paraId="300D769B" w14:textId="77777777" w:rsidR="00FD0466" w:rsidRPr="00F137AF"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0F8BEA5C" w14:textId="6E04FA15" w:rsidR="00FD0466" w:rsidRPr="00F137AF"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F137AF">
        <w:rPr>
          <w:rFonts w:ascii="Verdana" w:hAnsi="Verdana" w:cs="Times New Roman"/>
          <w:sz w:val="20"/>
          <w:szCs w:val="20"/>
        </w:rPr>
        <w:t xml:space="preserve">Laura Raggio </w:t>
      </w:r>
      <w:proofErr w:type="spellStart"/>
      <w:r w:rsidRPr="00F137AF">
        <w:rPr>
          <w:rFonts w:ascii="Verdana" w:hAnsi="Verdana" w:cs="Times New Roman"/>
          <w:sz w:val="20"/>
          <w:szCs w:val="20"/>
        </w:rPr>
        <w:t>Odizzio</w:t>
      </w:r>
      <w:proofErr w:type="spellEnd"/>
      <w:r w:rsidRPr="00F137AF">
        <w:rPr>
          <w:rFonts w:ascii="Verdana" w:hAnsi="Verdana" w:cs="Times New Roman"/>
          <w:sz w:val="20"/>
          <w:szCs w:val="20"/>
        </w:rPr>
        <w:t xml:space="preserve"> tenía 19 años al momento de los hechos, era estudiante, y sus familiares son su madre Marta </w:t>
      </w:r>
      <w:proofErr w:type="spellStart"/>
      <w:r w:rsidRPr="00F137AF">
        <w:rPr>
          <w:rFonts w:ascii="Verdana" w:hAnsi="Verdana" w:cs="Times New Roman"/>
          <w:sz w:val="20"/>
          <w:szCs w:val="20"/>
        </w:rPr>
        <w:t>Odizzio</w:t>
      </w:r>
      <w:proofErr w:type="spellEnd"/>
      <w:r w:rsidRPr="00F137AF">
        <w:rPr>
          <w:rFonts w:ascii="Verdana" w:hAnsi="Verdana" w:cs="Times New Roman"/>
          <w:sz w:val="20"/>
          <w:szCs w:val="20"/>
        </w:rPr>
        <w:t xml:space="preserve"> de Raggio y sus hermanos Horado Enrique Raggio </w:t>
      </w:r>
      <w:proofErr w:type="spellStart"/>
      <w:r w:rsidRPr="00F137AF">
        <w:rPr>
          <w:rFonts w:ascii="Verdana" w:hAnsi="Verdana" w:cs="Times New Roman"/>
          <w:sz w:val="20"/>
          <w:szCs w:val="20"/>
        </w:rPr>
        <w:t>Odizzio</w:t>
      </w:r>
      <w:proofErr w:type="spellEnd"/>
      <w:r w:rsidRPr="00F137AF">
        <w:rPr>
          <w:rFonts w:ascii="Verdana" w:hAnsi="Verdana" w:cs="Times New Roman"/>
          <w:sz w:val="20"/>
          <w:szCs w:val="20"/>
        </w:rPr>
        <w:t xml:space="preserve"> y Daniel Raggio </w:t>
      </w:r>
      <w:proofErr w:type="spellStart"/>
      <w:r w:rsidRPr="00F137AF">
        <w:rPr>
          <w:rFonts w:ascii="Verdana" w:hAnsi="Verdana" w:cs="Times New Roman"/>
          <w:sz w:val="20"/>
          <w:szCs w:val="20"/>
        </w:rPr>
        <w:t>Odizzio</w:t>
      </w:r>
      <w:proofErr w:type="spellEnd"/>
      <w:r w:rsidRPr="00F137AF">
        <w:rPr>
          <w:rStyle w:val="Refdenotaalpie"/>
          <w:rFonts w:ascii="Verdana" w:hAnsi="Verdana" w:cs="Times New Roman"/>
          <w:sz w:val="20"/>
          <w:szCs w:val="20"/>
        </w:rPr>
        <w:footnoteReference w:id="41"/>
      </w:r>
      <w:r w:rsidRPr="00F137AF">
        <w:rPr>
          <w:rFonts w:ascii="Verdana" w:hAnsi="Verdana" w:cs="Times New Roman"/>
          <w:sz w:val="20"/>
          <w:szCs w:val="20"/>
        </w:rPr>
        <w:t xml:space="preserve">. </w:t>
      </w:r>
    </w:p>
    <w:p w14:paraId="05AA7AEE"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783AB614" w14:textId="1F0F997C"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Silvia Reyes de Barrios tenía 21 años al momento de los hechos y se encontraba en el tercer trimestre de su embarazo. </w:t>
      </w:r>
      <w:r w:rsidR="00FA54C8">
        <w:rPr>
          <w:rFonts w:ascii="Verdana" w:hAnsi="Verdana" w:cs="Times New Roman"/>
          <w:sz w:val="20"/>
          <w:szCs w:val="20"/>
        </w:rPr>
        <w:t>S</w:t>
      </w:r>
      <w:r w:rsidR="00FA54C8" w:rsidRPr="0039097A">
        <w:rPr>
          <w:rFonts w:ascii="Verdana" w:hAnsi="Verdana" w:cs="Times New Roman"/>
          <w:sz w:val="20"/>
          <w:szCs w:val="20"/>
        </w:rPr>
        <w:t>us padres</w:t>
      </w:r>
      <w:r w:rsidR="00FA54C8">
        <w:rPr>
          <w:rFonts w:ascii="Verdana" w:hAnsi="Verdana" w:cs="Times New Roman"/>
          <w:sz w:val="20"/>
          <w:szCs w:val="20"/>
        </w:rPr>
        <w:t xml:space="preserve"> son</w:t>
      </w:r>
      <w:r w:rsidR="00FA54C8" w:rsidRPr="0039097A">
        <w:rPr>
          <w:rFonts w:ascii="Verdana" w:hAnsi="Verdana" w:cs="Times New Roman"/>
          <w:sz w:val="20"/>
          <w:szCs w:val="20"/>
        </w:rPr>
        <w:t xml:space="preserve"> Arturo Ricardo Reyes</w:t>
      </w:r>
      <w:r w:rsidR="002965C5">
        <w:rPr>
          <w:rFonts w:ascii="Verdana" w:hAnsi="Verdana" w:cs="Times New Roman"/>
          <w:sz w:val="20"/>
          <w:szCs w:val="20"/>
        </w:rPr>
        <w:t xml:space="preserve"> </w:t>
      </w:r>
      <w:proofErr w:type="spellStart"/>
      <w:r w:rsidR="002965C5">
        <w:rPr>
          <w:rFonts w:ascii="Verdana" w:hAnsi="Verdana" w:cs="Times New Roman"/>
          <w:sz w:val="20"/>
          <w:szCs w:val="20"/>
        </w:rPr>
        <w:t>Gaetá</w:t>
      </w:r>
      <w:r w:rsidR="00FA54C8">
        <w:rPr>
          <w:rFonts w:ascii="Verdana" w:hAnsi="Verdana" w:cs="Times New Roman"/>
          <w:sz w:val="20"/>
          <w:szCs w:val="20"/>
        </w:rPr>
        <w:t>n</w:t>
      </w:r>
      <w:proofErr w:type="spellEnd"/>
      <w:r w:rsidR="00FA54C8" w:rsidRPr="0039097A">
        <w:rPr>
          <w:rFonts w:ascii="Verdana" w:hAnsi="Verdana" w:cs="Times New Roman"/>
          <w:sz w:val="20"/>
          <w:szCs w:val="20"/>
        </w:rPr>
        <w:t xml:space="preserve"> y Celia </w:t>
      </w:r>
      <w:r w:rsidR="00FA54C8">
        <w:rPr>
          <w:rFonts w:ascii="Verdana" w:hAnsi="Verdana" w:cs="Times New Roman"/>
          <w:sz w:val="20"/>
          <w:szCs w:val="20"/>
        </w:rPr>
        <w:t xml:space="preserve">Natividad </w:t>
      </w:r>
      <w:proofErr w:type="spellStart"/>
      <w:r w:rsidR="00FA54C8" w:rsidRPr="0039097A">
        <w:rPr>
          <w:rFonts w:ascii="Verdana" w:hAnsi="Verdana" w:cs="Times New Roman"/>
          <w:sz w:val="20"/>
          <w:szCs w:val="20"/>
        </w:rPr>
        <w:t>Sedarri</w:t>
      </w:r>
      <w:proofErr w:type="spellEnd"/>
      <w:r w:rsidR="00FA54C8">
        <w:rPr>
          <w:rFonts w:ascii="Verdana" w:hAnsi="Verdana" w:cs="Times New Roman"/>
          <w:sz w:val="20"/>
          <w:szCs w:val="20"/>
        </w:rPr>
        <w:t xml:space="preserve"> Aparicio, y Estela Reyes es su hermana.</w:t>
      </w:r>
      <w:r w:rsidR="00FA54C8" w:rsidRPr="0039097A">
        <w:rPr>
          <w:rFonts w:ascii="Verdana" w:hAnsi="Verdana" w:cs="Times New Roman"/>
          <w:sz w:val="20"/>
          <w:szCs w:val="20"/>
        </w:rPr>
        <w:t xml:space="preserve"> </w:t>
      </w:r>
      <w:r w:rsidR="00FA54C8">
        <w:rPr>
          <w:rFonts w:ascii="Verdana" w:hAnsi="Verdana" w:cs="Times New Roman"/>
          <w:sz w:val="20"/>
          <w:szCs w:val="20"/>
        </w:rPr>
        <w:t>Silvia Reyes e</w:t>
      </w:r>
      <w:r w:rsidRPr="0039097A">
        <w:rPr>
          <w:rFonts w:ascii="Verdana" w:hAnsi="Verdana" w:cs="Times New Roman"/>
          <w:sz w:val="20"/>
          <w:szCs w:val="20"/>
        </w:rPr>
        <w:t xml:space="preserve">staba casada con Washington </w:t>
      </w:r>
      <w:r w:rsidR="00FF7751">
        <w:rPr>
          <w:rFonts w:ascii="Verdana" w:hAnsi="Verdana" w:cs="Times New Roman"/>
          <w:sz w:val="20"/>
          <w:szCs w:val="20"/>
        </w:rPr>
        <w:t xml:space="preserve">Javier </w:t>
      </w:r>
      <w:r w:rsidRPr="0039097A">
        <w:rPr>
          <w:rFonts w:ascii="Verdana" w:hAnsi="Verdana" w:cs="Times New Roman"/>
          <w:sz w:val="20"/>
          <w:szCs w:val="20"/>
        </w:rPr>
        <w:t>Barrios</w:t>
      </w:r>
      <w:r w:rsidR="00FF7751">
        <w:rPr>
          <w:rFonts w:ascii="Verdana" w:hAnsi="Verdana" w:cs="Times New Roman"/>
          <w:sz w:val="20"/>
          <w:szCs w:val="20"/>
        </w:rPr>
        <w:t xml:space="preserve"> Fernández</w:t>
      </w:r>
      <w:r w:rsidRPr="0039097A">
        <w:rPr>
          <w:rFonts w:ascii="Verdana" w:hAnsi="Verdana" w:cs="Times New Roman"/>
          <w:sz w:val="20"/>
          <w:szCs w:val="20"/>
        </w:rPr>
        <w:t xml:space="preserve"> y tenía </w:t>
      </w:r>
      <w:r w:rsidRPr="00B46CFF">
        <w:rPr>
          <w:rFonts w:ascii="Verdana" w:hAnsi="Verdana" w:cs="Times New Roman"/>
          <w:sz w:val="20"/>
          <w:szCs w:val="20"/>
        </w:rPr>
        <w:t>una relación cercana con sus suegros</w:t>
      </w:r>
      <w:r w:rsidR="00FA54C8">
        <w:rPr>
          <w:rFonts w:ascii="Verdana" w:hAnsi="Verdana" w:cs="Times New Roman"/>
          <w:sz w:val="20"/>
          <w:szCs w:val="20"/>
        </w:rPr>
        <w:t xml:space="preserve"> (los de ella),</w:t>
      </w:r>
      <w:r w:rsidR="00E3178B">
        <w:rPr>
          <w:rFonts w:ascii="Verdana" w:hAnsi="Verdana" w:cs="Times New Roman"/>
          <w:sz w:val="20"/>
          <w:szCs w:val="20"/>
        </w:rPr>
        <w:t xml:space="preserve"> Washington Barrios e Hilda </w:t>
      </w:r>
      <w:r w:rsidRPr="0039097A">
        <w:rPr>
          <w:rFonts w:ascii="Verdana" w:hAnsi="Verdana" w:cs="Times New Roman"/>
          <w:sz w:val="20"/>
          <w:szCs w:val="20"/>
        </w:rPr>
        <w:t xml:space="preserve">María Fernández Rodríguez, </w:t>
      </w:r>
      <w:r w:rsidR="00FA54C8">
        <w:rPr>
          <w:rFonts w:ascii="Verdana" w:hAnsi="Verdana" w:cs="Times New Roman"/>
          <w:sz w:val="20"/>
          <w:szCs w:val="20"/>
        </w:rPr>
        <w:t xml:space="preserve">así como </w:t>
      </w:r>
      <w:r w:rsidRPr="0039097A">
        <w:rPr>
          <w:rFonts w:ascii="Verdana" w:hAnsi="Verdana" w:cs="Times New Roman"/>
          <w:sz w:val="20"/>
          <w:szCs w:val="20"/>
        </w:rPr>
        <w:t>con su cuñada Jaqueline Barrios</w:t>
      </w:r>
      <w:r w:rsidRPr="0039097A">
        <w:rPr>
          <w:rStyle w:val="Refdenotaalpie"/>
          <w:rFonts w:ascii="Verdana" w:hAnsi="Verdana" w:cs="Times New Roman"/>
          <w:sz w:val="20"/>
          <w:szCs w:val="20"/>
        </w:rPr>
        <w:footnoteReference w:id="42"/>
      </w:r>
      <w:r w:rsidRPr="0039097A">
        <w:rPr>
          <w:rFonts w:ascii="Verdana" w:hAnsi="Verdana" w:cs="Times New Roman"/>
          <w:sz w:val="20"/>
          <w:szCs w:val="20"/>
        </w:rPr>
        <w:t>.</w:t>
      </w:r>
    </w:p>
    <w:p w14:paraId="7F681140"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566ACB58" w14:textId="75BA9723"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Luis Eduardo González </w:t>
      </w:r>
      <w:proofErr w:type="spellStart"/>
      <w:r w:rsidRPr="0039097A">
        <w:rPr>
          <w:rFonts w:ascii="Verdana" w:hAnsi="Verdana" w:cs="Times New Roman"/>
          <w:sz w:val="20"/>
          <w:szCs w:val="20"/>
        </w:rPr>
        <w:t>González</w:t>
      </w:r>
      <w:proofErr w:type="spellEnd"/>
      <w:r w:rsidRPr="0039097A">
        <w:rPr>
          <w:rFonts w:ascii="Verdana" w:hAnsi="Verdana" w:cs="Times New Roman"/>
          <w:sz w:val="20"/>
          <w:szCs w:val="20"/>
        </w:rPr>
        <w:t>, al momento de los hechos tenía 22 años, estaba casado, era estudiante de medicina, obrero y miembro del Partido Comunista y Revolucionario del Uruguay, su madre es Amalia González de González y su esposa es Elena Zaffaroni Rocco, quien estaba embarazada al momento de los hechos. Su hijo nació en abril de 1975</w:t>
      </w:r>
      <w:r w:rsidRPr="0039097A">
        <w:rPr>
          <w:rStyle w:val="Refdenotaalpie"/>
          <w:rFonts w:ascii="Verdana" w:hAnsi="Verdana" w:cs="Times New Roman"/>
          <w:sz w:val="20"/>
          <w:szCs w:val="20"/>
        </w:rPr>
        <w:footnoteReference w:id="43"/>
      </w:r>
      <w:r w:rsidRPr="0039097A">
        <w:rPr>
          <w:rFonts w:ascii="Verdana" w:hAnsi="Verdana" w:cs="Times New Roman"/>
          <w:sz w:val="20"/>
          <w:szCs w:val="20"/>
        </w:rPr>
        <w:t>.</w:t>
      </w:r>
    </w:p>
    <w:p w14:paraId="5A07DBFD" w14:textId="77777777" w:rsidR="00FD0466" w:rsidRPr="0039097A" w:rsidRDefault="00FD0466" w:rsidP="005A5029">
      <w:pPr>
        <w:pStyle w:val="Prrafodelista"/>
        <w:spacing w:line="240" w:lineRule="exact"/>
        <w:rPr>
          <w:rFonts w:ascii="Verdana" w:hAnsi="Verdana" w:cs="Times New Roman"/>
          <w:sz w:val="20"/>
          <w:szCs w:val="20"/>
        </w:rPr>
      </w:pPr>
    </w:p>
    <w:p w14:paraId="7A8F5DC3" w14:textId="26837F14"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w:t>
      </w:r>
      <w:proofErr w:type="spellStart"/>
      <w:r w:rsidRPr="0039097A">
        <w:rPr>
          <w:rFonts w:ascii="Verdana" w:hAnsi="Verdana" w:cs="Times New Roman"/>
          <w:sz w:val="20"/>
          <w:szCs w:val="20"/>
        </w:rPr>
        <w:t>Asteazu</w:t>
      </w:r>
      <w:proofErr w:type="spellEnd"/>
      <w:r w:rsidRPr="0039097A">
        <w:rPr>
          <w:rFonts w:ascii="Verdana" w:hAnsi="Verdana" w:cs="Times New Roman"/>
          <w:sz w:val="20"/>
          <w:szCs w:val="20"/>
        </w:rPr>
        <w:t xml:space="preserve"> tenía 40 años al momento de los hechos</w:t>
      </w:r>
      <w:r w:rsidR="00B718AC">
        <w:rPr>
          <w:rFonts w:ascii="Verdana" w:hAnsi="Verdana" w:cs="Times New Roman"/>
          <w:sz w:val="20"/>
          <w:szCs w:val="20"/>
        </w:rPr>
        <w:t>.</w:t>
      </w:r>
      <w:r w:rsidRPr="0039097A">
        <w:rPr>
          <w:rFonts w:ascii="Verdana" w:hAnsi="Verdana" w:cs="Times New Roman"/>
          <w:sz w:val="20"/>
          <w:szCs w:val="20"/>
        </w:rPr>
        <w:t xml:space="preserve"> y era dirigente sindical de la Agrupación de la Administración de las Usinas y Teléfonos del Estado (AUTE) y militante activo del Partido Comunista del Uruguay. </w:t>
      </w:r>
      <w:r w:rsidR="00B718AC">
        <w:rPr>
          <w:rFonts w:ascii="Verdana" w:hAnsi="Verdana" w:cs="Times New Roman"/>
          <w:sz w:val="20"/>
          <w:szCs w:val="20"/>
        </w:rPr>
        <w:t>E</w:t>
      </w:r>
      <w:r w:rsidR="00B718AC" w:rsidRPr="0039097A">
        <w:rPr>
          <w:rFonts w:ascii="Verdana" w:hAnsi="Verdana" w:cs="Times New Roman"/>
          <w:sz w:val="20"/>
          <w:szCs w:val="20"/>
        </w:rPr>
        <w:t xml:space="preserve">staba casado con </w:t>
      </w:r>
      <w:proofErr w:type="spellStart"/>
      <w:r w:rsidR="00B718AC" w:rsidRPr="0039097A">
        <w:rPr>
          <w:rFonts w:ascii="Verdana" w:hAnsi="Verdana" w:cs="Times New Roman"/>
          <w:sz w:val="20"/>
          <w:szCs w:val="20"/>
        </w:rPr>
        <w:t>Disnarda</w:t>
      </w:r>
      <w:proofErr w:type="spellEnd"/>
      <w:r w:rsidR="00B718AC" w:rsidRPr="0039097A">
        <w:rPr>
          <w:rFonts w:ascii="Verdana" w:hAnsi="Verdana" w:cs="Times New Roman"/>
          <w:sz w:val="20"/>
          <w:szCs w:val="20"/>
        </w:rPr>
        <w:t xml:space="preserve"> </w:t>
      </w:r>
      <w:r w:rsidR="00B718AC">
        <w:rPr>
          <w:rFonts w:ascii="Verdana" w:hAnsi="Verdana" w:cs="Times New Roman"/>
          <w:sz w:val="20"/>
          <w:szCs w:val="20"/>
        </w:rPr>
        <w:t xml:space="preserve">Ema </w:t>
      </w:r>
      <w:r w:rsidR="00B718AC" w:rsidRPr="0039097A">
        <w:rPr>
          <w:rFonts w:ascii="Verdana" w:hAnsi="Verdana" w:cs="Times New Roman"/>
          <w:sz w:val="20"/>
          <w:szCs w:val="20"/>
        </w:rPr>
        <w:t>Flores</w:t>
      </w:r>
      <w:r w:rsidR="00B718AC">
        <w:rPr>
          <w:rFonts w:ascii="Verdana" w:hAnsi="Verdana" w:cs="Times New Roman"/>
          <w:sz w:val="20"/>
          <w:szCs w:val="20"/>
        </w:rPr>
        <w:t xml:space="preserve"> Soler</w:t>
      </w:r>
      <w:r w:rsidR="00B718AC" w:rsidRPr="0039097A">
        <w:rPr>
          <w:rFonts w:ascii="Verdana" w:hAnsi="Verdana" w:cs="Times New Roman"/>
          <w:sz w:val="20"/>
          <w:szCs w:val="20"/>
        </w:rPr>
        <w:t xml:space="preserve"> de </w:t>
      </w:r>
      <w:proofErr w:type="spellStart"/>
      <w:r w:rsidR="00B718AC" w:rsidRPr="0039097A">
        <w:rPr>
          <w:rFonts w:ascii="Verdana" w:hAnsi="Verdana" w:cs="Times New Roman"/>
          <w:sz w:val="20"/>
          <w:szCs w:val="20"/>
        </w:rPr>
        <w:t>Tassino</w:t>
      </w:r>
      <w:proofErr w:type="spellEnd"/>
      <w:r w:rsidR="00B718AC">
        <w:rPr>
          <w:rFonts w:ascii="Verdana" w:hAnsi="Verdana" w:cs="Times New Roman"/>
          <w:sz w:val="20"/>
          <w:szCs w:val="20"/>
        </w:rPr>
        <w:t>.</w:t>
      </w:r>
      <w:r w:rsidR="00B718AC" w:rsidRPr="00B718AC">
        <w:rPr>
          <w:rFonts w:ascii="Verdana" w:hAnsi="Verdana" w:cs="Times New Roman"/>
          <w:sz w:val="20"/>
          <w:szCs w:val="20"/>
        </w:rPr>
        <w:t xml:space="preserve"> </w:t>
      </w:r>
      <w:r w:rsidRPr="0039097A">
        <w:rPr>
          <w:rFonts w:ascii="Verdana" w:hAnsi="Verdana" w:cs="Times New Roman"/>
          <w:sz w:val="20"/>
          <w:szCs w:val="20"/>
        </w:rPr>
        <w:t xml:space="preserve">Era padre de Karina Teresa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y hermano de Javier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y Álvaro Luis </w:t>
      </w:r>
      <w:proofErr w:type="spellStart"/>
      <w:r w:rsidRPr="0039097A">
        <w:rPr>
          <w:rFonts w:ascii="Verdana" w:hAnsi="Verdana" w:cs="Times New Roman"/>
          <w:sz w:val="20"/>
          <w:szCs w:val="20"/>
        </w:rPr>
        <w:t>Tassino</w:t>
      </w:r>
      <w:proofErr w:type="spellEnd"/>
      <w:r w:rsidRPr="0039097A">
        <w:rPr>
          <w:rStyle w:val="Refdenotaalpie"/>
          <w:rFonts w:ascii="Verdana" w:hAnsi="Verdana" w:cs="Times New Roman"/>
          <w:sz w:val="20"/>
          <w:szCs w:val="20"/>
        </w:rPr>
        <w:footnoteReference w:id="44"/>
      </w:r>
      <w:r w:rsidRPr="0039097A">
        <w:rPr>
          <w:rFonts w:ascii="Verdana" w:hAnsi="Verdana" w:cs="Times New Roman"/>
          <w:sz w:val="20"/>
          <w:szCs w:val="20"/>
        </w:rPr>
        <w:t>.</w:t>
      </w:r>
    </w:p>
    <w:p w14:paraId="690CEE69"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302313A1" w14:textId="77777777" w:rsidR="00FD0466" w:rsidRPr="0039097A" w:rsidRDefault="00FD0466" w:rsidP="005A5029">
      <w:pPr>
        <w:pStyle w:val="Prrafodelista"/>
        <w:numPr>
          <w:ilvl w:val="0"/>
          <w:numId w:val="4"/>
        </w:numPr>
        <w:autoSpaceDE w:val="0"/>
        <w:autoSpaceDN w:val="0"/>
        <w:adjustRightInd w:val="0"/>
        <w:spacing w:after="0" w:line="240" w:lineRule="exact"/>
        <w:ind w:left="284" w:firstLine="0"/>
        <w:jc w:val="both"/>
        <w:outlineLvl w:val="1"/>
        <w:rPr>
          <w:rFonts w:ascii="Verdana" w:hAnsi="Verdana" w:cs="Times New Roman"/>
          <w:b/>
          <w:i/>
          <w:sz w:val="20"/>
          <w:szCs w:val="20"/>
        </w:rPr>
      </w:pPr>
      <w:bookmarkStart w:id="20" w:name="_Toc85550394"/>
      <w:r w:rsidRPr="0039097A">
        <w:rPr>
          <w:rFonts w:ascii="Verdana" w:hAnsi="Verdana" w:cs="Times New Roman"/>
          <w:b/>
          <w:i/>
          <w:sz w:val="20"/>
          <w:szCs w:val="20"/>
        </w:rPr>
        <w:t>Antecedentes y hechos del caso</w:t>
      </w:r>
      <w:bookmarkEnd w:id="20"/>
      <w:r w:rsidRPr="0039097A">
        <w:rPr>
          <w:rFonts w:ascii="Verdana" w:hAnsi="Verdana" w:cs="Times New Roman"/>
          <w:b/>
          <w:i/>
          <w:sz w:val="20"/>
          <w:szCs w:val="20"/>
        </w:rPr>
        <w:t xml:space="preserve"> </w:t>
      </w:r>
    </w:p>
    <w:p w14:paraId="4CB4C707" w14:textId="77777777" w:rsidR="00FD0466" w:rsidRPr="0039097A" w:rsidRDefault="00FD0466" w:rsidP="005A5029">
      <w:pPr>
        <w:pStyle w:val="Prrafodelista"/>
        <w:autoSpaceDE w:val="0"/>
        <w:autoSpaceDN w:val="0"/>
        <w:adjustRightInd w:val="0"/>
        <w:spacing w:after="0" w:line="240" w:lineRule="exact"/>
        <w:jc w:val="both"/>
        <w:rPr>
          <w:rFonts w:ascii="Verdana" w:hAnsi="Verdana" w:cs="Times New Roman"/>
          <w:b/>
          <w:i/>
          <w:sz w:val="20"/>
          <w:szCs w:val="20"/>
        </w:rPr>
      </w:pPr>
    </w:p>
    <w:p w14:paraId="4E443295" w14:textId="77777777" w:rsidR="00FD0466" w:rsidRPr="0039097A" w:rsidRDefault="00FD0466" w:rsidP="005A5029">
      <w:pPr>
        <w:pStyle w:val="Prrafodelista"/>
        <w:autoSpaceDE w:val="0"/>
        <w:autoSpaceDN w:val="0"/>
        <w:adjustRightInd w:val="0"/>
        <w:spacing w:after="0" w:line="240" w:lineRule="exact"/>
        <w:ind w:left="567"/>
        <w:jc w:val="both"/>
        <w:outlineLvl w:val="2"/>
        <w:rPr>
          <w:rFonts w:ascii="Verdana" w:hAnsi="Verdana" w:cs="Times New Roman"/>
          <w:i/>
          <w:sz w:val="20"/>
          <w:szCs w:val="20"/>
          <w:u w:val="single"/>
        </w:rPr>
      </w:pPr>
      <w:bookmarkStart w:id="21" w:name="_Toc85550395"/>
      <w:r w:rsidRPr="0039097A">
        <w:rPr>
          <w:rFonts w:ascii="Verdana" w:hAnsi="Verdana" w:cs="Times New Roman"/>
          <w:i/>
          <w:sz w:val="20"/>
          <w:szCs w:val="20"/>
        </w:rPr>
        <w:t xml:space="preserve">C.1 </w:t>
      </w:r>
      <w:r w:rsidRPr="0039097A">
        <w:rPr>
          <w:rFonts w:ascii="Verdana" w:hAnsi="Verdana" w:cs="Times New Roman"/>
          <w:i/>
          <w:sz w:val="20"/>
          <w:szCs w:val="20"/>
          <w:u w:val="single"/>
        </w:rPr>
        <w:t xml:space="preserve">Los hechos relacionados con Laura Raggio, Silvia Reyes y Diana </w:t>
      </w:r>
      <w:proofErr w:type="spellStart"/>
      <w:r w:rsidRPr="0039097A">
        <w:rPr>
          <w:rFonts w:ascii="Verdana" w:hAnsi="Verdana" w:cs="Times New Roman"/>
          <w:i/>
          <w:sz w:val="20"/>
          <w:szCs w:val="20"/>
          <w:u w:val="single"/>
        </w:rPr>
        <w:t>Maidanik</w:t>
      </w:r>
      <w:proofErr w:type="spellEnd"/>
      <w:r w:rsidRPr="0039097A">
        <w:rPr>
          <w:rFonts w:ascii="Verdana" w:hAnsi="Verdana" w:cs="Times New Roman"/>
          <w:i/>
          <w:sz w:val="20"/>
          <w:szCs w:val="20"/>
          <w:u w:val="single"/>
        </w:rPr>
        <w:t xml:space="preserve"> y la investigación de </w:t>
      </w:r>
      <w:proofErr w:type="gramStart"/>
      <w:r w:rsidRPr="0039097A">
        <w:rPr>
          <w:rFonts w:ascii="Verdana" w:hAnsi="Verdana" w:cs="Times New Roman"/>
          <w:i/>
          <w:sz w:val="20"/>
          <w:szCs w:val="20"/>
          <w:u w:val="single"/>
        </w:rPr>
        <w:t>los mismos</w:t>
      </w:r>
      <w:bookmarkEnd w:id="21"/>
      <w:proofErr w:type="gramEnd"/>
      <w:r w:rsidRPr="0039097A">
        <w:rPr>
          <w:rFonts w:ascii="Verdana" w:hAnsi="Verdana" w:cs="Times New Roman"/>
          <w:i/>
          <w:sz w:val="20"/>
          <w:szCs w:val="20"/>
          <w:u w:val="single"/>
        </w:rPr>
        <w:t xml:space="preserve"> </w:t>
      </w:r>
    </w:p>
    <w:p w14:paraId="29554C35"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48594B12" w14:textId="582241FF" w:rsidR="00FD0466" w:rsidRPr="0039097A"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La Corte hace notar que los hechos anteriores a</w:t>
      </w:r>
      <w:r w:rsidR="00A12221">
        <w:rPr>
          <w:rFonts w:ascii="Verdana" w:hAnsi="Verdana" w:cs="Times New Roman"/>
          <w:sz w:val="20"/>
          <w:szCs w:val="20"/>
        </w:rPr>
        <w:t xml:space="preserve">l </w:t>
      </w:r>
      <w:r w:rsidRPr="0039097A">
        <w:rPr>
          <w:rFonts w:ascii="Verdana" w:hAnsi="Verdana" w:cs="Cambria"/>
          <w:sz w:val="20"/>
          <w:szCs w:val="20"/>
        </w:rPr>
        <w:t xml:space="preserve">19 de abril de 1985, fecha de aceptación de la competencia contenciosa de la Corte Interamericana por parte del Estado de Uruguay, relativos a Diana </w:t>
      </w:r>
      <w:proofErr w:type="spellStart"/>
      <w:r w:rsidRPr="0039097A">
        <w:rPr>
          <w:rFonts w:ascii="Verdana" w:hAnsi="Verdana" w:cs="Cambria"/>
          <w:sz w:val="20"/>
          <w:szCs w:val="20"/>
        </w:rPr>
        <w:t>Maidanik</w:t>
      </w:r>
      <w:proofErr w:type="spellEnd"/>
      <w:r w:rsidRPr="0039097A">
        <w:rPr>
          <w:rFonts w:ascii="Verdana" w:hAnsi="Verdana" w:cs="Cambria"/>
          <w:sz w:val="20"/>
          <w:szCs w:val="20"/>
        </w:rPr>
        <w:t>, Sil</w:t>
      </w:r>
      <w:r w:rsidR="00487D11">
        <w:rPr>
          <w:rFonts w:ascii="Verdana" w:hAnsi="Verdana" w:cs="Cambria"/>
          <w:sz w:val="20"/>
          <w:szCs w:val="20"/>
        </w:rPr>
        <w:t>v</w:t>
      </w:r>
      <w:r w:rsidRPr="0039097A">
        <w:rPr>
          <w:rFonts w:ascii="Verdana" w:hAnsi="Verdana" w:cs="Cambria"/>
          <w:sz w:val="20"/>
          <w:szCs w:val="20"/>
        </w:rPr>
        <w:t xml:space="preserve">ia Reyes y Laura Raggio, serán considerados como antecedentes de los hechos propios del caso sometido al conocimiento del Tribunal, el que, de conformidad con su competencia temporal, en </w:t>
      </w:r>
      <w:r w:rsidRPr="0039097A">
        <w:rPr>
          <w:rFonts w:ascii="Verdana" w:hAnsi="Verdana" w:cs="Cambria"/>
          <w:sz w:val="20"/>
          <w:szCs w:val="20"/>
        </w:rPr>
        <w:lastRenderedPageBreak/>
        <w:t>relación con esas tres presuntas víctimas, evaluará circunstancias posteriores al 19 de abril de 1985.</w:t>
      </w:r>
    </w:p>
    <w:p w14:paraId="24A1C5C3"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6D2C839B" w14:textId="77777777" w:rsidR="00FD0466" w:rsidRPr="0039097A" w:rsidRDefault="00FD0466" w:rsidP="005A5029">
      <w:pPr>
        <w:pStyle w:val="Prrafodelista"/>
        <w:autoSpaceDE w:val="0"/>
        <w:autoSpaceDN w:val="0"/>
        <w:adjustRightInd w:val="0"/>
        <w:spacing w:after="0" w:line="240" w:lineRule="exact"/>
        <w:ind w:left="851"/>
        <w:jc w:val="both"/>
        <w:outlineLvl w:val="3"/>
        <w:rPr>
          <w:rFonts w:ascii="Verdana" w:hAnsi="Verdana" w:cs="Times New Roman"/>
          <w:i/>
          <w:sz w:val="20"/>
          <w:szCs w:val="20"/>
        </w:rPr>
      </w:pPr>
      <w:bookmarkStart w:id="22" w:name="_Toc85550396"/>
      <w:r w:rsidRPr="0039097A">
        <w:rPr>
          <w:rFonts w:ascii="Verdana" w:hAnsi="Verdana" w:cs="Times New Roman"/>
          <w:i/>
          <w:sz w:val="20"/>
          <w:szCs w:val="20"/>
        </w:rPr>
        <w:t>C.1.1 Hechos</w:t>
      </w:r>
      <w:bookmarkEnd w:id="22"/>
    </w:p>
    <w:p w14:paraId="5FC1D33C"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29D17D70" w14:textId="07D5013A" w:rsidR="00FD0466" w:rsidRPr="00F137AF"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F137AF">
        <w:rPr>
          <w:rFonts w:ascii="Verdana" w:hAnsi="Verdana" w:cs="Times New Roman"/>
          <w:sz w:val="20"/>
          <w:szCs w:val="20"/>
        </w:rPr>
        <w:t xml:space="preserve">Conforme consta en la denuncia penal por la muerte violenta de Diana </w:t>
      </w:r>
      <w:proofErr w:type="spellStart"/>
      <w:r w:rsidRPr="00F137AF">
        <w:rPr>
          <w:rFonts w:ascii="Verdana" w:hAnsi="Verdana" w:cs="Times New Roman"/>
          <w:sz w:val="20"/>
          <w:szCs w:val="20"/>
        </w:rPr>
        <w:t>Maidanik</w:t>
      </w:r>
      <w:proofErr w:type="spellEnd"/>
      <w:r w:rsidRPr="00F137AF">
        <w:rPr>
          <w:rFonts w:ascii="Verdana" w:hAnsi="Verdana" w:cs="Times New Roman"/>
          <w:sz w:val="20"/>
          <w:szCs w:val="20"/>
        </w:rPr>
        <w:t>, Silvia Reyes y L</w:t>
      </w:r>
      <w:r w:rsidR="003F5208">
        <w:rPr>
          <w:rFonts w:ascii="Verdana" w:hAnsi="Verdana" w:cs="Times New Roman"/>
          <w:sz w:val="20"/>
          <w:szCs w:val="20"/>
        </w:rPr>
        <w:t>a</w:t>
      </w:r>
      <w:r w:rsidRPr="00F137AF">
        <w:rPr>
          <w:rFonts w:ascii="Verdana" w:hAnsi="Verdana" w:cs="Times New Roman"/>
          <w:sz w:val="20"/>
          <w:szCs w:val="20"/>
        </w:rPr>
        <w:t>ura Raggio, el 21 de abril de 1974 un grupo de miembros de las Fuerzas Conjuntas, que abarcaba</w:t>
      </w:r>
      <w:r w:rsidR="00A12221">
        <w:rPr>
          <w:rFonts w:ascii="Verdana" w:hAnsi="Verdana" w:cs="Times New Roman"/>
          <w:sz w:val="20"/>
          <w:szCs w:val="20"/>
        </w:rPr>
        <w:t>n</w:t>
      </w:r>
      <w:r w:rsidRPr="00F137AF">
        <w:rPr>
          <w:rFonts w:ascii="Verdana" w:hAnsi="Verdana" w:cs="Times New Roman"/>
          <w:sz w:val="20"/>
          <w:szCs w:val="20"/>
        </w:rPr>
        <w:t xml:space="preserve"> fuerzas armadas y de policía, golpearon la puerta de la casa de Washington Barrios, a las </w:t>
      </w:r>
      <w:r w:rsidR="004B4E03">
        <w:rPr>
          <w:rFonts w:ascii="Verdana" w:hAnsi="Verdana" w:cs="Times New Roman"/>
          <w:sz w:val="20"/>
          <w:szCs w:val="20"/>
        </w:rPr>
        <w:t>0</w:t>
      </w:r>
      <w:r w:rsidRPr="00F137AF">
        <w:rPr>
          <w:rFonts w:ascii="Verdana" w:hAnsi="Verdana" w:cs="Times New Roman"/>
          <w:sz w:val="20"/>
          <w:szCs w:val="20"/>
        </w:rPr>
        <w:t>2:45</w:t>
      </w:r>
      <w:r w:rsidR="004B4E03">
        <w:rPr>
          <w:rFonts w:ascii="Verdana" w:hAnsi="Verdana" w:cs="Times New Roman"/>
          <w:sz w:val="20"/>
          <w:szCs w:val="20"/>
        </w:rPr>
        <w:t xml:space="preserve"> h</w:t>
      </w:r>
      <w:r w:rsidRPr="00F137AF">
        <w:rPr>
          <w:rFonts w:ascii="Verdana" w:hAnsi="Verdana" w:cs="Times New Roman"/>
          <w:sz w:val="20"/>
          <w:szCs w:val="20"/>
        </w:rPr>
        <w:t>, donde éste se encontraba con su esposa María y su hija Jaqueline</w:t>
      </w:r>
      <w:r w:rsidR="00A12221">
        <w:rPr>
          <w:rFonts w:ascii="Verdana" w:hAnsi="Verdana" w:cs="Times New Roman"/>
          <w:sz w:val="20"/>
          <w:szCs w:val="20"/>
        </w:rPr>
        <w:t>,</w:t>
      </w:r>
      <w:r w:rsidRPr="00F137AF">
        <w:rPr>
          <w:rFonts w:ascii="Verdana" w:hAnsi="Verdana" w:cs="Times New Roman"/>
          <w:sz w:val="20"/>
          <w:szCs w:val="20"/>
        </w:rPr>
        <w:t xml:space="preserve"> de 10 años, preguntando por su hijo Washington</w:t>
      </w:r>
      <w:r w:rsidR="00A12221">
        <w:rPr>
          <w:rFonts w:ascii="Verdana" w:hAnsi="Verdana" w:cs="Times New Roman"/>
          <w:sz w:val="20"/>
          <w:szCs w:val="20"/>
        </w:rPr>
        <w:t xml:space="preserve"> Javier</w:t>
      </w:r>
      <w:r w:rsidRPr="00F137AF">
        <w:rPr>
          <w:rFonts w:ascii="Verdana" w:hAnsi="Verdana" w:cs="Times New Roman"/>
          <w:sz w:val="20"/>
          <w:szCs w:val="20"/>
        </w:rPr>
        <w:t xml:space="preserve"> Barrios. Al darse cuenta de que el primero era el padre de éste, se alejaron "en medio de un griterío infernal y con ráfagas de metralletas" y se acercaron al apartamento </w:t>
      </w:r>
      <w:proofErr w:type="spellStart"/>
      <w:r w:rsidRPr="00F137AF">
        <w:rPr>
          <w:rFonts w:ascii="Verdana" w:hAnsi="Verdana" w:cs="Times New Roman"/>
          <w:sz w:val="20"/>
          <w:szCs w:val="20"/>
        </w:rPr>
        <w:t>N</w:t>
      </w:r>
      <w:r w:rsidR="003F5208">
        <w:rPr>
          <w:rFonts w:ascii="Verdana" w:hAnsi="Verdana" w:cs="Times New Roman"/>
          <w:sz w:val="20"/>
          <w:szCs w:val="20"/>
        </w:rPr>
        <w:t>°</w:t>
      </w:r>
      <w:proofErr w:type="spellEnd"/>
      <w:r w:rsidR="003F5208">
        <w:rPr>
          <w:rFonts w:ascii="Verdana" w:hAnsi="Verdana" w:cs="Times New Roman"/>
          <w:sz w:val="20"/>
          <w:szCs w:val="20"/>
        </w:rPr>
        <w:t xml:space="preserve"> </w:t>
      </w:r>
      <w:r w:rsidRPr="00F137AF">
        <w:rPr>
          <w:rFonts w:ascii="Verdana" w:hAnsi="Verdana" w:cs="Times New Roman"/>
          <w:sz w:val="20"/>
          <w:szCs w:val="20"/>
        </w:rPr>
        <w:t xml:space="preserve">3, situado al frente, donde vivía Washington </w:t>
      </w:r>
      <w:r w:rsidR="00A12221">
        <w:rPr>
          <w:rFonts w:ascii="Verdana" w:hAnsi="Verdana" w:cs="Times New Roman"/>
          <w:sz w:val="20"/>
          <w:szCs w:val="20"/>
        </w:rPr>
        <w:t xml:space="preserve">Javier </w:t>
      </w:r>
      <w:r w:rsidRPr="00F137AF">
        <w:rPr>
          <w:rFonts w:ascii="Verdana" w:hAnsi="Verdana" w:cs="Times New Roman"/>
          <w:sz w:val="20"/>
          <w:szCs w:val="20"/>
        </w:rPr>
        <w:t>Barrios</w:t>
      </w:r>
      <w:r w:rsidRPr="00F137AF">
        <w:rPr>
          <w:rStyle w:val="Refdenotaalpie"/>
          <w:rFonts w:ascii="Verdana" w:hAnsi="Verdana" w:cs="Times New Roman"/>
          <w:sz w:val="20"/>
          <w:szCs w:val="20"/>
        </w:rPr>
        <w:footnoteReference w:id="45"/>
      </w:r>
      <w:r w:rsidRPr="00F137AF">
        <w:rPr>
          <w:rFonts w:ascii="Verdana" w:hAnsi="Verdana" w:cs="Times New Roman"/>
          <w:sz w:val="20"/>
          <w:szCs w:val="20"/>
        </w:rPr>
        <w:t xml:space="preserve">. Las Fuerzas Conjuntas derribaron la puerta de acceso a un patio que estaba frente al apartamento, una vez que ingresaron a ese lugar dispararon directamente contra la puerta cerrada de la residencia, donde se encontraban Laura Raggio, Silvia Reyes y Diana </w:t>
      </w:r>
      <w:proofErr w:type="spellStart"/>
      <w:r w:rsidRPr="00F137AF">
        <w:rPr>
          <w:rFonts w:ascii="Verdana" w:hAnsi="Verdana" w:cs="Times New Roman"/>
          <w:sz w:val="20"/>
          <w:szCs w:val="20"/>
        </w:rPr>
        <w:t>Maidanik</w:t>
      </w:r>
      <w:proofErr w:type="spellEnd"/>
      <w:r w:rsidRPr="00F137AF">
        <w:rPr>
          <w:rStyle w:val="Refdenotaalpie"/>
          <w:rFonts w:ascii="Verdana" w:hAnsi="Verdana" w:cs="Times New Roman"/>
          <w:sz w:val="20"/>
          <w:szCs w:val="20"/>
        </w:rPr>
        <w:footnoteReference w:id="46"/>
      </w:r>
      <w:r w:rsidRPr="00F137AF">
        <w:rPr>
          <w:rFonts w:ascii="Verdana" w:hAnsi="Verdana" w:cs="Times New Roman"/>
          <w:sz w:val="20"/>
          <w:szCs w:val="20"/>
        </w:rPr>
        <w:t>.</w:t>
      </w:r>
    </w:p>
    <w:p w14:paraId="64C606F4" w14:textId="77777777" w:rsidR="00FD0466"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1C05B39B" w14:textId="755A14A8" w:rsidR="00FD0466"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C749EF">
        <w:rPr>
          <w:rFonts w:ascii="Verdana" w:hAnsi="Verdana" w:cs="Times New Roman"/>
          <w:sz w:val="20"/>
          <w:szCs w:val="20"/>
        </w:rPr>
        <w:t xml:space="preserve">Un vecino de Silvia Reyes declaró que: </w:t>
      </w:r>
      <w:r w:rsidRPr="00DE69BB">
        <w:rPr>
          <w:rFonts w:ascii="Verdana" w:hAnsi="Verdana" w:cs="Times New Roman"/>
          <w:sz w:val="20"/>
          <w:szCs w:val="20"/>
        </w:rPr>
        <w:t>“[e]l tiroteo si[</w:t>
      </w:r>
      <w:proofErr w:type="spellStart"/>
      <w:r w:rsidRPr="00DE69BB">
        <w:rPr>
          <w:rFonts w:ascii="Verdana" w:hAnsi="Verdana" w:cs="Times New Roman"/>
          <w:sz w:val="20"/>
          <w:szCs w:val="20"/>
        </w:rPr>
        <w:t>guió</w:t>
      </w:r>
      <w:proofErr w:type="spellEnd"/>
      <w:r w:rsidRPr="00DE69BB">
        <w:rPr>
          <w:rFonts w:ascii="Verdana" w:hAnsi="Verdana" w:cs="Times New Roman"/>
          <w:sz w:val="20"/>
          <w:szCs w:val="20"/>
        </w:rPr>
        <w:t xml:space="preserve">] alrededor de </w:t>
      </w:r>
      <w:r w:rsidR="00A12221">
        <w:rPr>
          <w:rFonts w:ascii="Verdana" w:hAnsi="Verdana" w:cs="Times New Roman"/>
          <w:sz w:val="20"/>
          <w:szCs w:val="20"/>
        </w:rPr>
        <w:t>[cinco]</w:t>
      </w:r>
      <w:r w:rsidRPr="00DE69BB">
        <w:rPr>
          <w:rFonts w:ascii="Verdana" w:hAnsi="Verdana" w:cs="Times New Roman"/>
          <w:sz w:val="20"/>
          <w:szCs w:val="20"/>
        </w:rPr>
        <w:t xml:space="preserve"> o </w:t>
      </w:r>
      <w:r w:rsidR="00A12221">
        <w:rPr>
          <w:rFonts w:ascii="Verdana" w:hAnsi="Verdana" w:cs="Times New Roman"/>
          <w:sz w:val="20"/>
          <w:szCs w:val="20"/>
        </w:rPr>
        <w:t>[siete]</w:t>
      </w:r>
      <w:r w:rsidRPr="00DE69BB">
        <w:rPr>
          <w:rFonts w:ascii="Verdana" w:hAnsi="Verdana" w:cs="Times New Roman"/>
          <w:sz w:val="20"/>
          <w:szCs w:val="20"/>
        </w:rPr>
        <w:t xml:space="preserve"> minutos, o 10, […] hasta que cesa[ron] los disparos y ahí </w:t>
      </w:r>
      <w:proofErr w:type="spellStart"/>
      <w:r w:rsidRPr="00DE69BB">
        <w:rPr>
          <w:rFonts w:ascii="Verdana" w:hAnsi="Verdana" w:cs="Times New Roman"/>
          <w:sz w:val="20"/>
          <w:szCs w:val="20"/>
        </w:rPr>
        <w:t>com</w:t>
      </w:r>
      <w:proofErr w:type="spellEnd"/>
      <w:r w:rsidRPr="00DE69BB">
        <w:rPr>
          <w:rFonts w:ascii="Verdana" w:hAnsi="Verdana" w:cs="Times New Roman"/>
          <w:sz w:val="20"/>
          <w:szCs w:val="20"/>
        </w:rPr>
        <w:t>[</w:t>
      </w:r>
      <w:proofErr w:type="spellStart"/>
      <w:r w:rsidRPr="00DE69BB">
        <w:rPr>
          <w:rFonts w:ascii="Verdana" w:hAnsi="Verdana" w:cs="Times New Roman"/>
          <w:sz w:val="20"/>
          <w:szCs w:val="20"/>
        </w:rPr>
        <w:t>enzaron</w:t>
      </w:r>
      <w:proofErr w:type="spellEnd"/>
      <w:r w:rsidRPr="00DE69BB">
        <w:rPr>
          <w:rFonts w:ascii="Verdana" w:hAnsi="Verdana" w:cs="Times New Roman"/>
          <w:sz w:val="20"/>
          <w:szCs w:val="20"/>
        </w:rPr>
        <w:t xml:space="preserve">] los gritos de los militares y de [las] </w:t>
      </w:r>
      <w:proofErr w:type="gramStart"/>
      <w:r w:rsidRPr="00DE69BB">
        <w:rPr>
          <w:rFonts w:ascii="Verdana" w:hAnsi="Verdana" w:cs="Times New Roman"/>
          <w:sz w:val="20"/>
          <w:szCs w:val="20"/>
        </w:rPr>
        <w:t>muchachas[</w:t>
      </w:r>
      <w:proofErr w:type="gramEnd"/>
      <w:r w:rsidRPr="00DE69BB">
        <w:rPr>
          <w:rFonts w:ascii="Verdana" w:hAnsi="Verdana" w:cs="Times New Roman"/>
          <w:sz w:val="20"/>
          <w:szCs w:val="20"/>
        </w:rPr>
        <w:t>, que] gritaban que no dispararan, que no las mataran y luego de eso se siente una ráfaga de metralletas que sacudían la pared mía, ahí cesaron totalmente los disparos”</w:t>
      </w:r>
      <w:r w:rsidRPr="00DE69BB">
        <w:rPr>
          <w:rStyle w:val="Refdenotaalpie"/>
          <w:rFonts w:ascii="Verdana" w:hAnsi="Verdana" w:cs="Times New Roman"/>
          <w:sz w:val="20"/>
          <w:szCs w:val="20"/>
        </w:rPr>
        <w:footnoteReference w:id="47"/>
      </w:r>
      <w:r w:rsidRPr="00DE69BB">
        <w:rPr>
          <w:rFonts w:ascii="Verdana" w:hAnsi="Verdana" w:cs="Times New Roman"/>
          <w:sz w:val="20"/>
          <w:szCs w:val="20"/>
        </w:rPr>
        <w:t>.</w:t>
      </w:r>
    </w:p>
    <w:p w14:paraId="21C8098B" w14:textId="77777777" w:rsidR="00FD0466" w:rsidRPr="0039097A"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1222D0DF" w14:textId="110F283D" w:rsidR="00FD0466" w:rsidRPr="00F137AF"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F137AF">
        <w:rPr>
          <w:rFonts w:ascii="Verdana" w:hAnsi="Verdana" w:cs="Times New Roman"/>
          <w:sz w:val="20"/>
          <w:szCs w:val="20"/>
        </w:rPr>
        <w:t xml:space="preserve">De acuerdo con la denuncia penal, con posterioridad a los disparos realizados al apartamento </w:t>
      </w:r>
      <w:proofErr w:type="spellStart"/>
      <w:r w:rsidRPr="00F137AF">
        <w:rPr>
          <w:rFonts w:ascii="Verdana" w:hAnsi="Verdana" w:cs="Times New Roman"/>
          <w:sz w:val="20"/>
          <w:szCs w:val="20"/>
        </w:rPr>
        <w:t>N°</w:t>
      </w:r>
      <w:proofErr w:type="spellEnd"/>
      <w:r w:rsidRPr="00F137AF">
        <w:rPr>
          <w:rFonts w:ascii="Verdana" w:hAnsi="Verdana" w:cs="Times New Roman"/>
          <w:sz w:val="20"/>
          <w:szCs w:val="20"/>
        </w:rPr>
        <w:t xml:space="preserve"> 3, los miembros de las Fuerzas Conjuntas se acercaron a la madre de Washington </w:t>
      </w:r>
      <w:r w:rsidR="00A12221">
        <w:rPr>
          <w:rFonts w:ascii="Verdana" w:hAnsi="Verdana" w:cs="Times New Roman"/>
          <w:sz w:val="20"/>
          <w:szCs w:val="20"/>
        </w:rPr>
        <w:t xml:space="preserve">Javier </w:t>
      </w:r>
      <w:r w:rsidRPr="00F137AF">
        <w:rPr>
          <w:rFonts w:ascii="Verdana" w:hAnsi="Verdana" w:cs="Times New Roman"/>
          <w:sz w:val="20"/>
          <w:szCs w:val="20"/>
        </w:rPr>
        <w:t>Barrios y le dijeron "d</w:t>
      </w:r>
      <w:r w:rsidR="00A12221">
        <w:rPr>
          <w:rFonts w:ascii="Verdana" w:hAnsi="Verdana" w:cs="Times New Roman"/>
          <w:sz w:val="20"/>
          <w:szCs w:val="20"/>
        </w:rPr>
        <w:t>ó</w:t>
      </w:r>
      <w:r w:rsidRPr="00F137AF">
        <w:rPr>
          <w:rFonts w:ascii="Verdana" w:hAnsi="Verdana" w:cs="Times New Roman"/>
          <w:sz w:val="20"/>
          <w:szCs w:val="20"/>
        </w:rPr>
        <w:t>nde está su hijo, que yo mismo lo mato"</w:t>
      </w:r>
      <w:r w:rsidRPr="00F137AF">
        <w:rPr>
          <w:rStyle w:val="Refdenotaalpie"/>
          <w:rFonts w:ascii="Verdana" w:hAnsi="Verdana" w:cs="Times New Roman"/>
          <w:sz w:val="20"/>
          <w:szCs w:val="20"/>
        </w:rPr>
        <w:footnoteReference w:id="48"/>
      </w:r>
      <w:r w:rsidRPr="00F137AF">
        <w:rPr>
          <w:rFonts w:ascii="Verdana" w:hAnsi="Verdana" w:cs="Times New Roman"/>
          <w:sz w:val="20"/>
          <w:szCs w:val="20"/>
        </w:rPr>
        <w:t xml:space="preserve">. </w:t>
      </w:r>
      <w:r w:rsidR="00A12221">
        <w:rPr>
          <w:rFonts w:ascii="Verdana" w:hAnsi="Verdana" w:cs="Times New Roman"/>
          <w:sz w:val="20"/>
          <w:szCs w:val="20"/>
        </w:rPr>
        <w:t>La denuncia mencionó</w:t>
      </w:r>
      <w:r w:rsidRPr="00F137AF">
        <w:rPr>
          <w:rFonts w:ascii="Verdana" w:hAnsi="Verdana" w:cs="Times New Roman"/>
          <w:sz w:val="20"/>
          <w:szCs w:val="20"/>
        </w:rPr>
        <w:t xml:space="preserve"> que ese mismo día llegaron varios camiones del ejército con soldados que entraron al apartamento </w:t>
      </w:r>
      <w:proofErr w:type="spellStart"/>
      <w:r w:rsidRPr="00F137AF">
        <w:rPr>
          <w:rFonts w:ascii="Verdana" w:hAnsi="Verdana" w:cs="Times New Roman"/>
          <w:sz w:val="20"/>
          <w:szCs w:val="20"/>
        </w:rPr>
        <w:t>N°</w:t>
      </w:r>
      <w:proofErr w:type="spellEnd"/>
      <w:r w:rsidRPr="00F137AF">
        <w:rPr>
          <w:rFonts w:ascii="Verdana" w:hAnsi="Verdana" w:cs="Times New Roman"/>
          <w:sz w:val="20"/>
          <w:szCs w:val="20"/>
        </w:rPr>
        <w:t xml:space="preserve"> 3 y se llevaron todo el mobiliario</w:t>
      </w:r>
      <w:r w:rsidRPr="00F137AF">
        <w:rPr>
          <w:rStyle w:val="Refdenotaalpie"/>
          <w:rFonts w:ascii="Verdana" w:hAnsi="Verdana" w:cs="Times New Roman"/>
          <w:sz w:val="20"/>
          <w:szCs w:val="20"/>
        </w:rPr>
        <w:footnoteReference w:id="49"/>
      </w:r>
      <w:r w:rsidRPr="00F137AF">
        <w:rPr>
          <w:rFonts w:ascii="Verdana" w:hAnsi="Verdana" w:cs="Times New Roman"/>
          <w:sz w:val="20"/>
          <w:szCs w:val="20"/>
        </w:rPr>
        <w:t>.</w:t>
      </w:r>
    </w:p>
    <w:p w14:paraId="5CB3B767" w14:textId="77777777" w:rsidR="00FD0466" w:rsidRPr="00F137AF" w:rsidRDefault="00FD0466" w:rsidP="005A5029">
      <w:pPr>
        <w:pStyle w:val="Prrafodelista"/>
        <w:spacing w:line="240" w:lineRule="exact"/>
        <w:rPr>
          <w:rFonts w:ascii="Verdana" w:hAnsi="Verdana" w:cs="Times New Roman"/>
          <w:sz w:val="20"/>
          <w:szCs w:val="20"/>
        </w:rPr>
      </w:pPr>
    </w:p>
    <w:p w14:paraId="758FD3B0" w14:textId="365DCDEE" w:rsidR="00FD0466" w:rsidRPr="00F137AF"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F137AF">
        <w:rPr>
          <w:rFonts w:ascii="Verdana" w:hAnsi="Verdana" w:cs="Times New Roman"/>
          <w:sz w:val="20"/>
          <w:szCs w:val="20"/>
        </w:rPr>
        <w:t xml:space="preserve">La cuñada de Silvia Reyes indicó que al entrar al apartamento habían encontrado más de </w:t>
      </w:r>
      <w:r w:rsidR="00A12221">
        <w:rPr>
          <w:rFonts w:ascii="Verdana" w:hAnsi="Verdana" w:cs="Times New Roman"/>
          <w:sz w:val="20"/>
          <w:szCs w:val="20"/>
        </w:rPr>
        <w:t>200</w:t>
      </w:r>
      <w:r w:rsidRPr="00F137AF">
        <w:rPr>
          <w:rFonts w:ascii="Verdana" w:hAnsi="Verdana" w:cs="Times New Roman"/>
          <w:sz w:val="20"/>
          <w:szCs w:val="20"/>
        </w:rPr>
        <w:t xml:space="preserve"> capsulas de residuos de los disparos y balas adheridas a la pared con pedazos de cuero cabelludo. También expresó que los disparos que </w:t>
      </w:r>
      <w:proofErr w:type="gramStart"/>
      <w:r w:rsidRPr="00F137AF">
        <w:rPr>
          <w:rFonts w:ascii="Verdana" w:hAnsi="Verdana" w:cs="Times New Roman"/>
          <w:sz w:val="20"/>
          <w:szCs w:val="20"/>
        </w:rPr>
        <w:t>recordaba,</w:t>
      </w:r>
      <w:proofErr w:type="gramEnd"/>
      <w:r w:rsidRPr="00F137AF">
        <w:rPr>
          <w:rFonts w:ascii="Verdana" w:hAnsi="Verdana" w:cs="Times New Roman"/>
          <w:sz w:val="20"/>
          <w:szCs w:val="20"/>
        </w:rPr>
        <w:t xml:space="preserve"> habían sido dos ráfagas de muchas armas disparando de manera simultánea</w:t>
      </w:r>
      <w:r w:rsidRPr="00F137AF">
        <w:rPr>
          <w:rStyle w:val="Refdenotaalpie"/>
          <w:rFonts w:ascii="Verdana" w:hAnsi="Verdana" w:cs="Times New Roman"/>
          <w:sz w:val="20"/>
          <w:szCs w:val="20"/>
        </w:rPr>
        <w:footnoteReference w:id="50"/>
      </w:r>
      <w:r w:rsidRPr="00F137AF">
        <w:rPr>
          <w:rFonts w:ascii="Verdana" w:hAnsi="Verdana" w:cs="Times New Roman"/>
          <w:sz w:val="20"/>
          <w:szCs w:val="20"/>
        </w:rPr>
        <w:t xml:space="preserve">. </w:t>
      </w:r>
      <w:r w:rsidR="00894ABB">
        <w:rPr>
          <w:rFonts w:ascii="Verdana" w:hAnsi="Verdana" w:cs="Times New Roman"/>
          <w:sz w:val="20"/>
          <w:szCs w:val="20"/>
        </w:rPr>
        <w:t xml:space="preserve">Hilda </w:t>
      </w:r>
      <w:r w:rsidRPr="00F137AF">
        <w:rPr>
          <w:rFonts w:ascii="Verdana" w:hAnsi="Verdana" w:cs="Times New Roman"/>
          <w:sz w:val="20"/>
          <w:szCs w:val="20"/>
        </w:rPr>
        <w:t xml:space="preserve">María </w:t>
      </w:r>
      <w:r w:rsidRPr="00F137AF">
        <w:rPr>
          <w:rFonts w:ascii="Verdana" w:hAnsi="Verdana" w:cs="Times New Roman"/>
          <w:sz w:val="20"/>
          <w:szCs w:val="20"/>
        </w:rPr>
        <w:lastRenderedPageBreak/>
        <w:t>Fernández Rodríguez, suegra de Silvia Reyes declaró que el cuerpo de su nuera estaba desnudo y con múltiples heridas</w:t>
      </w:r>
      <w:r w:rsidRPr="00F137AF">
        <w:rPr>
          <w:rStyle w:val="Refdenotaalpie"/>
          <w:rFonts w:ascii="Verdana" w:hAnsi="Verdana" w:cs="Times New Roman"/>
          <w:sz w:val="18"/>
          <w:szCs w:val="20"/>
        </w:rPr>
        <w:footnoteReference w:id="51"/>
      </w:r>
      <w:r w:rsidRPr="00F137AF">
        <w:rPr>
          <w:rFonts w:ascii="Verdana" w:hAnsi="Verdana" w:cs="Times New Roman"/>
          <w:sz w:val="18"/>
          <w:szCs w:val="20"/>
        </w:rPr>
        <w:t>.</w:t>
      </w:r>
    </w:p>
    <w:p w14:paraId="29B90F02" w14:textId="77777777" w:rsidR="00FD0466" w:rsidRPr="00F137AF" w:rsidRDefault="00FD0466" w:rsidP="005A5029">
      <w:pPr>
        <w:pStyle w:val="Prrafodelista"/>
        <w:autoSpaceDE w:val="0"/>
        <w:autoSpaceDN w:val="0"/>
        <w:adjustRightInd w:val="0"/>
        <w:spacing w:after="0" w:line="240" w:lineRule="exact"/>
        <w:ind w:left="851" w:right="333"/>
        <w:jc w:val="both"/>
        <w:rPr>
          <w:rFonts w:ascii="Verdana" w:hAnsi="Verdana" w:cs="Times New Roman"/>
          <w:sz w:val="20"/>
          <w:szCs w:val="20"/>
        </w:rPr>
      </w:pPr>
    </w:p>
    <w:p w14:paraId="3B81942C" w14:textId="63B07F35" w:rsidR="00FD0466" w:rsidRPr="00F137AF"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18"/>
          <w:szCs w:val="20"/>
        </w:rPr>
      </w:pPr>
      <w:r w:rsidRPr="00F137AF">
        <w:rPr>
          <w:rFonts w:ascii="Verdana" w:hAnsi="Verdana" w:cs="Times New Roman"/>
          <w:sz w:val="20"/>
          <w:szCs w:val="20"/>
        </w:rPr>
        <w:t xml:space="preserve">Por otra parte, en el expediente consta la versión de las Fuerzas Conjuntas según la cual la muerte de Diana </w:t>
      </w:r>
      <w:proofErr w:type="spellStart"/>
      <w:r w:rsidRPr="00F137AF">
        <w:rPr>
          <w:rFonts w:ascii="Verdana" w:hAnsi="Verdana" w:cs="Times New Roman"/>
          <w:sz w:val="20"/>
          <w:szCs w:val="20"/>
        </w:rPr>
        <w:t>Maidanik</w:t>
      </w:r>
      <w:proofErr w:type="spellEnd"/>
      <w:r w:rsidRPr="00F137AF">
        <w:rPr>
          <w:rFonts w:ascii="Verdana" w:hAnsi="Verdana" w:cs="Times New Roman"/>
          <w:sz w:val="20"/>
          <w:szCs w:val="20"/>
        </w:rPr>
        <w:t xml:space="preserve">, Silvia Reyes y Laura Raggio se dio en el marco de un enfrentamiento. Señala el comunicado de la Oficina de Prensa de dicha entidad que el 21 de abril de 1974 a las </w:t>
      </w:r>
      <w:r w:rsidR="004B4E03">
        <w:rPr>
          <w:rFonts w:ascii="Verdana" w:hAnsi="Verdana" w:cs="Times New Roman"/>
          <w:sz w:val="20"/>
          <w:szCs w:val="20"/>
        </w:rPr>
        <w:t>0</w:t>
      </w:r>
      <w:r w:rsidRPr="00F137AF">
        <w:rPr>
          <w:rFonts w:ascii="Verdana" w:hAnsi="Verdana" w:cs="Times New Roman"/>
          <w:sz w:val="20"/>
          <w:szCs w:val="20"/>
        </w:rPr>
        <w:t>2:50</w:t>
      </w:r>
      <w:r w:rsidR="004B4E03">
        <w:rPr>
          <w:rFonts w:ascii="Verdana" w:hAnsi="Verdana" w:cs="Times New Roman"/>
          <w:sz w:val="20"/>
          <w:szCs w:val="20"/>
        </w:rPr>
        <w:t xml:space="preserve"> h</w:t>
      </w:r>
      <w:r w:rsidRPr="00F137AF">
        <w:rPr>
          <w:rFonts w:ascii="Verdana" w:hAnsi="Verdana" w:cs="Times New Roman"/>
          <w:sz w:val="20"/>
          <w:szCs w:val="20"/>
        </w:rPr>
        <w:t xml:space="preserve"> las Fuerzas Conjuntas realizaron un allanamiento en el apartamento aludido, y que recibieron, desde el interior, múltiples disparos de armas de fuego y granadas, por lo cual los integrantes de las Fuerzas Conjuntas “agotaron los medios para someter” a quienes disparaban</w:t>
      </w:r>
      <w:r w:rsidRPr="00F137AF">
        <w:rPr>
          <w:rStyle w:val="Refdenotaalpie"/>
          <w:rFonts w:ascii="Verdana" w:hAnsi="Verdana" w:cs="Times New Roman"/>
          <w:sz w:val="20"/>
          <w:szCs w:val="20"/>
        </w:rPr>
        <w:footnoteReference w:id="52"/>
      </w:r>
      <w:r w:rsidRPr="00F137AF">
        <w:rPr>
          <w:rFonts w:ascii="Verdana" w:hAnsi="Verdana" w:cs="Times New Roman"/>
          <w:sz w:val="20"/>
          <w:szCs w:val="20"/>
        </w:rPr>
        <w:t>.</w:t>
      </w:r>
    </w:p>
    <w:p w14:paraId="751E2AA8" w14:textId="77777777" w:rsidR="00FD0466" w:rsidRPr="00E53751" w:rsidRDefault="00FD0466"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21576499" w14:textId="050CEE79" w:rsidR="00FD0466" w:rsidRPr="00E53751" w:rsidRDefault="00FD0466"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t xml:space="preserve">Conforme ha expresado el Fiscal Especializado, en un documento aportado como prueba por el Estado, de conformidad con medidas de prueba realizadas en el curso de las investigaciones, “se ha podido desvirtuar la versión oficial referente al </w:t>
      </w:r>
      <w:r w:rsidRPr="00E53751">
        <w:rPr>
          <w:rFonts w:ascii="Verdana" w:hAnsi="Verdana" w:cs="Times New Roman"/>
          <w:sz w:val="20"/>
          <w:szCs w:val="20"/>
        </w:rPr>
        <w:t>enfrentamiento”, y “la muerte de las [tres] jóvenes […] se trató de un actuar ilegal del Estado que excedió con creces lo permitido para su detención”</w:t>
      </w:r>
      <w:r w:rsidRPr="00E53751">
        <w:rPr>
          <w:rStyle w:val="Refdenotaalpie"/>
          <w:rFonts w:ascii="Verdana" w:hAnsi="Verdana" w:cs="Times New Roman"/>
          <w:sz w:val="20"/>
          <w:szCs w:val="20"/>
        </w:rPr>
        <w:footnoteReference w:id="53"/>
      </w:r>
      <w:r w:rsidRPr="00E53751">
        <w:rPr>
          <w:rFonts w:ascii="Verdana" w:hAnsi="Verdana" w:cs="Times New Roman"/>
          <w:sz w:val="20"/>
          <w:szCs w:val="20"/>
        </w:rPr>
        <w:t>.</w:t>
      </w:r>
    </w:p>
    <w:p w14:paraId="13191C50" w14:textId="48903EE8" w:rsidR="002A53BF" w:rsidRPr="00E53751" w:rsidRDefault="002A53BF" w:rsidP="005A5029">
      <w:pPr>
        <w:pStyle w:val="Prrafodelista"/>
        <w:autoSpaceDE w:val="0"/>
        <w:autoSpaceDN w:val="0"/>
        <w:adjustRightInd w:val="0"/>
        <w:spacing w:after="0" w:line="240" w:lineRule="exact"/>
        <w:ind w:left="0"/>
        <w:jc w:val="both"/>
        <w:rPr>
          <w:rFonts w:ascii="Verdana" w:hAnsi="Verdana" w:cs="Times New Roman"/>
          <w:b/>
          <w:i/>
          <w:sz w:val="20"/>
          <w:szCs w:val="20"/>
        </w:rPr>
      </w:pPr>
    </w:p>
    <w:p w14:paraId="455FE7C7" w14:textId="77777777" w:rsidR="002A53BF" w:rsidRPr="00E53751" w:rsidRDefault="002A53BF" w:rsidP="005A5029">
      <w:pPr>
        <w:pStyle w:val="Prrafodelista"/>
        <w:autoSpaceDE w:val="0"/>
        <w:autoSpaceDN w:val="0"/>
        <w:adjustRightInd w:val="0"/>
        <w:spacing w:after="0" w:line="240" w:lineRule="exact"/>
        <w:ind w:left="851"/>
        <w:jc w:val="both"/>
        <w:outlineLvl w:val="3"/>
        <w:rPr>
          <w:rFonts w:ascii="Verdana" w:hAnsi="Verdana" w:cs="Times New Roman"/>
          <w:i/>
          <w:sz w:val="20"/>
          <w:szCs w:val="20"/>
        </w:rPr>
      </w:pPr>
      <w:bookmarkStart w:id="23" w:name="_Toc85550397"/>
      <w:r w:rsidRPr="00E53751">
        <w:rPr>
          <w:rFonts w:ascii="Verdana" w:hAnsi="Verdana" w:cs="Times New Roman"/>
          <w:i/>
          <w:sz w:val="20"/>
          <w:szCs w:val="20"/>
        </w:rPr>
        <w:t>C.1.2 Investigación</w:t>
      </w:r>
      <w:bookmarkEnd w:id="23"/>
    </w:p>
    <w:p w14:paraId="0B4B9869" w14:textId="77777777" w:rsidR="002A53BF" w:rsidRPr="00E53751"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6E22A2D3"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cs="Times New Roman"/>
          <w:sz w:val="20"/>
          <w:szCs w:val="20"/>
        </w:rPr>
        <w:t xml:space="preserve">El 15 de octubre de 1986 familiares de Diana </w:t>
      </w:r>
      <w:proofErr w:type="spellStart"/>
      <w:proofErr w:type="gramStart"/>
      <w:r w:rsidRPr="00E53751">
        <w:rPr>
          <w:rFonts w:ascii="Verdana" w:hAnsi="Verdana" w:cs="Times New Roman"/>
          <w:sz w:val="20"/>
          <w:szCs w:val="20"/>
        </w:rPr>
        <w:t>Maidanik</w:t>
      </w:r>
      <w:proofErr w:type="spellEnd"/>
      <w:r w:rsidRPr="00E53751">
        <w:rPr>
          <w:rFonts w:ascii="Verdana" w:hAnsi="Verdana" w:cs="Times New Roman"/>
          <w:sz w:val="20"/>
          <w:szCs w:val="20"/>
        </w:rPr>
        <w:t xml:space="preserve"> ,Silvia</w:t>
      </w:r>
      <w:proofErr w:type="gramEnd"/>
      <w:r w:rsidRPr="00E53751">
        <w:rPr>
          <w:rFonts w:ascii="Verdana" w:hAnsi="Verdana" w:cs="Times New Roman"/>
          <w:sz w:val="20"/>
          <w:szCs w:val="20"/>
        </w:rPr>
        <w:t xml:space="preserve"> Reyes y Laura Raggio presentaron una denuncia penal por la muerte </w:t>
      </w:r>
      <w:r>
        <w:rPr>
          <w:rFonts w:ascii="Verdana" w:hAnsi="Verdana" w:cs="Times New Roman"/>
          <w:sz w:val="20"/>
          <w:szCs w:val="20"/>
        </w:rPr>
        <w:t xml:space="preserve">violenta </w:t>
      </w:r>
      <w:r w:rsidRPr="00E53751">
        <w:rPr>
          <w:rFonts w:ascii="Verdana" w:hAnsi="Verdana" w:cs="Times New Roman"/>
          <w:sz w:val="20"/>
          <w:szCs w:val="20"/>
        </w:rPr>
        <w:t>de ellas</w:t>
      </w:r>
      <w:r w:rsidRPr="00E53751">
        <w:rPr>
          <w:rStyle w:val="Refdenotaalpie"/>
          <w:rFonts w:ascii="Verdana" w:hAnsi="Verdana" w:cs="Times New Roman"/>
          <w:sz w:val="20"/>
          <w:szCs w:val="20"/>
        </w:rPr>
        <w:footnoteReference w:id="54"/>
      </w:r>
      <w:r w:rsidRPr="00E53751">
        <w:rPr>
          <w:rFonts w:ascii="Verdana" w:hAnsi="Verdana" w:cs="Times New Roman"/>
          <w:sz w:val="20"/>
          <w:szCs w:val="20"/>
        </w:rPr>
        <w:t xml:space="preserve">. </w:t>
      </w:r>
    </w:p>
    <w:p w14:paraId="41CD58B6" w14:textId="77777777" w:rsidR="002A53BF" w:rsidRPr="00E53751"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7DD112DC"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cs="Times New Roman"/>
          <w:sz w:val="20"/>
          <w:szCs w:val="20"/>
        </w:rPr>
        <w:t>Tal como se indicó con anterioridad</w:t>
      </w:r>
      <w:r>
        <w:rPr>
          <w:rFonts w:ascii="Verdana" w:hAnsi="Verdana" w:cs="Times New Roman"/>
          <w:sz w:val="20"/>
          <w:szCs w:val="20"/>
        </w:rPr>
        <w:t xml:space="preserve"> (</w:t>
      </w:r>
      <w:r>
        <w:rPr>
          <w:rFonts w:ascii="Verdana" w:hAnsi="Verdana" w:cs="Times New Roman"/>
          <w:i/>
          <w:sz w:val="20"/>
          <w:szCs w:val="20"/>
        </w:rPr>
        <w:t>supra</w:t>
      </w:r>
      <w:r>
        <w:rPr>
          <w:rFonts w:ascii="Verdana" w:hAnsi="Verdana" w:cs="Times New Roman"/>
          <w:sz w:val="20"/>
          <w:szCs w:val="20"/>
        </w:rPr>
        <w:t xml:space="preserve"> párr. 40)</w:t>
      </w:r>
      <w:r w:rsidRPr="00E53751">
        <w:rPr>
          <w:rFonts w:ascii="Verdana" w:hAnsi="Verdana" w:cs="Times New Roman"/>
          <w:sz w:val="20"/>
          <w:szCs w:val="20"/>
        </w:rPr>
        <w:t>, el 22 de diciembre de 1986 se expidió la Ley de Caducidad. El 24 de marzo de 1987</w:t>
      </w:r>
      <w:r>
        <w:rPr>
          <w:rFonts w:ascii="Verdana" w:hAnsi="Verdana" w:cs="Times New Roman"/>
          <w:sz w:val="20"/>
          <w:szCs w:val="20"/>
        </w:rPr>
        <w:t>,</w:t>
      </w:r>
      <w:r w:rsidRPr="00E53751">
        <w:rPr>
          <w:rFonts w:ascii="Verdana" w:hAnsi="Verdana" w:cs="Times New Roman"/>
          <w:sz w:val="20"/>
          <w:szCs w:val="20"/>
        </w:rPr>
        <w:t xml:space="preserve"> Arturo Reyes, Flora </w:t>
      </w:r>
      <w:proofErr w:type="spellStart"/>
      <w:r w:rsidRPr="00E53751">
        <w:rPr>
          <w:rFonts w:ascii="Verdana" w:hAnsi="Verdana" w:cs="Times New Roman"/>
          <w:sz w:val="20"/>
          <w:szCs w:val="20"/>
        </w:rPr>
        <w:t>Potasnik</w:t>
      </w:r>
      <w:proofErr w:type="spellEnd"/>
      <w:r w:rsidRPr="00E53751">
        <w:rPr>
          <w:rFonts w:ascii="Verdana" w:hAnsi="Verdana" w:cs="Times New Roman"/>
          <w:sz w:val="20"/>
          <w:szCs w:val="20"/>
        </w:rPr>
        <w:t xml:space="preserve"> y Marta </w:t>
      </w:r>
      <w:proofErr w:type="spellStart"/>
      <w:r w:rsidRPr="00E53751">
        <w:rPr>
          <w:rFonts w:ascii="Verdana" w:hAnsi="Verdana" w:cs="Times New Roman"/>
          <w:sz w:val="20"/>
          <w:szCs w:val="20"/>
        </w:rPr>
        <w:t>Odizzio</w:t>
      </w:r>
      <w:proofErr w:type="spellEnd"/>
      <w:r w:rsidRPr="00E53751">
        <w:rPr>
          <w:rFonts w:ascii="Verdana" w:hAnsi="Verdana" w:cs="Times New Roman"/>
          <w:sz w:val="20"/>
          <w:szCs w:val="20"/>
        </w:rPr>
        <w:t xml:space="preserve"> De Raggio interpusieron una </w:t>
      </w:r>
      <w:r>
        <w:rPr>
          <w:rFonts w:ascii="Verdana" w:hAnsi="Verdana" w:cs="Times New Roman"/>
          <w:sz w:val="20"/>
          <w:szCs w:val="20"/>
        </w:rPr>
        <w:t>excepción</w:t>
      </w:r>
      <w:r w:rsidRPr="00E53751">
        <w:rPr>
          <w:rFonts w:ascii="Verdana" w:hAnsi="Verdana" w:cs="Times New Roman"/>
          <w:sz w:val="20"/>
          <w:szCs w:val="20"/>
        </w:rPr>
        <w:t xml:space="preserve"> de inconstitucionalidad en contra de los artículos 1, 2, 3 y 4 de esa ley</w:t>
      </w:r>
      <w:r w:rsidRPr="00E53751">
        <w:rPr>
          <w:rStyle w:val="Refdenotaalpie"/>
          <w:rFonts w:ascii="Verdana" w:hAnsi="Verdana" w:cs="Times New Roman"/>
          <w:sz w:val="20"/>
          <w:szCs w:val="20"/>
        </w:rPr>
        <w:footnoteReference w:id="55"/>
      </w:r>
      <w:r w:rsidRPr="00E53751">
        <w:rPr>
          <w:rFonts w:ascii="Verdana" w:hAnsi="Verdana" w:cs="Times New Roman"/>
          <w:sz w:val="20"/>
          <w:szCs w:val="20"/>
        </w:rPr>
        <w:t>. El 10 de agosto de 1988 la Suprema Corte de Justicia declaró sin lugar dicha acción</w:t>
      </w:r>
      <w:r w:rsidRPr="00E53751">
        <w:rPr>
          <w:rStyle w:val="Refdenotaalpie"/>
          <w:rFonts w:ascii="Verdana" w:hAnsi="Verdana" w:cs="Times New Roman"/>
          <w:sz w:val="20"/>
          <w:szCs w:val="20"/>
        </w:rPr>
        <w:footnoteReference w:id="56"/>
      </w:r>
      <w:r w:rsidRPr="00E53751">
        <w:rPr>
          <w:rFonts w:ascii="Verdana" w:hAnsi="Verdana" w:cs="Times New Roman"/>
          <w:sz w:val="20"/>
          <w:szCs w:val="20"/>
        </w:rPr>
        <w:t xml:space="preserve">. </w:t>
      </w:r>
      <w:r>
        <w:rPr>
          <w:rFonts w:ascii="Verdana" w:hAnsi="Verdana" w:cs="Times New Roman"/>
          <w:sz w:val="20"/>
          <w:szCs w:val="20"/>
        </w:rPr>
        <w:t>Por medio de una comunicación de</w:t>
      </w:r>
      <w:r w:rsidRPr="00E53751">
        <w:rPr>
          <w:rFonts w:ascii="Verdana" w:hAnsi="Verdana" w:cs="Times New Roman"/>
          <w:sz w:val="20"/>
          <w:szCs w:val="20"/>
        </w:rPr>
        <w:t xml:space="preserve"> 21 de diciembre del mismo año la Suprema Corte </w:t>
      </w:r>
      <w:r>
        <w:rPr>
          <w:rFonts w:ascii="Verdana" w:hAnsi="Verdana" w:cs="Times New Roman"/>
          <w:sz w:val="20"/>
          <w:szCs w:val="20"/>
        </w:rPr>
        <w:t xml:space="preserve">de Justicia </w:t>
      </w:r>
      <w:r w:rsidRPr="00E53751">
        <w:rPr>
          <w:rFonts w:ascii="Verdana" w:hAnsi="Verdana" w:cs="Times New Roman"/>
          <w:sz w:val="20"/>
          <w:szCs w:val="20"/>
        </w:rPr>
        <w:t xml:space="preserve">comunicó al juzgado penal interviniente que el proceso penal instaurado por la muerte de Silvia Reyes, Laura Raggio </w:t>
      </w:r>
      <w:r w:rsidRPr="00E53751">
        <w:rPr>
          <w:rFonts w:ascii="Verdana" w:hAnsi="Verdana" w:cs="Times New Roman"/>
          <w:sz w:val="20"/>
          <w:szCs w:val="20"/>
        </w:rPr>
        <w:lastRenderedPageBreak/>
        <w:t xml:space="preserve">y Diana </w:t>
      </w:r>
      <w:proofErr w:type="spellStart"/>
      <w:r w:rsidRPr="00E53751">
        <w:rPr>
          <w:rFonts w:ascii="Verdana" w:hAnsi="Verdana" w:cs="Times New Roman"/>
          <w:sz w:val="20"/>
          <w:szCs w:val="20"/>
        </w:rPr>
        <w:t>Maidanik</w:t>
      </w:r>
      <w:proofErr w:type="spellEnd"/>
      <w:r w:rsidRPr="00E53751">
        <w:rPr>
          <w:rFonts w:ascii="Verdana" w:hAnsi="Verdana" w:cs="Times New Roman"/>
          <w:sz w:val="20"/>
          <w:szCs w:val="20"/>
        </w:rPr>
        <w:t xml:space="preserve"> había sido incluido dentro de lo establecido por la Ley de Caducidad, por decisión del Poder Ejecutivo</w:t>
      </w:r>
      <w:r w:rsidRPr="00E53751">
        <w:rPr>
          <w:rStyle w:val="Refdenotaalpie"/>
          <w:rFonts w:ascii="Verdana" w:hAnsi="Verdana" w:cs="Times New Roman"/>
          <w:sz w:val="20"/>
          <w:szCs w:val="20"/>
        </w:rPr>
        <w:footnoteReference w:id="57"/>
      </w:r>
      <w:r w:rsidRPr="00E53751">
        <w:rPr>
          <w:rFonts w:ascii="Verdana" w:hAnsi="Verdana" w:cs="Times New Roman"/>
          <w:sz w:val="20"/>
          <w:szCs w:val="20"/>
        </w:rPr>
        <w:t xml:space="preserve">. Por tal motivo, no prosiguió el trámite. </w:t>
      </w:r>
    </w:p>
    <w:p w14:paraId="58CD6C78" w14:textId="77777777" w:rsidR="002A53BF" w:rsidRPr="00E53751" w:rsidRDefault="002A53BF" w:rsidP="005A5029">
      <w:pPr>
        <w:pStyle w:val="Prrafodelista"/>
        <w:spacing w:line="240" w:lineRule="exact"/>
        <w:ind w:left="0"/>
        <w:rPr>
          <w:rFonts w:ascii="Verdana" w:hAnsi="Verdana" w:cs="Times New Roman"/>
          <w:sz w:val="20"/>
          <w:szCs w:val="20"/>
        </w:rPr>
      </w:pPr>
    </w:p>
    <w:p w14:paraId="5BC71CD2"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cs="Times New Roman"/>
          <w:sz w:val="20"/>
          <w:szCs w:val="20"/>
        </w:rPr>
        <w:t xml:space="preserve">El 28 de octubre de 2005 familiares de las tres jóvenes presentaron una solicitud de reapertura de las investigaciones penales, que </w:t>
      </w:r>
      <w:r>
        <w:rPr>
          <w:rFonts w:ascii="Verdana" w:hAnsi="Verdana" w:cs="Times New Roman"/>
          <w:sz w:val="20"/>
          <w:szCs w:val="20"/>
        </w:rPr>
        <w:t>volvieron a abrirse</w:t>
      </w:r>
      <w:r w:rsidRPr="00E53751">
        <w:rPr>
          <w:rFonts w:ascii="Verdana" w:hAnsi="Verdana" w:cs="Times New Roman"/>
          <w:sz w:val="20"/>
          <w:szCs w:val="20"/>
        </w:rPr>
        <w:t xml:space="preserve"> en 2006 ante el Juzgado Letrado de Primera Instancia </w:t>
      </w:r>
      <w:r>
        <w:rPr>
          <w:rFonts w:ascii="Verdana" w:hAnsi="Verdana" w:cs="Times New Roman"/>
          <w:sz w:val="20"/>
          <w:szCs w:val="20"/>
        </w:rPr>
        <w:t xml:space="preserve">en lo Penal </w:t>
      </w:r>
      <w:r w:rsidRPr="00E53751">
        <w:rPr>
          <w:rFonts w:ascii="Verdana" w:hAnsi="Verdana" w:cs="Times New Roman"/>
          <w:sz w:val="20"/>
          <w:szCs w:val="20"/>
        </w:rPr>
        <w:t>de 8° turno</w:t>
      </w:r>
      <w:r w:rsidRPr="00E53751">
        <w:rPr>
          <w:rStyle w:val="Refdenotaalpie"/>
          <w:rFonts w:ascii="Verdana" w:hAnsi="Verdana" w:cs="Times New Roman"/>
          <w:sz w:val="20"/>
          <w:szCs w:val="20"/>
        </w:rPr>
        <w:footnoteReference w:id="58"/>
      </w:r>
      <w:r w:rsidRPr="00E53751">
        <w:rPr>
          <w:rFonts w:ascii="Verdana" w:hAnsi="Verdana" w:cs="Times New Roman"/>
          <w:sz w:val="20"/>
          <w:szCs w:val="20"/>
        </w:rPr>
        <w:t>.</w:t>
      </w:r>
    </w:p>
    <w:p w14:paraId="00A98D58" w14:textId="77777777" w:rsidR="002A53BF" w:rsidRPr="00E53751"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03A00F69"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sz w:val="20"/>
          <w:szCs w:val="20"/>
        </w:rPr>
        <w:t>Los días 13 y 17 de marzo de 2006 se tomaron declaraciones a militares que, presuntamente, tuvieron intervención en los hechos o en actuaciones inmediatamente posteriores</w:t>
      </w:r>
      <w:r w:rsidRPr="00E53751">
        <w:rPr>
          <w:rStyle w:val="Refdenotaalpie"/>
          <w:rFonts w:ascii="Verdana" w:hAnsi="Verdana"/>
          <w:sz w:val="20"/>
          <w:szCs w:val="20"/>
        </w:rPr>
        <w:footnoteReference w:id="59"/>
      </w:r>
      <w:r w:rsidRPr="00E53751">
        <w:rPr>
          <w:rFonts w:ascii="Verdana" w:hAnsi="Verdana"/>
          <w:sz w:val="20"/>
          <w:szCs w:val="20"/>
        </w:rPr>
        <w:t>. Los días 28, 29, 30 y 31 de marzo de 2006 se recibieron testimonios</w:t>
      </w:r>
      <w:r w:rsidRPr="00E53751">
        <w:rPr>
          <w:rStyle w:val="Refdenotaalpie"/>
          <w:rFonts w:ascii="Verdana" w:hAnsi="Verdana"/>
          <w:sz w:val="20"/>
          <w:szCs w:val="20"/>
        </w:rPr>
        <w:footnoteReference w:id="60"/>
      </w:r>
      <w:r w:rsidRPr="00E53751">
        <w:rPr>
          <w:rFonts w:ascii="Verdana" w:hAnsi="Verdana"/>
          <w:sz w:val="20"/>
          <w:szCs w:val="20"/>
        </w:rPr>
        <w:t xml:space="preserve">. Entre mayo y diciembre de ese año se realizaron distintas </w:t>
      </w:r>
      <w:r>
        <w:rPr>
          <w:rFonts w:ascii="Verdana" w:hAnsi="Verdana"/>
          <w:sz w:val="20"/>
          <w:szCs w:val="20"/>
        </w:rPr>
        <w:t>actuaciones</w:t>
      </w:r>
      <w:r w:rsidRPr="00E53751">
        <w:rPr>
          <w:rFonts w:ascii="Verdana" w:hAnsi="Verdana"/>
          <w:sz w:val="20"/>
          <w:szCs w:val="20"/>
        </w:rPr>
        <w:t>, tales como l</w:t>
      </w:r>
      <w:r>
        <w:rPr>
          <w:rFonts w:ascii="Verdana" w:hAnsi="Verdana"/>
          <w:sz w:val="20"/>
          <w:szCs w:val="20"/>
        </w:rPr>
        <w:t>a</w:t>
      </w:r>
      <w:r w:rsidRPr="00E53751">
        <w:rPr>
          <w:rFonts w:ascii="Verdana" w:hAnsi="Verdana"/>
          <w:sz w:val="20"/>
          <w:szCs w:val="20"/>
        </w:rPr>
        <w:t xml:space="preserve"> </w:t>
      </w:r>
      <w:r>
        <w:rPr>
          <w:rFonts w:ascii="Verdana" w:hAnsi="Verdana"/>
          <w:sz w:val="20"/>
          <w:szCs w:val="20"/>
        </w:rPr>
        <w:t>tramitación</w:t>
      </w:r>
      <w:r w:rsidRPr="00E53751">
        <w:rPr>
          <w:rFonts w:ascii="Verdana" w:hAnsi="Verdana"/>
          <w:sz w:val="20"/>
          <w:szCs w:val="20"/>
        </w:rPr>
        <w:t xml:space="preserve"> de </w:t>
      </w:r>
      <w:r>
        <w:rPr>
          <w:rFonts w:ascii="Verdana" w:hAnsi="Verdana"/>
          <w:sz w:val="20"/>
          <w:szCs w:val="20"/>
        </w:rPr>
        <w:t xml:space="preserve">una </w:t>
      </w:r>
      <w:r w:rsidRPr="00E53751">
        <w:rPr>
          <w:rFonts w:ascii="Verdana" w:hAnsi="Verdana"/>
          <w:sz w:val="20"/>
          <w:szCs w:val="20"/>
        </w:rPr>
        <w:t>solicitud para que se remitan al juzgado intervinientes expedientes que, sobre los hechos, cursaron en la justicia militar</w:t>
      </w:r>
      <w:r w:rsidRPr="00E53751">
        <w:rPr>
          <w:rStyle w:val="Refdenotaalpie"/>
          <w:rFonts w:ascii="Verdana" w:hAnsi="Verdana"/>
          <w:sz w:val="20"/>
          <w:szCs w:val="20"/>
        </w:rPr>
        <w:footnoteReference w:id="61"/>
      </w:r>
      <w:r w:rsidRPr="00E53751">
        <w:rPr>
          <w:rFonts w:ascii="Verdana" w:hAnsi="Verdana"/>
          <w:sz w:val="20"/>
          <w:szCs w:val="20"/>
        </w:rPr>
        <w:t xml:space="preserve"> y </w:t>
      </w:r>
      <w:r>
        <w:rPr>
          <w:rFonts w:ascii="Verdana" w:hAnsi="Verdana"/>
          <w:sz w:val="20"/>
          <w:szCs w:val="20"/>
        </w:rPr>
        <w:t>la</w:t>
      </w:r>
      <w:r w:rsidRPr="00E53751">
        <w:rPr>
          <w:rFonts w:ascii="Verdana" w:hAnsi="Verdana"/>
          <w:sz w:val="20"/>
          <w:szCs w:val="20"/>
        </w:rPr>
        <w:t xml:space="preserve"> realiz</w:t>
      </w:r>
      <w:r>
        <w:rPr>
          <w:rFonts w:ascii="Verdana" w:hAnsi="Verdana"/>
          <w:sz w:val="20"/>
          <w:szCs w:val="20"/>
        </w:rPr>
        <w:t>ación de</w:t>
      </w:r>
      <w:r w:rsidRPr="00E53751">
        <w:rPr>
          <w:rFonts w:ascii="Verdana" w:hAnsi="Verdana"/>
          <w:sz w:val="20"/>
          <w:szCs w:val="20"/>
        </w:rPr>
        <w:t xml:space="preserve"> una diligencia de documentación “</w:t>
      </w:r>
      <w:proofErr w:type="spellStart"/>
      <w:r w:rsidRPr="00E53751">
        <w:rPr>
          <w:rFonts w:ascii="Verdana" w:hAnsi="Verdana"/>
          <w:sz w:val="20"/>
          <w:szCs w:val="20"/>
        </w:rPr>
        <w:t>fotoplanimétrica</w:t>
      </w:r>
      <w:proofErr w:type="spellEnd"/>
      <w:r w:rsidRPr="00E53751">
        <w:rPr>
          <w:rFonts w:ascii="Verdana" w:hAnsi="Verdana"/>
          <w:sz w:val="20"/>
          <w:szCs w:val="20"/>
        </w:rPr>
        <w:t>” del lugar de los hechos</w:t>
      </w:r>
      <w:r w:rsidRPr="00E53751">
        <w:rPr>
          <w:rStyle w:val="Refdenotaalpie"/>
          <w:rFonts w:ascii="Verdana" w:hAnsi="Verdana"/>
          <w:sz w:val="20"/>
          <w:szCs w:val="20"/>
        </w:rPr>
        <w:footnoteReference w:id="62"/>
      </w:r>
      <w:r w:rsidRPr="00E53751">
        <w:rPr>
          <w:rFonts w:ascii="Verdana" w:hAnsi="Verdana"/>
          <w:sz w:val="20"/>
          <w:szCs w:val="20"/>
        </w:rPr>
        <w:t xml:space="preserve">. </w:t>
      </w:r>
    </w:p>
    <w:p w14:paraId="2E7BE997" w14:textId="77777777" w:rsidR="002A53BF" w:rsidRPr="00E53751" w:rsidRDefault="002A53BF" w:rsidP="005A5029">
      <w:pPr>
        <w:pStyle w:val="Prrafodelista"/>
        <w:autoSpaceDE w:val="0"/>
        <w:autoSpaceDN w:val="0"/>
        <w:adjustRightInd w:val="0"/>
        <w:spacing w:after="0" w:line="240" w:lineRule="exact"/>
        <w:ind w:left="0"/>
        <w:jc w:val="both"/>
        <w:rPr>
          <w:rFonts w:ascii="Verdana" w:hAnsi="Verdana"/>
          <w:sz w:val="20"/>
          <w:szCs w:val="20"/>
        </w:rPr>
      </w:pPr>
    </w:p>
    <w:p w14:paraId="62BD1EE7"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sz w:val="20"/>
          <w:szCs w:val="20"/>
        </w:rPr>
        <w:t xml:space="preserve">El 16 de febrero de 2007, luego de que el Fiscal </w:t>
      </w:r>
      <w:r>
        <w:rPr>
          <w:rFonts w:ascii="Verdana" w:hAnsi="Verdana"/>
          <w:sz w:val="20"/>
          <w:szCs w:val="20"/>
        </w:rPr>
        <w:t xml:space="preserve">Letrado </w:t>
      </w:r>
      <w:r w:rsidRPr="00E53751">
        <w:rPr>
          <w:rFonts w:ascii="Verdana" w:hAnsi="Verdana"/>
          <w:sz w:val="20"/>
          <w:szCs w:val="20"/>
        </w:rPr>
        <w:t xml:space="preserve">Nacional en lo Penal de </w:t>
      </w:r>
      <w:r>
        <w:rPr>
          <w:rFonts w:ascii="Verdana" w:hAnsi="Verdana"/>
          <w:sz w:val="20"/>
          <w:szCs w:val="20"/>
        </w:rPr>
        <w:t>4to.</w:t>
      </w:r>
      <w:r w:rsidRPr="00E53751">
        <w:rPr>
          <w:rFonts w:ascii="Verdana" w:hAnsi="Verdana"/>
          <w:sz w:val="20"/>
          <w:szCs w:val="20"/>
        </w:rPr>
        <w:t xml:space="preserve"> Turno entendiera improcedente seguir las actuaciones, por la aplicación en la causa de la Ley de Caducidad, el juez interviniente dispuso su archivo</w:t>
      </w:r>
      <w:r w:rsidRPr="00E53751">
        <w:rPr>
          <w:rStyle w:val="Refdenotaalpie"/>
          <w:rFonts w:ascii="Verdana" w:hAnsi="Verdana"/>
          <w:sz w:val="20"/>
          <w:szCs w:val="20"/>
        </w:rPr>
        <w:footnoteReference w:id="63"/>
      </w:r>
      <w:r w:rsidRPr="00E53751">
        <w:rPr>
          <w:rFonts w:ascii="Verdana" w:hAnsi="Verdana"/>
          <w:sz w:val="20"/>
          <w:szCs w:val="20"/>
        </w:rPr>
        <w:t xml:space="preserve">. </w:t>
      </w:r>
    </w:p>
    <w:p w14:paraId="0C5764B1" w14:textId="77777777" w:rsidR="002A53BF" w:rsidRPr="00E53751" w:rsidRDefault="002A53BF" w:rsidP="005A5029">
      <w:pPr>
        <w:pStyle w:val="Prrafodelista"/>
        <w:spacing w:line="240" w:lineRule="exact"/>
        <w:ind w:left="0"/>
        <w:rPr>
          <w:rFonts w:ascii="Verdana" w:hAnsi="Verdana" w:cs="Times New Roman"/>
          <w:sz w:val="20"/>
          <w:szCs w:val="20"/>
        </w:rPr>
      </w:pPr>
    </w:p>
    <w:p w14:paraId="0FBE9127"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sz w:val="20"/>
          <w:szCs w:val="20"/>
        </w:rPr>
        <w:t>El 30 de junio de 2011 el Poder Ejecutivo disp</w:t>
      </w:r>
      <w:r>
        <w:rPr>
          <w:rFonts w:ascii="Verdana" w:hAnsi="Verdana"/>
          <w:sz w:val="20"/>
          <w:szCs w:val="20"/>
        </w:rPr>
        <w:t>uso</w:t>
      </w:r>
      <w:r w:rsidRPr="00E53751">
        <w:rPr>
          <w:rFonts w:ascii="Verdana" w:hAnsi="Verdana"/>
          <w:sz w:val="20"/>
          <w:szCs w:val="20"/>
        </w:rPr>
        <w:t xml:space="preserve"> la </w:t>
      </w:r>
      <w:r>
        <w:rPr>
          <w:rFonts w:ascii="Verdana" w:hAnsi="Verdana"/>
          <w:sz w:val="20"/>
          <w:szCs w:val="20"/>
        </w:rPr>
        <w:t>“</w:t>
      </w:r>
      <w:r w:rsidRPr="00E53751">
        <w:rPr>
          <w:rFonts w:ascii="Verdana" w:hAnsi="Verdana"/>
          <w:sz w:val="20"/>
          <w:szCs w:val="20"/>
        </w:rPr>
        <w:t>revoca</w:t>
      </w:r>
      <w:r>
        <w:rPr>
          <w:rFonts w:ascii="Verdana" w:hAnsi="Verdana"/>
          <w:sz w:val="20"/>
          <w:szCs w:val="20"/>
        </w:rPr>
        <w:t>[</w:t>
      </w:r>
      <w:proofErr w:type="spellStart"/>
      <w:r w:rsidRPr="00E53751">
        <w:rPr>
          <w:rFonts w:ascii="Verdana" w:hAnsi="Verdana"/>
          <w:sz w:val="20"/>
          <w:szCs w:val="20"/>
        </w:rPr>
        <w:t>ción</w:t>
      </w:r>
      <w:proofErr w:type="spellEnd"/>
      <w:r w:rsidRPr="00E53751">
        <w:rPr>
          <w:rFonts w:ascii="Verdana" w:hAnsi="Verdana"/>
          <w:sz w:val="20"/>
          <w:szCs w:val="20"/>
        </w:rPr>
        <w:t>,</w:t>
      </w:r>
      <w:r>
        <w:rPr>
          <w:rFonts w:ascii="Verdana" w:hAnsi="Verdana"/>
          <w:sz w:val="20"/>
          <w:szCs w:val="20"/>
        </w:rPr>
        <w:t>]</w:t>
      </w:r>
      <w:r w:rsidRPr="00E53751">
        <w:rPr>
          <w:rFonts w:ascii="Verdana" w:hAnsi="Verdana"/>
          <w:sz w:val="20"/>
          <w:szCs w:val="20"/>
        </w:rPr>
        <w:t xml:space="preserve"> por razones de legitimidad</w:t>
      </w:r>
      <w:r>
        <w:rPr>
          <w:rFonts w:ascii="Verdana" w:hAnsi="Verdana"/>
          <w:sz w:val="20"/>
          <w:szCs w:val="20"/>
        </w:rPr>
        <w:t>”</w:t>
      </w:r>
      <w:r w:rsidRPr="00E53751">
        <w:rPr>
          <w:rFonts w:ascii="Verdana" w:hAnsi="Verdana"/>
          <w:sz w:val="20"/>
          <w:szCs w:val="20"/>
        </w:rPr>
        <w:t xml:space="preserve">, de </w:t>
      </w:r>
      <w:r>
        <w:rPr>
          <w:rFonts w:ascii="Verdana" w:hAnsi="Verdana"/>
          <w:sz w:val="20"/>
          <w:szCs w:val="20"/>
        </w:rPr>
        <w:t>“</w:t>
      </w:r>
      <w:r w:rsidRPr="00E53751">
        <w:rPr>
          <w:rFonts w:ascii="Verdana" w:hAnsi="Verdana"/>
          <w:sz w:val="20"/>
          <w:szCs w:val="20"/>
        </w:rPr>
        <w:t xml:space="preserve">todos los actos administrativos y </w:t>
      </w:r>
      <w:r>
        <w:rPr>
          <w:rFonts w:ascii="Verdana" w:hAnsi="Verdana"/>
          <w:sz w:val="20"/>
          <w:szCs w:val="20"/>
        </w:rPr>
        <w:t>[</w:t>
      </w:r>
      <w:r w:rsidRPr="00E53751">
        <w:rPr>
          <w:rFonts w:ascii="Verdana" w:hAnsi="Verdana"/>
          <w:sz w:val="20"/>
          <w:szCs w:val="20"/>
        </w:rPr>
        <w:t>m</w:t>
      </w:r>
      <w:r>
        <w:rPr>
          <w:rFonts w:ascii="Verdana" w:hAnsi="Verdana"/>
          <w:sz w:val="20"/>
          <w:szCs w:val="20"/>
        </w:rPr>
        <w:t>]</w:t>
      </w:r>
      <w:proofErr w:type="spellStart"/>
      <w:r w:rsidRPr="00E53751">
        <w:rPr>
          <w:rFonts w:ascii="Verdana" w:hAnsi="Verdana"/>
          <w:sz w:val="20"/>
          <w:szCs w:val="20"/>
        </w:rPr>
        <w:t>ensajes</w:t>
      </w:r>
      <w:proofErr w:type="spellEnd"/>
      <w:r w:rsidRPr="00E53751">
        <w:rPr>
          <w:rFonts w:ascii="Verdana" w:hAnsi="Verdana"/>
          <w:sz w:val="20"/>
          <w:szCs w:val="20"/>
        </w:rPr>
        <w:t xml:space="preserve"> emanados del Poder Ejecutivo en aplicación del artículo 3 de la ley 15.848</w:t>
      </w:r>
      <w:r>
        <w:rPr>
          <w:rFonts w:ascii="Verdana" w:hAnsi="Verdana"/>
          <w:sz w:val="20"/>
          <w:szCs w:val="20"/>
        </w:rPr>
        <w:t>”</w:t>
      </w:r>
      <w:r w:rsidRPr="00E53751">
        <w:rPr>
          <w:rStyle w:val="Refdenotaalpie"/>
          <w:rFonts w:ascii="Verdana" w:hAnsi="Verdana"/>
          <w:sz w:val="20"/>
          <w:szCs w:val="20"/>
        </w:rPr>
        <w:footnoteReference w:id="64"/>
      </w:r>
      <w:r w:rsidRPr="00E53751">
        <w:rPr>
          <w:rFonts w:ascii="Verdana" w:hAnsi="Verdana"/>
          <w:sz w:val="20"/>
          <w:szCs w:val="20"/>
        </w:rPr>
        <w:t xml:space="preserve">. Con base en lo anterior, el Fiscal, el 24 de octubre de 2011, solicitó la reapertura de las investigaciones y el </w:t>
      </w:r>
      <w:r w:rsidRPr="00E53751">
        <w:rPr>
          <w:rFonts w:ascii="Verdana" w:hAnsi="Verdana"/>
          <w:sz w:val="20"/>
          <w:szCs w:val="20"/>
        </w:rPr>
        <w:lastRenderedPageBreak/>
        <w:t>diligenciamiento de medidas de prueba</w:t>
      </w:r>
      <w:r w:rsidRPr="00E53751">
        <w:rPr>
          <w:rStyle w:val="Refdenotaalpie"/>
          <w:rFonts w:ascii="Verdana" w:hAnsi="Verdana"/>
          <w:sz w:val="20"/>
          <w:szCs w:val="20"/>
        </w:rPr>
        <w:footnoteReference w:id="65"/>
      </w:r>
      <w:r w:rsidRPr="00E53751">
        <w:rPr>
          <w:rFonts w:ascii="Verdana" w:hAnsi="Verdana"/>
          <w:sz w:val="20"/>
          <w:szCs w:val="20"/>
        </w:rPr>
        <w:t>. El 26 de octubre de 2011 el órgano judicial</w:t>
      </w:r>
      <w:r>
        <w:rPr>
          <w:rFonts w:ascii="Verdana" w:hAnsi="Verdana"/>
          <w:sz w:val="20"/>
          <w:szCs w:val="20"/>
        </w:rPr>
        <w:t>, accediendo a la solicitud del Fiscal, dispuso la producción de prueba, puntualmente, la citación a A.M., a prestar declaración</w:t>
      </w:r>
      <w:r w:rsidRPr="00E53751">
        <w:rPr>
          <w:rStyle w:val="Refdenotaalpie"/>
          <w:rFonts w:ascii="Verdana" w:hAnsi="Verdana"/>
          <w:sz w:val="20"/>
          <w:szCs w:val="20"/>
        </w:rPr>
        <w:footnoteReference w:id="66"/>
      </w:r>
      <w:r w:rsidRPr="00E53751">
        <w:rPr>
          <w:rFonts w:ascii="Verdana" w:hAnsi="Verdana"/>
          <w:sz w:val="20"/>
          <w:szCs w:val="20"/>
        </w:rPr>
        <w:t xml:space="preserve">. </w:t>
      </w:r>
    </w:p>
    <w:p w14:paraId="1CD33726" w14:textId="77777777" w:rsidR="002A53BF" w:rsidRPr="00E53751" w:rsidRDefault="002A53BF" w:rsidP="005A5029">
      <w:pPr>
        <w:pStyle w:val="Prrafodelista"/>
        <w:spacing w:after="0" w:line="240" w:lineRule="exact"/>
        <w:ind w:left="0"/>
        <w:rPr>
          <w:rFonts w:ascii="Verdana" w:hAnsi="Verdana"/>
          <w:sz w:val="20"/>
          <w:szCs w:val="20"/>
        </w:rPr>
      </w:pPr>
    </w:p>
    <w:p w14:paraId="6DF76633"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sz w:val="20"/>
          <w:szCs w:val="20"/>
        </w:rPr>
        <w:t>Luego de lo anterior, y hasta 2015, se realizaron diversas diligencias, entre ellas, las que siguen: a) el 21 de diciembre de 2011 se tomó declaración a A.M., quien negó haber participado en los hechos investigados</w:t>
      </w:r>
      <w:r w:rsidRPr="00E53751">
        <w:rPr>
          <w:rStyle w:val="Refdenotaalpie"/>
          <w:rFonts w:ascii="Verdana" w:hAnsi="Verdana"/>
          <w:sz w:val="20"/>
          <w:szCs w:val="20"/>
        </w:rPr>
        <w:footnoteReference w:id="67"/>
      </w:r>
      <w:r w:rsidRPr="00E53751">
        <w:rPr>
          <w:rFonts w:ascii="Verdana" w:hAnsi="Verdana"/>
          <w:sz w:val="20"/>
          <w:szCs w:val="20"/>
        </w:rPr>
        <w:t>; b) los días 23 de septiembre y 10 de octubre de 2013</w:t>
      </w:r>
      <w:r>
        <w:rPr>
          <w:rFonts w:ascii="Verdana" w:hAnsi="Verdana"/>
          <w:sz w:val="20"/>
          <w:szCs w:val="20"/>
        </w:rPr>
        <w:t>, la oficina de Archivos Judiciales procedente de la Justicia Militar (AJPROJUMI) y</w:t>
      </w:r>
      <w:r w:rsidRPr="00E53751">
        <w:rPr>
          <w:rFonts w:ascii="Verdana" w:hAnsi="Verdana"/>
          <w:sz w:val="20"/>
          <w:szCs w:val="20"/>
        </w:rPr>
        <w:t xml:space="preserve"> </w:t>
      </w:r>
      <w:r>
        <w:rPr>
          <w:rFonts w:ascii="Verdana" w:hAnsi="Verdana"/>
          <w:sz w:val="20"/>
          <w:szCs w:val="20"/>
        </w:rPr>
        <w:t xml:space="preserve">el </w:t>
      </w:r>
      <w:r w:rsidRPr="00E53751">
        <w:rPr>
          <w:rFonts w:ascii="Verdana" w:hAnsi="Verdana"/>
          <w:sz w:val="20"/>
          <w:szCs w:val="20"/>
        </w:rPr>
        <w:t>Ministerio de Defensa</w:t>
      </w:r>
      <w:r>
        <w:rPr>
          <w:rFonts w:ascii="Verdana" w:hAnsi="Verdana"/>
          <w:sz w:val="20"/>
          <w:szCs w:val="20"/>
        </w:rPr>
        <w:t>, respectivamente, dieron respuestas a solicitudes de información</w:t>
      </w:r>
      <w:r w:rsidRPr="00E53751">
        <w:rPr>
          <w:rFonts w:ascii="Verdana" w:hAnsi="Verdana"/>
          <w:sz w:val="20"/>
          <w:szCs w:val="20"/>
        </w:rPr>
        <w:t xml:space="preserve">, </w:t>
      </w:r>
      <w:r>
        <w:rPr>
          <w:rFonts w:ascii="Verdana" w:hAnsi="Verdana"/>
          <w:sz w:val="20"/>
          <w:szCs w:val="20"/>
        </w:rPr>
        <w:t>relativas a</w:t>
      </w:r>
      <w:r w:rsidRPr="00E53751">
        <w:rPr>
          <w:rFonts w:ascii="Verdana" w:hAnsi="Verdana"/>
          <w:sz w:val="20"/>
          <w:szCs w:val="20"/>
        </w:rPr>
        <w:t>l expediente instruido por el Juzgado Militar 6to</w:t>
      </w:r>
      <w:r>
        <w:rPr>
          <w:rFonts w:ascii="Verdana" w:hAnsi="Verdana"/>
          <w:sz w:val="20"/>
          <w:szCs w:val="20"/>
        </w:rPr>
        <w:t>.</w:t>
      </w:r>
      <w:r w:rsidRPr="00E53751">
        <w:rPr>
          <w:rFonts w:ascii="Verdana" w:hAnsi="Verdana"/>
          <w:sz w:val="20"/>
          <w:szCs w:val="20"/>
        </w:rPr>
        <w:t xml:space="preserve"> en relación con los </w:t>
      </w:r>
      <w:r>
        <w:rPr>
          <w:rFonts w:ascii="Verdana" w:hAnsi="Verdana"/>
          <w:sz w:val="20"/>
          <w:szCs w:val="20"/>
        </w:rPr>
        <w:t>hechos y a</w:t>
      </w:r>
      <w:r w:rsidRPr="00E53751" w:rsidDel="00462160">
        <w:rPr>
          <w:rFonts w:ascii="Verdana" w:hAnsi="Verdana"/>
          <w:sz w:val="20"/>
          <w:szCs w:val="20"/>
        </w:rPr>
        <w:t xml:space="preserve"> </w:t>
      </w:r>
      <w:r w:rsidRPr="00E53751">
        <w:rPr>
          <w:rFonts w:ascii="Verdana" w:hAnsi="Verdana"/>
          <w:sz w:val="20"/>
          <w:szCs w:val="20"/>
        </w:rPr>
        <w:t>qui</w:t>
      </w:r>
      <w:r>
        <w:rPr>
          <w:rFonts w:ascii="Verdana" w:hAnsi="Verdana"/>
          <w:sz w:val="20"/>
          <w:szCs w:val="20"/>
        </w:rPr>
        <w:t>é</w:t>
      </w:r>
      <w:r w:rsidRPr="00E53751">
        <w:rPr>
          <w:rFonts w:ascii="Verdana" w:hAnsi="Verdana"/>
          <w:sz w:val="20"/>
          <w:szCs w:val="20"/>
        </w:rPr>
        <w:t>nes participaron en el operativo realizado el 21 de abril de 1974</w:t>
      </w:r>
      <w:r w:rsidRPr="00E53751">
        <w:rPr>
          <w:rStyle w:val="Refdenotaalpie"/>
          <w:rFonts w:ascii="Verdana" w:hAnsi="Verdana"/>
          <w:sz w:val="20"/>
          <w:szCs w:val="20"/>
        </w:rPr>
        <w:footnoteReference w:id="68"/>
      </w:r>
      <w:r w:rsidRPr="00E53751">
        <w:rPr>
          <w:rFonts w:ascii="Verdana" w:hAnsi="Verdana"/>
          <w:sz w:val="20"/>
          <w:szCs w:val="20"/>
        </w:rPr>
        <w:t>; c) los días 30 de octubre y 28 de noviembre de 2014 se tom</w:t>
      </w:r>
      <w:r>
        <w:rPr>
          <w:rFonts w:ascii="Verdana" w:hAnsi="Verdana"/>
          <w:sz w:val="20"/>
          <w:szCs w:val="20"/>
        </w:rPr>
        <w:t>aron</w:t>
      </w:r>
      <w:r w:rsidRPr="00E53751">
        <w:rPr>
          <w:rFonts w:ascii="Verdana" w:hAnsi="Verdana"/>
          <w:sz w:val="20"/>
          <w:szCs w:val="20"/>
        </w:rPr>
        <w:t xml:space="preserve"> declaraci</w:t>
      </w:r>
      <w:r>
        <w:rPr>
          <w:rFonts w:ascii="Verdana" w:hAnsi="Verdana"/>
          <w:sz w:val="20"/>
          <w:szCs w:val="20"/>
        </w:rPr>
        <w:t>ones testimoniales</w:t>
      </w:r>
      <w:r w:rsidRPr="00E53751">
        <w:rPr>
          <w:rStyle w:val="Refdenotaalpie"/>
          <w:rFonts w:ascii="Verdana" w:hAnsi="Verdana"/>
          <w:sz w:val="20"/>
          <w:szCs w:val="20"/>
        </w:rPr>
        <w:footnoteReference w:id="69"/>
      </w:r>
      <w:r w:rsidRPr="00E53751">
        <w:rPr>
          <w:rFonts w:ascii="Verdana" w:hAnsi="Verdana"/>
          <w:sz w:val="20"/>
          <w:szCs w:val="20"/>
        </w:rPr>
        <w:t>; d) el 28 de julio de 2015 se realizaron informes de autopsia de los cuerpos de Silvia Reyes y Laura Rag</w:t>
      </w:r>
      <w:r>
        <w:rPr>
          <w:rFonts w:ascii="Verdana" w:hAnsi="Verdana"/>
          <w:sz w:val="20"/>
          <w:szCs w:val="20"/>
        </w:rPr>
        <w:t>g</w:t>
      </w:r>
      <w:r w:rsidRPr="00E53751">
        <w:rPr>
          <w:rFonts w:ascii="Verdana" w:hAnsi="Verdana"/>
          <w:sz w:val="20"/>
          <w:szCs w:val="20"/>
        </w:rPr>
        <w:t>io, luego de su exhumación los días 27 de mayo y 8 de junio de 2015</w:t>
      </w:r>
      <w:r w:rsidRPr="00E53751">
        <w:rPr>
          <w:rStyle w:val="Refdenotaalpie"/>
          <w:rFonts w:ascii="Verdana" w:hAnsi="Verdana"/>
          <w:sz w:val="20"/>
          <w:szCs w:val="20"/>
        </w:rPr>
        <w:footnoteReference w:id="70"/>
      </w:r>
      <w:r w:rsidRPr="00E53751">
        <w:rPr>
          <w:rFonts w:ascii="Verdana" w:hAnsi="Verdana"/>
          <w:sz w:val="20"/>
          <w:szCs w:val="20"/>
        </w:rPr>
        <w:t xml:space="preserve">, y </w:t>
      </w:r>
      <w:proofErr w:type="spellStart"/>
      <w:r w:rsidRPr="00E53751">
        <w:rPr>
          <w:rFonts w:ascii="Verdana" w:hAnsi="Verdana"/>
          <w:sz w:val="20"/>
          <w:szCs w:val="20"/>
        </w:rPr>
        <w:t>e</w:t>
      </w:r>
      <w:proofErr w:type="spellEnd"/>
      <w:r w:rsidRPr="00E53751">
        <w:rPr>
          <w:rFonts w:ascii="Verdana" w:hAnsi="Verdana"/>
          <w:sz w:val="20"/>
          <w:szCs w:val="20"/>
        </w:rPr>
        <w:t xml:space="preserve">) el </w:t>
      </w:r>
      <w:r>
        <w:rPr>
          <w:rFonts w:ascii="Verdana" w:hAnsi="Verdana"/>
          <w:sz w:val="20"/>
          <w:szCs w:val="20"/>
        </w:rPr>
        <w:t>9</w:t>
      </w:r>
      <w:r w:rsidRPr="00E53751">
        <w:rPr>
          <w:rFonts w:ascii="Verdana" w:hAnsi="Verdana"/>
          <w:sz w:val="20"/>
          <w:szCs w:val="20"/>
        </w:rPr>
        <w:t xml:space="preserve"> de diciembre de 2015, a solicitud de la jueza actuante, el Ministerio de Defensa Nacional presentó información sobre dos militares</w:t>
      </w:r>
      <w:r w:rsidRPr="00E53751">
        <w:rPr>
          <w:rStyle w:val="Refdenotaalpie"/>
          <w:rFonts w:ascii="Verdana" w:hAnsi="Verdana"/>
          <w:sz w:val="20"/>
          <w:szCs w:val="20"/>
        </w:rPr>
        <w:footnoteReference w:id="71"/>
      </w:r>
      <w:r w:rsidRPr="00E53751">
        <w:rPr>
          <w:rFonts w:ascii="Verdana" w:hAnsi="Verdana"/>
          <w:sz w:val="20"/>
          <w:szCs w:val="20"/>
        </w:rPr>
        <w:t>.</w:t>
      </w:r>
    </w:p>
    <w:p w14:paraId="4718919C" w14:textId="77777777" w:rsidR="002A53BF" w:rsidRPr="00E53751" w:rsidRDefault="002A53BF" w:rsidP="005A5029">
      <w:pPr>
        <w:pStyle w:val="Prrafodelista"/>
        <w:spacing w:line="240" w:lineRule="exact"/>
        <w:ind w:left="0"/>
        <w:rPr>
          <w:rFonts w:ascii="Verdana" w:hAnsi="Verdana"/>
          <w:sz w:val="20"/>
          <w:szCs w:val="20"/>
        </w:rPr>
      </w:pPr>
    </w:p>
    <w:p w14:paraId="1496FAD8" w14:textId="4839BA23"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sz w:val="20"/>
          <w:szCs w:val="20"/>
        </w:rPr>
        <w:t>Uno de los militares referidos, E.K.</w:t>
      </w:r>
      <w:r>
        <w:rPr>
          <w:rFonts w:ascii="Verdana" w:hAnsi="Verdana"/>
          <w:sz w:val="20"/>
          <w:szCs w:val="20"/>
        </w:rPr>
        <w:t xml:space="preserve">, </w:t>
      </w:r>
      <w:r w:rsidRPr="00E53751">
        <w:rPr>
          <w:rFonts w:ascii="Verdana" w:hAnsi="Verdana"/>
          <w:sz w:val="20"/>
          <w:szCs w:val="20"/>
        </w:rPr>
        <w:t>fue citado a declarar el 7 de abril de 2016</w:t>
      </w:r>
      <w:r w:rsidRPr="00E53751">
        <w:rPr>
          <w:rStyle w:val="Refdenotaalpie"/>
          <w:rFonts w:ascii="Verdana" w:hAnsi="Verdana"/>
          <w:sz w:val="20"/>
          <w:szCs w:val="20"/>
        </w:rPr>
        <w:footnoteReference w:id="72"/>
      </w:r>
      <w:r w:rsidRPr="00E53751">
        <w:rPr>
          <w:rFonts w:ascii="Verdana" w:hAnsi="Verdana"/>
          <w:sz w:val="20"/>
          <w:szCs w:val="20"/>
        </w:rPr>
        <w:t xml:space="preserve">. </w:t>
      </w:r>
      <w:r>
        <w:rPr>
          <w:rFonts w:ascii="Verdana" w:hAnsi="Verdana"/>
          <w:sz w:val="20"/>
          <w:szCs w:val="20"/>
        </w:rPr>
        <w:t xml:space="preserve">No obstante, </w:t>
      </w:r>
      <w:r w:rsidRPr="00E53751">
        <w:rPr>
          <w:rFonts w:ascii="Verdana" w:hAnsi="Verdana"/>
          <w:sz w:val="20"/>
          <w:szCs w:val="20"/>
        </w:rPr>
        <w:t>presentó recursos aduciendo la prescripción de la acción penal y la inconstitucionalidad de la ley 18.831</w:t>
      </w:r>
      <w:r>
        <w:rPr>
          <w:rFonts w:ascii="Verdana" w:hAnsi="Verdana"/>
          <w:sz w:val="20"/>
          <w:szCs w:val="20"/>
        </w:rPr>
        <w:t xml:space="preserve"> y 19.</w:t>
      </w:r>
      <w:r w:rsidRPr="009E23FE">
        <w:rPr>
          <w:rFonts w:ascii="Verdana" w:hAnsi="Verdana"/>
          <w:sz w:val="20"/>
          <w:szCs w:val="20"/>
        </w:rPr>
        <w:t>550. Estos recursos fueron resueltos en el curso de ese año, el siguiente y 2018 (</w:t>
      </w:r>
      <w:r w:rsidRPr="009E23FE">
        <w:rPr>
          <w:rFonts w:ascii="Verdana" w:hAnsi="Verdana"/>
          <w:i/>
          <w:sz w:val="20"/>
          <w:szCs w:val="20"/>
        </w:rPr>
        <w:t xml:space="preserve">infra </w:t>
      </w:r>
      <w:proofErr w:type="spellStart"/>
      <w:r w:rsidR="009E23FE" w:rsidRPr="009E23FE">
        <w:rPr>
          <w:rFonts w:ascii="Verdana" w:hAnsi="Verdana"/>
          <w:sz w:val="20"/>
          <w:szCs w:val="20"/>
        </w:rPr>
        <w:t>párrs</w:t>
      </w:r>
      <w:proofErr w:type="spellEnd"/>
      <w:r w:rsidR="009E23FE" w:rsidRPr="009E23FE">
        <w:rPr>
          <w:rFonts w:ascii="Verdana" w:hAnsi="Verdana"/>
          <w:sz w:val="20"/>
          <w:szCs w:val="20"/>
        </w:rPr>
        <w:t>. 161 a 163</w:t>
      </w:r>
      <w:r w:rsidRPr="009E23FE">
        <w:rPr>
          <w:rFonts w:ascii="Verdana" w:hAnsi="Verdana"/>
          <w:sz w:val="20"/>
          <w:szCs w:val="20"/>
        </w:rPr>
        <w:t>).</w:t>
      </w:r>
      <w:r w:rsidRPr="00E53751">
        <w:rPr>
          <w:rFonts w:ascii="Verdana" w:hAnsi="Verdana"/>
          <w:sz w:val="20"/>
          <w:szCs w:val="20"/>
        </w:rPr>
        <w:t xml:space="preserve"> </w:t>
      </w:r>
    </w:p>
    <w:p w14:paraId="7F21FCE4" w14:textId="77777777" w:rsidR="002A53BF" w:rsidRPr="00E53751" w:rsidRDefault="002A53BF" w:rsidP="005A5029">
      <w:pPr>
        <w:spacing w:after="0" w:line="240" w:lineRule="exact"/>
        <w:rPr>
          <w:rFonts w:ascii="Verdana" w:hAnsi="Verdana"/>
          <w:sz w:val="20"/>
          <w:szCs w:val="20"/>
        </w:rPr>
      </w:pPr>
    </w:p>
    <w:p w14:paraId="55EFC185" w14:textId="6A7EA4D1"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sz w:val="20"/>
          <w:szCs w:val="20"/>
        </w:rPr>
        <w:t xml:space="preserve">El 17 de julio de 2018 se </w:t>
      </w:r>
      <w:proofErr w:type="gramStart"/>
      <w:r w:rsidRPr="00E53751">
        <w:rPr>
          <w:rFonts w:ascii="Verdana" w:hAnsi="Verdana"/>
          <w:sz w:val="20"/>
          <w:szCs w:val="20"/>
        </w:rPr>
        <w:t>dispuso</w:t>
      </w:r>
      <w:proofErr w:type="gramEnd"/>
      <w:r w:rsidRPr="00E53751">
        <w:rPr>
          <w:rFonts w:ascii="Verdana" w:hAnsi="Verdana"/>
          <w:sz w:val="20"/>
          <w:szCs w:val="20"/>
        </w:rPr>
        <w:t xml:space="preserve"> dar intervención a la Fiscalía Especializada de Crímenes de Lesa Humanidad, que el 2 de agosto </w:t>
      </w:r>
      <w:r>
        <w:rPr>
          <w:rFonts w:ascii="Verdana" w:hAnsi="Verdana"/>
          <w:sz w:val="20"/>
          <w:szCs w:val="20"/>
        </w:rPr>
        <w:t>del mismo año</w:t>
      </w:r>
      <w:r w:rsidRPr="00E53751">
        <w:rPr>
          <w:rFonts w:ascii="Verdana" w:hAnsi="Verdana"/>
          <w:sz w:val="20"/>
          <w:szCs w:val="20"/>
        </w:rPr>
        <w:t xml:space="preserve"> solicitó diversas medidas de prueba que fueron dispuestas el día siguiente, entre ellas, que se cite a E.K a prestar declaración, quien fue citado para el 21 de noviembre de ese año</w:t>
      </w:r>
      <w:r w:rsidRPr="00E53751">
        <w:rPr>
          <w:rStyle w:val="Refdenotaalpie"/>
          <w:rFonts w:ascii="Verdana" w:hAnsi="Verdana"/>
          <w:sz w:val="20"/>
          <w:szCs w:val="20"/>
        </w:rPr>
        <w:footnoteReference w:id="73"/>
      </w:r>
      <w:r w:rsidRPr="00E53751">
        <w:rPr>
          <w:rFonts w:ascii="Verdana" w:hAnsi="Verdana"/>
          <w:sz w:val="20"/>
          <w:szCs w:val="20"/>
        </w:rPr>
        <w:t xml:space="preserve">. </w:t>
      </w:r>
      <w:r w:rsidRPr="00E53751">
        <w:rPr>
          <w:rFonts w:ascii="Verdana" w:hAnsi="Verdana" w:cs="Times New Roman"/>
          <w:sz w:val="20"/>
          <w:szCs w:val="20"/>
        </w:rPr>
        <w:t>No obstante, E.K</w:t>
      </w:r>
      <w:r>
        <w:rPr>
          <w:rFonts w:ascii="Verdana" w:hAnsi="Verdana" w:cs="Times New Roman"/>
          <w:sz w:val="20"/>
          <w:szCs w:val="20"/>
        </w:rPr>
        <w:t>.</w:t>
      </w:r>
      <w:r w:rsidRPr="00E53751">
        <w:rPr>
          <w:rFonts w:ascii="Verdana" w:hAnsi="Verdana" w:cs="Times New Roman"/>
          <w:sz w:val="20"/>
          <w:szCs w:val="20"/>
        </w:rPr>
        <w:t xml:space="preserve"> presentó nuevos recursos e</w:t>
      </w:r>
      <w:r w:rsidRPr="009E23FE">
        <w:rPr>
          <w:rFonts w:ascii="Verdana" w:hAnsi="Verdana" w:cs="Times New Roman"/>
          <w:sz w:val="20"/>
          <w:szCs w:val="20"/>
        </w:rPr>
        <w:t>se mes y durante el año siguiente (</w:t>
      </w:r>
      <w:r w:rsidRPr="009E23FE">
        <w:rPr>
          <w:rFonts w:ascii="Verdana" w:hAnsi="Verdana" w:cs="Times New Roman"/>
          <w:i/>
          <w:sz w:val="20"/>
          <w:szCs w:val="20"/>
        </w:rPr>
        <w:t xml:space="preserve">infra </w:t>
      </w:r>
      <w:proofErr w:type="spellStart"/>
      <w:r w:rsidRPr="009E23FE">
        <w:rPr>
          <w:rFonts w:ascii="Verdana" w:hAnsi="Verdana" w:cs="Times New Roman"/>
          <w:sz w:val="20"/>
          <w:szCs w:val="20"/>
        </w:rPr>
        <w:t>párrs</w:t>
      </w:r>
      <w:proofErr w:type="spellEnd"/>
      <w:r w:rsidRPr="009E23FE">
        <w:rPr>
          <w:rFonts w:ascii="Verdana" w:hAnsi="Verdana" w:cs="Times New Roman"/>
          <w:sz w:val="20"/>
          <w:szCs w:val="20"/>
        </w:rPr>
        <w:t xml:space="preserve">. </w:t>
      </w:r>
      <w:r w:rsidR="006E0F62">
        <w:rPr>
          <w:rFonts w:ascii="Verdana" w:hAnsi="Verdana" w:cs="Times New Roman"/>
          <w:sz w:val="20"/>
          <w:szCs w:val="20"/>
        </w:rPr>
        <w:t>163 y 164</w:t>
      </w:r>
      <w:r w:rsidRPr="009E23FE">
        <w:rPr>
          <w:rFonts w:ascii="Verdana" w:hAnsi="Verdana" w:cs="Times New Roman"/>
          <w:sz w:val="20"/>
          <w:szCs w:val="20"/>
        </w:rPr>
        <w:t xml:space="preserve">). Prestó declaración en forma efectiva, finalmente, el </w:t>
      </w:r>
      <w:r w:rsidRPr="009E23FE">
        <w:rPr>
          <w:rFonts w:ascii="Verdana" w:hAnsi="Verdana"/>
          <w:sz w:val="20"/>
          <w:szCs w:val="20"/>
        </w:rPr>
        <w:t>16 de noviembre de 2020</w:t>
      </w:r>
      <w:r w:rsidRPr="009E23FE">
        <w:rPr>
          <w:rStyle w:val="Refdenotaalpie"/>
          <w:rFonts w:ascii="Verdana" w:hAnsi="Verdana"/>
          <w:sz w:val="20"/>
          <w:szCs w:val="20"/>
        </w:rPr>
        <w:footnoteReference w:id="74"/>
      </w:r>
      <w:r w:rsidRPr="009E23FE">
        <w:rPr>
          <w:rFonts w:ascii="Verdana" w:hAnsi="Verdana"/>
          <w:sz w:val="20"/>
          <w:szCs w:val="20"/>
        </w:rPr>
        <w:t>.</w:t>
      </w:r>
    </w:p>
    <w:p w14:paraId="69DFED8C" w14:textId="77777777" w:rsidR="002A53BF" w:rsidRPr="00E53751" w:rsidRDefault="002A53BF" w:rsidP="005A5029">
      <w:pPr>
        <w:spacing w:after="0" w:line="240" w:lineRule="exact"/>
        <w:rPr>
          <w:rFonts w:ascii="Verdana" w:hAnsi="Verdana"/>
          <w:sz w:val="20"/>
          <w:szCs w:val="20"/>
        </w:rPr>
      </w:pPr>
    </w:p>
    <w:p w14:paraId="4EA8F2B8"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sz w:val="20"/>
          <w:szCs w:val="20"/>
        </w:rPr>
      </w:pPr>
      <w:r w:rsidRPr="00E53751">
        <w:rPr>
          <w:rFonts w:ascii="Verdana" w:hAnsi="Verdana"/>
          <w:sz w:val="20"/>
          <w:szCs w:val="20"/>
        </w:rPr>
        <w:t>El 11 de marzo de 2020 el Fiscal Especializado present</w:t>
      </w:r>
      <w:r>
        <w:rPr>
          <w:rFonts w:ascii="Verdana" w:hAnsi="Verdana"/>
          <w:sz w:val="20"/>
          <w:szCs w:val="20"/>
        </w:rPr>
        <w:t>ó</w:t>
      </w:r>
      <w:r w:rsidRPr="00E53751">
        <w:rPr>
          <w:rFonts w:ascii="Verdana" w:hAnsi="Verdana"/>
          <w:sz w:val="20"/>
          <w:szCs w:val="20"/>
        </w:rPr>
        <w:t xml:space="preserve"> un escrito a la Jueza interviniente señalando que “resta</w:t>
      </w:r>
      <w:r>
        <w:rPr>
          <w:rFonts w:ascii="Verdana" w:hAnsi="Verdana"/>
          <w:sz w:val="20"/>
          <w:szCs w:val="20"/>
        </w:rPr>
        <w:t>[</w:t>
      </w:r>
      <w:proofErr w:type="spellStart"/>
      <w:r>
        <w:rPr>
          <w:rFonts w:ascii="Verdana" w:hAnsi="Verdana"/>
          <w:sz w:val="20"/>
          <w:szCs w:val="20"/>
        </w:rPr>
        <w:t>ba</w:t>
      </w:r>
      <w:proofErr w:type="spellEnd"/>
      <w:r>
        <w:rPr>
          <w:rFonts w:ascii="Verdana" w:hAnsi="Verdana"/>
          <w:sz w:val="20"/>
          <w:szCs w:val="20"/>
        </w:rPr>
        <w:t>]</w:t>
      </w:r>
      <w:r w:rsidRPr="00E53751">
        <w:rPr>
          <w:rFonts w:ascii="Verdana" w:hAnsi="Verdana"/>
          <w:sz w:val="20"/>
          <w:szCs w:val="20"/>
        </w:rPr>
        <w:t xml:space="preserve"> diligenciar distintas pruebas”</w:t>
      </w:r>
      <w:r w:rsidRPr="00E53751">
        <w:rPr>
          <w:rStyle w:val="Refdenotaalpie"/>
          <w:rFonts w:ascii="Verdana" w:hAnsi="Verdana"/>
          <w:sz w:val="20"/>
          <w:szCs w:val="20"/>
        </w:rPr>
        <w:footnoteReference w:id="75"/>
      </w:r>
      <w:r w:rsidRPr="00E53751">
        <w:rPr>
          <w:rFonts w:ascii="Verdana" w:hAnsi="Verdana"/>
          <w:sz w:val="20"/>
          <w:szCs w:val="20"/>
        </w:rPr>
        <w:t>.</w:t>
      </w:r>
      <w:r w:rsidRPr="00E53751">
        <w:rPr>
          <w:rFonts w:ascii="Verdana" w:hAnsi="Verdana" w:cs="Times New Roman"/>
          <w:sz w:val="20"/>
          <w:szCs w:val="20"/>
        </w:rPr>
        <w:t xml:space="preserve"> </w:t>
      </w:r>
      <w:r w:rsidRPr="00E53751">
        <w:rPr>
          <w:rFonts w:ascii="Verdana" w:hAnsi="Verdana"/>
          <w:sz w:val="20"/>
          <w:szCs w:val="20"/>
        </w:rPr>
        <w:t xml:space="preserve">El </w:t>
      </w:r>
      <w:r>
        <w:rPr>
          <w:rFonts w:ascii="Verdana" w:hAnsi="Verdana"/>
          <w:sz w:val="20"/>
          <w:szCs w:val="20"/>
        </w:rPr>
        <w:t xml:space="preserve">día siguiente </w:t>
      </w:r>
      <w:r w:rsidRPr="00E53751">
        <w:rPr>
          <w:rFonts w:ascii="Verdana" w:hAnsi="Verdana"/>
          <w:sz w:val="20"/>
          <w:szCs w:val="20"/>
        </w:rPr>
        <w:t xml:space="preserve">el </w:t>
      </w:r>
      <w:r>
        <w:rPr>
          <w:rFonts w:ascii="Verdana" w:hAnsi="Verdana"/>
          <w:sz w:val="20"/>
          <w:szCs w:val="20"/>
        </w:rPr>
        <w:t>órgano judicial</w:t>
      </w:r>
      <w:r w:rsidRPr="00E53751">
        <w:rPr>
          <w:rFonts w:ascii="Verdana" w:hAnsi="Verdana"/>
          <w:sz w:val="20"/>
          <w:szCs w:val="20"/>
        </w:rPr>
        <w:t xml:space="preserve"> dispuso que se cumpla la totalidad de lo solicitado por l</w:t>
      </w:r>
      <w:r>
        <w:rPr>
          <w:rFonts w:ascii="Verdana" w:hAnsi="Verdana"/>
          <w:sz w:val="20"/>
          <w:szCs w:val="20"/>
        </w:rPr>
        <w:t>a</w:t>
      </w:r>
      <w:r w:rsidRPr="00E53751">
        <w:rPr>
          <w:rFonts w:ascii="Verdana" w:hAnsi="Verdana"/>
          <w:sz w:val="20"/>
          <w:szCs w:val="20"/>
        </w:rPr>
        <w:t xml:space="preserve"> Fiscal</w:t>
      </w:r>
      <w:r>
        <w:rPr>
          <w:rFonts w:ascii="Verdana" w:hAnsi="Verdana"/>
          <w:sz w:val="20"/>
          <w:szCs w:val="20"/>
        </w:rPr>
        <w:t>ía</w:t>
      </w:r>
      <w:r w:rsidRPr="00E53751">
        <w:rPr>
          <w:rFonts w:ascii="Verdana" w:hAnsi="Verdana"/>
          <w:sz w:val="20"/>
          <w:szCs w:val="20"/>
        </w:rPr>
        <w:t xml:space="preserve"> Especializad</w:t>
      </w:r>
      <w:r>
        <w:rPr>
          <w:rFonts w:ascii="Verdana" w:hAnsi="Verdana"/>
          <w:sz w:val="20"/>
          <w:szCs w:val="20"/>
        </w:rPr>
        <w:t>a</w:t>
      </w:r>
      <w:r w:rsidRPr="00E53751">
        <w:rPr>
          <w:rFonts w:ascii="Verdana" w:hAnsi="Verdana"/>
          <w:sz w:val="20"/>
          <w:szCs w:val="20"/>
        </w:rPr>
        <w:t xml:space="preserve">, efectuándose diversas comunicaciones a tal efecto, </w:t>
      </w:r>
      <w:r>
        <w:rPr>
          <w:rFonts w:ascii="Verdana" w:hAnsi="Verdana"/>
          <w:sz w:val="20"/>
          <w:szCs w:val="20"/>
        </w:rPr>
        <w:t xml:space="preserve">realizándose luego </w:t>
      </w:r>
      <w:r>
        <w:rPr>
          <w:rFonts w:ascii="Verdana" w:hAnsi="Verdana"/>
          <w:sz w:val="20"/>
          <w:szCs w:val="20"/>
        </w:rPr>
        <w:lastRenderedPageBreak/>
        <w:t>diversas actuaciones</w:t>
      </w:r>
      <w:r w:rsidRPr="00E53751">
        <w:rPr>
          <w:rStyle w:val="Refdenotaalpie"/>
          <w:rFonts w:ascii="Verdana" w:hAnsi="Verdana"/>
          <w:sz w:val="20"/>
          <w:szCs w:val="20"/>
        </w:rPr>
        <w:footnoteReference w:id="76"/>
      </w:r>
      <w:r w:rsidRPr="00E53751">
        <w:rPr>
          <w:rFonts w:ascii="Verdana" w:hAnsi="Verdana"/>
          <w:sz w:val="20"/>
          <w:szCs w:val="20"/>
        </w:rPr>
        <w:t>. El 8 de septiembre de 2020 el Fiscal Especializado volvió a solicit</w:t>
      </w:r>
      <w:r>
        <w:rPr>
          <w:rFonts w:ascii="Verdana" w:hAnsi="Verdana"/>
          <w:sz w:val="20"/>
          <w:szCs w:val="20"/>
        </w:rPr>
        <w:t>ar</w:t>
      </w:r>
      <w:r w:rsidRPr="00E53751">
        <w:rPr>
          <w:rFonts w:ascii="Verdana" w:hAnsi="Verdana"/>
          <w:sz w:val="20"/>
          <w:szCs w:val="20"/>
        </w:rPr>
        <w:t xml:space="preserve"> diversas diligencias</w:t>
      </w:r>
      <w:r w:rsidRPr="00E53751">
        <w:rPr>
          <w:rStyle w:val="Refdenotaalpie"/>
          <w:rFonts w:ascii="Verdana" w:hAnsi="Verdana"/>
          <w:sz w:val="20"/>
          <w:szCs w:val="20"/>
        </w:rPr>
        <w:footnoteReference w:id="77"/>
      </w:r>
      <w:r w:rsidRPr="00E53751">
        <w:rPr>
          <w:rFonts w:ascii="Verdana" w:hAnsi="Verdana"/>
          <w:sz w:val="20"/>
          <w:szCs w:val="20"/>
        </w:rPr>
        <w:t xml:space="preserve">. </w:t>
      </w:r>
    </w:p>
    <w:p w14:paraId="42745509" w14:textId="77777777" w:rsidR="002A53BF" w:rsidRPr="00E53751" w:rsidRDefault="002A53BF" w:rsidP="005A5029">
      <w:pPr>
        <w:spacing w:after="0" w:line="240" w:lineRule="exact"/>
        <w:rPr>
          <w:rFonts w:ascii="Verdana" w:hAnsi="Verdana"/>
          <w:sz w:val="20"/>
          <w:szCs w:val="20"/>
        </w:rPr>
      </w:pPr>
    </w:p>
    <w:p w14:paraId="03EF0C18" w14:textId="4886FA60"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sz w:val="20"/>
          <w:szCs w:val="20"/>
        </w:rPr>
        <w:t>El 17 de diciembre de 2020 el Fiscal Especializado solicitó que se disponga “el enjuiciamiento y prisión” de E.K., J.R.</w:t>
      </w:r>
      <w:r>
        <w:rPr>
          <w:rFonts w:ascii="Verdana" w:hAnsi="Verdana"/>
          <w:sz w:val="20"/>
          <w:szCs w:val="20"/>
        </w:rPr>
        <w:t xml:space="preserve"> </w:t>
      </w:r>
      <w:r w:rsidRPr="00E53751">
        <w:rPr>
          <w:rFonts w:ascii="Verdana" w:hAnsi="Verdana"/>
          <w:sz w:val="20"/>
          <w:szCs w:val="20"/>
        </w:rPr>
        <w:t>y J.G.</w:t>
      </w:r>
      <w:r w:rsidRPr="00E53751">
        <w:rPr>
          <w:rStyle w:val="Refdenotaalpie"/>
          <w:rFonts w:ascii="Verdana" w:hAnsi="Verdana"/>
          <w:sz w:val="20"/>
          <w:szCs w:val="20"/>
        </w:rPr>
        <w:footnoteReference w:id="78"/>
      </w:r>
      <w:r w:rsidRPr="00E53751">
        <w:rPr>
          <w:rFonts w:ascii="Verdana" w:hAnsi="Verdana"/>
          <w:sz w:val="20"/>
          <w:szCs w:val="20"/>
        </w:rPr>
        <w:t xml:space="preserve"> Luego se dispuso la citación de las personas señaladas a declarar </w:t>
      </w:r>
      <w:r w:rsidRPr="009E23FE">
        <w:rPr>
          <w:rFonts w:ascii="Verdana" w:hAnsi="Verdana"/>
          <w:sz w:val="20"/>
          <w:szCs w:val="20"/>
        </w:rPr>
        <w:t>en audiencia</w:t>
      </w:r>
      <w:r w:rsidRPr="009E23FE">
        <w:rPr>
          <w:rStyle w:val="Refdenotaalpie"/>
          <w:rFonts w:ascii="Verdana" w:hAnsi="Verdana"/>
          <w:sz w:val="20"/>
          <w:szCs w:val="20"/>
        </w:rPr>
        <w:footnoteReference w:id="79"/>
      </w:r>
      <w:r w:rsidRPr="009E23FE">
        <w:rPr>
          <w:rFonts w:ascii="Verdana" w:hAnsi="Verdana"/>
          <w:sz w:val="20"/>
          <w:szCs w:val="20"/>
        </w:rPr>
        <w:t>. J.R y J.G solicitaron la clausura de las actuaciones por prescripción (</w:t>
      </w:r>
      <w:r w:rsidRPr="009E23FE">
        <w:rPr>
          <w:rFonts w:ascii="Verdana" w:hAnsi="Verdana"/>
          <w:i/>
          <w:sz w:val="20"/>
          <w:szCs w:val="20"/>
        </w:rPr>
        <w:t xml:space="preserve">infra </w:t>
      </w:r>
      <w:r w:rsidR="009E23FE" w:rsidRPr="009E23FE">
        <w:rPr>
          <w:rFonts w:ascii="Verdana" w:hAnsi="Verdana"/>
          <w:sz w:val="20"/>
          <w:szCs w:val="20"/>
        </w:rPr>
        <w:t>párr. 165</w:t>
      </w:r>
      <w:r w:rsidRPr="009E23FE">
        <w:rPr>
          <w:rFonts w:ascii="Verdana" w:hAnsi="Verdana"/>
          <w:sz w:val="20"/>
          <w:szCs w:val="20"/>
        </w:rPr>
        <w:t>).</w:t>
      </w:r>
    </w:p>
    <w:p w14:paraId="04AFB5AF" w14:textId="77777777" w:rsidR="002A53BF" w:rsidRPr="00E53751" w:rsidRDefault="002A53BF" w:rsidP="005A5029">
      <w:pPr>
        <w:spacing w:after="0" w:line="240" w:lineRule="exact"/>
        <w:rPr>
          <w:rFonts w:ascii="Verdana" w:hAnsi="Verdana" w:cs="Times New Roman"/>
          <w:sz w:val="20"/>
          <w:szCs w:val="20"/>
        </w:rPr>
      </w:pPr>
    </w:p>
    <w:p w14:paraId="63D9C08E"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E53751">
        <w:rPr>
          <w:rFonts w:ascii="Verdana" w:hAnsi="Verdana" w:cs="Times New Roman"/>
          <w:sz w:val="20"/>
          <w:szCs w:val="20"/>
        </w:rPr>
        <w:t xml:space="preserve">El 26 de junio de 2021 falleció </w:t>
      </w:r>
      <w:r w:rsidRPr="00E53751">
        <w:rPr>
          <w:rFonts w:ascii="Verdana" w:hAnsi="Verdana"/>
          <w:sz w:val="20"/>
          <w:szCs w:val="20"/>
        </w:rPr>
        <w:t>J.G.</w:t>
      </w:r>
      <w:r w:rsidRPr="00685170">
        <w:rPr>
          <w:rStyle w:val="Refdenotaalpie"/>
          <w:rFonts w:ascii="Verdana" w:hAnsi="Verdana"/>
          <w:sz w:val="20"/>
          <w:szCs w:val="20"/>
        </w:rPr>
        <w:footnoteReference w:id="80"/>
      </w:r>
      <w:r w:rsidRPr="00E53751">
        <w:rPr>
          <w:rFonts w:ascii="Verdana" w:hAnsi="Verdana" w:cs="Times New Roman"/>
          <w:sz w:val="20"/>
          <w:szCs w:val="20"/>
        </w:rPr>
        <w:t>. El 14 de julio de 2021 el órgano judicial interviniente dio cuenta del fallecimiento de E.K. En la misma oportunidad, expresó:</w:t>
      </w:r>
    </w:p>
    <w:p w14:paraId="33BCFA74" w14:textId="77777777" w:rsidR="002A53BF" w:rsidRPr="00E53751" w:rsidRDefault="002A53BF" w:rsidP="005A5029">
      <w:pPr>
        <w:pStyle w:val="Prrafodelista"/>
        <w:spacing w:line="240" w:lineRule="exact"/>
        <w:rPr>
          <w:rFonts w:ascii="Verdana" w:hAnsi="Verdana" w:cs="Times New Roman"/>
          <w:sz w:val="20"/>
          <w:szCs w:val="20"/>
        </w:rPr>
      </w:pPr>
    </w:p>
    <w:p w14:paraId="73E0F912" w14:textId="77777777" w:rsidR="002A53BF" w:rsidRPr="0039097A" w:rsidRDefault="002A53BF" w:rsidP="005A5029">
      <w:pPr>
        <w:pStyle w:val="Prrafodelista"/>
        <w:spacing w:line="240" w:lineRule="exact"/>
        <w:ind w:left="284" w:right="333"/>
        <w:jc w:val="both"/>
        <w:rPr>
          <w:rFonts w:ascii="Verdana" w:hAnsi="Verdana" w:cs="Times New Roman"/>
          <w:sz w:val="16"/>
          <w:szCs w:val="16"/>
        </w:rPr>
      </w:pPr>
      <w:r w:rsidRPr="00E53751">
        <w:rPr>
          <w:rFonts w:ascii="Verdana" w:hAnsi="Verdana" w:cs="Times New Roman"/>
          <w:sz w:val="16"/>
          <w:szCs w:val="16"/>
        </w:rPr>
        <w:t xml:space="preserve">En virtud de la inconstitucionalidad planteada por la </w:t>
      </w:r>
      <w:r>
        <w:rPr>
          <w:rFonts w:ascii="Verdana" w:hAnsi="Verdana" w:cs="Times New Roman"/>
          <w:sz w:val="16"/>
          <w:szCs w:val="16"/>
        </w:rPr>
        <w:t>[d]</w:t>
      </w:r>
      <w:proofErr w:type="spellStart"/>
      <w:r w:rsidRPr="00E53751">
        <w:rPr>
          <w:rFonts w:ascii="Verdana" w:hAnsi="Verdana" w:cs="Times New Roman"/>
          <w:sz w:val="16"/>
          <w:szCs w:val="16"/>
        </w:rPr>
        <w:t>efensa</w:t>
      </w:r>
      <w:proofErr w:type="spellEnd"/>
      <w:r w:rsidRPr="00E53751">
        <w:rPr>
          <w:rFonts w:ascii="Verdana" w:hAnsi="Verdana" w:cs="Times New Roman"/>
          <w:sz w:val="16"/>
          <w:szCs w:val="16"/>
        </w:rPr>
        <w:t xml:space="preserve"> del indagado [J. R]</w:t>
      </w:r>
      <w:r>
        <w:rPr>
          <w:rFonts w:ascii="Verdana" w:hAnsi="Verdana" w:cs="Times New Roman"/>
          <w:sz w:val="16"/>
          <w:szCs w:val="16"/>
        </w:rPr>
        <w:t xml:space="preserve">, </w:t>
      </w:r>
      <w:proofErr w:type="spellStart"/>
      <w:r w:rsidRPr="00E53751">
        <w:rPr>
          <w:rFonts w:ascii="Verdana" w:hAnsi="Verdana" w:cs="Times New Roman"/>
          <w:sz w:val="16"/>
          <w:szCs w:val="16"/>
        </w:rPr>
        <w:t>suspénd</w:t>
      </w:r>
      <w:r>
        <w:rPr>
          <w:rFonts w:ascii="Verdana" w:hAnsi="Verdana" w:cs="Times New Roman"/>
          <w:sz w:val="16"/>
          <w:szCs w:val="16"/>
        </w:rPr>
        <w:t>e</w:t>
      </w:r>
      <w:r w:rsidRPr="00E53751">
        <w:rPr>
          <w:rFonts w:ascii="Verdana" w:hAnsi="Verdana" w:cs="Times New Roman"/>
          <w:sz w:val="16"/>
          <w:szCs w:val="16"/>
        </w:rPr>
        <w:t>se</w:t>
      </w:r>
      <w:proofErr w:type="spellEnd"/>
      <w:r w:rsidRPr="00E53751">
        <w:rPr>
          <w:rFonts w:ascii="Verdana" w:hAnsi="Verdana" w:cs="Times New Roman"/>
          <w:sz w:val="16"/>
          <w:szCs w:val="16"/>
        </w:rPr>
        <w:t xml:space="preserve"> el presente proceso y elévense para ante la Suprema Corte de Justicia. […] En cuanto a la excepción de prescripción opuesta por [J. R.], estando pendiente la inconstitucionalidad ahora planteada, suspéndase también la sustanciación de aquélla, hasta resolución de la Suprema Corte de Justicia</w:t>
      </w:r>
      <w:r w:rsidRPr="00E53751">
        <w:rPr>
          <w:rStyle w:val="Refdenotaalpie"/>
          <w:rFonts w:ascii="Verdana" w:hAnsi="Verdana" w:cs="Times New Roman"/>
          <w:sz w:val="16"/>
          <w:szCs w:val="16"/>
        </w:rPr>
        <w:footnoteReference w:id="81"/>
      </w:r>
      <w:r w:rsidRPr="00E53751">
        <w:rPr>
          <w:rFonts w:ascii="Verdana" w:hAnsi="Verdana" w:cs="Times New Roman"/>
          <w:sz w:val="16"/>
          <w:szCs w:val="16"/>
        </w:rPr>
        <w:t>.</w:t>
      </w:r>
    </w:p>
    <w:p w14:paraId="18C02BF1"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1F626E88" w14:textId="77777777" w:rsidR="002A53BF" w:rsidRPr="0039097A" w:rsidRDefault="002A53BF" w:rsidP="005A5029">
      <w:pPr>
        <w:pStyle w:val="Ttulo3"/>
        <w:spacing w:line="240" w:lineRule="exact"/>
        <w:ind w:left="567"/>
        <w:rPr>
          <w:rFonts w:ascii="Verdana" w:hAnsi="Verdana" w:cs="Times New Roman"/>
          <w:i/>
          <w:color w:val="auto"/>
          <w:sz w:val="20"/>
          <w:szCs w:val="20"/>
        </w:rPr>
      </w:pPr>
      <w:bookmarkStart w:id="24" w:name="_Toc85550398"/>
      <w:r w:rsidRPr="0039097A">
        <w:rPr>
          <w:rFonts w:ascii="Verdana" w:hAnsi="Verdana" w:cs="Times New Roman"/>
          <w:i/>
          <w:color w:val="auto"/>
          <w:sz w:val="20"/>
          <w:szCs w:val="20"/>
        </w:rPr>
        <w:t xml:space="preserve">C.2 </w:t>
      </w:r>
      <w:r w:rsidRPr="0039097A">
        <w:rPr>
          <w:rFonts w:ascii="Verdana" w:hAnsi="Verdana" w:cs="Times New Roman"/>
          <w:i/>
          <w:color w:val="auto"/>
          <w:sz w:val="20"/>
          <w:szCs w:val="20"/>
          <w:u w:val="single"/>
        </w:rPr>
        <w:t xml:space="preserve">Sobre la desaparición de Luis Eduardo González </w:t>
      </w:r>
      <w:proofErr w:type="spellStart"/>
      <w:r w:rsidRPr="0039097A">
        <w:rPr>
          <w:rFonts w:ascii="Verdana" w:hAnsi="Verdana" w:cs="Times New Roman"/>
          <w:i/>
          <w:color w:val="auto"/>
          <w:sz w:val="20"/>
          <w:szCs w:val="20"/>
          <w:u w:val="single"/>
        </w:rPr>
        <w:t>González</w:t>
      </w:r>
      <w:proofErr w:type="spellEnd"/>
      <w:r w:rsidRPr="0039097A">
        <w:rPr>
          <w:rFonts w:ascii="Verdana" w:hAnsi="Verdana" w:cs="Times New Roman"/>
          <w:i/>
          <w:color w:val="auto"/>
          <w:sz w:val="20"/>
          <w:szCs w:val="20"/>
          <w:u w:val="single"/>
        </w:rPr>
        <w:t xml:space="preserve"> y la investigación posterior</w:t>
      </w:r>
      <w:bookmarkEnd w:id="24"/>
    </w:p>
    <w:p w14:paraId="1E3710CE" w14:textId="77777777" w:rsidR="002A53BF" w:rsidRPr="0039097A" w:rsidRDefault="002A53BF" w:rsidP="005A5029">
      <w:pPr>
        <w:autoSpaceDE w:val="0"/>
        <w:autoSpaceDN w:val="0"/>
        <w:adjustRightInd w:val="0"/>
        <w:spacing w:after="0" w:line="240" w:lineRule="exact"/>
        <w:jc w:val="both"/>
        <w:rPr>
          <w:rFonts w:ascii="Verdana" w:hAnsi="Verdana" w:cs="Times New Roman"/>
          <w:b/>
          <w:i/>
          <w:sz w:val="20"/>
          <w:szCs w:val="20"/>
        </w:rPr>
      </w:pPr>
    </w:p>
    <w:p w14:paraId="418C678F" w14:textId="77777777" w:rsidR="002A53BF" w:rsidRPr="0039097A" w:rsidRDefault="002A53BF" w:rsidP="005A5029">
      <w:pPr>
        <w:pStyle w:val="Prrafodelista"/>
        <w:autoSpaceDE w:val="0"/>
        <w:autoSpaceDN w:val="0"/>
        <w:adjustRightInd w:val="0"/>
        <w:spacing w:after="0" w:line="240" w:lineRule="exact"/>
        <w:ind w:left="851"/>
        <w:jc w:val="both"/>
        <w:outlineLvl w:val="3"/>
        <w:rPr>
          <w:rFonts w:ascii="Verdana" w:hAnsi="Verdana" w:cs="Times New Roman"/>
          <w:i/>
          <w:sz w:val="20"/>
          <w:szCs w:val="20"/>
        </w:rPr>
      </w:pPr>
      <w:bookmarkStart w:id="25" w:name="_Toc85550399"/>
      <w:r w:rsidRPr="0039097A">
        <w:rPr>
          <w:rFonts w:ascii="Verdana" w:hAnsi="Verdana" w:cs="Times New Roman"/>
          <w:i/>
          <w:sz w:val="20"/>
          <w:szCs w:val="20"/>
        </w:rPr>
        <w:t>C.2.1 Hechos</w:t>
      </w:r>
      <w:bookmarkEnd w:id="25"/>
    </w:p>
    <w:p w14:paraId="426D9FAF" w14:textId="77777777" w:rsidR="002A53BF" w:rsidRPr="0039097A" w:rsidRDefault="002A53BF" w:rsidP="005A5029">
      <w:pPr>
        <w:autoSpaceDE w:val="0"/>
        <w:autoSpaceDN w:val="0"/>
        <w:adjustRightInd w:val="0"/>
        <w:spacing w:after="0" w:line="240" w:lineRule="exact"/>
        <w:jc w:val="both"/>
        <w:rPr>
          <w:rFonts w:ascii="Verdana" w:hAnsi="Verdana" w:cs="Times New Roman"/>
          <w:sz w:val="20"/>
          <w:szCs w:val="20"/>
        </w:rPr>
      </w:pPr>
    </w:p>
    <w:p w14:paraId="0293C209" w14:textId="1AA3B75C"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t xml:space="preserve">Amalia González, madre de Luis Eduardo González </w:t>
      </w:r>
      <w:proofErr w:type="spellStart"/>
      <w:r>
        <w:rPr>
          <w:rFonts w:ascii="Verdana" w:hAnsi="Verdana" w:cs="Times New Roman"/>
          <w:sz w:val="20"/>
          <w:szCs w:val="20"/>
        </w:rPr>
        <w:t>González</w:t>
      </w:r>
      <w:proofErr w:type="spellEnd"/>
      <w:r>
        <w:rPr>
          <w:rFonts w:ascii="Verdana" w:hAnsi="Verdana" w:cs="Times New Roman"/>
          <w:sz w:val="20"/>
          <w:szCs w:val="20"/>
        </w:rPr>
        <w:t xml:space="preserve">, </w:t>
      </w:r>
      <w:r w:rsidRPr="0039097A">
        <w:rPr>
          <w:rFonts w:ascii="Verdana" w:hAnsi="Verdana" w:cs="Times New Roman"/>
          <w:sz w:val="20"/>
          <w:szCs w:val="20"/>
        </w:rPr>
        <w:t>de</w:t>
      </w:r>
      <w:r>
        <w:rPr>
          <w:rFonts w:ascii="Verdana" w:hAnsi="Verdana" w:cs="Times New Roman"/>
          <w:sz w:val="20"/>
          <w:szCs w:val="20"/>
        </w:rPr>
        <w:t>nunció que</w:t>
      </w:r>
      <w:r w:rsidRPr="0039097A">
        <w:rPr>
          <w:rFonts w:ascii="Verdana" w:hAnsi="Verdana" w:cs="Times New Roman"/>
          <w:sz w:val="20"/>
          <w:szCs w:val="20"/>
        </w:rPr>
        <w:t xml:space="preserve"> el 13 de diciembre de 1974</w:t>
      </w:r>
      <w:r>
        <w:rPr>
          <w:rFonts w:ascii="Verdana" w:hAnsi="Verdana" w:cs="Times New Roman"/>
          <w:sz w:val="20"/>
          <w:szCs w:val="20"/>
        </w:rPr>
        <w:t>,</w:t>
      </w:r>
      <w:r w:rsidRPr="0039097A">
        <w:rPr>
          <w:rFonts w:ascii="Verdana" w:hAnsi="Verdana" w:cs="Times New Roman"/>
          <w:sz w:val="20"/>
          <w:szCs w:val="20"/>
        </w:rPr>
        <w:t xml:space="preserve"> a las </w:t>
      </w:r>
      <w:r w:rsidR="00DD24B1">
        <w:rPr>
          <w:rFonts w:ascii="Verdana" w:hAnsi="Verdana" w:cs="Times New Roman"/>
          <w:sz w:val="20"/>
          <w:szCs w:val="20"/>
        </w:rPr>
        <w:t>02:00 h</w:t>
      </w:r>
      <w:r w:rsidRPr="0039097A">
        <w:rPr>
          <w:rFonts w:ascii="Verdana" w:hAnsi="Verdana" w:cs="Times New Roman"/>
          <w:sz w:val="20"/>
          <w:szCs w:val="20"/>
        </w:rPr>
        <w:t xml:space="preserve">, dos personas </w:t>
      </w:r>
      <w:r>
        <w:rPr>
          <w:rFonts w:ascii="Verdana" w:hAnsi="Verdana" w:cs="Times New Roman"/>
          <w:sz w:val="20"/>
          <w:szCs w:val="20"/>
        </w:rPr>
        <w:t>“</w:t>
      </w:r>
      <w:r w:rsidRPr="0039097A">
        <w:rPr>
          <w:rFonts w:ascii="Verdana" w:hAnsi="Verdana" w:cs="Times New Roman"/>
          <w:sz w:val="20"/>
          <w:szCs w:val="20"/>
        </w:rPr>
        <w:t>vestidas de particular</w:t>
      </w:r>
      <w:r>
        <w:rPr>
          <w:rFonts w:ascii="Verdana" w:hAnsi="Verdana" w:cs="Times New Roman"/>
          <w:sz w:val="20"/>
          <w:szCs w:val="20"/>
        </w:rPr>
        <w:t>”</w:t>
      </w:r>
      <w:r w:rsidRPr="0039097A">
        <w:rPr>
          <w:rFonts w:ascii="Verdana" w:hAnsi="Verdana" w:cs="Times New Roman"/>
          <w:sz w:val="20"/>
          <w:szCs w:val="20"/>
        </w:rPr>
        <w:t xml:space="preserve"> se presentaron en su hogar preguntando por "el chiqui", sobrenombre familiar</w:t>
      </w:r>
      <w:r>
        <w:rPr>
          <w:rFonts w:ascii="Verdana" w:hAnsi="Verdana" w:cs="Times New Roman"/>
          <w:sz w:val="20"/>
          <w:szCs w:val="20"/>
        </w:rPr>
        <w:t xml:space="preserve"> de su hijo</w:t>
      </w:r>
      <w:r w:rsidRPr="0039097A">
        <w:rPr>
          <w:rFonts w:ascii="Verdana" w:hAnsi="Verdana" w:cs="Times New Roman"/>
          <w:sz w:val="20"/>
          <w:szCs w:val="20"/>
        </w:rPr>
        <w:t xml:space="preserve">. </w:t>
      </w:r>
      <w:r>
        <w:rPr>
          <w:rFonts w:ascii="Verdana" w:hAnsi="Verdana" w:cs="Times New Roman"/>
          <w:sz w:val="20"/>
          <w:szCs w:val="20"/>
        </w:rPr>
        <w:t>Señaló que, a</w:t>
      </w:r>
      <w:r w:rsidRPr="0039097A">
        <w:rPr>
          <w:rFonts w:ascii="Verdana" w:hAnsi="Verdana" w:cs="Times New Roman"/>
          <w:sz w:val="20"/>
          <w:szCs w:val="20"/>
        </w:rPr>
        <w:t xml:space="preserve">l no permitírseles la entrada, se identificaron como miembros de las </w:t>
      </w:r>
      <w:r>
        <w:rPr>
          <w:rFonts w:ascii="Verdana" w:hAnsi="Verdana" w:cs="Times New Roman"/>
          <w:sz w:val="20"/>
          <w:szCs w:val="20"/>
        </w:rPr>
        <w:t>F</w:t>
      </w:r>
      <w:r w:rsidRPr="0039097A">
        <w:rPr>
          <w:rFonts w:ascii="Verdana" w:hAnsi="Verdana" w:cs="Times New Roman"/>
          <w:sz w:val="20"/>
          <w:szCs w:val="20"/>
        </w:rPr>
        <w:t xml:space="preserve">uerzas </w:t>
      </w:r>
      <w:r>
        <w:rPr>
          <w:rFonts w:ascii="Verdana" w:hAnsi="Verdana" w:cs="Times New Roman"/>
          <w:sz w:val="20"/>
          <w:szCs w:val="20"/>
        </w:rPr>
        <w:t>C</w:t>
      </w:r>
      <w:r w:rsidRPr="0039097A">
        <w:rPr>
          <w:rFonts w:ascii="Verdana" w:hAnsi="Verdana" w:cs="Times New Roman"/>
          <w:sz w:val="20"/>
          <w:szCs w:val="20"/>
        </w:rPr>
        <w:t>onjuntas e irrumpi</w:t>
      </w:r>
      <w:r>
        <w:rPr>
          <w:rFonts w:ascii="Verdana" w:hAnsi="Verdana" w:cs="Times New Roman"/>
          <w:sz w:val="20"/>
          <w:szCs w:val="20"/>
        </w:rPr>
        <w:t>ó</w:t>
      </w:r>
      <w:r w:rsidRPr="0039097A">
        <w:rPr>
          <w:rFonts w:ascii="Verdana" w:hAnsi="Verdana" w:cs="Times New Roman"/>
          <w:sz w:val="20"/>
          <w:szCs w:val="20"/>
        </w:rPr>
        <w:t xml:space="preserve"> en el domicilio un grupo de soldados armados con metralletas. Enunció que permanecieron en el </w:t>
      </w:r>
      <w:r>
        <w:rPr>
          <w:rFonts w:ascii="Verdana" w:hAnsi="Verdana" w:cs="Times New Roman"/>
          <w:sz w:val="20"/>
          <w:szCs w:val="20"/>
        </w:rPr>
        <w:t>lugar</w:t>
      </w:r>
      <w:r w:rsidRPr="0039097A">
        <w:rPr>
          <w:rFonts w:ascii="Verdana" w:hAnsi="Verdana" w:cs="Times New Roman"/>
          <w:sz w:val="20"/>
          <w:szCs w:val="20"/>
        </w:rPr>
        <w:t xml:space="preserve"> por varias horas hasta que lograron </w:t>
      </w:r>
      <w:r w:rsidRPr="0039097A">
        <w:rPr>
          <w:rFonts w:ascii="Verdana" w:hAnsi="Verdana" w:cs="Times New Roman"/>
          <w:sz w:val="20"/>
          <w:szCs w:val="20"/>
        </w:rPr>
        <w:lastRenderedPageBreak/>
        <w:t>ubicar el paradero de Luis Eduardo González</w:t>
      </w:r>
      <w:r>
        <w:rPr>
          <w:rFonts w:ascii="Verdana" w:hAnsi="Verdana" w:cs="Times New Roman"/>
          <w:sz w:val="20"/>
          <w:szCs w:val="20"/>
        </w:rPr>
        <w:t xml:space="preserve"> </w:t>
      </w:r>
      <w:proofErr w:type="spellStart"/>
      <w:r>
        <w:rPr>
          <w:rFonts w:ascii="Verdana" w:hAnsi="Verdana" w:cs="Times New Roman"/>
          <w:sz w:val="20"/>
          <w:szCs w:val="20"/>
        </w:rPr>
        <w:t>González</w:t>
      </w:r>
      <w:proofErr w:type="spellEnd"/>
      <w:r w:rsidRPr="0039097A">
        <w:rPr>
          <w:rStyle w:val="Refdenotaalpie"/>
          <w:rFonts w:ascii="Verdana" w:hAnsi="Verdana" w:cs="Times New Roman"/>
          <w:sz w:val="20"/>
          <w:szCs w:val="20"/>
        </w:rPr>
        <w:footnoteReference w:id="82"/>
      </w:r>
      <w:r w:rsidRPr="0039097A">
        <w:rPr>
          <w:rFonts w:ascii="Verdana" w:hAnsi="Verdana" w:cs="Times New Roman"/>
          <w:sz w:val="20"/>
          <w:szCs w:val="20"/>
        </w:rPr>
        <w:t>. Acto seguido, se trasladaron a</w:t>
      </w:r>
      <w:r>
        <w:rPr>
          <w:rFonts w:ascii="Verdana" w:hAnsi="Verdana" w:cs="Times New Roman"/>
          <w:sz w:val="20"/>
          <w:szCs w:val="20"/>
        </w:rPr>
        <w:t>l</w:t>
      </w:r>
      <w:r w:rsidRPr="0039097A">
        <w:rPr>
          <w:rFonts w:ascii="Verdana" w:hAnsi="Verdana" w:cs="Times New Roman"/>
          <w:sz w:val="20"/>
          <w:szCs w:val="20"/>
        </w:rPr>
        <w:t xml:space="preserve"> lugar</w:t>
      </w:r>
      <w:r>
        <w:rPr>
          <w:rFonts w:ascii="Verdana" w:hAnsi="Verdana" w:cs="Times New Roman"/>
          <w:sz w:val="20"/>
          <w:szCs w:val="20"/>
        </w:rPr>
        <w:t xml:space="preserve"> referido</w:t>
      </w:r>
      <w:r w:rsidRPr="0039097A">
        <w:rPr>
          <w:rFonts w:ascii="Verdana" w:hAnsi="Verdana" w:cs="Times New Roman"/>
          <w:sz w:val="20"/>
          <w:szCs w:val="20"/>
        </w:rPr>
        <w:t xml:space="preserve"> y</w:t>
      </w:r>
      <w:r>
        <w:rPr>
          <w:rFonts w:ascii="Verdana" w:hAnsi="Verdana" w:cs="Times New Roman"/>
          <w:sz w:val="20"/>
          <w:szCs w:val="20"/>
        </w:rPr>
        <w:t>, en horas de la madrugada,</w:t>
      </w:r>
      <w:r w:rsidRPr="0039097A">
        <w:rPr>
          <w:rFonts w:ascii="Verdana" w:hAnsi="Verdana" w:cs="Times New Roman"/>
          <w:sz w:val="20"/>
          <w:szCs w:val="20"/>
        </w:rPr>
        <w:t xml:space="preserve"> detuvieron</w:t>
      </w:r>
      <w:r>
        <w:rPr>
          <w:rFonts w:ascii="Verdana" w:hAnsi="Verdana" w:cs="Times New Roman"/>
          <w:sz w:val="20"/>
          <w:szCs w:val="20"/>
        </w:rPr>
        <w:t xml:space="preserve"> al señor González </w:t>
      </w:r>
      <w:proofErr w:type="spellStart"/>
      <w:r>
        <w:rPr>
          <w:rFonts w:ascii="Verdana" w:hAnsi="Verdana" w:cs="Times New Roman"/>
          <w:sz w:val="20"/>
          <w:szCs w:val="20"/>
        </w:rPr>
        <w:t>González</w:t>
      </w:r>
      <w:proofErr w:type="spellEnd"/>
      <w:r w:rsidRPr="0039097A">
        <w:rPr>
          <w:rFonts w:ascii="Verdana" w:hAnsi="Verdana" w:cs="Times New Roman"/>
          <w:sz w:val="20"/>
          <w:szCs w:val="20"/>
        </w:rPr>
        <w:t xml:space="preserve"> junto con su esposa</w:t>
      </w:r>
      <w:r>
        <w:rPr>
          <w:rFonts w:ascii="Verdana" w:hAnsi="Verdana" w:cs="Times New Roman"/>
          <w:sz w:val="20"/>
          <w:szCs w:val="20"/>
        </w:rPr>
        <w:t>,</w:t>
      </w:r>
      <w:r w:rsidRPr="0039097A">
        <w:rPr>
          <w:rFonts w:ascii="Verdana" w:hAnsi="Verdana" w:cs="Times New Roman"/>
          <w:sz w:val="20"/>
          <w:szCs w:val="20"/>
        </w:rPr>
        <w:t xml:space="preserve"> Elena Zaffaroni Rocco</w:t>
      </w:r>
      <w:r>
        <w:rPr>
          <w:rFonts w:ascii="Verdana" w:hAnsi="Verdana" w:cs="Times New Roman"/>
          <w:sz w:val="20"/>
          <w:szCs w:val="20"/>
        </w:rPr>
        <w:t>,</w:t>
      </w:r>
      <w:r w:rsidRPr="0039097A">
        <w:rPr>
          <w:rFonts w:ascii="Verdana" w:hAnsi="Verdana" w:cs="Times New Roman"/>
          <w:sz w:val="20"/>
          <w:szCs w:val="20"/>
        </w:rPr>
        <w:t xml:space="preserve"> que se encontraba embarazada</w:t>
      </w:r>
      <w:r w:rsidRPr="0039097A">
        <w:rPr>
          <w:rStyle w:val="Refdenotaalpie"/>
          <w:rFonts w:ascii="Verdana" w:hAnsi="Verdana" w:cs="Times New Roman"/>
          <w:sz w:val="20"/>
          <w:szCs w:val="20"/>
        </w:rPr>
        <w:footnoteReference w:id="83"/>
      </w:r>
      <w:r w:rsidR="00DD24B1">
        <w:rPr>
          <w:rFonts w:ascii="Verdana" w:hAnsi="Verdana" w:cs="Times New Roman"/>
          <w:sz w:val="20"/>
          <w:szCs w:val="20"/>
        </w:rPr>
        <w:t>;</w:t>
      </w:r>
      <w:r w:rsidRPr="0039097A">
        <w:rPr>
          <w:rFonts w:ascii="Verdana" w:hAnsi="Verdana" w:cs="Times New Roman"/>
          <w:sz w:val="20"/>
          <w:szCs w:val="20"/>
        </w:rPr>
        <w:t xml:space="preserve"> posteriormente ambos fueron trasladados al 6to Regimiento de Caballería dependiente de la División del Ejército </w:t>
      </w:r>
      <w:proofErr w:type="spellStart"/>
      <w:r w:rsidRPr="0039097A">
        <w:rPr>
          <w:rFonts w:ascii="Verdana" w:hAnsi="Verdana" w:cs="Times New Roman"/>
          <w:sz w:val="20"/>
          <w:szCs w:val="20"/>
        </w:rPr>
        <w:t>N°</w:t>
      </w:r>
      <w:proofErr w:type="spellEnd"/>
      <w:r w:rsidRPr="0039097A">
        <w:rPr>
          <w:rFonts w:ascii="Verdana" w:hAnsi="Verdana" w:cs="Times New Roman"/>
          <w:sz w:val="20"/>
          <w:szCs w:val="20"/>
        </w:rPr>
        <w:t xml:space="preserve"> 1</w:t>
      </w:r>
      <w:r w:rsidRPr="0039097A">
        <w:rPr>
          <w:rStyle w:val="Refdenotaalpie"/>
          <w:rFonts w:ascii="Verdana" w:hAnsi="Verdana" w:cs="Times New Roman"/>
          <w:sz w:val="20"/>
          <w:szCs w:val="20"/>
        </w:rPr>
        <w:footnoteReference w:id="84"/>
      </w:r>
      <w:r w:rsidRPr="0039097A">
        <w:rPr>
          <w:rFonts w:ascii="Verdana" w:hAnsi="Verdana" w:cs="Times New Roman"/>
          <w:sz w:val="20"/>
          <w:szCs w:val="20"/>
        </w:rPr>
        <w:t xml:space="preserve">. </w:t>
      </w:r>
    </w:p>
    <w:p w14:paraId="7987955A"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6179A5D7"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t>Conforme indicó la Comisión, y según surge de la prueba, tres</w:t>
      </w:r>
      <w:r w:rsidRPr="0039097A">
        <w:rPr>
          <w:rFonts w:ascii="Verdana" w:hAnsi="Verdana" w:cs="Times New Roman"/>
          <w:sz w:val="20"/>
          <w:szCs w:val="20"/>
        </w:rPr>
        <w:t xml:space="preserve"> personas que </w:t>
      </w:r>
      <w:r>
        <w:rPr>
          <w:rFonts w:ascii="Verdana" w:hAnsi="Verdana" w:cs="Times New Roman"/>
          <w:sz w:val="20"/>
          <w:szCs w:val="20"/>
        </w:rPr>
        <w:t>estuvieron</w:t>
      </w:r>
      <w:r w:rsidRPr="0039097A">
        <w:rPr>
          <w:rFonts w:ascii="Verdana" w:hAnsi="Verdana" w:cs="Times New Roman"/>
          <w:sz w:val="20"/>
          <w:szCs w:val="20"/>
        </w:rPr>
        <w:t xml:space="preserve"> </w:t>
      </w:r>
      <w:r>
        <w:rPr>
          <w:rFonts w:ascii="Verdana" w:hAnsi="Verdana" w:cs="Times New Roman"/>
          <w:sz w:val="20"/>
          <w:szCs w:val="20"/>
        </w:rPr>
        <w:t>privadas de la libertad</w:t>
      </w:r>
      <w:r w:rsidRPr="0039097A">
        <w:rPr>
          <w:rFonts w:ascii="Verdana" w:hAnsi="Verdana" w:cs="Times New Roman"/>
          <w:sz w:val="20"/>
          <w:szCs w:val="20"/>
        </w:rPr>
        <w:t xml:space="preserve"> </w:t>
      </w:r>
      <w:r>
        <w:rPr>
          <w:rFonts w:ascii="Verdana" w:hAnsi="Verdana" w:cs="Times New Roman"/>
          <w:sz w:val="20"/>
          <w:szCs w:val="20"/>
        </w:rPr>
        <w:t>junto con</w:t>
      </w:r>
      <w:r w:rsidRPr="0039097A">
        <w:rPr>
          <w:rFonts w:ascii="Verdana" w:hAnsi="Verdana" w:cs="Times New Roman"/>
          <w:sz w:val="20"/>
          <w:szCs w:val="20"/>
        </w:rPr>
        <w:t xml:space="preserve"> Luis Eduardo González</w:t>
      </w:r>
      <w:r>
        <w:rPr>
          <w:rFonts w:ascii="Verdana" w:hAnsi="Verdana" w:cs="Times New Roman"/>
          <w:sz w:val="20"/>
          <w:szCs w:val="20"/>
        </w:rPr>
        <w:t xml:space="preserve"> </w:t>
      </w:r>
      <w:proofErr w:type="spellStart"/>
      <w:proofErr w:type="gramStart"/>
      <w:r>
        <w:rPr>
          <w:rFonts w:ascii="Verdana" w:hAnsi="Verdana" w:cs="Times New Roman"/>
          <w:sz w:val="20"/>
          <w:szCs w:val="20"/>
        </w:rPr>
        <w:t>González</w:t>
      </w:r>
      <w:proofErr w:type="spellEnd"/>
      <w:r>
        <w:rPr>
          <w:rFonts w:ascii="Verdana" w:hAnsi="Verdana" w:cs="Times New Roman"/>
          <w:sz w:val="20"/>
          <w:szCs w:val="20"/>
        </w:rPr>
        <w:t>,</w:t>
      </w:r>
      <w:proofErr w:type="gramEnd"/>
      <w:r w:rsidRPr="0039097A">
        <w:rPr>
          <w:rFonts w:ascii="Verdana" w:hAnsi="Verdana" w:cs="Times New Roman"/>
          <w:sz w:val="20"/>
          <w:szCs w:val="20"/>
        </w:rPr>
        <w:t xml:space="preserve"> señalaron</w:t>
      </w:r>
      <w:r>
        <w:rPr>
          <w:rFonts w:ascii="Verdana" w:hAnsi="Verdana" w:cs="Times New Roman"/>
          <w:sz w:val="20"/>
          <w:szCs w:val="20"/>
        </w:rPr>
        <w:t>, en declaraciones posteriores,</w:t>
      </w:r>
      <w:r w:rsidRPr="0039097A">
        <w:rPr>
          <w:rFonts w:ascii="Verdana" w:hAnsi="Verdana" w:cs="Times New Roman"/>
          <w:sz w:val="20"/>
          <w:szCs w:val="20"/>
        </w:rPr>
        <w:t xml:space="preserve"> </w:t>
      </w:r>
      <w:r>
        <w:rPr>
          <w:rFonts w:ascii="Verdana" w:hAnsi="Verdana" w:cs="Times New Roman"/>
          <w:sz w:val="20"/>
          <w:szCs w:val="20"/>
        </w:rPr>
        <w:t>el</w:t>
      </w:r>
      <w:r w:rsidRPr="0039097A">
        <w:rPr>
          <w:rFonts w:ascii="Verdana" w:hAnsi="Verdana" w:cs="Times New Roman"/>
          <w:sz w:val="20"/>
          <w:szCs w:val="20"/>
        </w:rPr>
        <w:t xml:space="preserve"> deteriorado estado físico y mental</w:t>
      </w:r>
      <w:r>
        <w:rPr>
          <w:rFonts w:ascii="Verdana" w:hAnsi="Verdana" w:cs="Times New Roman"/>
          <w:sz w:val="20"/>
          <w:szCs w:val="20"/>
        </w:rPr>
        <w:t xml:space="preserve"> que él tenía en ese tiempo</w:t>
      </w:r>
      <w:r w:rsidRPr="0039097A">
        <w:rPr>
          <w:rFonts w:ascii="Verdana" w:hAnsi="Verdana" w:cs="Times New Roman"/>
          <w:sz w:val="20"/>
          <w:szCs w:val="20"/>
        </w:rPr>
        <w:t xml:space="preserve">, </w:t>
      </w:r>
      <w:r>
        <w:rPr>
          <w:rFonts w:ascii="Verdana" w:hAnsi="Verdana" w:cs="Times New Roman"/>
          <w:sz w:val="20"/>
          <w:szCs w:val="20"/>
        </w:rPr>
        <w:t>así como “</w:t>
      </w:r>
      <w:r w:rsidRPr="0039097A">
        <w:rPr>
          <w:rFonts w:ascii="Verdana" w:hAnsi="Verdana" w:cs="Times New Roman"/>
          <w:sz w:val="20"/>
          <w:szCs w:val="20"/>
        </w:rPr>
        <w:t>los malos tratos y torturas</w:t>
      </w:r>
      <w:r>
        <w:rPr>
          <w:rFonts w:ascii="Verdana" w:hAnsi="Verdana" w:cs="Times New Roman"/>
          <w:sz w:val="20"/>
          <w:szCs w:val="20"/>
        </w:rPr>
        <w:t>”</w:t>
      </w:r>
      <w:r w:rsidRPr="0039097A">
        <w:rPr>
          <w:rFonts w:ascii="Verdana" w:hAnsi="Verdana" w:cs="Times New Roman"/>
          <w:sz w:val="20"/>
          <w:szCs w:val="20"/>
        </w:rPr>
        <w:t xml:space="preserve"> a las que eran sometidos</w:t>
      </w:r>
      <w:r>
        <w:rPr>
          <w:rStyle w:val="Refdenotaalpie"/>
          <w:rFonts w:ascii="Verdana" w:hAnsi="Verdana" w:cs="Times New Roman"/>
          <w:sz w:val="20"/>
          <w:szCs w:val="20"/>
        </w:rPr>
        <w:footnoteReference w:id="85"/>
      </w:r>
      <w:r>
        <w:rPr>
          <w:rFonts w:ascii="Verdana" w:hAnsi="Verdana" w:cs="Times New Roman"/>
          <w:sz w:val="20"/>
          <w:szCs w:val="20"/>
        </w:rPr>
        <w:t xml:space="preserve">. También el Fiscal Especializado afirmó que el señor González </w:t>
      </w:r>
      <w:proofErr w:type="spellStart"/>
      <w:r>
        <w:rPr>
          <w:rFonts w:ascii="Verdana" w:hAnsi="Verdana" w:cs="Times New Roman"/>
          <w:sz w:val="20"/>
          <w:szCs w:val="20"/>
        </w:rPr>
        <w:t>González</w:t>
      </w:r>
      <w:proofErr w:type="spellEnd"/>
      <w:r>
        <w:rPr>
          <w:rFonts w:ascii="Verdana" w:hAnsi="Verdana" w:cs="Times New Roman"/>
          <w:sz w:val="20"/>
          <w:szCs w:val="20"/>
        </w:rPr>
        <w:t xml:space="preserve"> fue “torturado”</w:t>
      </w:r>
      <w:r w:rsidRPr="0039097A">
        <w:rPr>
          <w:rStyle w:val="Refdenotaalpie"/>
          <w:rFonts w:ascii="Verdana" w:hAnsi="Verdana" w:cs="Times New Roman"/>
          <w:sz w:val="20"/>
          <w:szCs w:val="20"/>
        </w:rPr>
        <w:footnoteReference w:id="86"/>
      </w:r>
      <w:r>
        <w:rPr>
          <w:rFonts w:ascii="Verdana" w:hAnsi="Verdana" w:cs="Times New Roman"/>
          <w:sz w:val="20"/>
          <w:szCs w:val="20"/>
        </w:rPr>
        <w:t>, y ello es conteste con la declaración oral dada ante la Corte por su esposa, la señora Zaffaroni, así como con otros señalamientos anteriores de ella, como se exponen a continuación</w:t>
      </w:r>
      <w:r w:rsidRPr="0039097A">
        <w:rPr>
          <w:rFonts w:ascii="Verdana" w:hAnsi="Verdana" w:cs="Times New Roman"/>
          <w:sz w:val="20"/>
          <w:szCs w:val="20"/>
        </w:rPr>
        <w:t xml:space="preserve">. </w:t>
      </w:r>
    </w:p>
    <w:p w14:paraId="12DC1B86" w14:textId="77777777" w:rsidR="002A53BF" w:rsidRPr="0039097A" w:rsidRDefault="002A53BF" w:rsidP="005A5029">
      <w:pPr>
        <w:pStyle w:val="Prrafodelista"/>
        <w:spacing w:line="240" w:lineRule="exact"/>
        <w:ind w:left="0"/>
        <w:rPr>
          <w:rFonts w:ascii="Verdana" w:hAnsi="Verdana" w:cs="Times New Roman"/>
          <w:sz w:val="20"/>
          <w:szCs w:val="20"/>
        </w:rPr>
      </w:pPr>
    </w:p>
    <w:p w14:paraId="2118A52B"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La esposa de</w:t>
      </w:r>
      <w:r>
        <w:rPr>
          <w:rFonts w:ascii="Verdana" w:hAnsi="Verdana" w:cs="Times New Roman"/>
          <w:sz w:val="20"/>
          <w:szCs w:val="20"/>
        </w:rPr>
        <w:t xml:space="preserve">l señor González </w:t>
      </w:r>
      <w:proofErr w:type="spellStart"/>
      <w:r>
        <w:rPr>
          <w:rFonts w:ascii="Verdana" w:hAnsi="Verdana" w:cs="Times New Roman"/>
          <w:sz w:val="20"/>
          <w:szCs w:val="20"/>
        </w:rPr>
        <w:t>González</w:t>
      </w:r>
      <w:proofErr w:type="spellEnd"/>
      <w:r w:rsidRPr="0039097A">
        <w:rPr>
          <w:rFonts w:ascii="Verdana" w:hAnsi="Verdana" w:cs="Times New Roman"/>
          <w:sz w:val="20"/>
          <w:szCs w:val="20"/>
        </w:rPr>
        <w:t xml:space="preserve"> declaró que fue privada de libertad junto con éste y que en el lugar de reclusión se le mantuvo con los ojos vendados</w:t>
      </w:r>
      <w:r>
        <w:rPr>
          <w:rFonts w:ascii="Verdana" w:hAnsi="Verdana" w:cs="Times New Roman"/>
          <w:sz w:val="20"/>
          <w:szCs w:val="20"/>
        </w:rPr>
        <w:t xml:space="preserve"> buena parte</w:t>
      </w:r>
      <w:r w:rsidRPr="0039097A">
        <w:rPr>
          <w:rFonts w:ascii="Verdana" w:hAnsi="Verdana" w:cs="Times New Roman"/>
          <w:sz w:val="20"/>
          <w:szCs w:val="20"/>
        </w:rPr>
        <w:t xml:space="preserve"> del tiempo, pero </w:t>
      </w:r>
      <w:r>
        <w:rPr>
          <w:rFonts w:ascii="Verdana" w:hAnsi="Verdana" w:cs="Times New Roman"/>
          <w:sz w:val="20"/>
          <w:szCs w:val="20"/>
        </w:rPr>
        <w:t xml:space="preserve">que al día siguiente de ser aprehendidos pudo identificar a su esposo y luego intercambiar palabras con él, y al tercer día </w:t>
      </w:r>
      <w:r w:rsidRPr="0039097A">
        <w:rPr>
          <w:rFonts w:ascii="Verdana" w:hAnsi="Verdana" w:cs="Times New Roman"/>
          <w:sz w:val="20"/>
          <w:szCs w:val="20"/>
        </w:rPr>
        <w:t>p</w:t>
      </w:r>
      <w:r>
        <w:rPr>
          <w:rFonts w:ascii="Verdana" w:hAnsi="Verdana" w:cs="Times New Roman"/>
          <w:sz w:val="20"/>
          <w:szCs w:val="20"/>
        </w:rPr>
        <w:t>udo</w:t>
      </w:r>
      <w:r w:rsidRPr="0039097A">
        <w:rPr>
          <w:rFonts w:ascii="Verdana" w:hAnsi="Verdana" w:cs="Times New Roman"/>
          <w:sz w:val="20"/>
          <w:szCs w:val="20"/>
        </w:rPr>
        <w:t xml:space="preserve"> escuchar cuando torturaban a su esposo. Indicó que </w:t>
      </w:r>
      <w:r>
        <w:rPr>
          <w:rFonts w:ascii="Verdana" w:hAnsi="Verdana" w:cs="Times New Roman"/>
          <w:sz w:val="20"/>
          <w:szCs w:val="20"/>
        </w:rPr>
        <w:t xml:space="preserve">“aproximadamente el […] 18 de diciembre [de 1974]”, </w:t>
      </w:r>
      <w:r w:rsidRPr="0039097A">
        <w:rPr>
          <w:rFonts w:ascii="Verdana" w:hAnsi="Verdana" w:cs="Times New Roman"/>
          <w:sz w:val="20"/>
          <w:szCs w:val="20"/>
        </w:rPr>
        <w:t xml:space="preserve">en </w:t>
      </w:r>
      <w:r>
        <w:rPr>
          <w:rFonts w:ascii="Verdana" w:hAnsi="Verdana" w:cs="Times New Roman"/>
          <w:sz w:val="20"/>
          <w:szCs w:val="20"/>
        </w:rPr>
        <w:t xml:space="preserve">un </w:t>
      </w:r>
      <w:r w:rsidRPr="0039097A">
        <w:rPr>
          <w:rFonts w:ascii="Verdana" w:hAnsi="Verdana" w:cs="Times New Roman"/>
          <w:sz w:val="20"/>
          <w:szCs w:val="20"/>
        </w:rPr>
        <w:t>momento le quitaron la venda y</w:t>
      </w:r>
      <w:r>
        <w:rPr>
          <w:rFonts w:ascii="Verdana" w:hAnsi="Verdana" w:cs="Times New Roman"/>
          <w:sz w:val="20"/>
          <w:szCs w:val="20"/>
        </w:rPr>
        <w:t xml:space="preserve"> le hicieron ver</w:t>
      </w:r>
      <w:r w:rsidRPr="0039097A">
        <w:rPr>
          <w:rFonts w:ascii="Verdana" w:hAnsi="Verdana" w:cs="Times New Roman"/>
          <w:sz w:val="20"/>
          <w:szCs w:val="20"/>
        </w:rPr>
        <w:t xml:space="preserve"> que su esposo se encontraba teniendo convulsiones. Refirió que después de ese episodio no vio a su esposo hasta el 24 de diciembre</w:t>
      </w:r>
      <w:r>
        <w:rPr>
          <w:rFonts w:ascii="Verdana" w:hAnsi="Verdana" w:cs="Times New Roman"/>
          <w:sz w:val="20"/>
          <w:szCs w:val="20"/>
        </w:rPr>
        <w:t xml:space="preserve"> de 1974. Relató lo que sucedió entonces del siguiente modo</w:t>
      </w:r>
      <w:r w:rsidRPr="0039097A">
        <w:rPr>
          <w:rFonts w:ascii="Verdana" w:hAnsi="Verdana" w:cs="Times New Roman"/>
          <w:sz w:val="20"/>
          <w:szCs w:val="20"/>
        </w:rPr>
        <w:t xml:space="preserve">: </w:t>
      </w:r>
    </w:p>
    <w:p w14:paraId="49853305" w14:textId="77777777" w:rsidR="002A53BF" w:rsidRPr="0039097A" w:rsidRDefault="002A53BF" w:rsidP="005A5029">
      <w:pPr>
        <w:pStyle w:val="Prrafodelista"/>
        <w:spacing w:line="240" w:lineRule="exact"/>
        <w:rPr>
          <w:rFonts w:ascii="Verdana" w:hAnsi="Verdana" w:cs="Times New Roman"/>
          <w:sz w:val="20"/>
          <w:szCs w:val="20"/>
        </w:rPr>
      </w:pPr>
    </w:p>
    <w:p w14:paraId="16031CD6"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20"/>
          <w:szCs w:val="20"/>
        </w:rPr>
      </w:pPr>
      <w:r>
        <w:rPr>
          <w:rFonts w:ascii="Verdana" w:hAnsi="Verdana" w:cs="Times New Roman"/>
          <w:sz w:val="18"/>
          <w:szCs w:val="20"/>
        </w:rPr>
        <w:t xml:space="preserve">Me </w:t>
      </w:r>
      <w:r w:rsidRPr="0039097A">
        <w:rPr>
          <w:rFonts w:ascii="Verdana" w:hAnsi="Verdana" w:cs="Times New Roman"/>
          <w:sz w:val="18"/>
          <w:szCs w:val="20"/>
        </w:rPr>
        <w:t>lleva</w:t>
      </w:r>
      <w:r>
        <w:rPr>
          <w:rFonts w:ascii="Verdana" w:hAnsi="Verdana" w:cs="Times New Roman"/>
          <w:sz w:val="18"/>
          <w:szCs w:val="20"/>
        </w:rPr>
        <w:t xml:space="preserve">n </w:t>
      </w:r>
      <w:r w:rsidRPr="0039097A">
        <w:rPr>
          <w:rFonts w:ascii="Verdana" w:hAnsi="Verdana" w:cs="Times New Roman"/>
          <w:sz w:val="18"/>
          <w:szCs w:val="20"/>
        </w:rPr>
        <w:t>a un vagón donde está él, antes me habían dicho que iba a tener una entrevista con mi esposo</w:t>
      </w:r>
      <w:r w:rsidRPr="00F73E81">
        <w:rPr>
          <w:rFonts w:ascii="Verdana" w:hAnsi="Verdana" w:cs="Times New Roman"/>
          <w:sz w:val="18"/>
          <w:szCs w:val="20"/>
        </w:rPr>
        <w:t xml:space="preserve"> </w:t>
      </w:r>
      <w:r w:rsidRPr="00685170">
        <w:rPr>
          <w:rFonts w:ascii="Verdana" w:hAnsi="Verdana" w:cs="Times New Roman"/>
          <w:iCs/>
          <w:sz w:val="18"/>
          <w:szCs w:val="20"/>
        </w:rPr>
        <w:t>y</w:t>
      </w:r>
      <w:r w:rsidRPr="0039097A">
        <w:rPr>
          <w:rFonts w:ascii="Verdana" w:hAnsi="Verdana" w:cs="Times New Roman"/>
          <w:i/>
          <w:iCs/>
          <w:sz w:val="18"/>
          <w:szCs w:val="20"/>
        </w:rPr>
        <w:t xml:space="preserve"> </w:t>
      </w:r>
      <w:r w:rsidRPr="0039097A">
        <w:rPr>
          <w:rFonts w:ascii="Verdana" w:hAnsi="Verdana" w:cs="Times New Roman"/>
          <w:sz w:val="18"/>
          <w:szCs w:val="20"/>
        </w:rPr>
        <w:t>que iban a proponer mi libertad sobre la base de la colaboración de él, me preguntaron qué opinaba y yo dije que lo quería ver. - Nos pusieron frente a frente, en el vagón con mi esposo, yo con la venda</w:t>
      </w:r>
      <w:r>
        <w:rPr>
          <w:rFonts w:ascii="Verdana" w:hAnsi="Verdana" w:cs="Times New Roman"/>
          <w:sz w:val="18"/>
          <w:szCs w:val="20"/>
        </w:rPr>
        <w:t xml:space="preserve"> […] </w:t>
      </w:r>
      <w:r w:rsidRPr="00685170">
        <w:rPr>
          <w:rFonts w:ascii="Verdana" w:hAnsi="Verdana" w:cs="Arial"/>
          <w:iCs/>
          <w:sz w:val="18"/>
          <w:szCs w:val="20"/>
        </w:rPr>
        <w:t>y</w:t>
      </w:r>
      <w:r w:rsidRPr="0039097A">
        <w:rPr>
          <w:rFonts w:ascii="Verdana" w:hAnsi="Verdana" w:cs="Arial"/>
          <w:i/>
          <w:iCs/>
          <w:sz w:val="18"/>
          <w:szCs w:val="20"/>
        </w:rPr>
        <w:t xml:space="preserve"> </w:t>
      </w:r>
      <w:r>
        <w:rPr>
          <w:rFonts w:ascii="Verdana" w:hAnsi="Verdana" w:cs="Times New Roman"/>
          <w:sz w:val="18"/>
          <w:szCs w:val="20"/>
        </w:rPr>
        <w:t>é</w:t>
      </w:r>
      <w:r w:rsidRPr="0039097A">
        <w:rPr>
          <w:rFonts w:ascii="Verdana" w:hAnsi="Verdana" w:cs="Times New Roman"/>
          <w:sz w:val="18"/>
          <w:szCs w:val="20"/>
        </w:rPr>
        <w:t xml:space="preserve">l con una </w:t>
      </w:r>
      <w:proofErr w:type="gramStart"/>
      <w:r w:rsidRPr="0039097A">
        <w:rPr>
          <w:rFonts w:ascii="Verdana" w:hAnsi="Verdana" w:cs="Times New Roman"/>
          <w:sz w:val="18"/>
          <w:szCs w:val="20"/>
        </w:rPr>
        <w:t>capucha</w:t>
      </w:r>
      <w:r>
        <w:rPr>
          <w:rFonts w:ascii="Verdana" w:hAnsi="Verdana" w:cs="Times New Roman"/>
          <w:sz w:val="18"/>
          <w:szCs w:val="20"/>
        </w:rPr>
        <w:t>[</w:t>
      </w:r>
      <w:proofErr w:type="gramEnd"/>
      <w:r>
        <w:rPr>
          <w:rFonts w:ascii="Verdana" w:hAnsi="Verdana" w:cs="Times New Roman"/>
          <w:sz w:val="18"/>
          <w:szCs w:val="20"/>
        </w:rPr>
        <w:t>. E]</w:t>
      </w:r>
      <w:proofErr w:type="spellStart"/>
      <w:r w:rsidRPr="0039097A">
        <w:rPr>
          <w:rFonts w:ascii="Verdana" w:hAnsi="Verdana" w:cs="Times New Roman"/>
          <w:sz w:val="18"/>
          <w:szCs w:val="20"/>
        </w:rPr>
        <w:t>stábamos</w:t>
      </w:r>
      <w:proofErr w:type="spellEnd"/>
      <w:r w:rsidRPr="0039097A">
        <w:rPr>
          <w:rFonts w:ascii="Verdana" w:hAnsi="Verdana" w:cs="Times New Roman"/>
          <w:sz w:val="18"/>
          <w:szCs w:val="20"/>
        </w:rPr>
        <w:t xml:space="preserve"> rodeados de personas y mi esposo y </w:t>
      </w:r>
      <w:r w:rsidRPr="00685170">
        <w:rPr>
          <w:rFonts w:ascii="Verdana" w:hAnsi="Verdana" w:cs="Times New Roman"/>
          <w:iCs/>
          <w:sz w:val="18"/>
          <w:szCs w:val="20"/>
        </w:rPr>
        <w:t>yo</w:t>
      </w:r>
      <w:r w:rsidRPr="0039097A">
        <w:rPr>
          <w:rFonts w:ascii="Verdana" w:hAnsi="Verdana" w:cs="Times New Roman"/>
          <w:i/>
          <w:iCs/>
          <w:sz w:val="18"/>
          <w:szCs w:val="20"/>
        </w:rPr>
        <w:t xml:space="preserve"> </w:t>
      </w:r>
      <w:r w:rsidRPr="0039097A">
        <w:rPr>
          <w:rFonts w:ascii="Verdana" w:hAnsi="Verdana" w:cs="Times New Roman"/>
          <w:sz w:val="18"/>
          <w:szCs w:val="20"/>
        </w:rPr>
        <w:t xml:space="preserve">tomados de las manos, sentados uno frente al otro y mi esposo les dice que habían dicho que iba a ser sin capucha y ellos se pusieron a los gritos que tenía que ser con </w:t>
      </w:r>
      <w:proofErr w:type="gramStart"/>
      <w:r w:rsidRPr="0039097A">
        <w:rPr>
          <w:rFonts w:ascii="Verdana" w:hAnsi="Verdana" w:cs="Times New Roman"/>
          <w:sz w:val="18"/>
          <w:szCs w:val="20"/>
        </w:rPr>
        <w:t>capucha</w:t>
      </w:r>
      <w:r>
        <w:rPr>
          <w:rFonts w:ascii="Verdana" w:hAnsi="Verdana" w:cs="Times New Roman"/>
          <w:sz w:val="18"/>
          <w:szCs w:val="20"/>
        </w:rPr>
        <w:t>[</w:t>
      </w:r>
      <w:proofErr w:type="gramEnd"/>
      <w:r>
        <w:rPr>
          <w:rFonts w:ascii="Verdana" w:hAnsi="Verdana" w:cs="Times New Roman"/>
          <w:sz w:val="18"/>
          <w:szCs w:val="20"/>
        </w:rPr>
        <w:t>. U]</w:t>
      </w:r>
      <w:r w:rsidRPr="0039097A">
        <w:rPr>
          <w:rFonts w:ascii="Verdana" w:hAnsi="Verdana" w:cs="Times New Roman"/>
          <w:sz w:val="18"/>
          <w:szCs w:val="20"/>
        </w:rPr>
        <w:t xml:space="preserve">no de los interrogadores dijo que estábamos los dos para decidir si me dejaban en libertad, siempre que el colaborara y le decían que a mí no me iban a hacer más nada y que </w:t>
      </w:r>
      <w:r>
        <w:rPr>
          <w:rFonts w:ascii="Verdana" w:hAnsi="Verdana" w:cs="Times New Roman"/>
          <w:sz w:val="18"/>
          <w:szCs w:val="20"/>
        </w:rPr>
        <w:t>[dejarían que su]</w:t>
      </w:r>
      <w:r w:rsidRPr="0039097A">
        <w:rPr>
          <w:rFonts w:ascii="Verdana" w:hAnsi="Verdana" w:cs="Times New Roman"/>
          <w:sz w:val="18"/>
          <w:szCs w:val="20"/>
        </w:rPr>
        <w:t xml:space="preserve"> hijo naciera en </w:t>
      </w:r>
      <w:proofErr w:type="gramStart"/>
      <w:r w:rsidRPr="0039097A">
        <w:rPr>
          <w:rFonts w:ascii="Verdana" w:hAnsi="Verdana" w:cs="Times New Roman"/>
          <w:sz w:val="18"/>
          <w:szCs w:val="20"/>
        </w:rPr>
        <w:t>libertad</w:t>
      </w:r>
      <w:r>
        <w:rPr>
          <w:rFonts w:ascii="Verdana" w:hAnsi="Verdana" w:cs="Times New Roman"/>
          <w:sz w:val="18"/>
          <w:szCs w:val="20"/>
        </w:rPr>
        <w:t>[</w:t>
      </w:r>
      <w:proofErr w:type="gramEnd"/>
      <w:r>
        <w:rPr>
          <w:rFonts w:ascii="Verdana" w:hAnsi="Verdana" w:cs="Times New Roman"/>
          <w:sz w:val="18"/>
          <w:szCs w:val="20"/>
        </w:rPr>
        <w:t>. D]</w:t>
      </w:r>
      <w:proofErr w:type="spellStart"/>
      <w:r w:rsidRPr="0039097A">
        <w:rPr>
          <w:rFonts w:ascii="Verdana" w:hAnsi="Verdana" w:cs="Times New Roman"/>
          <w:sz w:val="18"/>
          <w:szCs w:val="20"/>
        </w:rPr>
        <w:t>ecía</w:t>
      </w:r>
      <w:proofErr w:type="spellEnd"/>
      <w:r w:rsidRPr="0039097A">
        <w:rPr>
          <w:rFonts w:ascii="Verdana" w:hAnsi="Verdana" w:cs="Times New Roman"/>
          <w:sz w:val="18"/>
          <w:szCs w:val="20"/>
        </w:rPr>
        <w:t xml:space="preserve"> el oficial que nos habían llevado de frente</w:t>
      </w:r>
      <w:r>
        <w:rPr>
          <w:rFonts w:ascii="Verdana" w:hAnsi="Verdana" w:cs="Times New Roman"/>
          <w:sz w:val="18"/>
          <w:szCs w:val="20"/>
        </w:rPr>
        <w:t xml:space="preserve"> […] </w:t>
      </w:r>
      <w:r w:rsidRPr="0039097A">
        <w:rPr>
          <w:rFonts w:ascii="Verdana" w:hAnsi="Verdana" w:cs="Times New Roman"/>
          <w:sz w:val="18"/>
          <w:szCs w:val="20"/>
        </w:rPr>
        <w:t xml:space="preserve">para que decidiéramos porque Luis no quería tomar solo esa decisión porque si colaboraba yo no lo iba a querer ver más. Mi esposo respiraba con dificultad, tenía el pantalón roto en lo que se podía ver, estaba descalzo y los pies hinchados </w:t>
      </w:r>
      <w:r w:rsidRPr="0039097A">
        <w:rPr>
          <w:rFonts w:ascii="Verdana" w:hAnsi="Verdana" w:cs="Times New Roman"/>
          <w:sz w:val="18"/>
          <w:szCs w:val="20"/>
        </w:rPr>
        <w:lastRenderedPageBreak/>
        <w:t xml:space="preserve">y lastimados, </w:t>
      </w:r>
      <w:r w:rsidRPr="00CE35A4">
        <w:rPr>
          <w:rFonts w:ascii="Verdana" w:hAnsi="Verdana" w:cs="Times New Roman"/>
          <w:iCs/>
          <w:sz w:val="18"/>
          <w:szCs w:val="20"/>
        </w:rPr>
        <w:t>yo</w:t>
      </w:r>
      <w:r w:rsidRPr="0039097A">
        <w:rPr>
          <w:rFonts w:ascii="Verdana" w:hAnsi="Verdana" w:cs="Times New Roman"/>
          <w:i/>
          <w:iCs/>
          <w:sz w:val="18"/>
          <w:szCs w:val="20"/>
        </w:rPr>
        <w:t xml:space="preserve"> </w:t>
      </w:r>
      <w:r w:rsidRPr="0039097A">
        <w:rPr>
          <w:rFonts w:ascii="Verdana" w:hAnsi="Verdana" w:cs="Times New Roman"/>
          <w:sz w:val="18"/>
          <w:szCs w:val="20"/>
        </w:rPr>
        <w:t xml:space="preserve">me puse a llorar, diciendo que era su vida </w:t>
      </w:r>
      <w:r w:rsidRPr="00CE35A4">
        <w:rPr>
          <w:rFonts w:ascii="Verdana" w:hAnsi="Verdana" w:cs="Arial"/>
          <w:iCs/>
          <w:sz w:val="18"/>
          <w:szCs w:val="20"/>
        </w:rPr>
        <w:t xml:space="preserve">y </w:t>
      </w:r>
      <w:r>
        <w:rPr>
          <w:rFonts w:ascii="Verdana" w:hAnsi="Verdana" w:cs="Arial"/>
          <w:iCs/>
          <w:sz w:val="18"/>
          <w:szCs w:val="20"/>
        </w:rPr>
        <w:t xml:space="preserve">[que] </w:t>
      </w:r>
      <w:r w:rsidRPr="0039097A">
        <w:rPr>
          <w:rFonts w:ascii="Verdana" w:hAnsi="Verdana" w:cs="Times New Roman"/>
          <w:sz w:val="18"/>
          <w:szCs w:val="20"/>
        </w:rPr>
        <w:t xml:space="preserve">no hiciera nada por mí y él me decía que lo tenía que </w:t>
      </w:r>
      <w:proofErr w:type="gramStart"/>
      <w:r w:rsidRPr="0039097A">
        <w:rPr>
          <w:rFonts w:ascii="Verdana" w:hAnsi="Verdana" w:cs="Times New Roman"/>
          <w:sz w:val="18"/>
          <w:szCs w:val="20"/>
        </w:rPr>
        <w:t>pensar</w:t>
      </w:r>
      <w:r>
        <w:rPr>
          <w:rFonts w:ascii="Verdana" w:hAnsi="Verdana" w:cs="Times New Roman"/>
          <w:sz w:val="18"/>
          <w:szCs w:val="20"/>
        </w:rPr>
        <w:t>[</w:t>
      </w:r>
      <w:proofErr w:type="gramEnd"/>
      <w:r>
        <w:rPr>
          <w:rFonts w:ascii="Verdana" w:hAnsi="Verdana" w:cs="Times New Roman"/>
          <w:sz w:val="18"/>
          <w:szCs w:val="20"/>
        </w:rPr>
        <w:t>,]</w:t>
      </w:r>
      <w:r w:rsidRPr="0039097A">
        <w:rPr>
          <w:rFonts w:ascii="Verdana" w:hAnsi="Verdana" w:cs="Times New Roman"/>
          <w:sz w:val="18"/>
          <w:szCs w:val="20"/>
        </w:rPr>
        <w:t xml:space="preserve"> que le había</w:t>
      </w:r>
      <w:r>
        <w:rPr>
          <w:rFonts w:ascii="Verdana" w:hAnsi="Verdana" w:cs="Times New Roman"/>
          <w:sz w:val="18"/>
          <w:szCs w:val="20"/>
        </w:rPr>
        <w:t>[n]</w:t>
      </w:r>
      <w:r w:rsidRPr="0039097A">
        <w:rPr>
          <w:rFonts w:ascii="Verdana" w:hAnsi="Verdana" w:cs="Times New Roman"/>
          <w:sz w:val="18"/>
          <w:szCs w:val="20"/>
        </w:rPr>
        <w:t xml:space="preserve"> prometido </w:t>
      </w:r>
      <w:r>
        <w:rPr>
          <w:rFonts w:ascii="Verdana" w:hAnsi="Verdana" w:cs="Times New Roman"/>
          <w:sz w:val="18"/>
          <w:szCs w:val="20"/>
        </w:rPr>
        <w:t>[24]</w:t>
      </w:r>
      <w:r w:rsidRPr="0039097A">
        <w:rPr>
          <w:rFonts w:ascii="Verdana" w:hAnsi="Verdana" w:cs="Times New Roman"/>
          <w:sz w:val="18"/>
          <w:szCs w:val="20"/>
        </w:rPr>
        <w:t xml:space="preserve"> horas para que yo pensara</w:t>
      </w:r>
      <w:r>
        <w:rPr>
          <w:rFonts w:ascii="Verdana" w:hAnsi="Verdana" w:cs="Times New Roman"/>
          <w:sz w:val="18"/>
          <w:szCs w:val="20"/>
        </w:rPr>
        <w:t>[,]</w:t>
      </w:r>
      <w:r w:rsidRPr="0039097A">
        <w:rPr>
          <w:rFonts w:ascii="Verdana" w:hAnsi="Verdana" w:cs="Times New Roman"/>
          <w:sz w:val="18"/>
          <w:szCs w:val="20"/>
        </w:rPr>
        <w:t xml:space="preserve"> y yo le decía que no</w:t>
      </w:r>
      <w:r>
        <w:rPr>
          <w:rFonts w:ascii="Verdana" w:hAnsi="Verdana" w:cs="Times New Roman"/>
          <w:sz w:val="18"/>
          <w:szCs w:val="20"/>
        </w:rPr>
        <w:t>[. E]</w:t>
      </w:r>
      <w:r w:rsidRPr="0039097A">
        <w:rPr>
          <w:rFonts w:ascii="Verdana" w:hAnsi="Verdana" w:cs="Times New Roman"/>
          <w:sz w:val="18"/>
          <w:szCs w:val="20"/>
        </w:rPr>
        <w:t xml:space="preserve">n el medio de la conversación me dijo que le preguntaban de la Argentina, de vinculaciones de gente de nuestro grupo, con gente de otras organizaciones políticas de la Argentina, </w:t>
      </w:r>
      <w:r>
        <w:rPr>
          <w:rFonts w:ascii="Verdana" w:hAnsi="Verdana" w:cs="Times New Roman"/>
          <w:sz w:val="18"/>
          <w:szCs w:val="20"/>
        </w:rPr>
        <w:t xml:space="preserve">[…] </w:t>
      </w:r>
      <w:r w:rsidRPr="0039097A">
        <w:rPr>
          <w:rFonts w:ascii="Verdana" w:hAnsi="Verdana" w:cs="Times New Roman"/>
          <w:sz w:val="18"/>
          <w:szCs w:val="20"/>
        </w:rPr>
        <w:t xml:space="preserve">me insistía que me tornara el tiempo, y me di cuenta </w:t>
      </w:r>
      <w:proofErr w:type="gramStart"/>
      <w:r w:rsidRPr="0039097A">
        <w:rPr>
          <w:rFonts w:ascii="Verdana" w:hAnsi="Verdana" w:cs="Times New Roman"/>
          <w:sz w:val="18"/>
          <w:szCs w:val="20"/>
        </w:rPr>
        <w:t>que</w:t>
      </w:r>
      <w:proofErr w:type="gramEnd"/>
      <w:r w:rsidRPr="0039097A">
        <w:rPr>
          <w:rFonts w:ascii="Verdana" w:hAnsi="Verdana" w:cs="Times New Roman"/>
          <w:sz w:val="18"/>
          <w:szCs w:val="20"/>
        </w:rPr>
        <w:t xml:space="preserve"> no resistiría otra se</w:t>
      </w:r>
      <w:r>
        <w:rPr>
          <w:rFonts w:ascii="Verdana" w:hAnsi="Verdana" w:cs="Times New Roman"/>
          <w:sz w:val="18"/>
          <w:szCs w:val="20"/>
        </w:rPr>
        <w:t>s</w:t>
      </w:r>
      <w:r w:rsidRPr="0039097A">
        <w:rPr>
          <w:rFonts w:ascii="Verdana" w:hAnsi="Verdana" w:cs="Times New Roman"/>
          <w:sz w:val="18"/>
          <w:szCs w:val="20"/>
        </w:rPr>
        <w:t xml:space="preserve">ión de torturas. Allí, cuando </w:t>
      </w:r>
      <w:r>
        <w:rPr>
          <w:rFonts w:ascii="Verdana" w:hAnsi="Verdana" w:cs="Times New Roman"/>
          <w:sz w:val="18"/>
          <w:szCs w:val="20"/>
        </w:rPr>
        <w:t>é</w:t>
      </w:r>
      <w:r w:rsidRPr="0039097A">
        <w:rPr>
          <w:rFonts w:ascii="Verdana" w:hAnsi="Verdana" w:cs="Times New Roman"/>
          <w:sz w:val="18"/>
          <w:szCs w:val="20"/>
        </w:rPr>
        <w:t xml:space="preserve">l habló de la vinculación con Argentina, </w:t>
      </w:r>
      <w:proofErr w:type="gramStart"/>
      <w:r w:rsidRPr="0039097A">
        <w:rPr>
          <w:rFonts w:ascii="Verdana" w:hAnsi="Verdana" w:cs="Times New Roman"/>
          <w:sz w:val="18"/>
          <w:szCs w:val="20"/>
        </w:rPr>
        <w:t>ellos</w:t>
      </w:r>
      <w:r>
        <w:rPr>
          <w:rFonts w:ascii="Verdana" w:hAnsi="Verdana" w:cs="Times New Roman"/>
          <w:sz w:val="18"/>
          <w:szCs w:val="20"/>
        </w:rPr>
        <w:t>[</w:t>
      </w:r>
      <w:proofErr w:type="gramEnd"/>
      <w:r>
        <w:rPr>
          <w:rFonts w:ascii="Verdana" w:hAnsi="Verdana" w:cs="Times New Roman"/>
          <w:sz w:val="18"/>
          <w:szCs w:val="20"/>
        </w:rPr>
        <w:t>,]</w:t>
      </w:r>
      <w:r w:rsidRPr="0039097A">
        <w:rPr>
          <w:rFonts w:ascii="Verdana" w:hAnsi="Verdana" w:cs="Times New Roman"/>
          <w:sz w:val="18"/>
          <w:szCs w:val="20"/>
        </w:rPr>
        <w:t xml:space="preserve"> los interrogadores</w:t>
      </w:r>
      <w:r>
        <w:rPr>
          <w:rFonts w:ascii="Verdana" w:hAnsi="Verdana" w:cs="Times New Roman"/>
          <w:sz w:val="18"/>
          <w:szCs w:val="20"/>
        </w:rPr>
        <w:t>[,]</w:t>
      </w:r>
      <w:r w:rsidRPr="0039097A">
        <w:rPr>
          <w:rFonts w:ascii="Verdana" w:hAnsi="Verdana" w:cs="Times New Roman"/>
          <w:sz w:val="18"/>
          <w:szCs w:val="20"/>
        </w:rPr>
        <w:t xml:space="preserve"> empezaron a ·gritar, diciendo "no </w:t>
      </w:r>
      <w:proofErr w:type="spellStart"/>
      <w:r w:rsidRPr="0039097A">
        <w:rPr>
          <w:rFonts w:ascii="Verdana" w:hAnsi="Verdana" w:cs="Times New Roman"/>
          <w:sz w:val="18"/>
          <w:szCs w:val="20"/>
        </w:rPr>
        <w:t>hablés</w:t>
      </w:r>
      <w:proofErr w:type="spellEnd"/>
      <w:r w:rsidRPr="0039097A">
        <w:rPr>
          <w:rFonts w:ascii="Verdana" w:hAnsi="Verdana" w:cs="Times New Roman"/>
          <w:sz w:val="18"/>
          <w:szCs w:val="20"/>
        </w:rPr>
        <w:t>, esto es para otra cosa"</w:t>
      </w:r>
      <w:r>
        <w:rPr>
          <w:rFonts w:ascii="Verdana" w:hAnsi="Verdana" w:cs="Times New Roman"/>
          <w:sz w:val="18"/>
          <w:szCs w:val="20"/>
        </w:rPr>
        <w:t>[. N]</w:t>
      </w:r>
      <w:r w:rsidRPr="0039097A">
        <w:rPr>
          <w:rFonts w:ascii="Verdana" w:hAnsi="Verdana" w:cs="Times New Roman"/>
          <w:sz w:val="18"/>
          <w:szCs w:val="20"/>
        </w:rPr>
        <w:t>os abrazamos con mi esposo, nos separaron por la puerta, me llevaron al barracón y no lo vi más</w:t>
      </w:r>
      <w:r w:rsidRPr="0039097A">
        <w:rPr>
          <w:rStyle w:val="Refdenotaalpie"/>
          <w:rFonts w:ascii="Verdana" w:hAnsi="Verdana" w:cs="Times New Roman"/>
          <w:sz w:val="18"/>
          <w:szCs w:val="20"/>
        </w:rPr>
        <w:footnoteReference w:id="87"/>
      </w:r>
      <w:r w:rsidRPr="0039097A">
        <w:rPr>
          <w:rFonts w:ascii="Verdana" w:hAnsi="Verdana" w:cs="Times New Roman"/>
          <w:sz w:val="18"/>
          <w:szCs w:val="20"/>
        </w:rPr>
        <w:t>.</w:t>
      </w:r>
    </w:p>
    <w:p w14:paraId="1076054D" w14:textId="77777777" w:rsidR="002A53BF" w:rsidRPr="0039097A" w:rsidRDefault="002A53BF" w:rsidP="005A5029">
      <w:pPr>
        <w:autoSpaceDE w:val="0"/>
        <w:autoSpaceDN w:val="0"/>
        <w:adjustRightInd w:val="0"/>
        <w:spacing w:after="0" w:line="240" w:lineRule="exact"/>
        <w:jc w:val="both"/>
        <w:rPr>
          <w:rFonts w:ascii="Verdana" w:hAnsi="Verdana" w:cs="Times New Roman"/>
          <w:sz w:val="20"/>
          <w:szCs w:val="20"/>
        </w:rPr>
      </w:pPr>
    </w:p>
    <w:p w14:paraId="1AB6205C" w14:textId="77777777" w:rsidR="002A53BF" w:rsidRPr="00685170"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La esposa de</w:t>
      </w:r>
      <w:r>
        <w:rPr>
          <w:rFonts w:ascii="Verdana" w:hAnsi="Verdana" w:cs="Times New Roman"/>
          <w:sz w:val="20"/>
          <w:szCs w:val="20"/>
        </w:rPr>
        <w:t xml:space="preserve">l señor González </w:t>
      </w:r>
      <w:proofErr w:type="spellStart"/>
      <w:r>
        <w:rPr>
          <w:rFonts w:ascii="Verdana" w:hAnsi="Verdana" w:cs="Times New Roman"/>
          <w:sz w:val="20"/>
          <w:szCs w:val="20"/>
        </w:rPr>
        <w:t>González</w:t>
      </w:r>
      <w:proofErr w:type="spellEnd"/>
      <w:r w:rsidRPr="0039097A">
        <w:rPr>
          <w:rFonts w:ascii="Verdana" w:hAnsi="Verdana" w:cs="Times New Roman"/>
          <w:sz w:val="20"/>
          <w:szCs w:val="20"/>
        </w:rPr>
        <w:t xml:space="preserve"> manifestó que fue liberada en 1978</w:t>
      </w:r>
      <w:r w:rsidRPr="0039097A">
        <w:rPr>
          <w:rStyle w:val="Refdenotaalpie"/>
          <w:rFonts w:ascii="Verdana" w:hAnsi="Verdana" w:cs="Times New Roman"/>
          <w:sz w:val="20"/>
          <w:szCs w:val="20"/>
        </w:rPr>
        <w:footnoteReference w:id="88"/>
      </w:r>
      <w:r w:rsidRPr="0039097A">
        <w:rPr>
          <w:rFonts w:ascii="Verdana" w:hAnsi="Verdana" w:cs="Times New Roman"/>
          <w:sz w:val="20"/>
          <w:szCs w:val="20"/>
        </w:rPr>
        <w:t xml:space="preserve">. Por su parte, la madre de </w:t>
      </w:r>
      <w:r>
        <w:rPr>
          <w:rFonts w:ascii="Verdana" w:hAnsi="Verdana" w:cs="Times New Roman"/>
          <w:sz w:val="20"/>
          <w:szCs w:val="20"/>
        </w:rPr>
        <w:t xml:space="preserve">él </w:t>
      </w:r>
      <w:r w:rsidRPr="0039097A">
        <w:rPr>
          <w:rFonts w:ascii="Verdana" w:hAnsi="Verdana" w:cs="Times New Roman"/>
          <w:sz w:val="20"/>
          <w:szCs w:val="20"/>
        </w:rPr>
        <w:t xml:space="preserve">señaló que días después de </w:t>
      </w:r>
      <w:r>
        <w:rPr>
          <w:rFonts w:ascii="Verdana" w:hAnsi="Verdana" w:cs="Times New Roman"/>
          <w:sz w:val="20"/>
          <w:szCs w:val="20"/>
        </w:rPr>
        <w:t xml:space="preserve">la </w:t>
      </w:r>
      <w:r w:rsidRPr="0039097A">
        <w:rPr>
          <w:rFonts w:ascii="Verdana" w:hAnsi="Verdana" w:cs="Times New Roman"/>
          <w:sz w:val="20"/>
          <w:szCs w:val="20"/>
        </w:rPr>
        <w:t xml:space="preserve">desaparición </w:t>
      </w:r>
      <w:r>
        <w:rPr>
          <w:rFonts w:ascii="Verdana" w:hAnsi="Verdana" w:cs="Times New Roman"/>
          <w:sz w:val="20"/>
          <w:szCs w:val="20"/>
        </w:rPr>
        <w:t xml:space="preserve">de su hijo </w:t>
      </w:r>
      <w:r w:rsidRPr="0039097A">
        <w:rPr>
          <w:rFonts w:ascii="Verdana" w:hAnsi="Verdana" w:cs="Times New Roman"/>
          <w:sz w:val="20"/>
          <w:szCs w:val="20"/>
        </w:rPr>
        <w:t>acudió a la División del Ejército No .1 donde un Mayor le informó que su hijo había sido llevado a reconocer un lugar</w:t>
      </w:r>
      <w:r>
        <w:rPr>
          <w:rFonts w:ascii="Verdana" w:hAnsi="Verdana" w:cs="Times New Roman"/>
          <w:sz w:val="20"/>
          <w:szCs w:val="20"/>
        </w:rPr>
        <w:t>, que</w:t>
      </w:r>
      <w:r w:rsidRPr="0039097A">
        <w:rPr>
          <w:rFonts w:ascii="Verdana" w:hAnsi="Verdana" w:cs="Times New Roman"/>
          <w:sz w:val="20"/>
          <w:szCs w:val="20"/>
        </w:rPr>
        <w:t xml:space="preserve"> allí se había fugado por una ventana y que "no le quisieron disparar; que probablemente ya hubiera cruzado</w:t>
      </w:r>
      <w:r>
        <w:rPr>
          <w:rFonts w:ascii="Verdana" w:hAnsi="Verdana" w:cs="Times New Roman"/>
          <w:sz w:val="20"/>
          <w:szCs w:val="20"/>
        </w:rPr>
        <w:t xml:space="preserve"> </w:t>
      </w:r>
      <w:r w:rsidRPr="00685170">
        <w:rPr>
          <w:rFonts w:ascii="Verdana" w:hAnsi="Verdana" w:cs="Times New Roman"/>
          <w:sz w:val="20"/>
          <w:szCs w:val="20"/>
        </w:rPr>
        <w:t>el charco"</w:t>
      </w:r>
      <w:r w:rsidRPr="0039097A">
        <w:rPr>
          <w:rStyle w:val="Refdenotaalpie"/>
          <w:rFonts w:ascii="Verdana" w:hAnsi="Verdana" w:cs="Times New Roman"/>
          <w:sz w:val="20"/>
          <w:szCs w:val="20"/>
        </w:rPr>
        <w:footnoteReference w:id="89"/>
      </w:r>
      <w:r w:rsidRPr="00685170">
        <w:rPr>
          <w:rFonts w:ascii="Verdana" w:hAnsi="Verdana" w:cs="Times New Roman"/>
          <w:sz w:val="20"/>
          <w:szCs w:val="20"/>
        </w:rPr>
        <w:t xml:space="preserve">. Expresó que el 6 de marzo de 1975 solicitó información a la División del Ejercito </w:t>
      </w:r>
      <w:proofErr w:type="spellStart"/>
      <w:r w:rsidRPr="00685170">
        <w:rPr>
          <w:rFonts w:ascii="Verdana" w:hAnsi="Verdana" w:cs="Times New Roman"/>
          <w:sz w:val="20"/>
          <w:szCs w:val="20"/>
        </w:rPr>
        <w:t>N°</w:t>
      </w:r>
      <w:proofErr w:type="spellEnd"/>
      <w:r w:rsidRPr="00685170">
        <w:rPr>
          <w:rFonts w:ascii="Verdana" w:hAnsi="Verdana" w:cs="Times New Roman"/>
          <w:sz w:val="20"/>
          <w:szCs w:val="20"/>
        </w:rPr>
        <w:t xml:space="preserve"> 1 sobre su hijo y de nuevo le contestaron que se había fugado del lugar de reclusión</w:t>
      </w:r>
      <w:r w:rsidRPr="0039097A">
        <w:rPr>
          <w:rStyle w:val="Refdenotaalpie"/>
          <w:rFonts w:ascii="Verdana" w:hAnsi="Verdana" w:cs="Times New Roman"/>
          <w:sz w:val="20"/>
          <w:szCs w:val="20"/>
        </w:rPr>
        <w:footnoteReference w:id="90"/>
      </w:r>
      <w:r w:rsidRPr="00685170">
        <w:rPr>
          <w:rFonts w:ascii="Verdana" w:hAnsi="Verdana" w:cs="Times New Roman"/>
          <w:sz w:val="20"/>
          <w:szCs w:val="20"/>
        </w:rPr>
        <w:t>. Señaló lo siguiente:</w:t>
      </w:r>
    </w:p>
    <w:p w14:paraId="5804248A" w14:textId="77777777" w:rsidR="002A53BF" w:rsidRPr="0039097A" w:rsidRDefault="002A53BF" w:rsidP="005A5029">
      <w:pPr>
        <w:autoSpaceDE w:val="0"/>
        <w:autoSpaceDN w:val="0"/>
        <w:adjustRightInd w:val="0"/>
        <w:spacing w:after="0" w:line="240" w:lineRule="exact"/>
        <w:jc w:val="both"/>
        <w:rPr>
          <w:rFonts w:ascii="Verdana" w:hAnsi="Verdana" w:cs="Times New Roman"/>
          <w:sz w:val="20"/>
          <w:szCs w:val="20"/>
        </w:rPr>
      </w:pPr>
    </w:p>
    <w:p w14:paraId="31FAA809" w14:textId="77777777" w:rsidR="002A53BF" w:rsidRPr="0039097A" w:rsidRDefault="002A53BF" w:rsidP="005A5029">
      <w:pPr>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Cuando salió requerido fui a averiguar a la Policía Militar Femenina y una funcionaria me dijo que si se hubiera fugado ella lo sabría, y que la ficha de mi hijo la habría hecho hacía unos días</w:t>
      </w:r>
      <w:r w:rsidRPr="00052873">
        <w:rPr>
          <w:rFonts w:ascii="Verdana" w:hAnsi="Verdana" w:cs="Times New Roman"/>
          <w:sz w:val="18"/>
          <w:szCs w:val="20"/>
        </w:rPr>
        <w:t xml:space="preserve"> </w:t>
      </w:r>
      <w:r w:rsidRPr="00685170">
        <w:rPr>
          <w:rFonts w:ascii="Verdana" w:hAnsi="Verdana" w:cs="Arial"/>
          <w:iCs/>
          <w:sz w:val="18"/>
          <w:szCs w:val="20"/>
        </w:rPr>
        <w:t>y</w:t>
      </w:r>
      <w:r w:rsidRPr="0039097A">
        <w:rPr>
          <w:rFonts w:ascii="Verdana" w:hAnsi="Verdana" w:cs="Arial"/>
          <w:i/>
          <w:iCs/>
          <w:sz w:val="18"/>
          <w:szCs w:val="20"/>
        </w:rPr>
        <w:t xml:space="preserve"> </w:t>
      </w:r>
      <w:r w:rsidRPr="0039097A">
        <w:rPr>
          <w:rFonts w:ascii="Verdana" w:hAnsi="Verdana" w:cs="Times New Roman"/>
          <w:sz w:val="18"/>
          <w:szCs w:val="20"/>
        </w:rPr>
        <w:t xml:space="preserve">que ella iba a averiguarle. – Ella cruzó un patrio grande, </w:t>
      </w:r>
      <w:r w:rsidRPr="0039097A">
        <w:rPr>
          <w:rFonts w:ascii="Verdana" w:hAnsi="Verdana" w:cs="Times New Roman"/>
          <w:i/>
          <w:iCs/>
          <w:sz w:val="18"/>
          <w:szCs w:val="20"/>
        </w:rPr>
        <w:t xml:space="preserve">y </w:t>
      </w:r>
      <w:r w:rsidRPr="0039097A">
        <w:rPr>
          <w:rFonts w:ascii="Verdana" w:hAnsi="Verdana" w:cs="Times New Roman"/>
          <w:sz w:val="18"/>
          <w:szCs w:val="20"/>
        </w:rPr>
        <w:t>volvió como a la hora, con signos evidentes de haber llorado,</w:t>
      </w:r>
      <w:r w:rsidRPr="00052873">
        <w:rPr>
          <w:rFonts w:ascii="Verdana" w:hAnsi="Verdana" w:cs="Times New Roman"/>
          <w:sz w:val="18"/>
          <w:szCs w:val="20"/>
        </w:rPr>
        <w:t xml:space="preserve"> </w:t>
      </w:r>
      <w:r w:rsidRPr="00685170">
        <w:rPr>
          <w:rFonts w:ascii="Verdana" w:hAnsi="Verdana" w:cs="Times New Roman"/>
          <w:iCs/>
          <w:sz w:val="18"/>
          <w:szCs w:val="20"/>
        </w:rPr>
        <w:t>y</w:t>
      </w:r>
      <w:r w:rsidRPr="0039097A">
        <w:rPr>
          <w:rFonts w:ascii="Verdana" w:hAnsi="Verdana" w:cs="Times New Roman"/>
          <w:i/>
          <w:iCs/>
          <w:sz w:val="18"/>
          <w:szCs w:val="20"/>
        </w:rPr>
        <w:t xml:space="preserve"> </w:t>
      </w:r>
      <w:r w:rsidRPr="0039097A">
        <w:rPr>
          <w:rFonts w:ascii="Verdana" w:hAnsi="Verdana" w:cs="Times New Roman"/>
          <w:sz w:val="18"/>
          <w:szCs w:val="20"/>
        </w:rPr>
        <w:t>cambiando el tono, que me había tratado amablemente, me dijo que mi hijo se había fugado y que cuando apareciera se me iba a comunicar</w:t>
      </w:r>
      <w:r w:rsidRPr="0039097A">
        <w:rPr>
          <w:rStyle w:val="Refdenotaalpie"/>
          <w:rFonts w:ascii="Verdana" w:hAnsi="Verdana" w:cs="Times New Roman"/>
          <w:sz w:val="18"/>
          <w:szCs w:val="20"/>
        </w:rPr>
        <w:footnoteReference w:id="91"/>
      </w:r>
      <w:r w:rsidRPr="0039097A">
        <w:rPr>
          <w:rFonts w:ascii="Verdana" w:hAnsi="Verdana" w:cs="Times New Roman"/>
          <w:sz w:val="18"/>
          <w:szCs w:val="20"/>
        </w:rPr>
        <w:t xml:space="preserve">. </w:t>
      </w:r>
    </w:p>
    <w:p w14:paraId="780D3C4E" w14:textId="77777777" w:rsidR="002A53BF" w:rsidRPr="0039097A" w:rsidRDefault="002A53BF" w:rsidP="005A5029">
      <w:pPr>
        <w:autoSpaceDE w:val="0"/>
        <w:autoSpaceDN w:val="0"/>
        <w:adjustRightInd w:val="0"/>
        <w:spacing w:after="0" w:line="240" w:lineRule="exact"/>
        <w:jc w:val="both"/>
        <w:rPr>
          <w:rFonts w:ascii="Verdana" w:hAnsi="Verdana" w:cs="Times New Roman"/>
          <w:sz w:val="20"/>
          <w:szCs w:val="20"/>
        </w:rPr>
      </w:pPr>
    </w:p>
    <w:p w14:paraId="2ECF70C7"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Indicó</w:t>
      </w:r>
      <w:r>
        <w:rPr>
          <w:rFonts w:ascii="Verdana" w:hAnsi="Verdana" w:cs="Times New Roman"/>
          <w:sz w:val="20"/>
          <w:szCs w:val="20"/>
        </w:rPr>
        <w:t xml:space="preserve">, al </w:t>
      </w:r>
      <w:proofErr w:type="gramStart"/>
      <w:r>
        <w:rPr>
          <w:rFonts w:ascii="Verdana" w:hAnsi="Verdana" w:cs="Times New Roman"/>
          <w:sz w:val="20"/>
          <w:szCs w:val="20"/>
        </w:rPr>
        <w:t xml:space="preserve">respecto, </w:t>
      </w:r>
      <w:r w:rsidRPr="0039097A">
        <w:rPr>
          <w:rFonts w:ascii="Verdana" w:hAnsi="Verdana" w:cs="Times New Roman"/>
          <w:sz w:val="20"/>
          <w:szCs w:val="20"/>
        </w:rPr>
        <w:t xml:space="preserve"> que</w:t>
      </w:r>
      <w:proofErr w:type="gramEnd"/>
      <w:r w:rsidRPr="0039097A">
        <w:rPr>
          <w:rFonts w:ascii="Verdana" w:hAnsi="Verdana" w:cs="Times New Roman"/>
          <w:sz w:val="20"/>
          <w:szCs w:val="20"/>
        </w:rPr>
        <w:t xml:space="preserve"> el 11 de enero de 1976 su hijo </w:t>
      </w:r>
      <w:r>
        <w:rPr>
          <w:rFonts w:ascii="Verdana" w:hAnsi="Verdana" w:cs="Times New Roman"/>
          <w:sz w:val="20"/>
          <w:szCs w:val="20"/>
        </w:rPr>
        <w:t xml:space="preserve">había </w:t>
      </w:r>
      <w:r w:rsidRPr="0039097A">
        <w:rPr>
          <w:rFonts w:ascii="Verdana" w:hAnsi="Verdana" w:cs="Times New Roman"/>
          <w:sz w:val="20"/>
          <w:szCs w:val="20"/>
        </w:rPr>
        <w:t>apareci</w:t>
      </w:r>
      <w:r>
        <w:rPr>
          <w:rFonts w:ascii="Verdana" w:hAnsi="Verdana" w:cs="Times New Roman"/>
          <w:sz w:val="20"/>
          <w:szCs w:val="20"/>
        </w:rPr>
        <w:t>do</w:t>
      </w:r>
      <w:r w:rsidRPr="0039097A">
        <w:rPr>
          <w:rFonts w:ascii="Verdana" w:hAnsi="Verdana" w:cs="Times New Roman"/>
          <w:sz w:val="20"/>
          <w:szCs w:val="20"/>
        </w:rPr>
        <w:t xml:space="preserve"> </w:t>
      </w:r>
      <w:r>
        <w:rPr>
          <w:rFonts w:ascii="Verdana" w:hAnsi="Verdana" w:cs="Times New Roman"/>
          <w:sz w:val="20"/>
          <w:szCs w:val="20"/>
        </w:rPr>
        <w:t>“</w:t>
      </w:r>
      <w:r w:rsidRPr="0039097A">
        <w:rPr>
          <w:rFonts w:ascii="Verdana" w:hAnsi="Verdana" w:cs="Times New Roman"/>
          <w:sz w:val="20"/>
          <w:szCs w:val="20"/>
        </w:rPr>
        <w:t>requerido por la prensa</w:t>
      </w:r>
      <w:r>
        <w:rPr>
          <w:rFonts w:ascii="Verdana" w:hAnsi="Verdana" w:cs="Times New Roman"/>
          <w:sz w:val="20"/>
          <w:szCs w:val="20"/>
        </w:rPr>
        <w:t>”</w:t>
      </w:r>
      <w:r w:rsidRPr="0039097A">
        <w:rPr>
          <w:rFonts w:ascii="Verdana" w:hAnsi="Verdana" w:cs="Times New Roman"/>
          <w:sz w:val="20"/>
          <w:szCs w:val="20"/>
        </w:rPr>
        <w:t>, y en la foto parecía otra persona, "como si hubiera sido tratado horriblemente"</w:t>
      </w:r>
      <w:r w:rsidRPr="0039097A">
        <w:rPr>
          <w:rStyle w:val="Refdenotaalpie"/>
          <w:rFonts w:ascii="Verdana" w:hAnsi="Verdana" w:cs="Times New Roman"/>
          <w:sz w:val="20"/>
          <w:szCs w:val="20"/>
        </w:rPr>
        <w:footnoteReference w:id="92"/>
      </w:r>
      <w:r w:rsidRPr="0039097A">
        <w:rPr>
          <w:rFonts w:ascii="Verdana" w:hAnsi="Verdana" w:cs="Times New Roman"/>
          <w:sz w:val="20"/>
          <w:szCs w:val="20"/>
        </w:rPr>
        <w:t xml:space="preserve">. </w:t>
      </w:r>
    </w:p>
    <w:p w14:paraId="67264042"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b/>
          <w:bCs/>
          <w:sz w:val="20"/>
          <w:szCs w:val="20"/>
        </w:rPr>
      </w:pPr>
    </w:p>
    <w:p w14:paraId="417C0622" w14:textId="77777777" w:rsidR="002A53BF" w:rsidRPr="0039097A" w:rsidRDefault="002A53BF" w:rsidP="005A5029">
      <w:pPr>
        <w:pStyle w:val="Prrafodelista"/>
        <w:autoSpaceDE w:val="0"/>
        <w:autoSpaceDN w:val="0"/>
        <w:adjustRightInd w:val="0"/>
        <w:spacing w:after="0" w:line="240" w:lineRule="exact"/>
        <w:ind w:left="851"/>
        <w:jc w:val="both"/>
        <w:outlineLvl w:val="3"/>
        <w:rPr>
          <w:rFonts w:ascii="Verdana" w:hAnsi="Verdana" w:cs="Times New Roman"/>
          <w:i/>
          <w:sz w:val="20"/>
          <w:szCs w:val="20"/>
        </w:rPr>
      </w:pPr>
      <w:bookmarkStart w:id="26" w:name="_Toc85550400"/>
      <w:r w:rsidRPr="0039097A">
        <w:rPr>
          <w:rFonts w:ascii="Verdana" w:hAnsi="Verdana" w:cs="Times New Roman"/>
          <w:i/>
          <w:sz w:val="20"/>
          <w:szCs w:val="20"/>
        </w:rPr>
        <w:t>C.2.2 Investigación</w:t>
      </w:r>
      <w:bookmarkEnd w:id="26"/>
    </w:p>
    <w:p w14:paraId="4E041E3E"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0F090CD7"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El 24 de julio de 1985 Amalia González presentó ante el Juzgado Letrado de Primera Instancia en lo Penal de 10° Turno, una denuncia por la desaparición de su hijo</w:t>
      </w:r>
      <w:r>
        <w:rPr>
          <w:rFonts w:ascii="Verdana" w:hAnsi="Verdana" w:cs="Times New Roman"/>
          <w:sz w:val="20"/>
          <w:szCs w:val="20"/>
        </w:rPr>
        <w:t>,</w:t>
      </w:r>
      <w:r w:rsidRPr="0039097A">
        <w:rPr>
          <w:rFonts w:ascii="Verdana" w:hAnsi="Verdana" w:cs="Times New Roman"/>
          <w:sz w:val="20"/>
          <w:szCs w:val="20"/>
        </w:rPr>
        <w:t xml:space="preserve"> </w:t>
      </w:r>
      <w:r w:rsidRPr="0039097A">
        <w:rPr>
          <w:rFonts w:ascii="Verdana" w:hAnsi="Verdana" w:cs="Times New Roman"/>
          <w:sz w:val="20"/>
          <w:szCs w:val="20"/>
        </w:rPr>
        <w:lastRenderedPageBreak/>
        <w:t>Luis Eduardo González</w:t>
      </w:r>
      <w:r>
        <w:rPr>
          <w:rFonts w:ascii="Verdana" w:hAnsi="Verdana" w:cs="Times New Roman"/>
          <w:sz w:val="20"/>
          <w:szCs w:val="20"/>
        </w:rPr>
        <w:t xml:space="preserve"> </w:t>
      </w:r>
      <w:proofErr w:type="spellStart"/>
      <w:r>
        <w:rPr>
          <w:rFonts w:ascii="Verdana" w:hAnsi="Verdana" w:cs="Times New Roman"/>
          <w:sz w:val="20"/>
          <w:szCs w:val="20"/>
        </w:rPr>
        <w:t>González</w:t>
      </w:r>
      <w:proofErr w:type="spellEnd"/>
      <w:r w:rsidRPr="0039097A">
        <w:rPr>
          <w:rStyle w:val="Refdenotaalpie"/>
          <w:rFonts w:ascii="Verdana" w:hAnsi="Verdana" w:cs="Times New Roman"/>
          <w:sz w:val="20"/>
          <w:szCs w:val="20"/>
        </w:rPr>
        <w:footnoteReference w:id="93"/>
      </w:r>
      <w:r w:rsidRPr="0039097A">
        <w:rPr>
          <w:rFonts w:ascii="Verdana" w:hAnsi="Verdana" w:cs="Times New Roman"/>
          <w:sz w:val="20"/>
          <w:szCs w:val="20"/>
        </w:rPr>
        <w:t>. Asimismo, según información disponible</w:t>
      </w:r>
      <w:r>
        <w:rPr>
          <w:rFonts w:ascii="Verdana" w:hAnsi="Verdana" w:cs="Times New Roman"/>
          <w:sz w:val="20"/>
          <w:szCs w:val="20"/>
        </w:rPr>
        <w:t>,</w:t>
      </w:r>
      <w:r w:rsidRPr="0039097A">
        <w:rPr>
          <w:rFonts w:ascii="Verdana" w:hAnsi="Verdana" w:cs="Times New Roman"/>
          <w:sz w:val="20"/>
          <w:szCs w:val="20"/>
        </w:rPr>
        <w:t xml:space="preserve"> </w:t>
      </w:r>
      <w:r>
        <w:rPr>
          <w:rFonts w:ascii="Verdana" w:hAnsi="Verdana" w:cs="Times New Roman"/>
          <w:sz w:val="20"/>
          <w:szCs w:val="20"/>
        </w:rPr>
        <w:t xml:space="preserve">la consuegra de la señora González </w:t>
      </w:r>
      <w:r w:rsidRPr="0039097A">
        <w:rPr>
          <w:rFonts w:ascii="Verdana" w:hAnsi="Verdana" w:cs="Times New Roman"/>
          <w:sz w:val="20"/>
          <w:szCs w:val="20"/>
        </w:rPr>
        <w:t>presentó un</w:t>
      </w:r>
      <w:r>
        <w:rPr>
          <w:rFonts w:ascii="Verdana" w:hAnsi="Verdana" w:cs="Times New Roman"/>
          <w:sz w:val="20"/>
          <w:szCs w:val="20"/>
        </w:rPr>
        <w:t>a acción de</w:t>
      </w:r>
      <w:r w:rsidRPr="0039097A">
        <w:rPr>
          <w:rFonts w:ascii="Verdana" w:hAnsi="Verdana" w:cs="Times New Roman"/>
          <w:sz w:val="20"/>
          <w:szCs w:val="20"/>
        </w:rPr>
        <w:t xml:space="preserve"> </w:t>
      </w:r>
      <w:r w:rsidRPr="00FF240B">
        <w:rPr>
          <w:rFonts w:ascii="Verdana" w:hAnsi="Verdana" w:cs="Times New Roman"/>
          <w:sz w:val="20"/>
          <w:szCs w:val="20"/>
        </w:rPr>
        <w:t>h</w:t>
      </w:r>
      <w:r>
        <w:rPr>
          <w:rFonts w:ascii="Verdana" w:hAnsi="Verdana" w:cs="Times New Roman"/>
          <w:sz w:val="20"/>
          <w:szCs w:val="20"/>
        </w:rPr>
        <w:t>á</w:t>
      </w:r>
      <w:r w:rsidRPr="00FF240B">
        <w:rPr>
          <w:rFonts w:ascii="Verdana" w:hAnsi="Verdana" w:cs="Times New Roman"/>
          <w:sz w:val="20"/>
          <w:szCs w:val="20"/>
        </w:rPr>
        <w:t>beas corpus</w:t>
      </w:r>
      <w:r>
        <w:rPr>
          <w:rFonts w:ascii="Verdana" w:hAnsi="Verdana" w:cs="Times New Roman"/>
          <w:sz w:val="20"/>
          <w:szCs w:val="20"/>
        </w:rPr>
        <w:t xml:space="preserve"> y “</w:t>
      </w:r>
      <w:proofErr w:type="spellStart"/>
      <w:r>
        <w:rPr>
          <w:rFonts w:ascii="Verdana" w:hAnsi="Verdana" w:cs="Times New Roman"/>
          <w:sz w:val="20"/>
          <w:szCs w:val="20"/>
        </w:rPr>
        <w:t>realiz</w:t>
      </w:r>
      <w:proofErr w:type="spellEnd"/>
      <w:r>
        <w:rPr>
          <w:rFonts w:ascii="Verdana" w:hAnsi="Verdana" w:cs="Times New Roman"/>
          <w:sz w:val="20"/>
          <w:szCs w:val="20"/>
        </w:rPr>
        <w:t>[</w:t>
      </w:r>
      <w:proofErr w:type="spellStart"/>
      <w:r>
        <w:rPr>
          <w:rFonts w:ascii="Verdana" w:hAnsi="Verdana" w:cs="Times New Roman"/>
          <w:sz w:val="20"/>
          <w:szCs w:val="20"/>
        </w:rPr>
        <w:t>ó</w:t>
      </w:r>
      <w:proofErr w:type="spellEnd"/>
      <w:r>
        <w:rPr>
          <w:rFonts w:ascii="Verdana" w:hAnsi="Verdana" w:cs="Times New Roman"/>
          <w:sz w:val="20"/>
          <w:szCs w:val="20"/>
        </w:rPr>
        <w:t>] múltiples gestiones para dar con el paradero de sus hijos”</w:t>
      </w:r>
      <w:r w:rsidRPr="0039097A">
        <w:rPr>
          <w:rFonts w:ascii="Verdana" w:hAnsi="Verdana" w:cs="Times New Roman"/>
          <w:sz w:val="20"/>
          <w:szCs w:val="20"/>
        </w:rPr>
        <w:t xml:space="preserve">, </w:t>
      </w:r>
      <w:r>
        <w:rPr>
          <w:rFonts w:ascii="Verdana" w:hAnsi="Verdana" w:cs="Times New Roman"/>
          <w:sz w:val="20"/>
          <w:szCs w:val="20"/>
        </w:rPr>
        <w:t>sin resultados</w:t>
      </w:r>
      <w:r w:rsidRPr="0039097A">
        <w:rPr>
          <w:rStyle w:val="Refdenotaalpie"/>
          <w:rFonts w:ascii="Verdana" w:hAnsi="Verdana" w:cs="Times New Roman"/>
          <w:sz w:val="20"/>
          <w:szCs w:val="20"/>
        </w:rPr>
        <w:footnoteReference w:id="94"/>
      </w:r>
      <w:r w:rsidRPr="0039097A">
        <w:rPr>
          <w:rFonts w:ascii="Verdana" w:hAnsi="Verdana" w:cs="Times New Roman"/>
          <w:sz w:val="20"/>
          <w:szCs w:val="20"/>
        </w:rPr>
        <w:t>.</w:t>
      </w:r>
    </w:p>
    <w:p w14:paraId="693E3F30"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140AFF4A"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El 24 de septiembre de 1985 se originó un conflicto de competencia entre la jurisdicción ordinaria y</w:t>
      </w:r>
      <w:r>
        <w:rPr>
          <w:rFonts w:ascii="Verdana" w:hAnsi="Verdana" w:cs="Times New Roman"/>
          <w:sz w:val="20"/>
          <w:szCs w:val="20"/>
        </w:rPr>
        <w:t xml:space="preserve"> la</w:t>
      </w:r>
      <w:r w:rsidRPr="0039097A">
        <w:rPr>
          <w:rFonts w:ascii="Verdana" w:hAnsi="Verdana" w:cs="Times New Roman"/>
          <w:sz w:val="20"/>
          <w:szCs w:val="20"/>
        </w:rPr>
        <w:t xml:space="preserve"> jurisdicción militar</w:t>
      </w:r>
      <w:r w:rsidRPr="0039097A">
        <w:rPr>
          <w:rStyle w:val="Refdenotaalpie"/>
          <w:rFonts w:ascii="Verdana" w:hAnsi="Verdana" w:cs="Times New Roman"/>
          <w:sz w:val="20"/>
          <w:szCs w:val="20"/>
        </w:rPr>
        <w:footnoteReference w:id="95"/>
      </w:r>
      <w:r w:rsidRPr="0039097A">
        <w:rPr>
          <w:rFonts w:ascii="Verdana" w:hAnsi="Verdana" w:cs="Times New Roman"/>
          <w:sz w:val="20"/>
          <w:szCs w:val="20"/>
        </w:rPr>
        <w:t xml:space="preserve">. </w:t>
      </w:r>
      <w:r>
        <w:rPr>
          <w:rFonts w:ascii="Verdana" w:hAnsi="Verdana" w:cs="Times New Roman"/>
          <w:sz w:val="20"/>
          <w:szCs w:val="20"/>
        </w:rPr>
        <w:t>E</w:t>
      </w:r>
      <w:r w:rsidRPr="0039097A">
        <w:rPr>
          <w:rFonts w:ascii="Verdana" w:hAnsi="Verdana" w:cs="Times New Roman"/>
          <w:sz w:val="20"/>
          <w:szCs w:val="20"/>
        </w:rPr>
        <w:t xml:space="preserve">l 16 de febrero de 1987 la Suprema Corte de Justicia ordenó la remisión de los expedientes del caso </w:t>
      </w:r>
      <w:r w:rsidRPr="0039097A">
        <w:rPr>
          <w:rFonts w:ascii="Verdana" w:hAnsi="Verdana" w:cs="Arial"/>
          <w:sz w:val="20"/>
          <w:szCs w:val="20"/>
        </w:rPr>
        <w:t xml:space="preserve">al </w:t>
      </w:r>
      <w:r w:rsidRPr="0039097A">
        <w:rPr>
          <w:rFonts w:ascii="Verdana" w:hAnsi="Verdana" w:cs="Times New Roman"/>
          <w:sz w:val="20"/>
          <w:szCs w:val="20"/>
        </w:rPr>
        <w:t xml:space="preserve">Juzgado Letrado de Primera Instancia en lo Penal de </w:t>
      </w:r>
      <w:r w:rsidRPr="0039097A">
        <w:rPr>
          <w:rFonts w:ascii="Verdana" w:hAnsi="Verdana" w:cs="Arial"/>
          <w:sz w:val="20"/>
          <w:szCs w:val="20"/>
        </w:rPr>
        <w:t>11°</w:t>
      </w:r>
      <w:r w:rsidRPr="0039097A">
        <w:rPr>
          <w:rFonts w:ascii="Verdana" w:hAnsi="Verdana" w:cs="Times New Roman"/>
          <w:sz w:val="20"/>
          <w:szCs w:val="20"/>
        </w:rPr>
        <w:t xml:space="preserve"> Turno</w:t>
      </w:r>
      <w:r w:rsidRPr="0039097A">
        <w:rPr>
          <w:rStyle w:val="Refdenotaalpie"/>
          <w:rFonts w:ascii="Verdana" w:hAnsi="Verdana" w:cs="Times New Roman"/>
          <w:sz w:val="20"/>
          <w:szCs w:val="20"/>
        </w:rPr>
        <w:footnoteReference w:id="96"/>
      </w:r>
      <w:r w:rsidRPr="0039097A">
        <w:rPr>
          <w:rFonts w:ascii="Verdana" w:hAnsi="Verdana" w:cs="Times New Roman"/>
          <w:sz w:val="20"/>
          <w:szCs w:val="20"/>
        </w:rPr>
        <w:t>.</w:t>
      </w:r>
    </w:p>
    <w:p w14:paraId="04F06E1D" w14:textId="77777777" w:rsidR="002A53BF" w:rsidRPr="0039097A" w:rsidRDefault="002A53BF" w:rsidP="005A5029">
      <w:pPr>
        <w:autoSpaceDE w:val="0"/>
        <w:autoSpaceDN w:val="0"/>
        <w:adjustRightInd w:val="0"/>
        <w:spacing w:after="0" w:line="240" w:lineRule="exact"/>
        <w:jc w:val="both"/>
        <w:rPr>
          <w:rFonts w:ascii="Verdana" w:hAnsi="Verdana" w:cs="Times New Roman"/>
          <w:sz w:val="20"/>
          <w:szCs w:val="20"/>
        </w:rPr>
      </w:pPr>
    </w:p>
    <w:p w14:paraId="16BCF2CE"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t>C</w:t>
      </w:r>
      <w:r w:rsidRPr="0039097A">
        <w:rPr>
          <w:rFonts w:ascii="Verdana" w:hAnsi="Verdana" w:cs="Times New Roman"/>
          <w:sz w:val="20"/>
          <w:szCs w:val="20"/>
        </w:rPr>
        <w:t>omo se indicó con anterioridad</w:t>
      </w:r>
      <w:r>
        <w:rPr>
          <w:rFonts w:ascii="Verdana" w:hAnsi="Verdana" w:cs="Times New Roman"/>
          <w:sz w:val="20"/>
          <w:szCs w:val="20"/>
        </w:rPr>
        <w:t xml:space="preserve"> (</w:t>
      </w:r>
      <w:r>
        <w:rPr>
          <w:rFonts w:ascii="Verdana" w:hAnsi="Verdana" w:cs="Times New Roman"/>
          <w:i/>
          <w:sz w:val="20"/>
          <w:szCs w:val="20"/>
        </w:rPr>
        <w:t xml:space="preserve">supra </w:t>
      </w:r>
      <w:proofErr w:type="spellStart"/>
      <w:r>
        <w:rPr>
          <w:rFonts w:ascii="Verdana" w:hAnsi="Verdana" w:cs="Times New Roman"/>
          <w:sz w:val="20"/>
          <w:szCs w:val="20"/>
        </w:rPr>
        <w:t>párrs</w:t>
      </w:r>
      <w:proofErr w:type="spellEnd"/>
      <w:r>
        <w:rPr>
          <w:rFonts w:ascii="Verdana" w:hAnsi="Verdana" w:cs="Times New Roman"/>
          <w:sz w:val="20"/>
          <w:szCs w:val="20"/>
        </w:rPr>
        <w:t>. 40 y 62)</w:t>
      </w:r>
      <w:r w:rsidRPr="0039097A">
        <w:rPr>
          <w:rFonts w:ascii="Verdana" w:hAnsi="Verdana" w:cs="Times New Roman"/>
          <w:sz w:val="20"/>
          <w:szCs w:val="20"/>
        </w:rPr>
        <w:t xml:space="preserve">, el 22 de diciembre de 1986 se expidió la Ley de Caducidad. El 9 de abril de 1987 Amalia González </w:t>
      </w:r>
      <w:r>
        <w:rPr>
          <w:rFonts w:ascii="Verdana" w:hAnsi="Verdana" w:cs="Times New Roman"/>
          <w:sz w:val="20"/>
          <w:szCs w:val="20"/>
        </w:rPr>
        <w:t>presentó</w:t>
      </w:r>
      <w:r w:rsidRPr="0039097A">
        <w:rPr>
          <w:rFonts w:ascii="Verdana" w:hAnsi="Verdana" w:cs="Times New Roman"/>
          <w:sz w:val="20"/>
          <w:szCs w:val="20"/>
        </w:rPr>
        <w:t xml:space="preserve"> una acción de inconstitucionalidad en contra de los artículos 1, 2,</w:t>
      </w:r>
      <w:r>
        <w:rPr>
          <w:rFonts w:ascii="Verdana" w:hAnsi="Verdana" w:cs="Times New Roman"/>
          <w:sz w:val="20"/>
          <w:szCs w:val="20"/>
        </w:rPr>
        <w:t xml:space="preserve"> </w:t>
      </w:r>
      <w:r w:rsidRPr="0039097A">
        <w:rPr>
          <w:rFonts w:ascii="Verdana" w:hAnsi="Verdana" w:cs="Times New Roman"/>
          <w:sz w:val="20"/>
          <w:szCs w:val="20"/>
        </w:rPr>
        <w:t xml:space="preserve">3 y 4 de </w:t>
      </w:r>
      <w:r>
        <w:rPr>
          <w:rFonts w:ascii="Verdana" w:hAnsi="Verdana" w:cs="Times New Roman"/>
          <w:sz w:val="20"/>
          <w:szCs w:val="20"/>
        </w:rPr>
        <w:t>dicha ley,</w:t>
      </w:r>
      <w:r w:rsidRPr="0039097A">
        <w:rPr>
          <w:rFonts w:ascii="Verdana" w:hAnsi="Verdana" w:cs="Times New Roman"/>
          <w:sz w:val="20"/>
          <w:szCs w:val="20"/>
        </w:rPr>
        <w:t xml:space="preserve"> argumentando que estos violaban el principio de separación de poderes, la independencia judicial</w:t>
      </w:r>
      <w:r>
        <w:rPr>
          <w:rFonts w:ascii="Verdana" w:hAnsi="Verdana" w:cs="Times New Roman"/>
          <w:sz w:val="20"/>
          <w:szCs w:val="20"/>
        </w:rPr>
        <w:t>, el debido proceso y el derecho a la igualdad</w:t>
      </w:r>
      <w:r w:rsidRPr="0039097A">
        <w:rPr>
          <w:rStyle w:val="Refdenotaalpie"/>
          <w:rFonts w:ascii="Verdana" w:hAnsi="Verdana" w:cs="Times New Roman"/>
          <w:sz w:val="20"/>
          <w:szCs w:val="20"/>
        </w:rPr>
        <w:footnoteReference w:id="97"/>
      </w:r>
      <w:r w:rsidRPr="0039097A">
        <w:rPr>
          <w:rFonts w:ascii="Verdana" w:hAnsi="Verdana" w:cs="Times New Roman"/>
          <w:sz w:val="20"/>
          <w:szCs w:val="20"/>
        </w:rPr>
        <w:t>. El 2</w:t>
      </w:r>
      <w:r>
        <w:rPr>
          <w:rFonts w:ascii="Verdana" w:hAnsi="Verdana" w:cs="Times New Roman"/>
          <w:sz w:val="20"/>
          <w:szCs w:val="20"/>
        </w:rPr>
        <w:t>9</w:t>
      </w:r>
      <w:r w:rsidRPr="0039097A">
        <w:rPr>
          <w:rFonts w:ascii="Verdana" w:hAnsi="Verdana" w:cs="Times New Roman"/>
          <w:sz w:val="20"/>
          <w:szCs w:val="20"/>
        </w:rPr>
        <w:t xml:space="preserve"> de julio de 1988 la Suprema Corte de Justicia declaró sin lugar dicho recurso</w:t>
      </w:r>
      <w:r w:rsidRPr="0039097A">
        <w:rPr>
          <w:rStyle w:val="Refdenotaalpie"/>
          <w:rFonts w:ascii="Verdana" w:hAnsi="Verdana" w:cs="Times New Roman"/>
          <w:sz w:val="20"/>
          <w:szCs w:val="20"/>
        </w:rPr>
        <w:footnoteReference w:id="98"/>
      </w:r>
      <w:r w:rsidRPr="0039097A">
        <w:rPr>
          <w:rFonts w:ascii="Verdana" w:hAnsi="Verdana" w:cs="Times New Roman"/>
          <w:sz w:val="20"/>
          <w:szCs w:val="20"/>
        </w:rPr>
        <w:t>.</w:t>
      </w:r>
    </w:p>
    <w:p w14:paraId="69BB7903"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581E606C"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t>Mientras estaba en curso</w:t>
      </w:r>
      <w:r w:rsidRPr="0039097A">
        <w:rPr>
          <w:rFonts w:ascii="Verdana" w:hAnsi="Verdana" w:cs="Times New Roman"/>
          <w:sz w:val="20"/>
          <w:szCs w:val="20"/>
        </w:rPr>
        <w:t xml:space="preserve"> </w:t>
      </w:r>
      <w:r>
        <w:rPr>
          <w:rFonts w:ascii="Verdana" w:hAnsi="Verdana" w:cs="Arial"/>
          <w:sz w:val="20"/>
          <w:szCs w:val="20"/>
        </w:rPr>
        <w:t>e</w:t>
      </w:r>
      <w:r w:rsidRPr="0039097A">
        <w:rPr>
          <w:rFonts w:ascii="Verdana" w:hAnsi="Verdana" w:cs="Arial"/>
          <w:sz w:val="20"/>
          <w:szCs w:val="20"/>
        </w:rPr>
        <w:t xml:space="preserve">l </w:t>
      </w:r>
      <w:r w:rsidRPr="0039097A">
        <w:rPr>
          <w:rFonts w:ascii="Verdana" w:hAnsi="Verdana" w:cs="Times New Roman"/>
          <w:sz w:val="20"/>
          <w:szCs w:val="20"/>
        </w:rPr>
        <w:t xml:space="preserve">proceso </w:t>
      </w:r>
      <w:r>
        <w:rPr>
          <w:rFonts w:ascii="Verdana" w:hAnsi="Verdana" w:cs="Times New Roman"/>
          <w:sz w:val="20"/>
          <w:szCs w:val="20"/>
        </w:rPr>
        <w:t xml:space="preserve">de </w:t>
      </w:r>
      <w:r w:rsidRPr="0039097A">
        <w:rPr>
          <w:rFonts w:ascii="Verdana" w:hAnsi="Verdana" w:cs="Times New Roman"/>
          <w:sz w:val="20"/>
          <w:szCs w:val="20"/>
        </w:rPr>
        <w:t xml:space="preserve">inconstitucionalidad, Amalia González presentó ante el Juez Letrado de Primera Instancia en lo Penal de </w:t>
      </w:r>
      <w:r w:rsidRPr="0039097A">
        <w:rPr>
          <w:rFonts w:ascii="Verdana" w:hAnsi="Verdana" w:cs="Arial"/>
          <w:sz w:val="20"/>
          <w:szCs w:val="20"/>
        </w:rPr>
        <w:t>10</w:t>
      </w:r>
      <w:r>
        <w:rPr>
          <w:rFonts w:ascii="Verdana" w:hAnsi="Verdana" w:cs="Arial"/>
          <w:sz w:val="20"/>
          <w:szCs w:val="20"/>
        </w:rPr>
        <w:t>º</w:t>
      </w:r>
      <w:r w:rsidRPr="0039097A">
        <w:rPr>
          <w:rFonts w:ascii="Verdana" w:hAnsi="Verdana" w:cs="Arial"/>
          <w:sz w:val="20"/>
          <w:szCs w:val="20"/>
        </w:rPr>
        <w:t xml:space="preserve"> </w:t>
      </w:r>
      <w:r w:rsidRPr="0039097A">
        <w:rPr>
          <w:rFonts w:ascii="Verdana" w:hAnsi="Verdana" w:cs="Times New Roman"/>
          <w:sz w:val="20"/>
          <w:szCs w:val="20"/>
        </w:rPr>
        <w:t>Turno una solicitud de notificación personal del acto administrativo del Poder Ejecutivo sobre la inclusión o no del caso sobre la desaparición de su hijo dentro de la Ley 15.848</w:t>
      </w:r>
      <w:r w:rsidRPr="0039097A">
        <w:rPr>
          <w:rStyle w:val="Refdenotaalpie"/>
          <w:rFonts w:ascii="Verdana" w:hAnsi="Verdana" w:cs="Times New Roman"/>
          <w:sz w:val="20"/>
          <w:szCs w:val="20"/>
        </w:rPr>
        <w:footnoteReference w:id="99"/>
      </w:r>
      <w:r w:rsidRPr="0039097A">
        <w:rPr>
          <w:rFonts w:ascii="Verdana" w:hAnsi="Verdana" w:cs="Arial"/>
          <w:sz w:val="20"/>
          <w:szCs w:val="20"/>
        </w:rPr>
        <w:t xml:space="preserve">. </w:t>
      </w:r>
      <w:r w:rsidRPr="0039097A">
        <w:rPr>
          <w:rFonts w:ascii="Verdana" w:hAnsi="Verdana" w:cs="Times New Roman"/>
          <w:sz w:val="20"/>
          <w:szCs w:val="20"/>
        </w:rPr>
        <w:t xml:space="preserve">El 26 de mayo de 1989 el </w:t>
      </w:r>
      <w:r>
        <w:rPr>
          <w:rFonts w:ascii="Verdana" w:hAnsi="Verdana" w:cs="Times New Roman"/>
          <w:sz w:val="20"/>
          <w:szCs w:val="20"/>
        </w:rPr>
        <w:t xml:space="preserve">Juez </w:t>
      </w:r>
      <w:r w:rsidRPr="0039097A">
        <w:rPr>
          <w:rFonts w:ascii="Verdana" w:hAnsi="Verdana" w:cs="Times New Roman"/>
          <w:sz w:val="20"/>
          <w:szCs w:val="20"/>
        </w:rPr>
        <w:t xml:space="preserve">Letrado de Primera Instancia en lo Penal de 10° Turno </w:t>
      </w:r>
      <w:r>
        <w:rPr>
          <w:rFonts w:ascii="Verdana" w:hAnsi="Verdana" w:cs="Times New Roman"/>
          <w:sz w:val="20"/>
          <w:szCs w:val="20"/>
        </w:rPr>
        <w:t xml:space="preserve">fue informado de </w:t>
      </w:r>
      <w:r w:rsidRPr="0039097A">
        <w:rPr>
          <w:rFonts w:ascii="Verdana" w:hAnsi="Verdana" w:cs="Times New Roman"/>
          <w:sz w:val="20"/>
          <w:szCs w:val="20"/>
        </w:rPr>
        <w:t>la inclusión</w:t>
      </w:r>
      <w:r>
        <w:rPr>
          <w:rFonts w:ascii="Verdana" w:hAnsi="Verdana" w:cs="Times New Roman"/>
          <w:sz w:val="20"/>
          <w:szCs w:val="20"/>
        </w:rPr>
        <w:t>, por parte del Poder Ejecutivo,</w:t>
      </w:r>
      <w:r w:rsidRPr="0039097A">
        <w:rPr>
          <w:rFonts w:ascii="Verdana" w:hAnsi="Verdana" w:cs="Times New Roman"/>
          <w:sz w:val="20"/>
          <w:szCs w:val="20"/>
        </w:rPr>
        <w:t xml:space="preserve"> del caso de Luis Eduardo González </w:t>
      </w:r>
      <w:proofErr w:type="spellStart"/>
      <w:r>
        <w:rPr>
          <w:rFonts w:ascii="Verdana" w:hAnsi="Verdana" w:cs="Times New Roman"/>
          <w:sz w:val="20"/>
          <w:szCs w:val="20"/>
        </w:rPr>
        <w:t>González</w:t>
      </w:r>
      <w:proofErr w:type="spellEnd"/>
      <w:r>
        <w:rPr>
          <w:rFonts w:ascii="Verdana" w:hAnsi="Verdana" w:cs="Times New Roman"/>
          <w:sz w:val="20"/>
          <w:szCs w:val="20"/>
        </w:rPr>
        <w:t xml:space="preserve"> </w:t>
      </w:r>
      <w:r w:rsidRPr="0039097A">
        <w:rPr>
          <w:rFonts w:ascii="Verdana" w:hAnsi="Verdana" w:cs="Times New Roman"/>
          <w:sz w:val="20"/>
          <w:szCs w:val="20"/>
        </w:rPr>
        <w:t>dentro de los supuestos de la Ley de Caducidad</w:t>
      </w:r>
      <w:r w:rsidRPr="0039097A">
        <w:rPr>
          <w:rStyle w:val="Refdenotaalpie"/>
          <w:rFonts w:ascii="Verdana" w:hAnsi="Verdana" w:cs="Times New Roman"/>
          <w:sz w:val="20"/>
          <w:szCs w:val="20"/>
        </w:rPr>
        <w:footnoteReference w:id="100"/>
      </w:r>
      <w:r w:rsidRPr="0039097A">
        <w:rPr>
          <w:rFonts w:ascii="Verdana" w:hAnsi="Verdana" w:cs="Times New Roman"/>
          <w:sz w:val="20"/>
          <w:szCs w:val="20"/>
        </w:rPr>
        <w:t>.</w:t>
      </w:r>
    </w:p>
    <w:p w14:paraId="20660480" w14:textId="77777777" w:rsidR="002A53BF" w:rsidRPr="0039097A" w:rsidRDefault="002A53BF" w:rsidP="005A5029">
      <w:pPr>
        <w:pStyle w:val="Prrafodelista"/>
        <w:spacing w:line="240" w:lineRule="exact"/>
        <w:ind w:left="0"/>
        <w:rPr>
          <w:rFonts w:ascii="Verdana" w:hAnsi="Verdana" w:cs="Times New Roman"/>
          <w:sz w:val="20"/>
          <w:szCs w:val="20"/>
        </w:rPr>
      </w:pPr>
    </w:p>
    <w:p w14:paraId="04C7603F" w14:textId="4A9BEB64"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lastRenderedPageBreak/>
        <w:t>E</w:t>
      </w:r>
      <w:r>
        <w:rPr>
          <w:rFonts w:ascii="Verdana" w:hAnsi="Verdana" w:cs="Times New Roman"/>
          <w:sz w:val="20"/>
          <w:szCs w:val="20"/>
        </w:rPr>
        <w:t>n noviembre</w:t>
      </w:r>
      <w:r w:rsidRPr="0039097A">
        <w:rPr>
          <w:rFonts w:ascii="Verdana" w:hAnsi="Verdana" w:cs="Times New Roman"/>
          <w:sz w:val="20"/>
          <w:szCs w:val="20"/>
        </w:rPr>
        <w:t xml:space="preserve"> de 1985 se expidió por la Comisión Investigadora Parlamentaria de la Cámara de Representantes el "Informe Final Sobre Situación de Personas Desaparecidas y Hechos que la Motivaron" </w:t>
      </w:r>
      <w:r>
        <w:rPr>
          <w:rFonts w:ascii="Verdana" w:hAnsi="Verdana" w:cs="Times New Roman"/>
          <w:sz w:val="20"/>
          <w:szCs w:val="20"/>
        </w:rPr>
        <w:t>(</w:t>
      </w:r>
      <w:r>
        <w:rPr>
          <w:rFonts w:ascii="Verdana" w:hAnsi="Verdana" w:cs="Times New Roman"/>
          <w:i/>
          <w:sz w:val="20"/>
          <w:szCs w:val="20"/>
        </w:rPr>
        <w:t xml:space="preserve">supra </w:t>
      </w:r>
      <w:proofErr w:type="spellStart"/>
      <w:r>
        <w:rPr>
          <w:rFonts w:ascii="Verdana" w:hAnsi="Verdana" w:cs="Times New Roman"/>
          <w:sz w:val="20"/>
          <w:szCs w:val="20"/>
        </w:rPr>
        <w:t>párr</w:t>
      </w:r>
      <w:r w:rsidR="00D64CA2">
        <w:rPr>
          <w:rFonts w:ascii="Verdana" w:hAnsi="Verdana" w:cs="Times New Roman"/>
          <w:sz w:val="20"/>
          <w:szCs w:val="20"/>
        </w:rPr>
        <w:t>s</w:t>
      </w:r>
      <w:proofErr w:type="spellEnd"/>
      <w:r>
        <w:rPr>
          <w:rFonts w:ascii="Verdana" w:hAnsi="Verdana" w:cs="Times New Roman"/>
          <w:sz w:val="20"/>
          <w:szCs w:val="20"/>
        </w:rPr>
        <w:t>. 32</w:t>
      </w:r>
      <w:r w:rsidR="00D64CA2">
        <w:rPr>
          <w:rFonts w:ascii="Verdana" w:hAnsi="Verdana" w:cs="Times New Roman"/>
          <w:sz w:val="20"/>
          <w:szCs w:val="20"/>
        </w:rPr>
        <w:t xml:space="preserve"> y 33</w:t>
      </w:r>
      <w:r>
        <w:rPr>
          <w:rFonts w:ascii="Verdana" w:hAnsi="Verdana" w:cs="Times New Roman"/>
          <w:sz w:val="20"/>
          <w:szCs w:val="20"/>
        </w:rPr>
        <w:t xml:space="preserve">), </w:t>
      </w:r>
      <w:r w:rsidRPr="0039097A">
        <w:rPr>
          <w:rFonts w:ascii="Verdana" w:hAnsi="Verdana" w:cs="Times New Roman"/>
          <w:sz w:val="20"/>
          <w:szCs w:val="20"/>
        </w:rPr>
        <w:t xml:space="preserve">el cual expone una la lista de </w:t>
      </w:r>
      <w:r>
        <w:rPr>
          <w:rFonts w:ascii="Verdana" w:hAnsi="Verdana" w:cs="Times New Roman"/>
          <w:sz w:val="20"/>
          <w:szCs w:val="20"/>
        </w:rPr>
        <w:t xml:space="preserve">personas </w:t>
      </w:r>
      <w:r w:rsidRPr="0039097A">
        <w:rPr>
          <w:rFonts w:ascii="Verdana" w:hAnsi="Verdana" w:cs="Times New Roman"/>
          <w:sz w:val="20"/>
          <w:szCs w:val="20"/>
        </w:rPr>
        <w:t>desaparecid</w:t>
      </w:r>
      <w:r>
        <w:rPr>
          <w:rFonts w:ascii="Verdana" w:hAnsi="Verdana" w:cs="Times New Roman"/>
          <w:sz w:val="20"/>
          <w:szCs w:val="20"/>
        </w:rPr>
        <w:t>a</w:t>
      </w:r>
      <w:r w:rsidRPr="0039097A">
        <w:rPr>
          <w:rFonts w:ascii="Verdana" w:hAnsi="Verdana" w:cs="Times New Roman"/>
          <w:sz w:val="20"/>
          <w:szCs w:val="20"/>
        </w:rPr>
        <w:t>s por agentes estatales entre 1975 y 1978, dentro de la cual se encuentra Luis Eduardo González</w:t>
      </w:r>
      <w:r w:rsidRPr="0039097A">
        <w:rPr>
          <w:rStyle w:val="Refdenotaalpie"/>
          <w:rFonts w:ascii="Verdana" w:hAnsi="Verdana" w:cs="Times New Roman"/>
          <w:sz w:val="20"/>
          <w:szCs w:val="20"/>
        </w:rPr>
        <w:footnoteReference w:id="101"/>
      </w:r>
      <w:r w:rsidRPr="0039097A">
        <w:rPr>
          <w:rFonts w:ascii="Verdana" w:hAnsi="Verdana" w:cs="Times New Roman"/>
          <w:sz w:val="20"/>
          <w:szCs w:val="20"/>
        </w:rPr>
        <w:t>.</w:t>
      </w:r>
    </w:p>
    <w:p w14:paraId="6FC3F7C6" w14:textId="77777777" w:rsidR="002A53BF" w:rsidRPr="0039097A" w:rsidRDefault="002A53BF" w:rsidP="005A5029">
      <w:pPr>
        <w:pStyle w:val="Prrafodelista"/>
        <w:spacing w:line="240" w:lineRule="exact"/>
        <w:ind w:left="0"/>
        <w:rPr>
          <w:rFonts w:ascii="Verdana" w:hAnsi="Verdana" w:cs="Times New Roman"/>
          <w:sz w:val="20"/>
          <w:szCs w:val="20"/>
        </w:rPr>
      </w:pPr>
    </w:p>
    <w:p w14:paraId="4C054B2F"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El 8 de agosto de 2005 la "Comisión Investigadora sobre el Destino Final de 33 Ciudadanos en el periodo Comprendido entre el 27 de junio de 1973 y el 1 de marzo de 1985", presentó un informe</w:t>
      </w:r>
      <w:r>
        <w:rPr>
          <w:rFonts w:ascii="Verdana" w:hAnsi="Verdana" w:cs="Times New Roman"/>
          <w:sz w:val="20"/>
          <w:szCs w:val="20"/>
        </w:rPr>
        <w:t xml:space="preserve"> (</w:t>
      </w:r>
      <w:r w:rsidRPr="00685170">
        <w:rPr>
          <w:rFonts w:ascii="Verdana" w:hAnsi="Verdana" w:cs="Times New Roman"/>
          <w:i/>
          <w:sz w:val="20"/>
          <w:szCs w:val="20"/>
        </w:rPr>
        <w:t>supra</w:t>
      </w:r>
      <w:r>
        <w:rPr>
          <w:rFonts w:ascii="Verdana" w:hAnsi="Verdana" w:cs="Times New Roman"/>
          <w:sz w:val="20"/>
          <w:szCs w:val="20"/>
        </w:rPr>
        <w:t>, párr. 36)</w:t>
      </w:r>
      <w:r w:rsidRPr="0039097A">
        <w:rPr>
          <w:rFonts w:ascii="Verdana" w:hAnsi="Verdana" w:cs="Times New Roman"/>
          <w:sz w:val="20"/>
          <w:szCs w:val="20"/>
        </w:rPr>
        <w:t xml:space="preserve"> en el que incluyó a</w:t>
      </w:r>
      <w:r>
        <w:rPr>
          <w:rFonts w:ascii="Verdana" w:hAnsi="Verdana" w:cs="Times New Roman"/>
          <w:sz w:val="20"/>
          <w:szCs w:val="20"/>
        </w:rPr>
        <w:t xml:space="preserve">l señor González </w:t>
      </w:r>
      <w:proofErr w:type="spellStart"/>
      <w:r>
        <w:rPr>
          <w:rFonts w:ascii="Verdana" w:hAnsi="Verdana" w:cs="Times New Roman"/>
          <w:sz w:val="20"/>
          <w:szCs w:val="20"/>
        </w:rPr>
        <w:t>González</w:t>
      </w:r>
      <w:proofErr w:type="spellEnd"/>
      <w:r>
        <w:rPr>
          <w:rFonts w:ascii="Verdana" w:hAnsi="Verdana" w:cs="Times New Roman"/>
          <w:sz w:val="20"/>
          <w:szCs w:val="20"/>
        </w:rPr>
        <w:t>,</w:t>
      </w:r>
      <w:r w:rsidRPr="0039097A">
        <w:rPr>
          <w:rFonts w:ascii="Verdana" w:hAnsi="Verdana" w:cs="Times New Roman"/>
          <w:sz w:val="20"/>
          <w:szCs w:val="20"/>
        </w:rPr>
        <w:t xml:space="preserve"> en los siguientes términos: </w:t>
      </w:r>
    </w:p>
    <w:p w14:paraId="0222256A" w14:textId="77777777" w:rsidR="002A53BF" w:rsidRPr="0039097A" w:rsidRDefault="002A53BF" w:rsidP="005A5029">
      <w:pPr>
        <w:pStyle w:val="Prrafodelista"/>
        <w:spacing w:line="240" w:lineRule="exact"/>
        <w:rPr>
          <w:rFonts w:ascii="Verdana" w:hAnsi="Verdana" w:cs="Times New Roman"/>
          <w:sz w:val="20"/>
          <w:szCs w:val="20"/>
        </w:rPr>
      </w:pPr>
    </w:p>
    <w:p w14:paraId="73021717"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 xml:space="preserve">Luis Eduardo González </w:t>
      </w:r>
      <w:proofErr w:type="spellStart"/>
      <w:r w:rsidRPr="0039097A">
        <w:rPr>
          <w:rFonts w:ascii="Verdana" w:hAnsi="Verdana" w:cs="Times New Roman"/>
          <w:sz w:val="18"/>
          <w:szCs w:val="20"/>
        </w:rPr>
        <w:t>González</w:t>
      </w:r>
      <w:proofErr w:type="spellEnd"/>
      <w:r w:rsidRPr="0039097A">
        <w:rPr>
          <w:rFonts w:ascii="Verdana" w:hAnsi="Verdana" w:cs="Times New Roman"/>
          <w:sz w:val="18"/>
          <w:szCs w:val="20"/>
        </w:rPr>
        <w:t xml:space="preserve"> (*)</w:t>
      </w:r>
    </w:p>
    <w:p w14:paraId="323CC76B"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p>
    <w:p w14:paraId="60BB1A3A"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 xml:space="preserve">Fue detenido en su domicilio [...] el 13 de diciembre de 1974. </w:t>
      </w:r>
    </w:p>
    <w:p w14:paraId="04EA126B"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p>
    <w:p w14:paraId="22D14334"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 xml:space="preserve">Luego fue trasladado al Regimiento C </w:t>
      </w:r>
      <w:proofErr w:type="spellStart"/>
      <w:r w:rsidRPr="0039097A">
        <w:rPr>
          <w:rFonts w:ascii="Verdana" w:hAnsi="Verdana" w:cs="Times New Roman"/>
          <w:sz w:val="18"/>
          <w:szCs w:val="20"/>
        </w:rPr>
        <w:t>Me</w:t>
      </w:r>
      <w:r>
        <w:rPr>
          <w:rFonts w:ascii="Verdana" w:hAnsi="Verdana" w:cs="Times New Roman"/>
          <w:sz w:val="18"/>
          <w:szCs w:val="20"/>
        </w:rPr>
        <w:t>c</w:t>
      </w:r>
      <w:proofErr w:type="spellEnd"/>
      <w:r w:rsidRPr="0039097A">
        <w:rPr>
          <w:rFonts w:ascii="Verdana" w:hAnsi="Verdana" w:cs="Times New Roman"/>
          <w:sz w:val="18"/>
          <w:szCs w:val="20"/>
        </w:rPr>
        <w:t xml:space="preserve"> No 6</w:t>
      </w:r>
      <w:r>
        <w:rPr>
          <w:rFonts w:ascii="Verdana" w:hAnsi="Verdana" w:cs="Times New Roman"/>
          <w:sz w:val="18"/>
          <w:szCs w:val="20"/>
        </w:rPr>
        <w:t xml:space="preserve"> donde f</w:t>
      </w:r>
      <w:r w:rsidRPr="0039097A">
        <w:rPr>
          <w:rFonts w:ascii="Verdana" w:hAnsi="Verdana" w:cs="Times New Roman"/>
          <w:sz w:val="18"/>
          <w:szCs w:val="20"/>
        </w:rPr>
        <w:t xml:space="preserve">alleció a fines de mes de diciembre de 1974. </w:t>
      </w:r>
    </w:p>
    <w:p w14:paraId="510BDB6F"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p>
    <w:p w14:paraId="4EEE1E58"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 xml:space="preserve">Asimismo, esta comisión no puede precisar, en función de la información recabada si sus restos fueron enterrados en el predio del Batallón </w:t>
      </w:r>
      <w:r w:rsidRPr="0039097A">
        <w:rPr>
          <w:rFonts w:ascii="Verdana" w:hAnsi="Verdana" w:cs="Arial"/>
          <w:sz w:val="18"/>
          <w:szCs w:val="20"/>
        </w:rPr>
        <w:t xml:space="preserve">I </w:t>
      </w:r>
      <w:proofErr w:type="spellStart"/>
      <w:r w:rsidRPr="0039097A">
        <w:rPr>
          <w:rFonts w:ascii="Verdana" w:hAnsi="Verdana" w:cs="Times New Roman"/>
          <w:sz w:val="18"/>
          <w:szCs w:val="20"/>
        </w:rPr>
        <w:t>Mec</w:t>
      </w:r>
      <w:proofErr w:type="spellEnd"/>
      <w:r w:rsidRPr="0039097A">
        <w:rPr>
          <w:rFonts w:ascii="Verdana" w:hAnsi="Verdana" w:cs="Times New Roman"/>
          <w:sz w:val="18"/>
          <w:szCs w:val="20"/>
        </w:rPr>
        <w:t xml:space="preserve"> No 13 o </w:t>
      </w:r>
      <w:proofErr w:type="spellStart"/>
      <w:r w:rsidRPr="0039097A">
        <w:rPr>
          <w:rFonts w:ascii="Verdana" w:hAnsi="Verdana" w:cs="Times New Roman"/>
          <w:sz w:val="18"/>
          <w:szCs w:val="20"/>
        </w:rPr>
        <w:t>Bn</w:t>
      </w:r>
      <w:proofErr w:type="spellEnd"/>
      <w:r w:rsidRPr="0039097A">
        <w:rPr>
          <w:rFonts w:ascii="Verdana" w:hAnsi="Verdana" w:cs="Times New Roman"/>
          <w:sz w:val="18"/>
          <w:szCs w:val="20"/>
        </w:rPr>
        <w:t xml:space="preserve"> </w:t>
      </w:r>
      <w:r w:rsidRPr="0039097A">
        <w:rPr>
          <w:rFonts w:ascii="Verdana" w:hAnsi="Verdana" w:cs="Arial"/>
          <w:sz w:val="18"/>
          <w:szCs w:val="20"/>
        </w:rPr>
        <w:t xml:space="preserve">I </w:t>
      </w:r>
      <w:proofErr w:type="spellStart"/>
      <w:r w:rsidRPr="0039097A">
        <w:rPr>
          <w:rFonts w:ascii="Verdana" w:hAnsi="Verdana" w:cs="Times New Roman"/>
          <w:sz w:val="18"/>
          <w:szCs w:val="20"/>
        </w:rPr>
        <w:t>Parac</w:t>
      </w:r>
      <w:proofErr w:type="spellEnd"/>
      <w:r w:rsidRPr="0039097A">
        <w:rPr>
          <w:rFonts w:ascii="Verdana" w:hAnsi="Verdana" w:cs="Times New Roman"/>
          <w:sz w:val="18"/>
          <w:szCs w:val="20"/>
        </w:rPr>
        <w:t xml:space="preserve"> No. </w:t>
      </w:r>
      <w:r w:rsidRPr="0039097A">
        <w:rPr>
          <w:rFonts w:ascii="Verdana" w:hAnsi="Verdana" w:cs="Arial"/>
          <w:sz w:val="18"/>
          <w:szCs w:val="20"/>
        </w:rPr>
        <w:t xml:space="preserve">4, </w:t>
      </w:r>
      <w:r w:rsidRPr="0039097A">
        <w:rPr>
          <w:rFonts w:ascii="Verdana" w:hAnsi="Verdana" w:cs="Times New Roman"/>
          <w:sz w:val="18"/>
          <w:szCs w:val="20"/>
        </w:rPr>
        <w:t xml:space="preserve">aunque se tiene la convicción de que los mismos fueron exhumados </w:t>
      </w:r>
      <w:r w:rsidRPr="0039097A">
        <w:rPr>
          <w:rFonts w:ascii="Verdana" w:hAnsi="Verdana" w:cs="Arial"/>
          <w:sz w:val="18"/>
          <w:szCs w:val="20"/>
        </w:rPr>
        <w:t xml:space="preserve">y </w:t>
      </w:r>
      <w:r w:rsidRPr="0039097A">
        <w:rPr>
          <w:rFonts w:ascii="Verdana" w:hAnsi="Verdana" w:cs="Times New Roman"/>
          <w:sz w:val="18"/>
          <w:szCs w:val="20"/>
        </w:rPr>
        <w:t xml:space="preserve">cremados; sus cenizas </w:t>
      </w:r>
      <w:r w:rsidRPr="0039097A">
        <w:rPr>
          <w:rFonts w:ascii="Verdana" w:hAnsi="Verdana" w:cs="Arial"/>
          <w:sz w:val="18"/>
          <w:szCs w:val="20"/>
        </w:rPr>
        <w:t xml:space="preserve">y </w:t>
      </w:r>
      <w:r w:rsidRPr="0039097A">
        <w:rPr>
          <w:rFonts w:ascii="Verdana" w:hAnsi="Verdana" w:cs="Times New Roman"/>
          <w:sz w:val="18"/>
          <w:szCs w:val="20"/>
        </w:rPr>
        <w:t xml:space="preserve">restos esparcidos en la zona. (Predio del Batallón </w:t>
      </w:r>
      <w:r w:rsidRPr="0039097A">
        <w:rPr>
          <w:rFonts w:ascii="Verdana" w:hAnsi="Verdana" w:cs="Arial"/>
          <w:bCs/>
          <w:sz w:val="18"/>
          <w:szCs w:val="20"/>
        </w:rPr>
        <w:t>l.</w:t>
      </w:r>
      <w:r w:rsidRPr="0039097A">
        <w:rPr>
          <w:rFonts w:ascii="Verdana" w:hAnsi="Verdana" w:cs="Arial"/>
          <w:b/>
          <w:bCs/>
          <w:sz w:val="18"/>
          <w:szCs w:val="20"/>
        </w:rPr>
        <w:t xml:space="preserve"> </w:t>
      </w:r>
      <w:proofErr w:type="spellStart"/>
      <w:r w:rsidRPr="0039097A">
        <w:rPr>
          <w:rFonts w:ascii="Verdana" w:hAnsi="Verdana" w:cs="Times New Roman"/>
          <w:sz w:val="18"/>
          <w:szCs w:val="20"/>
        </w:rPr>
        <w:t>Parac</w:t>
      </w:r>
      <w:proofErr w:type="spellEnd"/>
      <w:r w:rsidRPr="0039097A">
        <w:rPr>
          <w:rFonts w:ascii="Verdana" w:hAnsi="Verdana" w:cs="Times New Roman"/>
          <w:sz w:val="18"/>
          <w:szCs w:val="20"/>
        </w:rPr>
        <w:t xml:space="preserve"> No 14). </w:t>
      </w:r>
    </w:p>
    <w:p w14:paraId="200EFAD3"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p>
    <w:p w14:paraId="79B936DB"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Se pretendió encubrir su muerte con un comunicado de prensa en el que se ponía en conocimiento su fuga</w:t>
      </w:r>
      <w:r w:rsidRPr="0039097A">
        <w:rPr>
          <w:rStyle w:val="Refdenotaalpie"/>
          <w:rFonts w:ascii="Verdana" w:hAnsi="Verdana" w:cs="Times New Roman"/>
          <w:sz w:val="18"/>
          <w:szCs w:val="20"/>
        </w:rPr>
        <w:footnoteReference w:id="102"/>
      </w:r>
      <w:r w:rsidRPr="0039097A">
        <w:rPr>
          <w:rFonts w:ascii="Verdana" w:hAnsi="Verdana" w:cs="Times New Roman"/>
          <w:sz w:val="18"/>
          <w:szCs w:val="20"/>
        </w:rPr>
        <w:t xml:space="preserve">. </w:t>
      </w:r>
    </w:p>
    <w:p w14:paraId="517A7754" w14:textId="77777777" w:rsidR="002A53BF" w:rsidRPr="0039097A" w:rsidRDefault="002A53BF" w:rsidP="005A5029">
      <w:pPr>
        <w:pStyle w:val="Prrafodelista"/>
        <w:spacing w:line="240" w:lineRule="exact"/>
        <w:rPr>
          <w:rFonts w:ascii="Verdana" w:hAnsi="Verdana" w:cs="Times New Roman"/>
          <w:sz w:val="20"/>
          <w:szCs w:val="20"/>
        </w:rPr>
      </w:pPr>
    </w:p>
    <w:p w14:paraId="6240B073"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El 8 de septiembre de 2006 Amalia González presentó una nueva solicitud de investigación ante el Juzgado Letrado de Primera Instancia de 11</w:t>
      </w:r>
      <w:r>
        <w:rPr>
          <w:rFonts w:ascii="Verdana" w:hAnsi="Verdana" w:cs="Times New Roman"/>
          <w:sz w:val="20"/>
          <w:szCs w:val="20"/>
        </w:rPr>
        <w:t>º</w:t>
      </w:r>
      <w:r w:rsidRPr="0039097A">
        <w:rPr>
          <w:rFonts w:ascii="Verdana" w:hAnsi="Verdana" w:cs="Times New Roman"/>
          <w:sz w:val="20"/>
          <w:szCs w:val="20"/>
        </w:rPr>
        <w:t xml:space="preserve"> Turno</w:t>
      </w:r>
      <w:r w:rsidRPr="0039097A">
        <w:rPr>
          <w:rStyle w:val="Refdenotaalpie"/>
          <w:rFonts w:ascii="Verdana" w:hAnsi="Verdana" w:cs="Times New Roman"/>
          <w:sz w:val="20"/>
          <w:szCs w:val="20"/>
        </w:rPr>
        <w:footnoteReference w:id="103"/>
      </w:r>
      <w:r w:rsidRPr="0039097A">
        <w:rPr>
          <w:rFonts w:ascii="Verdana" w:hAnsi="Verdana" w:cs="Times New Roman"/>
          <w:sz w:val="20"/>
          <w:szCs w:val="20"/>
        </w:rPr>
        <w:t xml:space="preserve">. El 19 de diciembre de 2006 el Juzgado </w:t>
      </w:r>
      <w:r>
        <w:rPr>
          <w:rFonts w:ascii="Verdana" w:hAnsi="Verdana" w:cs="Times New Roman"/>
          <w:sz w:val="20"/>
          <w:szCs w:val="20"/>
        </w:rPr>
        <w:t>resolvió</w:t>
      </w:r>
      <w:r w:rsidRPr="0039097A">
        <w:rPr>
          <w:rFonts w:ascii="Verdana" w:hAnsi="Verdana" w:cs="Times New Roman"/>
          <w:sz w:val="20"/>
          <w:szCs w:val="20"/>
        </w:rPr>
        <w:t xml:space="preserve"> que</w:t>
      </w:r>
      <w:r>
        <w:rPr>
          <w:rFonts w:ascii="Verdana" w:hAnsi="Verdana" w:cs="Times New Roman"/>
          <w:sz w:val="20"/>
          <w:szCs w:val="20"/>
        </w:rPr>
        <w:t>, dado que el caso había sido</w:t>
      </w:r>
      <w:r w:rsidRPr="0039097A">
        <w:rPr>
          <w:rFonts w:ascii="Verdana" w:hAnsi="Verdana" w:cs="Times New Roman"/>
          <w:sz w:val="20"/>
          <w:szCs w:val="20"/>
        </w:rPr>
        <w:t xml:space="preserve"> archivado bajo los preceptos del artículo 3 de la Ley 15.848</w:t>
      </w:r>
      <w:r>
        <w:rPr>
          <w:rFonts w:ascii="Verdana" w:hAnsi="Verdana" w:cs="Times New Roman"/>
          <w:sz w:val="20"/>
          <w:szCs w:val="20"/>
        </w:rPr>
        <w:t>,</w:t>
      </w:r>
      <w:r w:rsidRPr="0039097A">
        <w:rPr>
          <w:rFonts w:ascii="Verdana" w:hAnsi="Verdana" w:cs="Times New Roman"/>
          <w:sz w:val="20"/>
          <w:szCs w:val="20"/>
        </w:rPr>
        <w:t xml:space="preserve"> no procedía la solicitud de investigación</w:t>
      </w:r>
      <w:r w:rsidRPr="0039097A">
        <w:rPr>
          <w:rStyle w:val="Refdenotaalpie"/>
          <w:rFonts w:ascii="Verdana" w:hAnsi="Verdana" w:cs="Times New Roman"/>
          <w:sz w:val="20"/>
          <w:szCs w:val="20"/>
        </w:rPr>
        <w:footnoteReference w:id="104"/>
      </w:r>
      <w:r w:rsidRPr="0039097A">
        <w:rPr>
          <w:rFonts w:ascii="Verdana" w:hAnsi="Verdana" w:cs="Times New Roman"/>
          <w:sz w:val="20"/>
          <w:szCs w:val="20"/>
        </w:rPr>
        <w:t xml:space="preserve">. El 14 de febrero de 2007 Amalia González solicitó al </w:t>
      </w:r>
      <w:r>
        <w:rPr>
          <w:rFonts w:ascii="Verdana" w:hAnsi="Verdana" w:cs="Times New Roman"/>
          <w:sz w:val="20"/>
          <w:szCs w:val="20"/>
        </w:rPr>
        <w:t xml:space="preserve">mismo </w:t>
      </w:r>
      <w:r w:rsidRPr="0039097A">
        <w:rPr>
          <w:rFonts w:ascii="Verdana" w:hAnsi="Verdana" w:cs="Times New Roman"/>
          <w:sz w:val="20"/>
          <w:szCs w:val="20"/>
        </w:rPr>
        <w:t xml:space="preserve">Juzgado el desarchivo del mencionado caso y el testimonio de las actuaciones que llevaron al archivo </w:t>
      </w:r>
      <w:proofErr w:type="gramStart"/>
      <w:r w:rsidRPr="0039097A">
        <w:rPr>
          <w:rFonts w:ascii="Verdana" w:hAnsi="Verdana" w:cs="Times New Roman"/>
          <w:sz w:val="20"/>
          <w:szCs w:val="20"/>
        </w:rPr>
        <w:t>del mismo</w:t>
      </w:r>
      <w:proofErr w:type="gramEnd"/>
      <w:r w:rsidRPr="0039097A">
        <w:rPr>
          <w:rStyle w:val="Refdenotaalpie"/>
          <w:rFonts w:ascii="Verdana" w:hAnsi="Verdana" w:cs="Times New Roman"/>
          <w:sz w:val="20"/>
          <w:szCs w:val="20"/>
        </w:rPr>
        <w:footnoteReference w:id="105"/>
      </w:r>
      <w:r w:rsidRPr="0039097A">
        <w:rPr>
          <w:rFonts w:ascii="Verdana" w:hAnsi="Verdana" w:cs="Arial"/>
          <w:sz w:val="20"/>
          <w:szCs w:val="20"/>
        </w:rPr>
        <w:t xml:space="preserve">. </w:t>
      </w:r>
      <w:r w:rsidRPr="0039097A">
        <w:rPr>
          <w:rFonts w:ascii="Verdana" w:hAnsi="Verdana" w:cs="Times New Roman"/>
          <w:b/>
          <w:sz w:val="20"/>
          <w:szCs w:val="20"/>
        </w:rPr>
        <w:t xml:space="preserve"> </w:t>
      </w:r>
    </w:p>
    <w:p w14:paraId="66BE0AEF"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23B666E4" w14:textId="77777777" w:rsidR="002A53BF" w:rsidRPr="00685170"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proofErr w:type="gramStart"/>
      <w:r w:rsidRPr="0039097A">
        <w:rPr>
          <w:rFonts w:ascii="Verdana" w:hAnsi="Verdana" w:cs="Times New Roman"/>
          <w:sz w:val="20"/>
          <w:szCs w:val="20"/>
        </w:rPr>
        <w:t>De acuerdo a</w:t>
      </w:r>
      <w:proofErr w:type="gramEnd"/>
      <w:r w:rsidRPr="0039097A">
        <w:rPr>
          <w:rFonts w:ascii="Verdana" w:hAnsi="Verdana" w:cs="Times New Roman"/>
          <w:sz w:val="20"/>
          <w:szCs w:val="20"/>
        </w:rPr>
        <w:t xml:space="preserve"> lo señalado por los representantes, </w:t>
      </w:r>
      <w:r>
        <w:rPr>
          <w:rFonts w:ascii="Verdana" w:hAnsi="Verdana" w:cs="Times New Roman"/>
          <w:sz w:val="20"/>
          <w:szCs w:val="20"/>
        </w:rPr>
        <w:t>y cómo surge de lo que se indica a continuación, las actuaciones judiciales fueron retomadas y la causa continuó su trámite. Cabe recordar que, como ya se indicó (</w:t>
      </w:r>
      <w:r>
        <w:rPr>
          <w:rFonts w:ascii="Verdana" w:hAnsi="Verdana" w:cs="Times New Roman"/>
          <w:i/>
          <w:sz w:val="20"/>
          <w:szCs w:val="20"/>
        </w:rPr>
        <w:t xml:space="preserve">supra </w:t>
      </w:r>
      <w:r>
        <w:rPr>
          <w:rFonts w:ascii="Verdana" w:hAnsi="Verdana" w:cs="Times New Roman"/>
          <w:sz w:val="20"/>
          <w:szCs w:val="20"/>
        </w:rPr>
        <w:t xml:space="preserve">párr. 44), en 2011 el </w:t>
      </w:r>
      <w:r w:rsidRPr="00685170">
        <w:rPr>
          <w:rFonts w:ascii="Verdana" w:hAnsi="Verdana" w:cs="Times New Roman"/>
          <w:sz w:val="20"/>
          <w:szCs w:val="20"/>
        </w:rPr>
        <w:t xml:space="preserve">Poder </w:t>
      </w:r>
      <w:r w:rsidRPr="00685170">
        <w:rPr>
          <w:rFonts w:ascii="Verdana" w:hAnsi="Verdana" w:cs="Times New Roman"/>
          <w:sz w:val="20"/>
          <w:szCs w:val="20"/>
        </w:rPr>
        <w:lastRenderedPageBreak/>
        <w:t xml:space="preserve">Ejecutivo revocó </w:t>
      </w:r>
      <w:r>
        <w:rPr>
          <w:rFonts w:ascii="Verdana" w:hAnsi="Verdana" w:cs="Times New Roman"/>
          <w:sz w:val="20"/>
          <w:szCs w:val="20"/>
        </w:rPr>
        <w:t xml:space="preserve">los </w:t>
      </w:r>
      <w:r w:rsidRPr="00685170">
        <w:rPr>
          <w:rFonts w:ascii="Verdana" w:hAnsi="Verdana" w:cs="Times New Roman"/>
          <w:sz w:val="20"/>
          <w:szCs w:val="20"/>
        </w:rPr>
        <w:t>actos administrativos y mensajes em</w:t>
      </w:r>
      <w:r>
        <w:rPr>
          <w:rFonts w:ascii="Verdana" w:hAnsi="Verdana" w:cs="Times New Roman"/>
          <w:sz w:val="20"/>
          <w:szCs w:val="20"/>
        </w:rPr>
        <w:t>itidos</w:t>
      </w:r>
      <w:r w:rsidRPr="00685170">
        <w:rPr>
          <w:rFonts w:ascii="Verdana" w:hAnsi="Verdana" w:cs="Times New Roman"/>
          <w:sz w:val="20"/>
          <w:szCs w:val="20"/>
        </w:rPr>
        <w:t xml:space="preserve"> en aplicación del artículo 3 de la Ley de Caducidad</w:t>
      </w:r>
      <w:r>
        <w:rPr>
          <w:rFonts w:ascii="Verdana" w:hAnsi="Verdana" w:cs="Times New Roman"/>
          <w:sz w:val="20"/>
          <w:szCs w:val="20"/>
        </w:rPr>
        <w:t xml:space="preserve"> (</w:t>
      </w:r>
      <w:r>
        <w:rPr>
          <w:rFonts w:ascii="Verdana" w:hAnsi="Verdana" w:cs="Times New Roman"/>
          <w:i/>
          <w:sz w:val="20"/>
          <w:szCs w:val="20"/>
        </w:rPr>
        <w:t xml:space="preserve">supra </w:t>
      </w:r>
      <w:r>
        <w:rPr>
          <w:rFonts w:ascii="Verdana" w:hAnsi="Verdana" w:cs="Times New Roman"/>
          <w:sz w:val="20"/>
          <w:szCs w:val="20"/>
        </w:rPr>
        <w:t>párr. 40).</w:t>
      </w:r>
    </w:p>
    <w:p w14:paraId="2795FA2B" w14:textId="77777777" w:rsidR="002A53BF" w:rsidRPr="0039097A" w:rsidRDefault="002A53BF" w:rsidP="005A5029">
      <w:pPr>
        <w:spacing w:after="0" w:line="240" w:lineRule="exact"/>
        <w:rPr>
          <w:rFonts w:ascii="Verdana" w:hAnsi="Verdana" w:cs="Times New Roman"/>
          <w:sz w:val="20"/>
          <w:szCs w:val="20"/>
        </w:rPr>
      </w:pPr>
    </w:p>
    <w:p w14:paraId="3FAB0615" w14:textId="77777777" w:rsidR="002A53BF"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De acuerdo con un Informe del Fiscal Especializado, </w:t>
      </w:r>
      <w:r>
        <w:rPr>
          <w:rFonts w:ascii="Verdana" w:hAnsi="Verdana" w:cs="Times New Roman"/>
          <w:sz w:val="20"/>
          <w:szCs w:val="20"/>
        </w:rPr>
        <w:t>realizado antes del 4 de diciembre de 2020, para el momento de la elaboración del documento “</w:t>
      </w:r>
      <w:r w:rsidRPr="0039097A">
        <w:rPr>
          <w:rFonts w:ascii="Verdana" w:hAnsi="Verdana" w:cs="Times New Roman"/>
          <w:sz w:val="20"/>
          <w:szCs w:val="20"/>
        </w:rPr>
        <w:t xml:space="preserve">la causa se </w:t>
      </w:r>
      <w:proofErr w:type="spellStart"/>
      <w:r w:rsidRPr="0039097A">
        <w:rPr>
          <w:rFonts w:ascii="Verdana" w:hAnsi="Verdana" w:cs="Times New Roman"/>
          <w:sz w:val="20"/>
          <w:szCs w:val="20"/>
        </w:rPr>
        <w:t>enc</w:t>
      </w:r>
      <w:proofErr w:type="spellEnd"/>
      <w:r>
        <w:rPr>
          <w:rFonts w:ascii="Verdana" w:hAnsi="Verdana" w:cs="Times New Roman"/>
          <w:sz w:val="20"/>
          <w:szCs w:val="20"/>
        </w:rPr>
        <w:t>[</w:t>
      </w:r>
      <w:proofErr w:type="spellStart"/>
      <w:r>
        <w:rPr>
          <w:rFonts w:ascii="Verdana" w:hAnsi="Verdana" w:cs="Times New Roman"/>
          <w:sz w:val="20"/>
          <w:szCs w:val="20"/>
        </w:rPr>
        <w:t>ontraba</w:t>
      </w:r>
      <w:proofErr w:type="spellEnd"/>
      <w:r>
        <w:rPr>
          <w:rFonts w:ascii="Verdana" w:hAnsi="Verdana" w:cs="Times New Roman"/>
          <w:sz w:val="20"/>
          <w:szCs w:val="20"/>
        </w:rPr>
        <w:t>]</w:t>
      </w:r>
      <w:r w:rsidRPr="0039097A">
        <w:rPr>
          <w:rFonts w:ascii="Verdana" w:hAnsi="Verdana" w:cs="Times New Roman"/>
          <w:sz w:val="20"/>
          <w:szCs w:val="20"/>
        </w:rPr>
        <w:t xml:space="preserve"> muy avanzada en su investigación</w:t>
      </w:r>
      <w:r>
        <w:rPr>
          <w:rFonts w:ascii="Verdana" w:hAnsi="Verdana" w:cs="Times New Roman"/>
          <w:sz w:val="20"/>
          <w:szCs w:val="20"/>
        </w:rPr>
        <w:t>”</w:t>
      </w:r>
      <w:r w:rsidRPr="0039097A">
        <w:rPr>
          <w:rFonts w:ascii="Verdana" w:hAnsi="Verdana" w:cs="Times New Roman"/>
          <w:sz w:val="20"/>
          <w:szCs w:val="20"/>
        </w:rPr>
        <w:t>. En tal sentido, señaló que “ha quedado acreditado el lugar y las circunstancias en que la víctima fuera detenida, trasladada y posteriormente desparecida</w:t>
      </w:r>
      <w:r>
        <w:rPr>
          <w:rFonts w:ascii="Verdana" w:hAnsi="Verdana" w:cs="Times New Roman"/>
          <w:sz w:val="20"/>
          <w:szCs w:val="20"/>
        </w:rPr>
        <w:t>”</w:t>
      </w:r>
      <w:r w:rsidRPr="0039097A">
        <w:rPr>
          <w:rFonts w:ascii="Verdana" w:hAnsi="Verdana" w:cs="Times New Roman"/>
          <w:sz w:val="20"/>
          <w:szCs w:val="20"/>
        </w:rPr>
        <w:t xml:space="preserve">. </w:t>
      </w:r>
      <w:r>
        <w:rPr>
          <w:rFonts w:ascii="Verdana" w:hAnsi="Verdana" w:cs="Times New Roman"/>
          <w:sz w:val="20"/>
          <w:szCs w:val="20"/>
        </w:rPr>
        <w:t>También indicó que “</w:t>
      </w:r>
      <w:r w:rsidRPr="0039097A">
        <w:rPr>
          <w:rFonts w:ascii="Verdana" w:hAnsi="Verdana" w:cs="Times New Roman"/>
          <w:sz w:val="20"/>
          <w:szCs w:val="20"/>
        </w:rPr>
        <w:t xml:space="preserve">se encuentran identificados los oficiales que formaban parte del S2 (inteligencia) de la unidad militar, así como quienes pertenecían </w:t>
      </w:r>
      <w:proofErr w:type="gramStart"/>
      <w:r w:rsidRPr="00685170">
        <w:rPr>
          <w:rFonts w:ascii="Verdana" w:hAnsi="Verdana" w:cs="Times New Roman"/>
          <w:sz w:val="20"/>
          <w:szCs w:val="20"/>
        </w:rPr>
        <w:t>a[</w:t>
      </w:r>
      <w:proofErr w:type="gramEnd"/>
      <w:r w:rsidRPr="00685170">
        <w:rPr>
          <w:rFonts w:ascii="Verdana" w:hAnsi="Verdana" w:cs="Times New Roman"/>
          <w:sz w:val="20"/>
          <w:szCs w:val="20"/>
        </w:rPr>
        <w:t>l Órgano Coordinador de Operaciones Antisubversivas (OCOA)]</w:t>
      </w:r>
      <w:r w:rsidRPr="0039097A">
        <w:rPr>
          <w:rFonts w:ascii="Verdana" w:hAnsi="Verdana" w:cs="Times New Roman"/>
          <w:sz w:val="20"/>
          <w:szCs w:val="20"/>
        </w:rPr>
        <w:t xml:space="preserve"> en ese momento</w:t>
      </w:r>
      <w:r>
        <w:rPr>
          <w:rFonts w:ascii="Verdana" w:hAnsi="Verdana" w:cs="Times New Roman"/>
          <w:sz w:val="20"/>
          <w:szCs w:val="20"/>
        </w:rPr>
        <w:t>”, y que “[a]</w:t>
      </w:r>
      <w:proofErr w:type="spellStart"/>
      <w:r>
        <w:rPr>
          <w:rFonts w:ascii="Verdana" w:hAnsi="Verdana" w:cs="Times New Roman"/>
          <w:sz w:val="20"/>
          <w:szCs w:val="20"/>
        </w:rPr>
        <w:t>lgunos</w:t>
      </w:r>
      <w:proofErr w:type="spellEnd"/>
      <w:r>
        <w:rPr>
          <w:rFonts w:ascii="Verdana" w:hAnsi="Verdana" w:cs="Times New Roman"/>
          <w:sz w:val="20"/>
          <w:szCs w:val="20"/>
        </w:rPr>
        <w:t xml:space="preserve"> de ellos se encuentran fallecidos”. El Fiscal Especializado aseveró que “la Fiscalía aún no ha podido solicitar responsabilidades” por algunas excepciones de inconstitucionalidad y prescripción opuestas por las personas procesadas pendientes de resolución</w:t>
      </w:r>
      <w:r>
        <w:rPr>
          <w:rStyle w:val="Refdenotaalpie"/>
          <w:rFonts w:ascii="Verdana" w:hAnsi="Verdana" w:cs="Times New Roman"/>
          <w:sz w:val="20"/>
          <w:szCs w:val="20"/>
        </w:rPr>
        <w:footnoteReference w:id="106"/>
      </w:r>
      <w:r>
        <w:rPr>
          <w:rFonts w:ascii="Verdana" w:hAnsi="Verdana" w:cs="Times New Roman"/>
          <w:sz w:val="20"/>
          <w:szCs w:val="20"/>
        </w:rPr>
        <w:t>. En su declaración oral ante la Corte, dada el 16 de junio de 2021 (</w:t>
      </w:r>
      <w:r>
        <w:rPr>
          <w:rFonts w:ascii="Verdana" w:hAnsi="Verdana" w:cs="Times New Roman"/>
          <w:i/>
          <w:sz w:val="20"/>
          <w:szCs w:val="20"/>
        </w:rPr>
        <w:t>supra</w:t>
      </w:r>
      <w:r>
        <w:rPr>
          <w:rFonts w:ascii="Verdana" w:hAnsi="Verdana" w:cs="Times New Roman"/>
          <w:sz w:val="20"/>
          <w:szCs w:val="20"/>
        </w:rPr>
        <w:t xml:space="preserve"> </w:t>
      </w:r>
      <w:proofErr w:type="spellStart"/>
      <w:r>
        <w:rPr>
          <w:rFonts w:ascii="Verdana" w:hAnsi="Verdana" w:cs="Times New Roman"/>
          <w:sz w:val="20"/>
          <w:szCs w:val="20"/>
        </w:rPr>
        <w:t>párrs</w:t>
      </w:r>
      <w:proofErr w:type="spellEnd"/>
      <w:r>
        <w:rPr>
          <w:rFonts w:ascii="Verdana" w:hAnsi="Verdana" w:cs="Times New Roman"/>
          <w:sz w:val="20"/>
          <w:szCs w:val="20"/>
        </w:rPr>
        <w:t xml:space="preserve">. 8 y 27), el Fiscal Especializado expresó que, para esa fecha, continuaba presentándose la misma situación. </w:t>
      </w:r>
    </w:p>
    <w:p w14:paraId="1F1531E4" w14:textId="77777777" w:rsidR="002A53BF" w:rsidRPr="00E53751" w:rsidRDefault="002A53BF" w:rsidP="005A5029">
      <w:pPr>
        <w:pStyle w:val="Prrafodelista"/>
        <w:spacing w:line="240" w:lineRule="exact"/>
        <w:ind w:left="0"/>
        <w:rPr>
          <w:rFonts w:ascii="Verdana" w:hAnsi="Verdana" w:cs="Times New Roman"/>
          <w:sz w:val="20"/>
          <w:szCs w:val="20"/>
        </w:rPr>
      </w:pPr>
    </w:p>
    <w:p w14:paraId="0B27BEA4" w14:textId="77777777" w:rsidR="002A53BF" w:rsidRPr="006259BF"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t>En forma acorde a lo anterior, en un informe judicial de 6 de julio de 2021 consta que, “en una primera instancia”, el Ministerio Público solicitó la comparecencia, en carácter de “indagados”, de 10 “militares”</w:t>
      </w:r>
      <w:r>
        <w:rPr>
          <w:rStyle w:val="Refdenotaalpie"/>
          <w:rFonts w:ascii="Verdana" w:hAnsi="Verdana" w:cs="Times New Roman"/>
          <w:sz w:val="20"/>
          <w:szCs w:val="20"/>
        </w:rPr>
        <w:footnoteReference w:id="107"/>
      </w:r>
      <w:r>
        <w:rPr>
          <w:rFonts w:ascii="Verdana" w:hAnsi="Verdana" w:cs="Times New Roman"/>
          <w:sz w:val="20"/>
          <w:szCs w:val="20"/>
        </w:rPr>
        <w:t>, y que otras dos personas más, M.C. y H.L., también resultan “vinculad[a]s”. La extradición de M.C. fue solicitada a Argentina, no constando, para la fecha del informe, resolución de ese país. Siete de los primeros 10 militares referidos presentaron excepciones de prescripción, y también lo hizo H.L., sin que, a la fecha del documento, hubiera resolución</w:t>
      </w:r>
      <w:r>
        <w:rPr>
          <w:rStyle w:val="Refdenotaalpie"/>
          <w:rFonts w:ascii="Verdana" w:hAnsi="Verdana" w:cs="Times New Roman"/>
          <w:sz w:val="20"/>
          <w:szCs w:val="20"/>
        </w:rPr>
        <w:footnoteReference w:id="108"/>
      </w:r>
      <w:r>
        <w:rPr>
          <w:rFonts w:ascii="Verdana" w:hAnsi="Verdana" w:cs="Times New Roman"/>
          <w:sz w:val="20"/>
          <w:szCs w:val="20"/>
        </w:rPr>
        <w:t xml:space="preserve">. </w:t>
      </w:r>
      <w:r w:rsidRPr="006259BF">
        <w:rPr>
          <w:rFonts w:ascii="Verdana" w:hAnsi="Verdana" w:cs="Times New Roman"/>
          <w:sz w:val="20"/>
          <w:szCs w:val="20"/>
        </w:rPr>
        <w:t xml:space="preserve"> </w:t>
      </w:r>
    </w:p>
    <w:p w14:paraId="0EC93FA5"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b/>
          <w:bCs/>
          <w:sz w:val="20"/>
          <w:szCs w:val="20"/>
        </w:rPr>
      </w:pPr>
    </w:p>
    <w:p w14:paraId="599B5AE8" w14:textId="1181FAD9" w:rsidR="002A53BF" w:rsidRPr="0039097A" w:rsidRDefault="002A53BF" w:rsidP="005A5029">
      <w:pPr>
        <w:pStyle w:val="Prrafodelista"/>
        <w:autoSpaceDE w:val="0"/>
        <w:autoSpaceDN w:val="0"/>
        <w:adjustRightInd w:val="0"/>
        <w:spacing w:after="0" w:line="240" w:lineRule="exact"/>
        <w:ind w:left="567"/>
        <w:jc w:val="both"/>
        <w:outlineLvl w:val="2"/>
        <w:rPr>
          <w:rFonts w:ascii="Verdana" w:hAnsi="Verdana" w:cs="Times New Roman"/>
          <w:bCs/>
          <w:i/>
          <w:sz w:val="20"/>
          <w:szCs w:val="20"/>
        </w:rPr>
      </w:pPr>
      <w:bookmarkStart w:id="27" w:name="_Toc85550401"/>
      <w:r w:rsidRPr="0039097A">
        <w:rPr>
          <w:rFonts w:ascii="Verdana" w:hAnsi="Verdana" w:cs="Times New Roman"/>
          <w:bCs/>
          <w:i/>
          <w:sz w:val="20"/>
          <w:szCs w:val="20"/>
        </w:rPr>
        <w:t xml:space="preserve">C.3 </w:t>
      </w:r>
      <w:r w:rsidRPr="0039097A">
        <w:rPr>
          <w:rFonts w:ascii="Verdana" w:hAnsi="Verdana" w:cs="Times New Roman"/>
          <w:bCs/>
          <w:i/>
          <w:sz w:val="20"/>
          <w:szCs w:val="20"/>
          <w:u w:val="single"/>
        </w:rPr>
        <w:t>Sobre l</w:t>
      </w:r>
      <w:r w:rsidRPr="00D64CA2">
        <w:rPr>
          <w:rFonts w:ascii="Verdana" w:hAnsi="Verdana" w:cs="Times New Roman"/>
          <w:bCs/>
          <w:i/>
          <w:sz w:val="20"/>
          <w:szCs w:val="20"/>
          <w:u w:val="single"/>
        </w:rPr>
        <w:t xml:space="preserve">a desaparición de Óscar </w:t>
      </w:r>
      <w:proofErr w:type="spellStart"/>
      <w:r w:rsidRPr="00D64CA2">
        <w:rPr>
          <w:rFonts w:ascii="Verdana" w:hAnsi="Verdana" w:cs="Times New Roman"/>
          <w:bCs/>
          <w:i/>
          <w:sz w:val="20"/>
          <w:szCs w:val="20"/>
          <w:u w:val="single"/>
        </w:rPr>
        <w:t>Tassino</w:t>
      </w:r>
      <w:proofErr w:type="spellEnd"/>
      <w:r w:rsidRPr="00D64CA2">
        <w:rPr>
          <w:rFonts w:ascii="Verdana" w:hAnsi="Verdana" w:cs="Times New Roman"/>
          <w:bCs/>
          <w:i/>
          <w:sz w:val="20"/>
          <w:szCs w:val="20"/>
          <w:u w:val="single"/>
        </w:rPr>
        <w:t xml:space="preserve"> </w:t>
      </w:r>
      <w:proofErr w:type="spellStart"/>
      <w:r w:rsidRPr="00D64CA2">
        <w:rPr>
          <w:rFonts w:ascii="Verdana" w:hAnsi="Verdana" w:cs="Times New Roman"/>
          <w:bCs/>
          <w:i/>
          <w:sz w:val="20"/>
          <w:szCs w:val="20"/>
          <w:u w:val="single"/>
        </w:rPr>
        <w:t>Asteazu</w:t>
      </w:r>
      <w:bookmarkEnd w:id="27"/>
      <w:proofErr w:type="spellEnd"/>
      <w:r w:rsidR="00D64CA2" w:rsidRPr="00D64CA2">
        <w:rPr>
          <w:rFonts w:ascii="Verdana" w:hAnsi="Verdana" w:cs="Times New Roman"/>
          <w:bCs/>
          <w:i/>
          <w:sz w:val="20"/>
          <w:szCs w:val="20"/>
          <w:u w:val="single"/>
        </w:rPr>
        <w:t xml:space="preserve"> y la investigación posterior</w:t>
      </w:r>
    </w:p>
    <w:p w14:paraId="37FB5870"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b/>
          <w:bCs/>
          <w:i/>
          <w:sz w:val="20"/>
          <w:szCs w:val="20"/>
        </w:rPr>
      </w:pPr>
    </w:p>
    <w:p w14:paraId="407C9894" w14:textId="77777777" w:rsidR="002A53BF" w:rsidRPr="0039097A" w:rsidRDefault="002A53BF" w:rsidP="005A5029">
      <w:pPr>
        <w:pStyle w:val="Prrafodelista"/>
        <w:autoSpaceDE w:val="0"/>
        <w:autoSpaceDN w:val="0"/>
        <w:adjustRightInd w:val="0"/>
        <w:spacing w:after="0" w:line="240" w:lineRule="exact"/>
        <w:ind w:left="851"/>
        <w:jc w:val="both"/>
        <w:outlineLvl w:val="3"/>
        <w:rPr>
          <w:rFonts w:ascii="Verdana" w:hAnsi="Verdana" w:cs="Times New Roman"/>
          <w:i/>
          <w:sz w:val="20"/>
          <w:szCs w:val="20"/>
        </w:rPr>
      </w:pPr>
      <w:bookmarkStart w:id="28" w:name="_Toc85550402"/>
      <w:r w:rsidRPr="0039097A">
        <w:rPr>
          <w:rFonts w:ascii="Verdana" w:hAnsi="Verdana" w:cs="Times New Roman"/>
          <w:i/>
          <w:sz w:val="20"/>
          <w:szCs w:val="20"/>
        </w:rPr>
        <w:t>C.3.1. Hechos</w:t>
      </w:r>
      <w:bookmarkEnd w:id="28"/>
    </w:p>
    <w:p w14:paraId="06F64215" w14:textId="77777777" w:rsidR="002A53BF" w:rsidRPr="0039097A" w:rsidRDefault="002A53BF" w:rsidP="005A5029">
      <w:pPr>
        <w:spacing w:after="0" w:line="240" w:lineRule="exact"/>
        <w:rPr>
          <w:rFonts w:ascii="Verdana" w:hAnsi="Verdana" w:cs="Times New Roman"/>
          <w:sz w:val="20"/>
          <w:szCs w:val="20"/>
        </w:rPr>
      </w:pPr>
    </w:p>
    <w:p w14:paraId="3051CAB7"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proofErr w:type="spellStart"/>
      <w:r w:rsidRPr="0039097A">
        <w:rPr>
          <w:rFonts w:ascii="Verdana" w:hAnsi="Verdana" w:cs="Times New Roman"/>
          <w:sz w:val="20"/>
          <w:szCs w:val="20"/>
        </w:rPr>
        <w:t>Disnarda</w:t>
      </w:r>
      <w:proofErr w:type="spellEnd"/>
      <w:r w:rsidRPr="0039097A">
        <w:rPr>
          <w:rFonts w:ascii="Verdana" w:hAnsi="Verdana" w:cs="Times New Roman"/>
          <w:sz w:val="20"/>
          <w:szCs w:val="20"/>
        </w:rPr>
        <w:t xml:space="preserve"> Flores </w:t>
      </w:r>
      <w:r>
        <w:rPr>
          <w:rFonts w:ascii="Verdana" w:hAnsi="Verdana" w:cs="Times New Roman"/>
          <w:sz w:val="20"/>
          <w:szCs w:val="20"/>
        </w:rPr>
        <w:t>denunció que</w:t>
      </w:r>
      <w:r w:rsidRPr="0039097A">
        <w:rPr>
          <w:rFonts w:ascii="Verdana" w:hAnsi="Verdana" w:cs="Times New Roman"/>
          <w:sz w:val="20"/>
          <w:szCs w:val="20"/>
        </w:rPr>
        <w:t xml:space="preserve"> el 19 de julio de 1977</w:t>
      </w:r>
      <w:r>
        <w:rPr>
          <w:rFonts w:ascii="Verdana" w:hAnsi="Verdana" w:cs="Times New Roman"/>
          <w:sz w:val="20"/>
          <w:szCs w:val="20"/>
        </w:rPr>
        <w:t>,</w:t>
      </w:r>
      <w:r w:rsidRPr="0039097A">
        <w:rPr>
          <w:rFonts w:ascii="Verdana" w:hAnsi="Verdana" w:cs="Times New Roman"/>
          <w:sz w:val="20"/>
          <w:szCs w:val="20"/>
        </w:rPr>
        <w:t xml:space="preserve"> a las </w:t>
      </w:r>
      <w:r>
        <w:rPr>
          <w:rFonts w:ascii="Verdana" w:hAnsi="Verdana" w:cs="Times New Roman"/>
          <w:sz w:val="20"/>
          <w:szCs w:val="20"/>
        </w:rPr>
        <w:t>20</w:t>
      </w:r>
      <w:r w:rsidRPr="0039097A">
        <w:rPr>
          <w:rFonts w:ascii="Verdana" w:hAnsi="Verdana" w:cs="Times New Roman"/>
          <w:sz w:val="20"/>
          <w:szCs w:val="20"/>
        </w:rPr>
        <w:t xml:space="preserve">:00 </w:t>
      </w:r>
      <w:r>
        <w:rPr>
          <w:rFonts w:ascii="Verdana" w:hAnsi="Verdana" w:cs="Times New Roman"/>
          <w:sz w:val="20"/>
          <w:szCs w:val="20"/>
        </w:rPr>
        <w:t>h,</w:t>
      </w:r>
      <w:r w:rsidRPr="0039097A">
        <w:rPr>
          <w:rFonts w:ascii="Verdana" w:hAnsi="Verdana" w:cs="Times New Roman"/>
          <w:sz w:val="20"/>
          <w:szCs w:val="20"/>
        </w:rPr>
        <w:t xml:space="preserve"> llegaron a la finca ubicada en la calle Máximo Tajes 6632 tres personas armadas</w:t>
      </w:r>
      <w:r>
        <w:rPr>
          <w:rFonts w:ascii="Verdana" w:hAnsi="Verdana" w:cs="Times New Roman"/>
          <w:sz w:val="20"/>
          <w:szCs w:val="20"/>
        </w:rPr>
        <w:t>,</w:t>
      </w:r>
      <w:r w:rsidRPr="0039097A">
        <w:rPr>
          <w:rFonts w:ascii="Verdana" w:hAnsi="Verdana" w:cs="Times New Roman"/>
          <w:sz w:val="20"/>
          <w:szCs w:val="20"/>
        </w:rPr>
        <w:t xml:space="preserve"> vestidas de civil</w:t>
      </w:r>
      <w:r>
        <w:rPr>
          <w:rFonts w:ascii="Verdana" w:hAnsi="Verdana" w:cs="Times New Roman"/>
          <w:sz w:val="20"/>
          <w:szCs w:val="20"/>
        </w:rPr>
        <w:t>,</w:t>
      </w:r>
      <w:r w:rsidRPr="0039097A">
        <w:rPr>
          <w:rFonts w:ascii="Verdana" w:hAnsi="Verdana" w:cs="Times New Roman"/>
          <w:sz w:val="20"/>
          <w:szCs w:val="20"/>
        </w:rPr>
        <w:t xml:space="preserve"> que se identificaron como integrantes de las Fuerzas Conjuntas. </w:t>
      </w:r>
      <w:r>
        <w:rPr>
          <w:rFonts w:ascii="Verdana" w:hAnsi="Verdana" w:cs="Times New Roman"/>
          <w:sz w:val="20"/>
          <w:szCs w:val="20"/>
        </w:rPr>
        <w:t>Señaló que d</w:t>
      </w:r>
      <w:r w:rsidRPr="0039097A">
        <w:rPr>
          <w:rFonts w:ascii="Verdana" w:hAnsi="Verdana" w:cs="Times New Roman"/>
          <w:sz w:val="20"/>
          <w:szCs w:val="20"/>
        </w:rPr>
        <w:t xml:space="preserve">ichas personas amenazaron a los habitantes de la finca para que permanecieran </w:t>
      </w:r>
      <w:r>
        <w:rPr>
          <w:rFonts w:ascii="Verdana" w:hAnsi="Verdana" w:cs="Times New Roman"/>
          <w:sz w:val="20"/>
          <w:szCs w:val="20"/>
        </w:rPr>
        <w:t xml:space="preserve">allí </w:t>
      </w:r>
      <w:r w:rsidRPr="0039097A">
        <w:rPr>
          <w:rFonts w:ascii="Verdana" w:hAnsi="Verdana" w:cs="Times New Roman"/>
          <w:sz w:val="20"/>
          <w:szCs w:val="20"/>
        </w:rPr>
        <w:t>a la espera de la llegada al lugar de</w:t>
      </w:r>
      <w:r>
        <w:rPr>
          <w:rFonts w:ascii="Verdana" w:hAnsi="Verdana" w:cs="Times New Roman"/>
          <w:sz w:val="20"/>
          <w:szCs w:val="20"/>
        </w:rPr>
        <w:t xml:space="preserve"> su esposo,</w:t>
      </w:r>
      <w:r w:rsidRPr="0039097A">
        <w:rPr>
          <w:rFonts w:ascii="Verdana" w:hAnsi="Verdana" w:cs="Times New Roman"/>
          <w:sz w:val="20"/>
          <w:szCs w:val="20"/>
        </w:rPr>
        <w:t xml:space="preserve"> Óscar </w:t>
      </w:r>
      <w:proofErr w:type="spellStart"/>
      <w:r w:rsidRPr="0039097A">
        <w:rPr>
          <w:rFonts w:ascii="Verdana" w:hAnsi="Verdana" w:cs="Times New Roman"/>
          <w:sz w:val="20"/>
          <w:szCs w:val="20"/>
        </w:rPr>
        <w:t>Tassino</w:t>
      </w:r>
      <w:proofErr w:type="spellEnd"/>
      <w:r>
        <w:rPr>
          <w:rFonts w:ascii="Verdana" w:hAnsi="Verdana" w:cs="Times New Roman"/>
          <w:sz w:val="20"/>
          <w:szCs w:val="20"/>
        </w:rPr>
        <w:t xml:space="preserve"> </w:t>
      </w:r>
      <w:proofErr w:type="spellStart"/>
      <w:r>
        <w:rPr>
          <w:rFonts w:ascii="Verdana" w:hAnsi="Verdana" w:cs="Times New Roman"/>
          <w:sz w:val="20"/>
          <w:szCs w:val="20"/>
        </w:rPr>
        <w:t>Asteazu</w:t>
      </w:r>
      <w:proofErr w:type="spellEnd"/>
      <w:r w:rsidRPr="0039097A">
        <w:rPr>
          <w:rFonts w:ascii="Verdana" w:hAnsi="Verdana" w:cs="Times New Roman"/>
          <w:sz w:val="20"/>
          <w:szCs w:val="20"/>
        </w:rPr>
        <w:t xml:space="preserve">. </w:t>
      </w:r>
      <w:r>
        <w:rPr>
          <w:rFonts w:ascii="Verdana" w:hAnsi="Verdana" w:cs="Times New Roman"/>
          <w:sz w:val="20"/>
          <w:szCs w:val="20"/>
        </w:rPr>
        <w:t xml:space="preserve">Indicó </w:t>
      </w:r>
      <w:r w:rsidRPr="0039097A">
        <w:rPr>
          <w:rFonts w:ascii="Verdana" w:hAnsi="Verdana" w:cs="Times New Roman"/>
          <w:sz w:val="20"/>
          <w:szCs w:val="20"/>
        </w:rPr>
        <w:t>que cuando este llegó</w:t>
      </w:r>
      <w:r>
        <w:rPr>
          <w:rFonts w:ascii="Verdana" w:hAnsi="Verdana" w:cs="Times New Roman"/>
          <w:sz w:val="20"/>
          <w:szCs w:val="20"/>
        </w:rPr>
        <w:t>,</w:t>
      </w:r>
      <w:r w:rsidRPr="0039097A">
        <w:rPr>
          <w:rFonts w:ascii="Verdana" w:hAnsi="Verdana" w:cs="Times New Roman"/>
          <w:sz w:val="20"/>
          <w:szCs w:val="20"/>
        </w:rPr>
        <w:t xml:space="preserve"> una hora después, fue introducido a la casa de manera violenta, despojado de sus posesiones y trasladado a uno de los dormitorios donde habría sido golpeado. </w:t>
      </w:r>
      <w:r>
        <w:rPr>
          <w:rFonts w:ascii="Verdana" w:hAnsi="Verdana" w:cs="Times New Roman"/>
          <w:sz w:val="20"/>
          <w:szCs w:val="20"/>
        </w:rPr>
        <w:t xml:space="preserve">Manifestó también </w:t>
      </w:r>
      <w:r w:rsidRPr="0039097A">
        <w:rPr>
          <w:rFonts w:ascii="Verdana" w:hAnsi="Verdana" w:cs="Times New Roman"/>
          <w:sz w:val="20"/>
          <w:szCs w:val="20"/>
        </w:rPr>
        <w:t xml:space="preserve">que a las </w:t>
      </w:r>
      <w:r>
        <w:rPr>
          <w:rFonts w:ascii="Verdana" w:hAnsi="Verdana" w:cs="Times New Roman"/>
          <w:sz w:val="20"/>
          <w:szCs w:val="20"/>
        </w:rPr>
        <w:t>0</w:t>
      </w:r>
      <w:r w:rsidRPr="0039097A">
        <w:rPr>
          <w:rFonts w:ascii="Verdana" w:hAnsi="Verdana" w:cs="Times New Roman"/>
          <w:sz w:val="20"/>
          <w:szCs w:val="20"/>
        </w:rPr>
        <w:t xml:space="preserve">9:30 </w:t>
      </w:r>
      <w:r>
        <w:rPr>
          <w:rFonts w:ascii="Verdana" w:hAnsi="Verdana" w:cs="Times New Roman"/>
          <w:sz w:val="20"/>
          <w:szCs w:val="20"/>
        </w:rPr>
        <w:t xml:space="preserve">h </w:t>
      </w:r>
      <w:r w:rsidRPr="0039097A">
        <w:rPr>
          <w:rFonts w:ascii="Verdana" w:hAnsi="Verdana" w:cs="Times New Roman"/>
          <w:sz w:val="20"/>
          <w:szCs w:val="20"/>
        </w:rPr>
        <w:t>de</w:t>
      </w:r>
      <w:r>
        <w:rPr>
          <w:rFonts w:ascii="Verdana" w:hAnsi="Verdana" w:cs="Times New Roman"/>
          <w:sz w:val="20"/>
          <w:szCs w:val="20"/>
        </w:rPr>
        <w:t>l día</w:t>
      </w:r>
      <w:r w:rsidRPr="0039097A">
        <w:rPr>
          <w:rFonts w:ascii="Verdana" w:hAnsi="Verdana" w:cs="Times New Roman"/>
          <w:sz w:val="20"/>
          <w:szCs w:val="20"/>
        </w:rPr>
        <w:t xml:space="preserve"> siguiente fue retirado de allí a los golpes con su rostro cubierto. </w:t>
      </w:r>
      <w:r>
        <w:rPr>
          <w:rFonts w:ascii="Verdana" w:hAnsi="Verdana" w:cs="Times New Roman"/>
          <w:sz w:val="20"/>
          <w:szCs w:val="20"/>
        </w:rPr>
        <w:t>Agregó</w:t>
      </w:r>
      <w:r w:rsidRPr="0039097A">
        <w:rPr>
          <w:rFonts w:ascii="Verdana" w:hAnsi="Verdana" w:cs="Times New Roman"/>
          <w:sz w:val="20"/>
          <w:szCs w:val="20"/>
        </w:rPr>
        <w:t xml:space="preserve"> que</w:t>
      </w:r>
      <w:r>
        <w:rPr>
          <w:rFonts w:ascii="Verdana" w:hAnsi="Verdana" w:cs="Times New Roman"/>
          <w:sz w:val="20"/>
          <w:szCs w:val="20"/>
        </w:rPr>
        <w:t>,</w:t>
      </w:r>
      <w:r w:rsidRPr="0039097A">
        <w:rPr>
          <w:rFonts w:ascii="Verdana" w:hAnsi="Verdana" w:cs="Times New Roman"/>
          <w:sz w:val="20"/>
          <w:szCs w:val="20"/>
        </w:rPr>
        <w:t xml:space="preserve"> posteriormente</w:t>
      </w:r>
      <w:r>
        <w:rPr>
          <w:rFonts w:ascii="Verdana" w:hAnsi="Verdana" w:cs="Times New Roman"/>
          <w:sz w:val="20"/>
          <w:szCs w:val="20"/>
        </w:rPr>
        <w:t>,</w:t>
      </w:r>
      <w:r w:rsidRPr="0039097A">
        <w:rPr>
          <w:rFonts w:ascii="Verdana" w:hAnsi="Verdana" w:cs="Times New Roman"/>
          <w:sz w:val="20"/>
          <w:szCs w:val="20"/>
        </w:rPr>
        <w:t xml:space="preserve"> el señor </w:t>
      </w:r>
      <w:proofErr w:type="spellStart"/>
      <w:r w:rsidRPr="0039097A">
        <w:rPr>
          <w:rFonts w:ascii="Verdana" w:hAnsi="Verdana" w:cs="Times New Roman"/>
          <w:sz w:val="20"/>
          <w:szCs w:val="20"/>
        </w:rPr>
        <w:t>Tassino</w:t>
      </w:r>
      <w:proofErr w:type="spellEnd"/>
      <w:r>
        <w:rPr>
          <w:rFonts w:ascii="Verdana" w:hAnsi="Verdana" w:cs="Times New Roman"/>
          <w:sz w:val="20"/>
          <w:szCs w:val="20"/>
        </w:rPr>
        <w:t xml:space="preserve"> </w:t>
      </w:r>
      <w:proofErr w:type="spellStart"/>
      <w:r>
        <w:rPr>
          <w:rFonts w:ascii="Verdana" w:hAnsi="Verdana" w:cs="Times New Roman"/>
          <w:sz w:val="20"/>
          <w:szCs w:val="20"/>
        </w:rPr>
        <w:t>Asteazu</w:t>
      </w:r>
      <w:proofErr w:type="spellEnd"/>
      <w:r w:rsidRPr="0039097A">
        <w:rPr>
          <w:rFonts w:ascii="Verdana" w:hAnsi="Verdana" w:cs="Times New Roman"/>
          <w:sz w:val="20"/>
          <w:szCs w:val="20"/>
        </w:rPr>
        <w:t xml:space="preserve"> fue visto en un establecimiento clandestino de reclusión por personas que señalan que fue sometido a "salvajes torturas"</w:t>
      </w:r>
      <w:r w:rsidRPr="0039097A">
        <w:rPr>
          <w:rStyle w:val="Refdenotaalpie"/>
          <w:rFonts w:ascii="Verdana" w:hAnsi="Verdana" w:cs="Times New Roman"/>
          <w:sz w:val="20"/>
          <w:szCs w:val="20"/>
        </w:rPr>
        <w:footnoteReference w:id="109"/>
      </w:r>
      <w:r>
        <w:rPr>
          <w:rFonts w:ascii="Verdana" w:hAnsi="Verdana" w:cs="Times New Roman"/>
          <w:sz w:val="20"/>
          <w:szCs w:val="20"/>
        </w:rPr>
        <w:t>. Autoridades judiciales dieron cuenta de señalamientos en el mismo sentido</w:t>
      </w:r>
      <w:r>
        <w:rPr>
          <w:rStyle w:val="Refdenotaalpie"/>
          <w:rFonts w:ascii="Verdana" w:hAnsi="Verdana" w:cs="Times New Roman"/>
          <w:sz w:val="20"/>
          <w:szCs w:val="20"/>
        </w:rPr>
        <w:footnoteReference w:id="110"/>
      </w:r>
      <w:r>
        <w:rPr>
          <w:rFonts w:ascii="Verdana" w:hAnsi="Verdana" w:cs="Times New Roman"/>
          <w:sz w:val="20"/>
          <w:szCs w:val="20"/>
        </w:rPr>
        <w:t>.</w:t>
      </w:r>
    </w:p>
    <w:p w14:paraId="4CDA92F7"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7844E851"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lastRenderedPageBreak/>
        <w:t xml:space="preserve">La señora Flores de </w:t>
      </w:r>
      <w:proofErr w:type="spellStart"/>
      <w:r>
        <w:rPr>
          <w:rFonts w:ascii="Verdana" w:hAnsi="Verdana" w:cs="Times New Roman"/>
          <w:sz w:val="20"/>
          <w:szCs w:val="20"/>
        </w:rPr>
        <w:t>Tassino</w:t>
      </w:r>
      <w:proofErr w:type="spellEnd"/>
      <w:r>
        <w:rPr>
          <w:rFonts w:ascii="Verdana" w:hAnsi="Verdana" w:cs="Times New Roman"/>
          <w:sz w:val="20"/>
          <w:szCs w:val="20"/>
        </w:rPr>
        <w:t xml:space="preserve"> r</w:t>
      </w:r>
      <w:r w:rsidRPr="0039097A">
        <w:rPr>
          <w:rFonts w:ascii="Verdana" w:hAnsi="Verdana" w:cs="Times New Roman"/>
          <w:sz w:val="20"/>
          <w:szCs w:val="20"/>
        </w:rPr>
        <w:t xml:space="preserve">efirió que, al denunciar estos hechos ante el Estado Mayor Conjunto, se le informó que su esposo no había sido detenido por </w:t>
      </w:r>
      <w:r>
        <w:rPr>
          <w:rFonts w:ascii="Verdana" w:hAnsi="Verdana" w:cs="Times New Roman"/>
          <w:sz w:val="20"/>
          <w:szCs w:val="20"/>
        </w:rPr>
        <w:t>autoridades militares</w:t>
      </w:r>
      <w:r w:rsidRPr="0039097A">
        <w:rPr>
          <w:rFonts w:ascii="Verdana" w:hAnsi="Verdana" w:cs="Times New Roman"/>
          <w:sz w:val="20"/>
          <w:szCs w:val="20"/>
        </w:rPr>
        <w:t xml:space="preserve">, pero que era requerido desde el 1 de mayo de </w:t>
      </w:r>
      <w:r w:rsidRPr="00F137AF">
        <w:rPr>
          <w:rFonts w:ascii="Verdana" w:hAnsi="Verdana" w:cs="Times New Roman"/>
          <w:sz w:val="20"/>
          <w:szCs w:val="20"/>
        </w:rPr>
        <w:t>1977 y que debía acudir a la Dirección Nacional de Información e Inteligencia de la Jefatura de la Policía de Montevideo. Indicó que en dicho lugar le brindaron información pero sobre otro hecho: una detención anterior que había sufrido su esposo, ocurrida en 1974</w:t>
      </w:r>
      <w:r w:rsidRPr="00F137AF">
        <w:rPr>
          <w:rStyle w:val="Refdenotaalpie"/>
          <w:rFonts w:ascii="Verdana" w:hAnsi="Verdana" w:cs="Times New Roman"/>
          <w:sz w:val="20"/>
          <w:szCs w:val="20"/>
        </w:rPr>
        <w:footnoteReference w:id="111"/>
      </w:r>
      <w:r w:rsidRPr="00F137AF">
        <w:rPr>
          <w:rFonts w:ascii="Verdana" w:hAnsi="Verdana" w:cs="Times New Roman"/>
          <w:sz w:val="20"/>
          <w:szCs w:val="20"/>
        </w:rPr>
        <w:t>.</w:t>
      </w:r>
    </w:p>
    <w:p w14:paraId="06915C6C" w14:textId="77777777" w:rsidR="002A53BF" w:rsidRPr="00685170" w:rsidRDefault="002A53BF" w:rsidP="005A5029">
      <w:pPr>
        <w:spacing w:after="0" w:line="240" w:lineRule="exact"/>
        <w:rPr>
          <w:rFonts w:ascii="Verdana" w:hAnsi="Verdana" w:cs="Times New Roman"/>
          <w:sz w:val="20"/>
          <w:szCs w:val="20"/>
        </w:rPr>
      </w:pPr>
    </w:p>
    <w:p w14:paraId="11934B6B" w14:textId="77777777" w:rsidR="002A53BF" w:rsidRPr="0039097A" w:rsidRDefault="002A53BF" w:rsidP="005A5029">
      <w:pPr>
        <w:pStyle w:val="Prrafodelista"/>
        <w:autoSpaceDE w:val="0"/>
        <w:autoSpaceDN w:val="0"/>
        <w:adjustRightInd w:val="0"/>
        <w:spacing w:after="0" w:line="240" w:lineRule="exact"/>
        <w:ind w:left="851"/>
        <w:jc w:val="both"/>
        <w:outlineLvl w:val="3"/>
        <w:rPr>
          <w:rFonts w:ascii="Verdana" w:hAnsi="Verdana" w:cs="Times New Roman"/>
          <w:i/>
          <w:sz w:val="20"/>
          <w:szCs w:val="20"/>
        </w:rPr>
      </w:pPr>
      <w:bookmarkStart w:id="29" w:name="_Toc85550403"/>
      <w:r w:rsidRPr="0039097A">
        <w:rPr>
          <w:rFonts w:ascii="Verdana" w:hAnsi="Verdana" w:cs="Times New Roman"/>
          <w:i/>
          <w:sz w:val="20"/>
          <w:szCs w:val="20"/>
        </w:rPr>
        <w:t>C.3.2. Investigación</w:t>
      </w:r>
      <w:bookmarkEnd w:id="29"/>
    </w:p>
    <w:p w14:paraId="5AC0F37A" w14:textId="77777777" w:rsidR="002A53BF" w:rsidRPr="0039097A" w:rsidRDefault="002A53BF" w:rsidP="005A5029">
      <w:pPr>
        <w:pStyle w:val="Prrafodelista"/>
        <w:spacing w:line="240" w:lineRule="exact"/>
        <w:rPr>
          <w:rFonts w:ascii="Verdana" w:hAnsi="Verdana" w:cs="Times New Roman"/>
          <w:sz w:val="20"/>
          <w:szCs w:val="20"/>
        </w:rPr>
      </w:pPr>
    </w:p>
    <w:p w14:paraId="37498495" w14:textId="375E2A3F"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El </w:t>
      </w:r>
      <w:r>
        <w:rPr>
          <w:rFonts w:ascii="Verdana" w:hAnsi="Verdana" w:cs="Times New Roman"/>
          <w:sz w:val="20"/>
          <w:szCs w:val="20"/>
        </w:rPr>
        <w:t>20</w:t>
      </w:r>
      <w:r w:rsidRPr="0039097A">
        <w:rPr>
          <w:rFonts w:ascii="Verdana" w:hAnsi="Verdana" w:cs="Times New Roman"/>
          <w:sz w:val="20"/>
          <w:szCs w:val="20"/>
        </w:rPr>
        <w:t xml:space="preserve"> de </w:t>
      </w:r>
      <w:r>
        <w:rPr>
          <w:rFonts w:ascii="Verdana" w:hAnsi="Verdana" w:cs="Times New Roman"/>
          <w:sz w:val="20"/>
          <w:szCs w:val="20"/>
        </w:rPr>
        <w:t>mayo</w:t>
      </w:r>
      <w:r w:rsidRPr="0039097A">
        <w:rPr>
          <w:rFonts w:ascii="Verdana" w:hAnsi="Verdana" w:cs="Times New Roman"/>
          <w:sz w:val="20"/>
          <w:szCs w:val="20"/>
        </w:rPr>
        <w:t xml:space="preserve"> de 1985</w:t>
      </w:r>
      <w:r w:rsidR="0039362A">
        <w:rPr>
          <w:rFonts w:ascii="Verdana" w:hAnsi="Verdana" w:cs="Times New Roman"/>
          <w:sz w:val="20"/>
          <w:szCs w:val="20"/>
        </w:rPr>
        <w:t xml:space="preserve">, </w:t>
      </w:r>
      <w:r>
        <w:rPr>
          <w:rFonts w:ascii="Verdana" w:hAnsi="Verdana" w:cs="Times New Roman"/>
          <w:sz w:val="20"/>
          <w:szCs w:val="20"/>
        </w:rPr>
        <w:t>o en junio de ese año,</w:t>
      </w:r>
      <w:r w:rsidRPr="0039097A">
        <w:rPr>
          <w:rFonts w:ascii="Verdana" w:hAnsi="Verdana" w:cs="Times New Roman"/>
          <w:sz w:val="20"/>
          <w:szCs w:val="20"/>
        </w:rPr>
        <w:t xml:space="preserve"> </w:t>
      </w:r>
      <w:proofErr w:type="spellStart"/>
      <w:r w:rsidRPr="0039097A">
        <w:rPr>
          <w:rFonts w:ascii="Verdana" w:hAnsi="Verdana" w:cs="Times New Roman"/>
          <w:sz w:val="20"/>
          <w:szCs w:val="20"/>
        </w:rPr>
        <w:t>Disnarda</w:t>
      </w:r>
      <w:proofErr w:type="spellEnd"/>
      <w:r w:rsidRPr="0039097A">
        <w:rPr>
          <w:rFonts w:ascii="Verdana" w:hAnsi="Verdana" w:cs="Times New Roman"/>
          <w:sz w:val="20"/>
          <w:szCs w:val="20"/>
        </w:rPr>
        <w:t xml:space="preserve"> Flores</w:t>
      </w:r>
      <w:r>
        <w:rPr>
          <w:rFonts w:ascii="Verdana" w:hAnsi="Verdana" w:cs="Times New Roman"/>
          <w:sz w:val="20"/>
          <w:szCs w:val="20"/>
        </w:rPr>
        <w:t xml:space="preserve"> </w:t>
      </w:r>
      <w:r w:rsidRPr="0039097A">
        <w:rPr>
          <w:rFonts w:ascii="Verdana" w:hAnsi="Verdana" w:cs="Times New Roman"/>
          <w:sz w:val="20"/>
          <w:szCs w:val="20"/>
        </w:rPr>
        <w:t xml:space="preserve">interpuso una denuncia por la presunta desaparición y tortura del señor 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w:t>
      </w:r>
      <w:proofErr w:type="spellStart"/>
      <w:r w:rsidRPr="0039097A">
        <w:rPr>
          <w:rFonts w:ascii="Verdana" w:hAnsi="Verdana" w:cs="Times New Roman"/>
          <w:sz w:val="20"/>
          <w:szCs w:val="20"/>
        </w:rPr>
        <w:t>Asteazu</w:t>
      </w:r>
      <w:proofErr w:type="spellEnd"/>
      <w:r w:rsidRPr="0039097A">
        <w:rPr>
          <w:rStyle w:val="Refdenotaalpie"/>
          <w:rFonts w:ascii="Verdana" w:hAnsi="Verdana" w:cs="Times New Roman"/>
          <w:sz w:val="20"/>
          <w:szCs w:val="20"/>
        </w:rPr>
        <w:footnoteReference w:id="112"/>
      </w:r>
      <w:r w:rsidRPr="0039097A">
        <w:rPr>
          <w:rFonts w:ascii="Verdana" w:hAnsi="Verdana" w:cs="Times New Roman"/>
          <w:sz w:val="20"/>
          <w:szCs w:val="20"/>
        </w:rPr>
        <w:t>. En</w:t>
      </w:r>
      <w:r>
        <w:rPr>
          <w:rFonts w:ascii="Verdana" w:hAnsi="Verdana" w:cs="Times New Roman"/>
          <w:sz w:val="20"/>
          <w:szCs w:val="20"/>
        </w:rPr>
        <w:t xml:space="preserve"> ese acto</w:t>
      </w:r>
      <w:r w:rsidRPr="0039097A">
        <w:rPr>
          <w:rFonts w:ascii="Verdana" w:hAnsi="Verdana" w:cs="Times New Roman"/>
          <w:sz w:val="20"/>
          <w:szCs w:val="20"/>
        </w:rPr>
        <w:t xml:space="preserve"> requirió la realización de pruebas</w:t>
      </w:r>
      <w:r>
        <w:rPr>
          <w:rFonts w:ascii="Verdana" w:hAnsi="Verdana" w:cs="Times New Roman"/>
          <w:sz w:val="20"/>
          <w:szCs w:val="20"/>
        </w:rPr>
        <w:t>,</w:t>
      </w:r>
      <w:r w:rsidRPr="0039097A">
        <w:rPr>
          <w:rFonts w:ascii="Verdana" w:hAnsi="Verdana" w:cs="Times New Roman"/>
          <w:sz w:val="20"/>
          <w:szCs w:val="20"/>
        </w:rPr>
        <w:t xml:space="preserve"> como recepción de declaraciones testimoniales y </w:t>
      </w:r>
      <w:r>
        <w:rPr>
          <w:rFonts w:ascii="Verdana" w:hAnsi="Verdana" w:cs="Times New Roman"/>
          <w:sz w:val="20"/>
          <w:szCs w:val="20"/>
        </w:rPr>
        <w:t xml:space="preserve">que se </w:t>
      </w:r>
      <w:r w:rsidRPr="0039097A">
        <w:rPr>
          <w:rFonts w:ascii="Verdana" w:hAnsi="Verdana" w:cs="Times New Roman"/>
          <w:sz w:val="20"/>
          <w:szCs w:val="20"/>
        </w:rPr>
        <w:t>solicit</w:t>
      </w:r>
      <w:r>
        <w:rPr>
          <w:rFonts w:ascii="Verdana" w:hAnsi="Verdana" w:cs="Times New Roman"/>
          <w:sz w:val="20"/>
          <w:szCs w:val="20"/>
        </w:rPr>
        <w:t>e</w:t>
      </w:r>
      <w:r w:rsidRPr="0039097A">
        <w:rPr>
          <w:rFonts w:ascii="Verdana" w:hAnsi="Verdana" w:cs="Times New Roman"/>
          <w:sz w:val="20"/>
          <w:szCs w:val="20"/>
        </w:rPr>
        <w:t xml:space="preserve"> al Ministerio de Defensa Nacional el nombre de los oficiales y </w:t>
      </w:r>
      <w:proofErr w:type="spellStart"/>
      <w:r w:rsidRPr="0039097A">
        <w:rPr>
          <w:rFonts w:ascii="Verdana" w:hAnsi="Verdana" w:cs="Times New Roman"/>
          <w:sz w:val="20"/>
          <w:szCs w:val="20"/>
        </w:rPr>
        <w:t>sub-oficiales</w:t>
      </w:r>
      <w:proofErr w:type="spellEnd"/>
      <w:r w:rsidRPr="0039097A">
        <w:rPr>
          <w:rFonts w:ascii="Verdana" w:hAnsi="Verdana" w:cs="Times New Roman"/>
          <w:sz w:val="20"/>
          <w:szCs w:val="20"/>
        </w:rPr>
        <w:t xml:space="preserve"> que estuvieron a cargo del operativo del 19 de julio de 1977</w:t>
      </w:r>
      <w:r w:rsidRPr="0039097A">
        <w:rPr>
          <w:rStyle w:val="Refdenotaalpie"/>
          <w:rFonts w:ascii="Verdana" w:hAnsi="Verdana" w:cs="Times New Roman"/>
          <w:sz w:val="20"/>
          <w:szCs w:val="20"/>
        </w:rPr>
        <w:footnoteReference w:id="113"/>
      </w:r>
      <w:r w:rsidRPr="0039097A">
        <w:rPr>
          <w:rFonts w:ascii="Verdana" w:hAnsi="Verdana" w:cs="Times New Roman"/>
          <w:sz w:val="20"/>
          <w:szCs w:val="20"/>
        </w:rPr>
        <w:t>. No consta que dichas diligencias</w:t>
      </w:r>
      <w:r>
        <w:rPr>
          <w:rFonts w:ascii="Verdana" w:hAnsi="Verdana" w:cs="Times New Roman"/>
          <w:sz w:val="20"/>
          <w:szCs w:val="20"/>
        </w:rPr>
        <w:t xml:space="preserve"> </w:t>
      </w:r>
      <w:r w:rsidRPr="0039097A">
        <w:rPr>
          <w:rFonts w:ascii="Verdana" w:hAnsi="Verdana" w:cs="Times New Roman"/>
          <w:sz w:val="20"/>
          <w:szCs w:val="20"/>
        </w:rPr>
        <w:t>se hayan llevado a cabo.</w:t>
      </w:r>
    </w:p>
    <w:p w14:paraId="1A702C3C" w14:textId="77777777" w:rsidR="002A53BF" w:rsidRPr="0039097A" w:rsidRDefault="002A53BF" w:rsidP="005A5029">
      <w:pPr>
        <w:pStyle w:val="Prrafodelista"/>
        <w:spacing w:line="240" w:lineRule="exact"/>
        <w:ind w:left="0"/>
        <w:rPr>
          <w:rFonts w:ascii="Verdana" w:hAnsi="Verdana" w:cs="Times New Roman"/>
          <w:sz w:val="20"/>
          <w:szCs w:val="20"/>
        </w:rPr>
      </w:pPr>
    </w:p>
    <w:p w14:paraId="5C5DC70C"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El 24 de septiembre de 1985 se </w:t>
      </w:r>
      <w:r>
        <w:rPr>
          <w:rFonts w:ascii="Verdana" w:hAnsi="Verdana" w:cs="Times New Roman"/>
          <w:sz w:val="20"/>
          <w:szCs w:val="20"/>
        </w:rPr>
        <w:t xml:space="preserve">suscitó </w:t>
      </w:r>
      <w:r w:rsidRPr="0039097A">
        <w:rPr>
          <w:rFonts w:ascii="Verdana" w:hAnsi="Verdana" w:cs="Times New Roman"/>
          <w:sz w:val="20"/>
          <w:szCs w:val="20"/>
        </w:rPr>
        <w:t>un conflicto de competencia entre la jurisdicción militar y la jurisdicción ordinaria</w:t>
      </w:r>
      <w:r w:rsidRPr="0039097A">
        <w:rPr>
          <w:rStyle w:val="Refdenotaalpie"/>
          <w:rFonts w:ascii="Verdana" w:hAnsi="Verdana" w:cs="Times New Roman"/>
          <w:sz w:val="20"/>
          <w:szCs w:val="20"/>
        </w:rPr>
        <w:footnoteReference w:id="114"/>
      </w:r>
      <w:r w:rsidRPr="0039097A">
        <w:rPr>
          <w:rFonts w:ascii="Verdana" w:hAnsi="Verdana" w:cs="Times New Roman"/>
          <w:sz w:val="20"/>
          <w:szCs w:val="20"/>
        </w:rPr>
        <w:t xml:space="preserve">. El 18 de febrero de 1987 la Suprema Corte de Justicia remitió el caso al Juzgado Letrado de Primera Instancia en lo Penal de </w:t>
      </w:r>
      <w:r>
        <w:rPr>
          <w:rFonts w:ascii="Verdana" w:hAnsi="Verdana" w:cs="Times New Roman"/>
          <w:sz w:val="20"/>
          <w:szCs w:val="20"/>
        </w:rPr>
        <w:t xml:space="preserve">10º Turno (aclarando en dicho acto que se trata del Juzgado “ex - </w:t>
      </w:r>
      <w:r w:rsidRPr="0039097A">
        <w:rPr>
          <w:rFonts w:ascii="Verdana" w:hAnsi="Verdana" w:cs="Times New Roman"/>
          <w:sz w:val="20"/>
          <w:szCs w:val="20"/>
        </w:rPr>
        <w:t>9° Turno</w:t>
      </w:r>
      <w:r>
        <w:rPr>
          <w:rFonts w:ascii="Verdana" w:hAnsi="Verdana" w:cs="Times New Roman"/>
          <w:sz w:val="20"/>
          <w:szCs w:val="20"/>
        </w:rPr>
        <w:t>”)</w:t>
      </w:r>
      <w:r w:rsidRPr="0039097A">
        <w:rPr>
          <w:rStyle w:val="Refdenotaalpie"/>
          <w:rFonts w:ascii="Verdana" w:hAnsi="Verdana" w:cs="Times New Roman"/>
          <w:sz w:val="20"/>
          <w:szCs w:val="20"/>
        </w:rPr>
        <w:footnoteReference w:id="115"/>
      </w:r>
      <w:r w:rsidRPr="0039097A">
        <w:rPr>
          <w:rFonts w:ascii="Verdana" w:hAnsi="Verdana" w:cs="Times New Roman"/>
          <w:sz w:val="20"/>
          <w:szCs w:val="20"/>
        </w:rPr>
        <w:t>.</w:t>
      </w:r>
    </w:p>
    <w:p w14:paraId="14A9FB9E" w14:textId="77777777" w:rsidR="002A53BF" w:rsidRPr="0039097A" w:rsidRDefault="002A53BF" w:rsidP="005A5029">
      <w:pPr>
        <w:pStyle w:val="Prrafodelista"/>
        <w:spacing w:line="240" w:lineRule="exact"/>
        <w:ind w:left="0"/>
        <w:rPr>
          <w:rFonts w:ascii="Verdana" w:hAnsi="Verdana" w:cs="Times New Roman"/>
          <w:sz w:val="20"/>
          <w:szCs w:val="20"/>
        </w:rPr>
      </w:pPr>
    </w:p>
    <w:p w14:paraId="58269139"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El </w:t>
      </w:r>
      <w:r>
        <w:rPr>
          <w:rFonts w:ascii="Verdana" w:hAnsi="Verdana" w:cs="Times New Roman"/>
          <w:sz w:val="20"/>
          <w:szCs w:val="20"/>
        </w:rPr>
        <w:t>10</w:t>
      </w:r>
      <w:r w:rsidRPr="0039097A">
        <w:rPr>
          <w:rFonts w:ascii="Verdana" w:hAnsi="Verdana" w:cs="Times New Roman"/>
          <w:sz w:val="20"/>
          <w:szCs w:val="20"/>
        </w:rPr>
        <w:t xml:space="preserve"> de </w:t>
      </w:r>
      <w:r>
        <w:rPr>
          <w:rFonts w:ascii="Verdana" w:hAnsi="Verdana" w:cs="Times New Roman"/>
          <w:sz w:val="20"/>
          <w:szCs w:val="20"/>
        </w:rPr>
        <w:t>abril</w:t>
      </w:r>
      <w:r w:rsidRPr="0039097A">
        <w:rPr>
          <w:rFonts w:ascii="Verdana" w:hAnsi="Verdana" w:cs="Times New Roman"/>
          <w:sz w:val="20"/>
          <w:szCs w:val="20"/>
        </w:rPr>
        <w:t xml:space="preserve"> de 1987 </w:t>
      </w:r>
      <w:proofErr w:type="spellStart"/>
      <w:r w:rsidRPr="0039097A">
        <w:rPr>
          <w:rFonts w:ascii="Verdana" w:hAnsi="Verdana" w:cs="Times New Roman"/>
          <w:sz w:val="20"/>
          <w:szCs w:val="20"/>
        </w:rPr>
        <w:t>Disnarda</w:t>
      </w:r>
      <w:proofErr w:type="spellEnd"/>
      <w:r w:rsidRPr="0039097A">
        <w:rPr>
          <w:rFonts w:ascii="Verdana" w:hAnsi="Verdana" w:cs="Times New Roman"/>
          <w:sz w:val="20"/>
          <w:szCs w:val="20"/>
        </w:rPr>
        <w:t xml:space="preserve"> Flores presentó una acción de inconstitucionalidad en contra de los artículos 1, 2, 3 y 4 de la Ley de Caducidad</w:t>
      </w:r>
      <w:r>
        <w:rPr>
          <w:rFonts w:ascii="Verdana" w:hAnsi="Verdana" w:cs="Times New Roman"/>
          <w:sz w:val="20"/>
          <w:szCs w:val="20"/>
        </w:rPr>
        <w:t>,</w:t>
      </w:r>
      <w:r w:rsidRPr="0039097A">
        <w:rPr>
          <w:rFonts w:ascii="Verdana" w:hAnsi="Verdana" w:cs="Times New Roman"/>
          <w:sz w:val="20"/>
          <w:szCs w:val="20"/>
        </w:rPr>
        <w:t xml:space="preserve"> argumentando que estos viol</w:t>
      </w:r>
      <w:r>
        <w:rPr>
          <w:rFonts w:ascii="Verdana" w:hAnsi="Verdana" w:cs="Times New Roman"/>
          <w:sz w:val="20"/>
          <w:szCs w:val="20"/>
        </w:rPr>
        <w:t xml:space="preserve">aban </w:t>
      </w:r>
      <w:r w:rsidRPr="00685170">
        <w:rPr>
          <w:rFonts w:ascii="Verdana" w:hAnsi="Verdana" w:cs="Times New Roman"/>
          <w:sz w:val="20"/>
          <w:szCs w:val="20"/>
        </w:rPr>
        <w:t>el principio de separación de poderes, la independencia judicial, el debido proceso y el derecho a la igualdad</w:t>
      </w:r>
      <w:r w:rsidRPr="0039097A">
        <w:rPr>
          <w:rStyle w:val="Refdenotaalpie"/>
          <w:rFonts w:ascii="Verdana" w:hAnsi="Verdana" w:cs="Times New Roman"/>
          <w:sz w:val="20"/>
          <w:szCs w:val="20"/>
        </w:rPr>
        <w:footnoteReference w:id="116"/>
      </w:r>
      <w:r w:rsidRPr="0039097A">
        <w:rPr>
          <w:rFonts w:ascii="Verdana" w:hAnsi="Verdana" w:cs="Times New Roman"/>
          <w:sz w:val="20"/>
          <w:szCs w:val="20"/>
        </w:rPr>
        <w:t>. El 10 de agosto de 1988 la Suprema Corte de Justicia declaró sin lugar dicho recurso</w:t>
      </w:r>
      <w:r w:rsidRPr="0039097A">
        <w:rPr>
          <w:rStyle w:val="Refdenotaalpie"/>
          <w:rFonts w:ascii="Verdana" w:hAnsi="Verdana" w:cs="Times New Roman"/>
          <w:sz w:val="20"/>
          <w:szCs w:val="20"/>
        </w:rPr>
        <w:footnoteReference w:id="117"/>
      </w:r>
      <w:r w:rsidRPr="0039097A">
        <w:rPr>
          <w:rFonts w:ascii="Verdana" w:hAnsi="Verdana" w:cs="Times New Roman"/>
          <w:sz w:val="20"/>
          <w:szCs w:val="20"/>
        </w:rPr>
        <w:t>.</w:t>
      </w:r>
    </w:p>
    <w:p w14:paraId="5A9E13B8" w14:textId="77777777" w:rsidR="002A53BF" w:rsidRPr="0039097A" w:rsidRDefault="002A53BF" w:rsidP="005A5029">
      <w:pPr>
        <w:pStyle w:val="Prrafodelista"/>
        <w:spacing w:line="240" w:lineRule="exact"/>
        <w:ind w:left="0"/>
        <w:rPr>
          <w:rFonts w:ascii="Verdana" w:hAnsi="Verdana" w:cs="Times New Roman"/>
          <w:sz w:val="20"/>
          <w:szCs w:val="20"/>
        </w:rPr>
      </w:pPr>
    </w:p>
    <w:p w14:paraId="7D6755C7"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El 18 de agosto de 1987 </w:t>
      </w:r>
      <w:proofErr w:type="spellStart"/>
      <w:r w:rsidRPr="0039097A">
        <w:rPr>
          <w:rFonts w:ascii="Verdana" w:hAnsi="Verdana" w:cs="Times New Roman"/>
          <w:sz w:val="20"/>
          <w:szCs w:val="20"/>
        </w:rPr>
        <w:t>Disnarda</w:t>
      </w:r>
      <w:proofErr w:type="spellEnd"/>
      <w:r w:rsidRPr="0039097A">
        <w:rPr>
          <w:rFonts w:ascii="Verdana" w:hAnsi="Verdana" w:cs="Times New Roman"/>
          <w:sz w:val="20"/>
          <w:szCs w:val="20"/>
        </w:rPr>
        <w:t xml:space="preserve"> Flores solicitó al Juzgado Letrado de Primera Instancia en lo Penal de </w:t>
      </w:r>
      <w:r>
        <w:rPr>
          <w:rFonts w:ascii="Verdana" w:hAnsi="Verdana" w:cs="Times New Roman"/>
          <w:sz w:val="20"/>
          <w:szCs w:val="20"/>
        </w:rPr>
        <w:t>10</w:t>
      </w:r>
      <w:r>
        <w:rPr>
          <w:rFonts w:ascii="Verdana" w:hAnsi="Verdana" w:cs="Arial"/>
          <w:sz w:val="20"/>
          <w:szCs w:val="20"/>
        </w:rPr>
        <w:t xml:space="preserve">º </w:t>
      </w:r>
      <w:r w:rsidRPr="0039097A">
        <w:rPr>
          <w:rFonts w:ascii="Verdana" w:hAnsi="Verdana" w:cs="Times New Roman"/>
          <w:sz w:val="20"/>
          <w:szCs w:val="20"/>
        </w:rPr>
        <w:t xml:space="preserve">Turno que se le notifique personalmente del acto administrativo del Poder Ejecutivo sobre la inclusión de la denuncia de la presunta </w:t>
      </w:r>
      <w:r w:rsidRPr="0039097A">
        <w:rPr>
          <w:rFonts w:ascii="Verdana" w:hAnsi="Verdana" w:cs="Times New Roman"/>
          <w:sz w:val="20"/>
          <w:szCs w:val="20"/>
        </w:rPr>
        <w:lastRenderedPageBreak/>
        <w:t xml:space="preserve">desaparición y tortura de 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w:t>
      </w:r>
      <w:proofErr w:type="spellStart"/>
      <w:r w:rsidRPr="0039097A">
        <w:rPr>
          <w:rFonts w:ascii="Verdana" w:hAnsi="Verdana" w:cs="Times New Roman"/>
          <w:sz w:val="20"/>
          <w:szCs w:val="20"/>
        </w:rPr>
        <w:t>Asteazu</w:t>
      </w:r>
      <w:proofErr w:type="spellEnd"/>
      <w:r w:rsidRPr="0039097A">
        <w:rPr>
          <w:rFonts w:ascii="Verdana" w:hAnsi="Verdana" w:cs="Times New Roman"/>
          <w:sz w:val="20"/>
          <w:szCs w:val="20"/>
        </w:rPr>
        <w:t xml:space="preserve"> dentro de la Ley de Caducidad</w:t>
      </w:r>
      <w:r w:rsidRPr="0039097A">
        <w:rPr>
          <w:rStyle w:val="Refdenotaalpie"/>
          <w:rFonts w:ascii="Verdana" w:hAnsi="Verdana" w:cs="Times New Roman"/>
          <w:sz w:val="20"/>
          <w:szCs w:val="20"/>
        </w:rPr>
        <w:footnoteReference w:id="118"/>
      </w:r>
      <w:r w:rsidRPr="0039097A">
        <w:rPr>
          <w:rFonts w:ascii="Verdana" w:hAnsi="Verdana" w:cs="Times New Roman"/>
          <w:sz w:val="20"/>
          <w:szCs w:val="20"/>
        </w:rPr>
        <w:t xml:space="preserve">. El 20 de octubre de 1988 </w:t>
      </w:r>
      <w:r>
        <w:rPr>
          <w:rFonts w:ascii="Verdana" w:hAnsi="Verdana" w:cs="Times New Roman"/>
          <w:sz w:val="20"/>
          <w:szCs w:val="20"/>
        </w:rPr>
        <w:t xml:space="preserve">el </w:t>
      </w:r>
      <w:r w:rsidRPr="0039097A">
        <w:rPr>
          <w:rFonts w:ascii="Verdana" w:hAnsi="Verdana" w:cs="Times New Roman"/>
          <w:sz w:val="20"/>
          <w:szCs w:val="20"/>
        </w:rPr>
        <w:t>Ju</w:t>
      </w:r>
      <w:r>
        <w:rPr>
          <w:rFonts w:ascii="Verdana" w:hAnsi="Verdana" w:cs="Times New Roman"/>
          <w:sz w:val="20"/>
          <w:szCs w:val="20"/>
        </w:rPr>
        <w:t>ez</w:t>
      </w:r>
      <w:r w:rsidRPr="0039097A">
        <w:rPr>
          <w:rFonts w:ascii="Verdana" w:hAnsi="Verdana" w:cs="Times New Roman"/>
          <w:sz w:val="20"/>
          <w:szCs w:val="20"/>
        </w:rPr>
        <w:t xml:space="preserve"> Letrado de Primera Instancia en lo Penal de </w:t>
      </w:r>
      <w:r>
        <w:rPr>
          <w:rFonts w:ascii="Verdana" w:hAnsi="Verdana" w:cs="Times New Roman"/>
          <w:sz w:val="20"/>
          <w:szCs w:val="20"/>
        </w:rPr>
        <w:t>10</w:t>
      </w:r>
      <w:r w:rsidRPr="0039097A">
        <w:rPr>
          <w:rFonts w:ascii="Verdana" w:hAnsi="Verdana" w:cs="Times New Roman"/>
          <w:sz w:val="20"/>
          <w:szCs w:val="20"/>
        </w:rPr>
        <w:t>° Turno</w:t>
      </w:r>
      <w:r>
        <w:rPr>
          <w:rFonts w:ascii="Verdana" w:hAnsi="Verdana" w:cs="Times New Roman"/>
          <w:sz w:val="20"/>
          <w:szCs w:val="20"/>
        </w:rPr>
        <w:t xml:space="preserve"> fue informado de</w:t>
      </w:r>
      <w:r w:rsidRPr="0039097A">
        <w:rPr>
          <w:rFonts w:ascii="Verdana" w:hAnsi="Verdana" w:cs="Times New Roman"/>
          <w:sz w:val="20"/>
          <w:szCs w:val="20"/>
        </w:rPr>
        <w:t xml:space="preserve"> la inclusión</w:t>
      </w:r>
      <w:r>
        <w:rPr>
          <w:rFonts w:ascii="Verdana" w:hAnsi="Verdana" w:cs="Times New Roman"/>
          <w:sz w:val="20"/>
          <w:szCs w:val="20"/>
        </w:rPr>
        <w:t>, por parte del Poder Ejecutivo,</w:t>
      </w:r>
      <w:r w:rsidRPr="0039097A">
        <w:rPr>
          <w:rFonts w:ascii="Verdana" w:hAnsi="Verdana" w:cs="Times New Roman"/>
          <w:sz w:val="20"/>
          <w:szCs w:val="20"/>
        </w:rPr>
        <w:t xml:space="preserve"> del caso de 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w:t>
      </w:r>
      <w:proofErr w:type="spellStart"/>
      <w:r w:rsidRPr="0039097A">
        <w:rPr>
          <w:rFonts w:ascii="Verdana" w:hAnsi="Verdana" w:cs="Times New Roman"/>
          <w:sz w:val="20"/>
          <w:szCs w:val="20"/>
        </w:rPr>
        <w:t>Asteazu</w:t>
      </w:r>
      <w:proofErr w:type="spellEnd"/>
      <w:r w:rsidRPr="0039097A">
        <w:rPr>
          <w:rFonts w:ascii="Verdana" w:hAnsi="Verdana" w:cs="Times New Roman"/>
          <w:sz w:val="20"/>
          <w:szCs w:val="20"/>
        </w:rPr>
        <w:t xml:space="preserve"> dentro del artículo 1 de la Ley de Caducidad</w:t>
      </w:r>
      <w:r w:rsidRPr="0039097A">
        <w:rPr>
          <w:rStyle w:val="Refdenotaalpie"/>
          <w:rFonts w:ascii="Verdana" w:hAnsi="Verdana" w:cs="Times New Roman"/>
          <w:sz w:val="20"/>
          <w:szCs w:val="20"/>
        </w:rPr>
        <w:footnoteReference w:id="119"/>
      </w:r>
      <w:r w:rsidRPr="0039097A">
        <w:rPr>
          <w:rFonts w:ascii="Verdana" w:hAnsi="Verdana" w:cs="Times New Roman"/>
          <w:sz w:val="20"/>
          <w:szCs w:val="20"/>
        </w:rPr>
        <w:t>.</w:t>
      </w:r>
    </w:p>
    <w:p w14:paraId="0052AEA1" w14:textId="77777777" w:rsidR="002A53BF" w:rsidRPr="0039097A" w:rsidRDefault="002A53BF" w:rsidP="005A5029">
      <w:pPr>
        <w:pStyle w:val="Prrafodelista"/>
        <w:spacing w:line="240" w:lineRule="exact"/>
        <w:ind w:left="0"/>
        <w:rPr>
          <w:rFonts w:ascii="Verdana" w:hAnsi="Verdana" w:cs="Times New Roman"/>
          <w:sz w:val="20"/>
          <w:szCs w:val="20"/>
        </w:rPr>
      </w:pPr>
    </w:p>
    <w:p w14:paraId="7F02095C" w14:textId="77777777" w:rsidR="002A53BF" w:rsidRPr="00685170"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685170">
        <w:rPr>
          <w:rFonts w:ascii="Verdana" w:hAnsi="Verdana" w:cs="Times New Roman"/>
          <w:sz w:val="20"/>
          <w:szCs w:val="20"/>
        </w:rPr>
        <w:t>En noviembre de 1985 se expidió por la Comisión Investigadora Parlamentaria de la Cámara de Representantes el "Informe Final Sobre Situación de Personas Desaparecidas y Hechos que la Motivaron" (</w:t>
      </w:r>
      <w:r w:rsidRPr="00685170">
        <w:rPr>
          <w:rFonts w:ascii="Verdana" w:hAnsi="Verdana" w:cs="Times New Roman"/>
          <w:i/>
          <w:sz w:val="20"/>
          <w:szCs w:val="20"/>
        </w:rPr>
        <w:t xml:space="preserve">supra </w:t>
      </w:r>
      <w:proofErr w:type="spellStart"/>
      <w:r w:rsidRPr="00685170">
        <w:rPr>
          <w:rFonts w:ascii="Verdana" w:hAnsi="Verdana" w:cs="Times New Roman"/>
          <w:sz w:val="20"/>
          <w:szCs w:val="20"/>
        </w:rPr>
        <w:t>párr</w:t>
      </w:r>
      <w:r>
        <w:rPr>
          <w:rFonts w:ascii="Verdana" w:hAnsi="Verdana" w:cs="Times New Roman"/>
          <w:sz w:val="20"/>
          <w:szCs w:val="20"/>
        </w:rPr>
        <w:t>s</w:t>
      </w:r>
      <w:proofErr w:type="spellEnd"/>
      <w:r w:rsidRPr="00685170">
        <w:rPr>
          <w:rFonts w:ascii="Verdana" w:hAnsi="Verdana" w:cs="Times New Roman"/>
          <w:sz w:val="20"/>
          <w:szCs w:val="20"/>
        </w:rPr>
        <w:t>. 32</w:t>
      </w:r>
      <w:r>
        <w:rPr>
          <w:rFonts w:ascii="Verdana" w:hAnsi="Verdana" w:cs="Times New Roman"/>
          <w:sz w:val="20"/>
          <w:szCs w:val="20"/>
        </w:rPr>
        <w:t xml:space="preserve"> y 82</w:t>
      </w:r>
      <w:r w:rsidRPr="00685170">
        <w:rPr>
          <w:rFonts w:ascii="Verdana" w:hAnsi="Verdana" w:cs="Times New Roman"/>
          <w:sz w:val="20"/>
          <w:szCs w:val="20"/>
        </w:rPr>
        <w:t>), el cual expone una la lista de personas desaparecidas por agentes estatales entre 1975 y 1978, dentro de la cual s</w:t>
      </w:r>
      <w:r>
        <w:rPr>
          <w:rFonts w:ascii="Verdana" w:hAnsi="Verdana" w:cs="Times New Roman"/>
          <w:sz w:val="20"/>
          <w:szCs w:val="20"/>
        </w:rPr>
        <w:t xml:space="preserve">e encuentra Óscar </w:t>
      </w:r>
      <w:proofErr w:type="spellStart"/>
      <w:r>
        <w:rPr>
          <w:rFonts w:ascii="Verdana" w:hAnsi="Verdana" w:cs="Times New Roman"/>
          <w:sz w:val="20"/>
          <w:szCs w:val="20"/>
        </w:rPr>
        <w:t>Tassino</w:t>
      </w:r>
      <w:proofErr w:type="spellEnd"/>
      <w:r>
        <w:rPr>
          <w:rFonts w:ascii="Verdana" w:hAnsi="Verdana" w:cs="Times New Roman"/>
          <w:sz w:val="20"/>
          <w:szCs w:val="20"/>
        </w:rPr>
        <w:t xml:space="preserve"> </w:t>
      </w:r>
      <w:proofErr w:type="spellStart"/>
      <w:r>
        <w:rPr>
          <w:rFonts w:ascii="Verdana" w:hAnsi="Verdana" w:cs="Times New Roman"/>
          <w:sz w:val="20"/>
          <w:szCs w:val="20"/>
        </w:rPr>
        <w:t>Asteazu</w:t>
      </w:r>
      <w:proofErr w:type="spellEnd"/>
      <w:r w:rsidRPr="0039097A">
        <w:rPr>
          <w:rStyle w:val="Refdenotaalpie"/>
          <w:rFonts w:ascii="Verdana" w:hAnsi="Verdana" w:cs="Times New Roman"/>
          <w:sz w:val="20"/>
          <w:szCs w:val="20"/>
        </w:rPr>
        <w:footnoteReference w:id="120"/>
      </w:r>
      <w:r w:rsidRPr="00685170">
        <w:rPr>
          <w:rFonts w:ascii="Verdana" w:hAnsi="Verdana" w:cs="Times New Roman"/>
          <w:sz w:val="20"/>
          <w:szCs w:val="20"/>
        </w:rPr>
        <w:t>.</w:t>
      </w:r>
    </w:p>
    <w:p w14:paraId="0C2E1B71" w14:textId="77777777" w:rsidR="002A53BF" w:rsidRPr="00685170" w:rsidRDefault="002A53BF" w:rsidP="005A5029">
      <w:pPr>
        <w:spacing w:after="0" w:line="240" w:lineRule="exact"/>
        <w:rPr>
          <w:rFonts w:ascii="Verdana" w:hAnsi="Verdana" w:cs="Times New Roman"/>
          <w:sz w:val="20"/>
          <w:szCs w:val="20"/>
        </w:rPr>
      </w:pPr>
    </w:p>
    <w:p w14:paraId="5FDF7A11"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El 10 de abril de 2003</w:t>
      </w:r>
      <w:r>
        <w:rPr>
          <w:rFonts w:ascii="Verdana" w:hAnsi="Verdana" w:cs="Times New Roman"/>
          <w:sz w:val="20"/>
          <w:szCs w:val="20"/>
        </w:rPr>
        <w:t>,</w:t>
      </w:r>
      <w:r w:rsidRPr="0039097A">
        <w:rPr>
          <w:rFonts w:ascii="Verdana" w:hAnsi="Verdana" w:cs="Times New Roman"/>
          <w:sz w:val="20"/>
          <w:szCs w:val="20"/>
        </w:rPr>
        <w:t xml:space="preserve"> la Comisión </w:t>
      </w:r>
      <w:r>
        <w:rPr>
          <w:rFonts w:ascii="Verdana" w:hAnsi="Verdana" w:cs="Times New Roman"/>
          <w:sz w:val="20"/>
          <w:szCs w:val="20"/>
        </w:rPr>
        <w:t>para</w:t>
      </w:r>
      <w:r w:rsidRPr="0039097A">
        <w:rPr>
          <w:rFonts w:ascii="Verdana" w:hAnsi="Verdana" w:cs="Times New Roman"/>
          <w:sz w:val="20"/>
          <w:szCs w:val="20"/>
        </w:rPr>
        <w:t xml:space="preserve"> la Paz incluyó a 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w:t>
      </w:r>
      <w:proofErr w:type="spellStart"/>
      <w:r w:rsidRPr="0039097A">
        <w:rPr>
          <w:rFonts w:ascii="Verdana" w:hAnsi="Verdana" w:cs="Times New Roman"/>
          <w:sz w:val="20"/>
          <w:szCs w:val="20"/>
        </w:rPr>
        <w:t>Asteazu</w:t>
      </w:r>
      <w:proofErr w:type="spellEnd"/>
      <w:r w:rsidRPr="0039097A">
        <w:rPr>
          <w:rFonts w:ascii="Verdana" w:hAnsi="Verdana" w:cs="Times New Roman"/>
          <w:sz w:val="20"/>
          <w:szCs w:val="20"/>
        </w:rPr>
        <w:t xml:space="preserve"> como víctima de desaparición e indicó que había fallecido el 21 de julio de 1977</w:t>
      </w:r>
      <w:r>
        <w:rPr>
          <w:rFonts w:ascii="Verdana" w:hAnsi="Verdana" w:cs="Times New Roman"/>
          <w:sz w:val="20"/>
          <w:szCs w:val="20"/>
        </w:rPr>
        <w:t>. Señaló que</w:t>
      </w:r>
      <w:r w:rsidRPr="0039097A">
        <w:rPr>
          <w:rFonts w:ascii="Verdana" w:hAnsi="Verdana" w:cs="Times New Roman"/>
          <w:sz w:val="20"/>
          <w:szCs w:val="20"/>
        </w:rPr>
        <w:t xml:space="preserve"> sus restos</w:t>
      </w:r>
      <w:r>
        <w:rPr>
          <w:rFonts w:ascii="Verdana" w:hAnsi="Verdana" w:cs="Times New Roman"/>
          <w:sz w:val="20"/>
          <w:szCs w:val="20"/>
        </w:rPr>
        <w:t>, como el de varias otras “personas desaparecidas que murieron a partir de 1974 dentro del departamento de Montevideo”,</w:t>
      </w:r>
      <w:r w:rsidRPr="0039097A">
        <w:rPr>
          <w:rFonts w:ascii="Verdana" w:hAnsi="Verdana" w:cs="Times New Roman"/>
          <w:sz w:val="20"/>
          <w:szCs w:val="20"/>
        </w:rPr>
        <w:t xml:space="preserve"> hab</w:t>
      </w:r>
      <w:r>
        <w:rPr>
          <w:rFonts w:ascii="Verdana" w:hAnsi="Verdana" w:cs="Times New Roman"/>
          <w:sz w:val="20"/>
          <w:szCs w:val="20"/>
        </w:rPr>
        <w:t>r</w:t>
      </w:r>
      <w:r w:rsidRPr="0039097A">
        <w:rPr>
          <w:rFonts w:ascii="Verdana" w:hAnsi="Verdana" w:cs="Times New Roman"/>
          <w:sz w:val="20"/>
          <w:szCs w:val="20"/>
        </w:rPr>
        <w:t>ían sido enterrados en dependencias de las Fuerzas Armadas, posteriormente exhumados cerca de 1984, incinerados o cremados mediante la utilización de calderas u hornos de fabricación informal y arrojados al Río de la Plata en una zona cercana al Barrio Paso de la Arena. E</w:t>
      </w:r>
      <w:r>
        <w:rPr>
          <w:rFonts w:ascii="Verdana" w:hAnsi="Verdana" w:cs="Times New Roman"/>
          <w:sz w:val="20"/>
          <w:szCs w:val="20"/>
        </w:rPr>
        <w:t>l Informe aclaró que dicha información se incluye “en términos generales”, pero que la Comisión para la Paz consideró que no podía ni debía confirmarla</w:t>
      </w:r>
      <w:r w:rsidRPr="0039097A">
        <w:rPr>
          <w:rStyle w:val="Refdenotaalpie"/>
          <w:rFonts w:ascii="Verdana" w:hAnsi="Verdana" w:cs="Times New Roman"/>
          <w:sz w:val="20"/>
          <w:szCs w:val="20"/>
        </w:rPr>
        <w:footnoteReference w:id="121"/>
      </w:r>
      <w:r>
        <w:rPr>
          <w:rFonts w:ascii="Verdana" w:hAnsi="Verdana" w:cs="Times New Roman"/>
          <w:sz w:val="20"/>
          <w:szCs w:val="20"/>
        </w:rPr>
        <w:t>.</w:t>
      </w:r>
    </w:p>
    <w:p w14:paraId="1B5ACAF9" w14:textId="77777777" w:rsidR="002A53BF" w:rsidRPr="0039097A" w:rsidRDefault="002A53BF" w:rsidP="005A5029">
      <w:pPr>
        <w:pStyle w:val="Prrafodelista"/>
        <w:spacing w:line="240" w:lineRule="exact"/>
        <w:ind w:left="0"/>
        <w:rPr>
          <w:rFonts w:ascii="Verdana" w:hAnsi="Verdana" w:cs="Times New Roman"/>
          <w:sz w:val="20"/>
          <w:szCs w:val="20"/>
        </w:rPr>
      </w:pPr>
    </w:p>
    <w:p w14:paraId="05298269" w14:textId="45AA59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Igualmente, el 8 de agosto de 2005</w:t>
      </w:r>
      <w:r>
        <w:rPr>
          <w:rFonts w:ascii="Verdana" w:hAnsi="Verdana" w:cs="Times New Roman"/>
          <w:sz w:val="20"/>
          <w:szCs w:val="20"/>
        </w:rPr>
        <w:t>,</w:t>
      </w:r>
      <w:r w:rsidRPr="0039097A">
        <w:rPr>
          <w:rFonts w:ascii="Verdana" w:hAnsi="Verdana" w:cs="Times New Roman"/>
          <w:sz w:val="20"/>
          <w:szCs w:val="20"/>
        </w:rPr>
        <w:t xml:space="preserve"> en su informe</w:t>
      </w:r>
      <w:r>
        <w:rPr>
          <w:rFonts w:ascii="Verdana" w:hAnsi="Verdana" w:cs="Times New Roman"/>
          <w:sz w:val="20"/>
          <w:szCs w:val="20"/>
        </w:rPr>
        <w:t xml:space="preserve"> (</w:t>
      </w:r>
      <w:r>
        <w:rPr>
          <w:rFonts w:ascii="Verdana" w:hAnsi="Verdana" w:cs="Times New Roman"/>
          <w:i/>
          <w:sz w:val="20"/>
          <w:szCs w:val="20"/>
        </w:rPr>
        <w:t xml:space="preserve">supra </w:t>
      </w:r>
      <w:proofErr w:type="spellStart"/>
      <w:r w:rsidR="00C126A3">
        <w:rPr>
          <w:rFonts w:ascii="Verdana" w:hAnsi="Verdana" w:cs="Times New Roman"/>
          <w:sz w:val="20"/>
          <w:szCs w:val="20"/>
        </w:rPr>
        <w:t>pársr</w:t>
      </w:r>
      <w:proofErr w:type="spellEnd"/>
      <w:r w:rsidR="00C126A3">
        <w:rPr>
          <w:rFonts w:ascii="Verdana" w:hAnsi="Verdana" w:cs="Times New Roman"/>
          <w:sz w:val="20"/>
          <w:szCs w:val="20"/>
        </w:rPr>
        <w:t>. 36 y 83</w:t>
      </w:r>
      <w:r>
        <w:rPr>
          <w:rFonts w:ascii="Verdana" w:hAnsi="Verdana" w:cs="Times New Roman"/>
          <w:sz w:val="20"/>
          <w:szCs w:val="20"/>
        </w:rPr>
        <w:t>)</w:t>
      </w:r>
      <w:r w:rsidRPr="0039097A">
        <w:rPr>
          <w:rFonts w:ascii="Verdana" w:hAnsi="Verdana" w:cs="Times New Roman"/>
          <w:sz w:val="20"/>
          <w:szCs w:val="20"/>
        </w:rPr>
        <w:t>, la "Comisión Investigadora sobre el Destino Final de 33 Ciudadanos en el periodo Comprendido entre el 27 de junio de 1973 y el 1 de marzo de 1985"</w:t>
      </w:r>
      <w:r>
        <w:rPr>
          <w:rFonts w:ascii="Verdana" w:hAnsi="Verdana" w:cs="Times New Roman"/>
          <w:sz w:val="20"/>
          <w:szCs w:val="20"/>
        </w:rPr>
        <w:t xml:space="preserve">, </w:t>
      </w:r>
      <w:r w:rsidRPr="0039097A">
        <w:rPr>
          <w:rFonts w:ascii="Verdana" w:hAnsi="Verdana" w:cs="Times New Roman"/>
          <w:sz w:val="20"/>
          <w:szCs w:val="20"/>
        </w:rPr>
        <w:t xml:space="preserve">se refirió a la detención de 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w:t>
      </w:r>
      <w:proofErr w:type="spellStart"/>
      <w:r w:rsidRPr="0039097A">
        <w:rPr>
          <w:rFonts w:ascii="Verdana" w:hAnsi="Verdana" w:cs="Times New Roman"/>
          <w:sz w:val="20"/>
          <w:szCs w:val="20"/>
        </w:rPr>
        <w:t>Asteazu</w:t>
      </w:r>
      <w:proofErr w:type="spellEnd"/>
      <w:r w:rsidRPr="0039097A">
        <w:rPr>
          <w:rFonts w:ascii="Verdana" w:hAnsi="Verdana" w:cs="Times New Roman"/>
          <w:sz w:val="20"/>
          <w:szCs w:val="20"/>
        </w:rPr>
        <w:t xml:space="preserve"> en los siguientes términos: </w:t>
      </w:r>
    </w:p>
    <w:p w14:paraId="247CA25B" w14:textId="4C0371AF" w:rsidR="002A53BF" w:rsidRDefault="002A53BF" w:rsidP="005A5029">
      <w:pPr>
        <w:pStyle w:val="Prrafodelista"/>
        <w:spacing w:line="240" w:lineRule="exact"/>
        <w:rPr>
          <w:rFonts w:ascii="Verdana" w:hAnsi="Verdana" w:cs="Times New Roman"/>
          <w:sz w:val="20"/>
          <w:szCs w:val="20"/>
        </w:rPr>
      </w:pPr>
    </w:p>
    <w:p w14:paraId="3B2D323F" w14:textId="77777777" w:rsidR="009274E3" w:rsidRPr="0039097A" w:rsidRDefault="009274E3" w:rsidP="005A5029">
      <w:pPr>
        <w:pStyle w:val="Prrafodelista"/>
        <w:spacing w:line="240" w:lineRule="exact"/>
        <w:rPr>
          <w:rFonts w:ascii="Verdana" w:hAnsi="Verdana" w:cs="Times New Roman"/>
          <w:sz w:val="20"/>
          <w:szCs w:val="20"/>
        </w:rPr>
      </w:pPr>
    </w:p>
    <w:p w14:paraId="5C6D36FA" w14:textId="101A46BC"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 xml:space="preserve">Oscar </w:t>
      </w:r>
      <w:proofErr w:type="spellStart"/>
      <w:r w:rsidRPr="0039097A">
        <w:rPr>
          <w:rFonts w:ascii="Verdana" w:hAnsi="Verdana" w:cs="Times New Roman"/>
          <w:sz w:val="18"/>
          <w:szCs w:val="20"/>
        </w:rPr>
        <w:t>Tassino</w:t>
      </w:r>
      <w:proofErr w:type="spellEnd"/>
      <w:r w:rsidRPr="0039097A">
        <w:rPr>
          <w:rFonts w:ascii="Verdana" w:hAnsi="Verdana" w:cs="Times New Roman"/>
          <w:sz w:val="18"/>
          <w:szCs w:val="20"/>
        </w:rPr>
        <w:t xml:space="preserve"> </w:t>
      </w:r>
      <w:proofErr w:type="spellStart"/>
      <w:r w:rsidRPr="0039097A">
        <w:rPr>
          <w:rFonts w:ascii="Verdana" w:hAnsi="Verdana" w:cs="Times New Roman"/>
          <w:sz w:val="18"/>
          <w:szCs w:val="20"/>
        </w:rPr>
        <w:t>Asteazu</w:t>
      </w:r>
      <w:proofErr w:type="spellEnd"/>
      <w:r w:rsidRPr="0039097A">
        <w:rPr>
          <w:rFonts w:ascii="Verdana" w:hAnsi="Verdana" w:cs="Times New Roman"/>
          <w:sz w:val="18"/>
          <w:szCs w:val="20"/>
        </w:rPr>
        <w:t xml:space="preserve"> (*) </w:t>
      </w:r>
    </w:p>
    <w:p w14:paraId="64E2FE51" w14:textId="77777777" w:rsidR="002A53BF" w:rsidRPr="0039097A" w:rsidRDefault="002A53BF" w:rsidP="005A5029">
      <w:pPr>
        <w:pStyle w:val="Prrafodelista"/>
        <w:spacing w:line="240" w:lineRule="exact"/>
        <w:ind w:left="284" w:right="333"/>
        <w:rPr>
          <w:rFonts w:ascii="Verdana" w:hAnsi="Verdana" w:cs="Times New Roman"/>
          <w:sz w:val="18"/>
          <w:szCs w:val="20"/>
        </w:rPr>
      </w:pPr>
    </w:p>
    <w:p w14:paraId="73436009"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 xml:space="preserve">Fue detenido por el Órgano Coordinador de Operaciones Antisubversivas en una finca de la calle Máximo Tajes No 6632, el 19 de julio de 1977, y conducido al centro de detención "La Tablada". </w:t>
      </w:r>
    </w:p>
    <w:p w14:paraId="7AC827B6"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p>
    <w:p w14:paraId="6BA8676D"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 xml:space="preserve">Falleció en fecha aproximada al 24 de julio de 1977. </w:t>
      </w:r>
    </w:p>
    <w:p w14:paraId="3694B99C"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p>
    <w:p w14:paraId="02A156A4"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r w:rsidRPr="0039097A">
        <w:rPr>
          <w:rFonts w:ascii="Verdana" w:hAnsi="Verdana" w:cs="Times New Roman"/>
          <w:sz w:val="18"/>
          <w:szCs w:val="20"/>
        </w:rPr>
        <w:t xml:space="preserve">Según la información obtenida, y a diferencia de lo establecido por la Comisión para la Paz en su informe, el fallecimiento se produjo por suicidio, lo que sucedió en momentos que concurre al baño sin sus custodias, no pudiéndose determinar la forma de cómo se auto elimino por no habérsele practicado la autopsia. </w:t>
      </w:r>
    </w:p>
    <w:p w14:paraId="02857134"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18"/>
          <w:szCs w:val="20"/>
        </w:rPr>
      </w:pPr>
    </w:p>
    <w:p w14:paraId="54547E08" w14:textId="77777777" w:rsidR="002A53BF" w:rsidRPr="0039097A" w:rsidRDefault="002A53BF" w:rsidP="005A5029">
      <w:pPr>
        <w:pStyle w:val="Prrafodelista"/>
        <w:autoSpaceDE w:val="0"/>
        <w:autoSpaceDN w:val="0"/>
        <w:adjustRightInd w:val="0"/>
        <w:spacing w:after="0" w:line="240" w:lineRule="exact"/>
        <w:ind w:left="284" w:right="333"/>
        <w:jc w:val="both"/>
        <w:rPr>
          <w:rFonts w:ascii="Verdana" w:hAnsi="Verdana" w:cs="Times New Roman"/>
          <w:sz w:val="20"/>
          <w:szCs w:val="20"/>
        </w:rPr>
      </w:pPr>
      <w:r w:rsidRPr="0039097A">
        <w:rPr>
          <w:rFonts w:ascii="Verdana" w:hAnsi="Verdana" w:cs="Times New Roman"/>
          <w:sz w:val="18"/>
          <w:szCs w:val="20"/>
        </w:rPr>
        <w:lastRenderedPageBreak/>
        <w:t xml:space="preserve">Sus restos fueron enterrados en el predio del Batallo 1 Mee No 13 y no en el Batallón I </w:t>
      </w:r>
      <w:proofErr w:type="spellStart"/>
      <w:r w:rsidRPr="0039097A">
        <w:rPr>
          <w:rFonts w:ascii="Verdana" w:hAnsi="Verdana" w:cs="Times New Roman"/>
          <w:sz w:val="18"/>
          <w:szCs w:val="20"/>
        </w:rPr>
        <w:t>Parac</w:t>
      </w:r>
      <w:proofErr w:type="spellEnd"/>
      <w:r w:rsidRPr="0039097A">
        <w:rPr>
          <w:rFonts w:ascii="Verdana" w:hAnsi="Verdana" w:cs="Times New Roman"/>
          <w:sz w:val="18"/>
          <w:szCs w:val="20"/>
        </w:rPr>
        <w:t xml:space="preserve"> No 14, posteriormente fueron exhumados, trasladados al predio del Batallón No 14, cremados sus cenizas y restos fueron esparcidos en la zona</w:t>
      </w:r>
      <w:r w:rsidRPr="0039097A">
        <w:rPr>
          <w:rStyle w:val="Refdenotaalpie"/>
          <w:rFonts w:ascii="Verdana" w:hAnsi="Verdana" w:cs="Times New Roman"/>
          <w:sz w:val="18"/>
          <w:szCs w:val="20"/>
        </w:rPr>
        <w:footnoteReference w:id="122"/>
      </w:r>
      <w:r w:rsidRPr="0039097A">
        <w:rPr>
          <w:rFonts w:ascii="Verdana" w:hAnsi="Verdana" w:cs="Arial"/>
          <w:sz w:val="18"/>
          <w:szCs w:val="20"/>
        </w:rPr>
        <w:t>.</w:t>
      </w:r>
    </w:p>
    <w:p w14:paraId="4873D4D7" w14:textId="77777777" w:rsidR="002A53BF" w:rsidRPr="0039097A" w:rsidRDefault="002A53BF" w:rsidP="005A5029">
      <w:pPr>
        <w:pStyle w:val="Prrafodelista"/>
        <w:spacing w:line="240" w:lineRule="exact"/>
        <w:rPr>
          <w:rFonts w:ascii="Verdana" w:hAnsi="Verdana" w:cs="Times New Roman"/>
          <w:sz w:val="20"/>
          <w:szCs w:val="20"/>
        </w:rPr>
      </w:pPr>
    </w:p>
    <w:p w14:paraId="1EB9096F" w14:textId="77777777"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El 20 de noviembre de 2006 familiares de 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solicitaron nuevamente al Juez Letrado de Primera Instancia en lo Penal de 10° Turno investigar la desaparición de la presunta víctima, argumentando que los hechos no habían sido aclarados ni en el Informe de la Comisión para la Paz ni </w:t>
      </w:r>
      <w:r w:rsidRPr="0039097A">
        <w:rPr>
          <w:rFonts w:ascii="Verdana" w:hAnsi="Verdana" w:cs="Times New Roman"/>
          <w:iCs/>
          <w:sz w:val="20"/>
          <w:szCs w:val="20"/>
        </w:rPr>
        <w:t>en</w:t>
      </w:r>
      <w:r w:rsidRPr="0039097A">
        <w:rPr>
          <w:rFonts w:ascii="Verdana" w:hAnsi="Verdana" w:cs="Times New Roman"/>
          <w:i/>
          <w:iCs/>
          <w:sz w:val="20"/>
          <w:szCs w:val="20"/>
        </w:rPr>
        <w:t xml:space="preserve"> </w:t>
      </w:r>
      <w:r w:rsidRPr="0039097A">
        <w:rPr>
          <w:rFonts w:ascii="Verdana" w:hAnsi="Verdana" w:cs="Times New Roman"/>
          <w:sz w:val="20"/>
          <w:szCs w:val="20"/>
        </w:rPr>
        <w:t>el Informe sobre el Destino Final de 33 Desaparecidos, pues se contradicen entre sí</w:t>
      </w:r>
      <w:r>
        <w:rPr>
          <w:rFonts w:ascii="Verdana" w:hAnsi="Verdana" w:cs="Times New Roman"/>
          <w:sz w:val="20"/>
          <w:szCs w:val="20"/>
        </w:rPr>
        <w:t xml:space="preserve"> </w:t>
      </w:r>
      <w:r w:rsidRPr="0039097A">
        <w:rPr>
          <w:rFonts w:ascii="Verdana" w:hAnsi="Verdana" w:cs="Times New Roman"/>
          <w:sz w:val="20"/>
          <w:szCs w:val="20"/>
        </w:rPr>
        <w:t xml:space="preserve">y con la información dada por el Gobierno frente al destino de 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al momento de su desaparición</w:t>
      </w:r>
      <w:r w:rsidRPr="0039097A">
        <w:rPr>
          <w:rStyle w:val="Refdenotaalpie"/>
          <w:rFonts w:ascii="Verdana" w:hAnsi="Verdana" w:cs="Times New Roman"/>
          <w:sz w:val="20"/>
          <w:szCs w:val="20"/>
        </w:rPr>
        <w:footnoteReference w:id="123"/>
      </w:r>
      <w:r w:rsidRPr="0039097A">
        <w:rPr>
          <w:rFonts w:ascii="Verdana" w:hAnsi="Verdana" w:cs="Times New Roman"/>
          <w:sz w:val="20"/>
          <w:szCs w:val="20"/>
        </w:rPr>
        <w:t>. El 2</w:t>
      </w:r>
      <w:r>
        <w:rPr>
          <w:rFonts w:ascii="Verdana" w:hAnsi="Verdana" w:cs="Times New Roman"/>
          <w:sz w:val="20"/>
          <w:szCs w:val="20"/>
        </w:rPr>
        <w:t>1</w:t>
      </w:r>
      <w:r w:rsidRPr="0039097A">
        <w:rPr>
          <w:rFonts w:ascii="Verdana" w:hAnsi="Verdana" w:cs="Times New Roman"/>
          <w:sz w:val="20"/>
          <w:szCs w:val="20"/>
        </w:rPr>
        <w:t xml:space="preserve"> de marzo de 2007 dicho Juzgado denegó la solicitud de investigación</w:t>
      </w:r>
      <w:r w:rsidRPr="0039097A">
        <w:rPr>
          <w:rStyle w:val="Refdenotaalpie"/>
          <w:rFonts w:ascii="Verdana" w:hAnsi="Verdana" w:cs="Times New Roman"/>
          <w:sz w:val="20"/>
          <w:szCs w:val="20"/>
        </w:rPr>
        <w:footnoteReference w:id="124"/>
      </w:r>
      <w:r w:rsidRPr="0039097A">
        <w:rPr>
          <w:rFonts w:ascii="Verdana" w:hAnsi="Verdana" w:cs="Times New Roman"/>
          <w:sz w:val="20"/>
          <w:szCs w:val="20"/>
        </w:rPr>
        <w:t>. El 21 de julio de 2007 el mismo juzgado recibió una solicitud de desarchivo del caso y expedición de testimonio de todas las actuaciones llevadas a cabo</w:t>
      </w:r>
      <w:r w:rsidRPr="0039097A">
        <w:rPr>
          <w:rStyle w:val="Refdenotaalpie"/>
          <w:rFonts w:ascii="Verdana" w:hAnsi="Verdana" w:cs="Times New Roman"/>
          <w:sz w:val="20"/>
          <w:szCs w:val="20"/>
        </w:rPr>
        <w:footnoteReference w:id="125"/>
      </w:r>
      <w:r w:rsidRPr="0039097A">
        <w:rPr>
          <w:rFonts w:ascii="Verdana" w:hAnsi="Verdana" w:cs="Times New Roman"/>
          <w:sz w:val="20"/>
          <w:szCs w:val="20"/>
        </w:rPr>
        <w:t xml:space="preserve">. </w:t>
      </w:r>
    </w:p>
    <w:p w14:paraId="3BABAC2F"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43F95E24"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 xml:space="preserve">Los representantes señalaron que la causa fue “desarchivada”, sin precisar </w:t>
      </w:r>
      <w:r w:rsidRPr="00E53751">
        <w:rPr>
          <w:rFonts w:ascii="Verdana" w:hAnsi="Verdana" w:cs="Times New Roman"/>
          <w:sz w:val="20"/>
          <w:szCs w:val="20"/>
        </w:rPr>
        <w:t>la fecha. La Fiscalía General de la Nación indicó que la instrucción fue retomada después del 30 de junio de 2011, cuando el Poder Ejecutivo revocó sus resoluciones anteriores expedidas al amparo del artículo 3 de la Ley de Caducidad</w:t>
      </w:r>
      <w:r>
        <w:rPr>
          <w:rFonts w:ascii="Verdana" w:hAnsi="Verdana" w:cs="Times New Roman"/>
          <w:sz w:val="20"/>
          <w:szCs w:val="20"/>
        </w:rPr>
        <w:t xml:space="preserve"> (</w:t>
      </w:r>
      <w:r>
        <w:rPr>
          <w:rFonts w:ascii="Verdana" w:hAnsi="Verdana" w:cs="Times New Roman"/>
          <w:i/>
          <w:sz w:val="20"/>
          <w:szCs w:val="20"/>
        </w:rPr>
        <w:t>supra</w:t>
      </w:r>
      <w:r>
        <w:rPr>
          <w:rFonts w:ascii="Verdana" w:hAnsi="Verdana" w:cs="Times New Roman"/>
          <w:sz w:val="20"/>
          <w:szCs w:val="20"/>
        </w:rPr>
        <w:t xml:space="preserve"> </w:t>
      </w:r>
      <w:proofErr w:type="spellStart"/>
      <w:r>
        <w:rPr>
          <w:rFonts w:ascii="Verdana" w:hAnsi="Verdana" w:cs="Times New Roman"/>
          <w:sz w:val="20"/>
          <w:szCs w:val="20"/>
        </w:rPr>
        <w:t>párrs</w:t>
      </w:r>
      <w:proofErr w:type="spellEnd"/>
      <w:r>
        <w:rPr>
          <w:rFonts w:ascii="Verdana" w:hAnsi="Verdana" w:cs="Times New Roman"/>
          <w:sz w:val="20"/>
          <w:szCs w:val="20"/>
        </w:rPr>
        <w:t>. 40 y 44)</w:t>
      </w:r>
      <w:r w:rsidRPr="00E53751">
        <w:rPr>
          <w:rStyle w:val="Refdenotaalpie"/>
          <w:rFonts w:ascii="Verdana" w:hAnsi="Verdana" w:cs="Times New Roman"/>
          <w:sz w:val="20"/>
          <w:szCs w:val="20"/>
        </w:rPr>
        <w:footnoteReference w:id="126"/>
      </w:r>
      <w:r w:rsidRPr="00E53751">
        <w:rPr>
          <w:rFonts w:ascii="Verdana" w:hAnsi="Verdana" w:cs="Times New Roman"/>
          <w:sz w:val="20"/>
          <w:szCs w:val="20"/>
        </w:rPr>
        <w:t xml:space="preserve">. </w:t>
      </w:r>
    </w:p>
    <w:p w14:paraId="509D6777"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cs="Times New Roman"/>
          <w:sz w:val="20"/>
          <w:szCs w:val="20"/>
        </w:rPr>
      </w:pPr>
    </w:p>
    <w:p w14:paraId="419718A5" w14:textId="77777777" w:rsidR="002A53BF" w:rsidRPr="00FD1BCE"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Los representantes indicaron que “el principal sospechoso”, E.F., se fugó antes de declarar en la causa. Señalaron que se libró orden internacional para su captura, y que el 7 de septiembre de 2017 fue detenido en España. No obstante</w:t>
      </w:r>
      <w:r>
        <w:rPr>
          <w:rFonts w:ascii="Verdana" w:hAnsi="Verdana" w:cs="Times New Roman"/>
          <w:sz w:val="20"/>
          <w:szCs w:val="20"/>
        </w:rPr>
        <w:t>,</w:t>
      </w:r>
      <w:r w:rsidRPr="0039097A">
        <w:rPr>
          <w:rFonts w:ascii="Verdana" w:hAnsi="Verdana" w:cs="Times New Roman"/>
          <w:sz w:val="20"/>
          <w:szCs w:val="20"/>
        </w:rPr>
        <w:t xml:space="preserve"> se le concedió una medida alternativa a la privación de libertad, y se fugó antes de la finalización del proceso de extradición. </w:t>
      </w:r>
    </w:p>
    <w:p w14:paraId="5C9958AB" w14:textId="77777777" w:rsidR="002A53BF" w:rsidRPr="0039097A" w:rsidRDefault="002A53BF" w:rsidP="005A5029">
      <w:pPr>
        <w:pStyle w:val="Prrafodelista"/>
        <w:spacing w:line="240" w:lineRule="exact"/>
        <w:ind w:left="0"/>
        <w:rPr>
          <w:rFonts w:ascii="Verdana" w:hAnsi="Verdana" w:cs="Times New Roman"/>
          <w:sz w:val="20"/>
          <w:szCs w:val="20"/>
        </w:rPr>
      </w:pPr>
    </w:p>
    <w:p w14:paraId="01EB7317" w14:textId="77777777" w:rsidR="002A53BF" w:rsidRPr="00E53751"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sidRPr="0039097A">
        <w:rPr>
          <w:rFonts w:ascii="Verdana" w:hAnsi="Verdana" w:cs="Times New Roman"/>
          <w:sz w:val="20"/>
          <w:szCs w:val="20"/>
        </w:rPr>
        <w:t>Por otra parte, los representantes informaron que “</w:t>
      </w:r>
      <w:r w:rsidRPr="0039097A">
        <w:rPr>
          <w:rFonts w:ascii="Verdana" w:hAnsi="Verdana" w:cs="ArialNarrow"/>
          <w:sz w:val="20"/>
          <w:szCs w:val="20"/>
        </w:rPr>
        <w:t xml:space="preserve">en 2017 se presentó por parte de los denunciantes un dato de un lugar cercano al último lugar donde se supo </w:t>
      </w:r>
      <w:proofErr w:type="gramStart"/>
      <w:r w:rsidRPr="0039097A">
        <w:rPr>
          <w:rFonts w:ascii="Verdana" w:hAnsi="Verdana" w:cs="ArialNarrow"/>
          <w:sz w:val="20"/>
          <w:szCs w:val="20"/>
        </w:rPr>
        <w:t>de</w:t>
      </w:r>
      <w:r>
        <w:rPr>
          <w:rFonts w:ascii="Verdana" w:hAnsi="Verdana" w:cs="ArialNarrow"/>
          <w:sz w:val="20"/>
          <w:szCs w:val="20"/>
        </w:rPr>
        <w:t>[</w:t>
      </w:r>
      <w:proofErr w:type="gramEnd"/>
      <w:r>
        <w:rPr>
          <w:rFonts w:ascii="Verdana" w:hAnsi="Verdana" w:cs="ArialNarrow"/>
          <w:sz w:val="20"/>
          <w:szCs w:val="20"/>
        </w:rPr>
        <w:t>l señor</w:t>
      </w:r>
      <w:r w:rsidRPr="0039097A">
        <w:rPr>
          <w:rFonts w:ascii="Verdana" w:hAnsi="Verdana" w:cs="ArialNarrow"/>
          <w:sz w:val="20"/>
          <w:szCs w:val="20"/>
        </w:rPr>
        <w:t xml:space="preserve"> </w:t>
      </w:r>
      <w:proofErr w:type="spellStart"/>
      <w:r w:rsidRPr="0039097A">
        <w:rPr>
          <w:rFonts w:ascii="Verdana" w:hAnsi="Verdana" w:cs="ArialNarrow"/>
          <w:sz w:val="20"/>
          <w:szCs w:val="20"/>
        </w:rPr>
        <w:t>Tassino</w:t>
      </w:r>
      <w:proofErr w:type="spellEnd"/>
      <w:r>
        <w:rPr>
          <w:rFonts w:ascii="Verdana" w:hAnsi="Verdana" w:cs="ArialNarrow"/>
          <w:sz w:val="20"/>
          <w:szCs w:val="20"/>
        </w:rPr>
        <w:t xml:space="preserve"> [</w:t>
      </w:r>
      <w:proofErr w:type="spellStart"/>
      <w:r>
        <w:rPr>
          <w:rFonts w:ascii="Verdana" w:hAnsi="Verdana" w:cs="ArialNarrow"/>
          <w:sz w:val="20"/>
          <w:szCs w:val="20"/>
        </w:rPr>
        <w:t>Asteazu</w:t>
      </w:r>
      <w:proofErr w:type="spellEnd"/>
      <w:r>
        <w:rPr>
          <w:rFonts w:ascii="Verdana" w:hAnsi="Verdana" w:cs="ArialNarrow"/>
          <w:sz w:val="20"/>
          <w:szCs w:val="20"/>
        </w:rPr>
        <w:t>]</w:t>
      </w:r>
      <w:r w:rsidRPr="0039097A">
        <w:rPr>
          <w:rFonts w:ascii="Verdana" w:hAnsi="Verdana" w:cs="ArialNarrow"/>
          <w:sz w:val="20"/>
          <w:szCs w:val="20"/>
        </w:rPr>
        <w:t xml:space="preserve"> (</w:t>
      </w:r>
      <w:r>
        <w:rPr>
          <w:rFonts w:ascii="Verdana" w:hAnsi="Verdana" w:cs="ArialNarrow"/>
          <w:sz w:val="20"/>
          <w:szCs w:val="20"/>
        </w:rPr>
        <w:t>‘</w:t>
      </w:r>
      <w:r w:rsidRPr="0039097A">
        <w:rPr>
          <w:rFonts w:ascii="Verdana" w:hAnsi="Verdana" w:cs="ArialNarrow"/>
          <w:sz w:val="20"/>
          <w:szCs w:val="20"/>
        </w:rPr>
        <w:t>La Tablada</w:t>
      </w:r>
      <w:r>
        <w:rPr>
          <w:rFonts w:ascii="Verdana" w:hAnsi="Verdana" w:cs="ArialNarrow"/>
          <w:sz w:val="20"/>
          <w:szCs w:val="20"/>
        </w:rPr>
        <w:t>’</w:t>
      </w:r>
      <w:r w:rsidRPr="0039097A">
        <w:rPr>
          <w:rFonts w:ascii="Verdana" w:hAnsi="Verdana" w:cs="ArialNarrow"/>
          <w:sz w:val="20"/>
          <w:szCs w:val="20"/>
        </w:rPr>
        <w:t>)</w:t>
      </w:r>
      <w:r>
        <w:rPr>
          <w:rFonts w:ascii="Verdana" w:hAnsi="Verdana" w:cs="ArialNarrow"/>
          <w:sz w:val="20"/>
          <w:szCs w:val="20"/>
        </w:rPr>
        <w:t>,</w:t>
      </w:r>
      <w:r w:rsidRPr="0039097A">
        <w:rPr>
          <w:rFonts w:ascii="Verdana" w:hAnsi="Verdana" w:cs="ArialNarrow"/>
          <w:sz w:val="20"/>
          <w:szCs w:val="20"/>
        </w:rPr>
        <w:t xml:space="preserve"> donde podía existir el enterramiento de sus restos”. Afirmaron que, pese a diversas solicitudes de información, no se realizaron acciones efectivas de excavación. </w:t>
      </w:r>
      <w:r>
        <w:rPr>
          <w:rFonts w:ascii="Verdana" w:hAnsi="Verdana" w:cs="ArialNarrow"/>
          <w:sz w:val="20"/>
          <w:szCs w:val="20"/>
        </w:rPr>
        <w:t>Pese a ello, el Fiscal Especializado señaló que, por orden judicial, el 17 de noviembre de 2020 “comenzaron los trabajos de excavación” en La Tablada</w:t>
      </w:r>
      <w:r>
        <w:rPr>
          <w:rStyle w:val="Refdenotaalpie"/>
          <w:rFonts w:ascii="Verdana" w:hAnsi="Verdana" w:cs="ArialNarrow"/>
          <w:sz w:val="20"/>
          <w:szCs w:val="20"/>
        </w:rPr>
        <w:footnoteReference w:id="127"/>
      </w:r>
      <w:r>
        <w:rPr>
          <w:rFonts w:ascii="Verdana" w:hAnsi="Verdana" w:cs="ArialNarrow"/>
          <w:sz w:val="20"/>
          <w:szCs w:val="20"/>
        </w:rPr>
        <w:t xml:space="preserve">. </w:t>
      </w:r>
    </w:p>
    <w:p w14:paraId="40AADA19" w14:textId="77777777" w:rsidR="002A53BF" w:rsidRPr="00E53751" w:rsidRDefault="002A53BF" w:rsidP="005A5029">
      <w:pPr>
        <w:pStyle w:val="Prrafodelista"/>
        <w:spacing w:line="240" w:lineRule="exact"/>
        <w:ind w:left="0"/>
        <w:rPr>
          <w:rFonts w:ascii="Verdana" w:hAnsi="Verdana" w:cs="Times New Roman"/>
          <w:sz w:val="20"/>
          <w:szCs w:val="20"/>
        </w:rPr>
      </w:pPr>
    </w:p>
    <w:p w14:paraId="757DD962" w14:textId="77777777" w:rsidR="002A53BF"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t xml:space="preserve">Por medio de un escrito de 22 de octubre de 2020, la Fiscalía General de la Nación solicitó a la autoridad judicial </w:t>
      </w:r>
      <w:r w:rsidRPr="00685170">
        <w:rPr>
          <w:rFonts w:ascii="Verdana" w:hAnsi="Verdana" w:cs="Times New Roman"/>
          <w:sz w:val="20"/>
          <w:szCs w:val="20"/>
        </w:rPr>
        <w:t>el “enjuiciamiento y prisión” de J.S., militar, Capitán del Órgano Coordinador de Operaciones Antisubversivas</w:t>
      </w:r>
      <w:r>
        <w:rPr>
          <w:rFonts w:ascii="Verdana" w:hAnsi="Verdana" w:cs="Times New Roman"/>
          <w:sz w:val="20"/>
          <w:szCs w:val="20"/>
        </w:rPr>
        <w:t xml:space="preserve"> al momento de los hechos, así </w:t>
      </w:r>
      <w:r>
        <w:rPr>
          <w:rFonts w:ascii="Verdana" w:hAnsi="Verdana" w:cs="Times New Roman"/>
          <w:sz w:val="20"/>
          <w:szCs w:val="20"/>
        </w:rPr>
        <w:lastRenderedPageBreak/>
        <w:t xml:space="preserve">como que se oficie a INTERPOL para que informe sobre las medidas realizadas para ubicar a E.F. </w:t>
      </w:r>
      <w:r w:rsidRPr="00E53751">
        <w:rPr>
          <w:rFonts w:ascii="Verdana" w:hAnsi="Verdana" w:cs="Times New Roman"/>
          <w:sz w:val="20"/>
          <w:szCs w:val="20"/>
        </w:rPr>
        <w:t>En la misma oportunidad solicitó que una junta médica determine si otro de los “involuc</w:t>
      </w:r>
      <w:r>
        <w:rPr>
          <w:rFonts w:ascii="Verdana" w:hAnsi="Verdana" w:cs="Times New Roman"/>
          <w:sz w:val="20"/>
          <w:szCs w:val="20"/>
        </w:rPr>
        <w:t>r</w:t>
      </w:r>
      <w:r w:rsidRPr="00E53751">
        <w:rPr>
          <w:rFonts w:ascii="Verdana" w:hAnsi="Verdana" w:cs="Times New Roman"/>
          <w:sz w:val="20"/>
          <w:szCs w:val="20"/>
        </w:rPr>
        <w:t>ados” podía dar declaración</w:t>
      </w:r>
      <w:r w:rsidRPr="00E53751">
        <w:rPr>
          <w:rStyle w:val="Refdenotaalpie"/>
          <w:rFonts w:ascii="Verdana" w:hAnsi="Verdana" w:cs="Times New Roman"/>
          <w:sz w:val="20"/>
          <w:szCs w:val="20"/>
        </w:rPr>
        <w:footnoteReference w:id="128"/>
      </w:r>
      <w:r w:rsidRPr="00D653EE">
        <w:rPr>
          <w:rFonts w:ascii="Verdana" w:hAnsi="Verdana" w:cs="Times New Roman"/>
          <w:sz w:val="20"/>
          <w:szCs w:val="20"/>
        </w:rPr>
        <w:t>.</w:t>
      </w:r>
    </w:p>
    <w:p w14:paraId="78096F72" w14:textId="77777777" w:rsidR="002A53BF" w:rsidRPr="00E53751" w:rsidRDefault="002A53BF" w:rsidP="005A5029">
      <w:pPr>
        <w:pStyle w:val="Prrafodelista"/>
        <w:spacing w:line="240" w:lineRule="exact"/>
        <w:ind w:left="0"/>
        <w:rPr>
          <w:rFonts w:ascii="Verdana" w:hAnsi="Verdana" w:cs="Times New Roman"/>
          <w:sz w:val="20"/>
          <w:szCs w:val="20"/>
        </w:rPr>
      </w:pPr>
    </w:p>
    <w:p w14:paraId="1D056985" w14:textId="77777777" w:rsidR="002A53BF" w:rsidRPr="00D653EE"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cs="Times New Roman"/>
          <w:sz w:val="20"/>
          <w:szCs w:val="20"/>
        </w:rPr>
      </w:pPr>
      <w:r>
        <w:rPr>
          <w:rFonts w:ascii="Verdana" w:hAnsi="Verdana" w:cs="Times New Roman"/>
          <w:sz w:val="20"/>
          <w:szCs w:val="20"/>
        </w:rPr>
        <w:t>De conformidad con información remitida por el Estado, el 29 de abril de 2021 se decretó “procesamiento y prisión” contra E.F.</w:t>
      </w:r>
      <w:r w:rsidRPr="00E53751">
        <w:rPr>
          <w:rStyle w:val="Refdenotaalpie"/>
          <w:rFonts w:ascii="Verdana" w:hAnsi="Verdana" w:cs="Times New Roman"/>
          <w:sz w:val="20"/>
          <w:szCs w:val="20"/>
        </w:rPr>
        <w:footnoteReference w:id="129"/>
      </w:r>
      <w:r w:rsidRPr="00C3394D">
        <w:rPr>
          <w:rFonts w:ascii="Verdana" w:hAnsi="Verdana" w:cs="Times New Roman"/>
          <w:sz w:val="20"/>
          <w:szCs w:val="20"/>
        </w:rPr>
        <w:t>.</w:t>
      </w:r>
      <w:r>
        <w:rPr>
          <w:rFonts w:ascii="Verdana" w:hAnsi="Verdana" w:cs="Times New Roman"/>
          <w:sz w:val="20"/>
          <w:szCs w:val="20"/>
        </w:rPr>
        <w:t xml:space="preserve"> Luego se presentaron “demanda de recusación” contra la jueza interviniente y “recursos de reposición y apelación del enjuiciamiento”. La primera fue desestimada. Respecto a los recursos se dispuso la “elevación en [a]</w:t>
      </w:r>
      <w:proofErr w:type="spellStart"/>
      <w:r>
        <w:rPr>
          <w:rFonts w:ascii="Verdana" w:hAnsi="Verdana" w:cs="Times New Roman"/>
          <w:sz w:val="20"/>
          <w:szCs w:val="20"/>
        </w:rPr>
        <w:t>lzada</w:t>
      </w:r>
      <w:proofErr w:type="spellEnd"/>
      <w:r>
        <w:rPr>
          <w:rFonts w:ascii="Verdana" w:hAnsi="Verdana" w:cs="Times New Roman"/>
          <w:sz w:val="20"/>
          <w:szCs w:val="20"/>
        </w:rPr>
        <w:t>”, lo que se cumplió el 28 de junio de 2021</w:t>
      </w:r>
      <w:r>
        <w:rPr>
          <w:rStyle w:val="Refdenotaalpie"/>
          <w:rFonts w:ascii="Verdana" w:hAnsi="Verdana" w:cs="Times New Roman"/>
          <w:sz w:val="20"/>
          <w:szCs w:val="20"/>
        </w:rPr>
        <w:footnoteReference w:id="130"/>
      </w:r>
      <w:r>
        <w:rPr>
          <w:rFonts w:ascii="Verdana" w:hAnsi="Verdana" w:cs="Times New Roman"/>
          <w:sz w:val="20"/>
          <w:szCs w:val="20"/>
        </w:rPr>
        <w:t>. Por otra parte, el 23 de junio de 2021 se decretó “procesamiento y prisión” contra J. S. y E. R.</w:t>
      </w:r>
      <w:r w:rsidRPr="00685170">
        <w:rPr>
          <w:rStyle w:val="Refdenotaalpie"/>
          <w:rFonts w:ascii="Verdana" w:hAnsi="Verdana" w:cs="Times New Roman"/>
          <w:sz w:val="20"/>
          <w:szCs w:val="20"/>
        </w:rPr>
        <w:footnoteReference w:id="131"/>
      </w:r>
      <w:r>
        <w:rPr>
          <w:rFonts w:ascii="Verdana" w:hAnsi="Verdana" w:cs="Times New Roman"/>
          <w:sz w:val="20"/>
          <w:szCs w:val="20"/>
        </w:rPr>
        <w:t xml:space="preserve"> El día 30 del mismo mes se confirió traslado al Ministerio Público del recurso de “reposición y apelación” presentado por la defensa</w:t>
      </w:r>
      <w:r>
        <w:rPr>
          <w:rStyle w:val="Refdenotaalpie"/>
          <w:rFonts w:ascii="Verdana" w:hAnsi="Verdana" w:cs="Times New Roman"/>
          <w:sz w:val="20"/>
          <w:szCs w:val="20"/>
        </w:rPr>
        <w:footnoteReference w:id="132"/>
      </w:r>
      <w:r>
        <w:rPr>
          <w:rFonts w:ascii="Verdana" w:hAnsi="Verdana" w:cs="Times New Roman"/>
          <w:sz w:val="20"/>
          <w:szCs w:val="20"/>
        </w:rPr>
        <w:t>.</w:t>
      </w:r>
    </w:p>
    <w:p w14:paraId="73ADC597" w14:textId="77777777" w:rsidR="002A53BF" w:rsidRPr="0039097A" w:rsidRDefault="002A53BF" w:rsidP="005A5029">
      <w:pPr>
        <w:spacing w:after="0" w:line="240" w:lineRule="exact"/>
        <w:rPr>
          <w:rFonts w:ascii="Verdana" w:hAnsi="Verdana" w:cs="Times New Roman"/>
          <w:sz w:val="20"/>
          <w:szCs w:val="24"/>
        </w:rPr>
      </w:pPr>
    </w:p>
    <w:p w14:paraId="6C822D7C" w14:textId="77777777" w:rsidR="002A53BF" w:rsidRPr="0039097A" w:rsidRDefault="002A53BF" w:rsidP="005A5029">
      <w:pPr>
        <w:pStyle w:val="Prrafodelista"/>
        <w:numPr>
          <w:ilvl w:val="0"/>
          <w:numId w:val="48"/>
        </w:numPr>
        <w:spacing w:after="0" w:line="240" w:lineRule="exact"/>
        <w:ind w:left="284" w:firstLine="0"/>
        <w:outlineLvl w:val="1"/>
        <w:rPr>
          <w:rFonts w:ascii="Verdana" w:hAnsi="Verdana" w:cs="Times New Roman"/>
          <w:b/>
          <w:i/>
          <w:sz w:val="20"/>
          <w:szCs w:val="24"/>
        </w:rPr>
      </w:pPr>
      <w:bookmarkStart w:id="30" w:name="_Toc85550404"/>
      <w:r w:rsidRPr="0039097A">
        <w:rPr>
          <w:rFonts w:ascii="Verdana" w:hAnsi="Verdana" w:cs="Times New Roman"/>
          <w:b/>
          <w:i/>
          <w:sz w:val="20"/>
          <w:szCs w:val="24"/>
        </w:rPr>
        <w:t xml:space="preserve">Reparaciones </w:t>
      </w:r>
      <w:r>
        <w:rPr>
          <w:rFonts w:ascii="Verdana" w:hAnsi="Verdana" w:cs="Times New Roman"/>
          <w:b/>
          <w:i/>
          <w:sz w:val="20"/>
          <w:szCs w:val="24"/>
        </w:rPr>
        <w:t xml:space="preserve">pecuniarias </w:t>
      </w:r>
      <w:r w:rsidRPr="0039097A">
        <w:rPr>
          <w:rFonts w:ascii="Verdana" w:hAnsi="Verdana" w:cs="Times New Roman"/>
          <w:b/>
          <w:i/>
          <w:sz w:val="20"/>
          <w:szCs w:val="24"/>
        </w:rPr>
        <w:t>que ha otorgado el Estado a nivel interno</w:t>
      </w:r>
      <w:bookmarkEnd w:id="30"/>
    </w:p>
    <w:p w14:paraId="5917E329" w14:textId="77777777" w:rsidR="002A53BF" w:rsidRPr="0039097A" w:rsidRDefault="002A53BF" w:rsidP="005A5029">
      <w:pPr>
        <w:pStyle w:val="Prrafodelista"/>
        <w:spacing w:after="0" w:line="240" w:lineRule="exact"/>
        <w:rPr>
          <w:rFonts w:ascii="Verdana" w:hAnsi="Verdana" w:cs="Times New Roman"/>
          <w:b/>
          <w:i/>
          <w:sz w:val="20"/>
          <w:szCs w:val="24"/>
        </w:rPr>
      </w:pPr>
    </w:p>
    <w:p w14:paraId="04727224" w14:textId="6A70A69D" w:rsidR="002A53BF" w:rsidRPr="0039097A"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sz w:val="20"/>
        </w:rPr>
      </w:pPr>
      <w:r w:rsidRPr="0039097A">
        <w:rPr>
          <w:rFonts w:ascii="Verdana" w:hAnsi="Verdana" w:cs="Times New Roman"/>
          <w:sz w:val="20"/>
          <w:szCs w:val="20"/>
        </w:rPr>
        <w:t xml:space="preserve">Determinados familiares de Diana </w:t>
      </w:r>
      <w:proofErr w:type="spellStart"/>
      <w:r w:rsidRPr="0039097A">
        <w:rPr>
          <w:rFonts w:ascii="Verdana" w:hAnsi="Verdana" w:cs="Times New Roman"/>
          <w:sz w:val="20"/>
          <w:szCs w:val="20"/>
        </w:rPr>
        <w:t>Maidanik</w:t>
      </w:r>
      <w:proofErr w:type="spellEnd"/>
      <w:r w:rsidRPr="0039097A">
        <w:rPr>
          <w:rFonts w:ascii="Verdana" w:hAnsi="Verdana" w:cs="Times New Roman"/>
          <w:sz w:val="20"/>
          <w:szCs w:val="20"/>
        </w:rPr>
        <w:t xml:space="preserve">, Silvia Reyes, Laura Raggio </w:t>
      </w:r>
      <w:proofErr w:type="spellStart"/>
      <w:r w:rsidRPr="0039097A">
        <w:rPr>
          <w:rFonts w:ascii="Verdana" w:hAnsi="Verdana" w:cs="Times New Roman"/>
          <w:sz w:val="20"/>
          <w:szCs w:val="20"/>
        </w:rPr>
        <w:t>Odizzio</w:t>
      </w:r>
      <w:proofErr w:type="spellEnd"/>
      <w:r w:rsidRPr="0039097A">
        <w:rPr>
          <w:rFonts w:ascii="Verdana" w:hAnsi="Verdana" w:cs="Times New Roman"/>
          <w:sz w:val="20"/>
          <w:szCs w:val="20"/>
        </w:rPr>
        <w:t xml:space="preserve">, Luis Eduardo González </w:t>
      </w:r>
      <w:proofErr w:type="spellStart"/>
      <w:r w:rsidRPr="0039097A">
        <w:rPr>
          <w:rFonts w:ascii="Verdana" w:hAnsi="Verdana" w:cs="Times New Roman"/>
          <w:sz w:val="20"/>
          <w:szCs w:val="20"/>
        </w:rPr>
        <w:t>González</w:t>
      </w:r>
      <w:proofErr w:type="spellEnd"/>
      <w:r w:rsidRPr="0039097A">
        <w:rPr>
          <w:rFonts w:ascii="Verdana" w:hAnsi="Verdana" w:cs="Times New Roman"/>
          <w:sz w:val="20"/>
          <w:szCs w:val="20"/>
        </w:rPr>
        <w:t xml:space="preserve"> y 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w:t>
      </w:r>
      <w:proofErr w:type="spellStart"/>
      <w:r w:rsidRPr="0039097A">
        <w:rPr>
          <w:rFonts w:ascii="Verdana" w:hAnsi="Verdana" w:cs="Times New Roman"/>
          <w:sz w:val="20"/>
          <w:szCs w:val="20"/>
        </w:rPr>
        <w:t>Asteazu</w:t>
      </w:r>
      <w:proofErr w:type="spellEnd"/>
      <w:r w:rsidRPr="0039097A">
        <w:rPr>
          <w:rFonts w:ascii="Verdana" w:hAnsi="Verdana" w:cs="Times New Roman"/>
          <w:sz w:val="20"/>
          <w:szCs w:val="20"/>
        </w:rPr>
        <w:t xml:space="preserve"> recibieron sumas de dinero en concepto de reparación por daños sufridos a causa de los hechos antes expuestos. Ello se detalla más adelante (</w:t>
      </w:r>
      <w:r w:rsidRPr="00685170">
        <w:rPr>
          <w:rFonts w:ascii="Verdana" w:hAnsi="Verdana" w:cs="Times New Roman"/>
          <w:i/>
          <w:sz w:val="20"/>
          <w:szCs w:val="20"/>
        </w:rPr>
        <w:t>infra</w:t>
      </w:r>
      <w:r w:rsidR="009E23FE">
        <w:rPr>
          <w:rFonts w:ascii="Verdana" w:hAnsi="Verdana" w:cs="Times New Roman"/>
          <w:sz w:val="20"/>
          <w:szCs w:val="20"/>
        </w:rPr>
        <w:t xml:space="preserve"> </w:t>
      </w:r>
      <w:proofErr w:type="spellStart"/>
      <w:r w:rsidR="009E23FE">
        <w:rPr>
          <w:rFonts w:ascii="Verdana" w:hAnsi="Verdana" w:cs="Times New Roman"/>
          <w:sz w:val="20"/>
          <w:szCs w:val="20"/>
        </w:rPr>
        <w:t>párrs</w:t>
      </w:r>
      <w:proofErr w:type="spellEnd"/>
      <w:r w:rsidR="009E23FE">
        <w:rPr>
          <w:rFonts w:ascii="Verdana" w:hAnsi="Verdana" w:cs="Times New Roman"/>
          <w:sz w:val="20"/>
          <w:szCs w:val="20"/>
        </w:rPr>
        <w:t>. 272 y 273</w:t>
      </w:r>
      <w:r w:rsidRPr="00685170">
        <w:rPr>
          <w:rFonts w:ascii="Verdana" w:hAnsi="Verdana" w:cs="Times New Roman"/>
          <w:sz w:val="20"/>
          <w:szCs w:val="20"/>
        </w:rPr>
        <w:t>).</w:t>
      </w:r>
      <w:r w:rsidRPr="0039097A" w:rsidDel="00486230">
        <w:rPr>
          <w:rFonts w:ascii="Verdana" w:hAnsi="Verdana" w:cs="Times New Roman"/>
          <w:sz w:val="20"/>
          <w:szCs w:val="20"/>
        </w:rPr>
        <w:t xml:space="preserve"> </w:t>
      </w:r>
    </w:p>
    <w:p w14:paraId="3591852D" w14:textId="77777777" w:rsidR="002A53BF" w:rsidRPr="0039097A" w:rsidRDefault="002A53BF" w:rsidP="005A5029">
      <w:pPr>
        <w:spacing w:line="240" w:lineRule="exact"/>
        <w:rPr>
          <w:rFonts w:ascii="Verdana" w:hAnsi="Verdana"/>
          <w:b/>
          <w:sz w:val="20"/>
          <w:szCs w:val="20"/>
        </w:rPr>
      </w:pPr>
    </w:p>
    <w:p w14:paraId="2AAEEEBC" w14:textId="77777777" w:rsidR="002A53BF" w:rsidRPr="0039097A" w:rsidRDefault="002A53BF" w:rsidP="005A5029">
      <w:pPr>
        <w:pStyle w:val="Ttulo1"/>
        <w:spacing w:before="0" w:line="240" w:lineRule="exact"/>
        <w:jc w:val="center"/>
        <w:rPr>
          <w:rFonts w:ascii="Verdana" w:hAnsi="Verdana"/>
          <w:b/>
          <w:color w:val="auto"/>
          <w:sz w:val="20"/>
          <w:szCs w:val="20"/>
        </w:rPr>
      </w:pPr>
      <w:bookmarkStart w:id="31" w:name="_Toc85550405"/>
      <w:r w:rsidRPr="0039097A">
        <w:rPr>
          <w:rFonts w:ascii="Verdana" w:hAnsi="Verdana"/>
          <w:b/>
          <w:color w:val="auto"/>
          <w:sz w:val="20"/>
          <w:szCs w:val="20"/>
        </w:rPr>
        <w:t>VII</w:t>
      </w:r>
      <w:bookmarkEnd w:id="31"/>
    </w:p>
    <w:p w14:paraId="14095E8B" w14:textId="77777777" w:rsidR="002A53BF" w:rsidRPr="0039097A" w:rsidRDefault="002A53BF" w:rsidP="005A5029">
      <w:pPr>
        <w:pStyle w:val="Ttulo1"/>
        <w:spacing w:before="0" w:line="240" w:lineRule="exact"/>
        <w:jc w:val="center"/>
        <w:rPr>
          <w:rFonts w:ascii="Verdana" w:hAnsi="Verdana"/>
          <w:b/>
          <w:color w:val="auto"/>
          <w:sz w:val="20"/>
          <w:szCs w:val="20"/>
        </w:rPr>
      </w:pPr>
      <w:bookmarkStart w:id="32" w:name="_Toc83568822"/>
      <w:bookmarkStart w:id="33" w:name="_Toc85550406"/>
      <w:r w:rsidRPr="0039097A">
        <w:rPr>
          <w:rFonts w:ascii="Verdana" w:hAnsi="Verdana"/>
          <w:b/>
          <w:color w:val="auto"/>
          <w:sz w:val="20"/>
          <w:szCs w:val="20"/>
        </w:rPr>
        <w:t>FONDO</w:t>
      </w:r>
      <w:bookmarkEnd w:id="32"/>
      <w:bookmarkEnd w:id="33"/>
    </w:p>
    <w:p w14:paraId="467CAF78" w14:textId="77777777" w:rsidR="002A53BF" w:rsidRPr="0039097A" w:rsidRDefault="002A53BF" w:rsidP="005A5029">
      <w:pPr>
        <w:pStyle w:val="Prrafodelista"/>
        <w:autoSpaceDE w:val="0"/>
        <w:autoSpaceDN w:val="0"/>
        <w:adjustRightInd w:val="0"/>
        <w:spacing w:after="0" w:line="240" w:lineRule="exact"/>
        <w:ind w:left="0"/>
        <w:jc w:val="both"/>
        <w:rPr>
          <w:rFonts w:ascii="Verdana" w:hAnsi="Verdana"/>
          <w:sz w:val="20"/>
        </w:rPr>
      </w:pPr>
    </w:p>
    <w:p w14:paraId="3864788B" w14:textId="77777777" w:rsidR="002A53BF" w:rsidRPr="00F137AF"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sz w:val="20"/>
        </w:rPr>
      </w:pPr>
      <w:r w:rsidRPr="0039097A">
        <w:rPr>
          <w:rFonts w:ascii="Verdana" w:hAnsi="Verdana"/>
          <w:sz w:val="20"/>
          <w:szCs w:val="20"/>
        </w:rPr>
        <w:t>El presente caso trata sobre la aducida responsabilidad Estatal por diversas violaciones a derechos humanos derivada</w:t>
      </w:r>
      <w:r>
        <w:rPr>
          <w:rFonts w:ascii="Verdana" w:hAnsi="Verdana"/>
          <w:sz w:val="20"/>
          <w:szCs w:val="20"/>
        </w:rPr>
        <w:t>s</w:t>
      </w:r>
      <w:r w:rsidRPr="0039097A">
        <w:rPr>
          <w:rFonts w:ascii="Verdana" w:hAnsi="Verdana"/>
          <w:sz w:val="20"/>
          <w:szCs w:val="20"/>
        </w:rPr>
        <w:t xml:space="preserve"> de las desapariciones forzadas de Óscar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y la falta de una investigación adecuada para determinar lo sucedido y, en su caso, sancionar a las personas responsables, así como para dar con el paradero de ambas personas. Trata también sobre alegada la falta de investigación de las muertes</w:t>
      </w:r>
      <w:r>
        <w:rPr>
          <w:rFonts w:ascii="Verdana" w:hAnsi="Verdana"/>
          <w:sz w:val="20"/>
          <w:szCs w:val="20"/>
        </w:rPr>
        <w:t xml:space="preserve"> violentas</w:t>
      </w:r>
      <w:r w:rsidRPr="0039097A">
        <w:rPr>
          <w:rFonts w:ascii="Verdana" w:hAnsi="Verdana"/>
          <w:sz w:val="20"/>
          <w:szCs w:val="20"/>
        </w:rPr>
        <w:t xml:space="preserve"> de Diana </w:t>
      </w:r>
      <w:proofErr w:type="spellStart"/>
      <w:r w:rsidRPr="0039097A">
        <w:rPr>
          <w:rFonts w:ascii="Verdana" w:hAnsi="Verdana"/>
          <w:sz w:val="20"/>
          <w:szCs w:val="20"/>
        </w:rPr>
        <w:t>Maidanik</w:t>
      </w:r>
      <w:proofErr w:type="spellEnd"/>
      <w:r w:rsidRPr="0039097A">
        <w:rPr>
          <w:rFonts w:ascii="Verdana" w:hAnsi="Verdana"/>
          <w:sz w:val="20"/>
          <w:szCs w:val="20"/>
        </w:rPr>
        <w:t xml:space="preserve">, Silvia Reyes </w:t>
      </w:r>
      <w:r w:rsidRPr="00F137AF">
        <w:rPr>
          <w:rFonts w:ascii="Verdana" w:hAnsi="Verdana"/>
          <w:sz w:val="20"/>
          <w:szCs w:val="20"/>
        </w:rPr>
        <w:t>y Laura Raggio. El caso, además, versa sobre las afectaciones que las circunstancias aludidas generaron a familiares de las personas nombradas.</w:t>
      </w:r>
    </w:p>
    <w:p w14:paraId="01714032" w14:textId="77777777" w:rsidR="002A53BF" w:rsidRPr="00F137AF" w:rsidRDefault="002A53BF" w:rsidP="005A5029">
      <w:pPr>
        <w:pStyle w:val="Prrafodelista"/>
        <w:autoSpaceDE w:val="0"/>
        <w:autoSpaceDN w:val="0"/>
        <w:adjustRightInd w:val="0"/>
        <w:spacing w:after="0" w:line="240" w:lineRule="exact"/>
        <w:ind w:left="0"/>
        <w:jc w:val="both"/>
        <w:rPr>
          <w:rFonts w:ascii="Verdana" w:hAnsi="Verdana"/>
          <w:sz w:val="20"/>
        </w:rPr>
      </w:pPr>
    </w:p>
    <w:p w14:paraId="70B86D84" w14:textId="77777777" w:rsidR="002A53BF" w:rsidRPr="00F137AF"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sz w:val="20"/>
        </w:rPr>
      </w:pPr>
      <w:r w:rsidRPr="00F137AF">
        <w:rPr>
          <w:rFonts w:ascii="Verdana" w:hAnsi="Verdana"/>
          <w:sz w:val="20"/>
        </w:rPr>
        <w:t>Antes de entrar en la evaluación de los alegatos sobre violaciones a derechos humanos, es preciso advertir que Uruguay no negó las mismas, aunque tampoco reconoció en forma expresa su responsabilidad internacional. El Estado señaló medidas que ha adoptado y adujo que “</w:t>
      </w:r>
      <w:r w:rsidRPr="00F137AF">
        <w:rPr>
          <w:rFonts w:ascii="Verdana" w:hAnsi="Verdana"/>
          <w:sz w:val="20"/>
          <w:szCs w:val="20"/>
        </w:rPr>
        <w:t xml:space="preserve">ha adecuado su conducta y acciones a la Convención Americana sobre Derechos Humanos, así como a los estándares que se derivan de la misma”. Las acciones que Uruguay informó haber efectuado, y en las que sustentó su aseveración, </w:t>
      </w:r>
      <w:r>
        <w:rPr>
          <w:rFonts w:ascii="Verdana" w:hAnsi="Verdana"/>
          <w:sz w:val="20"/>
          <w:szCs w:val="20"/>
        </w:rPr>
        <w:t xml:space="preserve">han sido, en lo pertinente, consideradas como parte de los hechos del caso y, además, </w:t>
      </w:r>
      <w:r w:rsidRPr="00F137AF">
        <w:rPr>
          <w:rFonts w:ascii="Verdana" w:hAnsi="Verdana"/>
          <w:sz w:val="20"/>
          <w:szCs w:val="20"/>
        </w:rPr>
        <w:t>serán valoradas en relación con el examen de la procedencia de medidas de reparación (</w:t>
      </w:r>
      <w:r w:rsidRPr="00F137AF">
        <w:rPr>
          <w:rFonts w:ascii="Verdana" w:hAnsi="Verdana"/>
          <w:i/>
          <w:sz w:val="20"/>
          <w:szCs w:val="20"/>
        </w:rPr>
        <w:t xml:space="preserve">infra </w:t>
      </w:r>
      <w:r w:rsidRPr="00F137AF">
        <w:rPr>
          <w:rFonts w:ascii="Verdana" w:hAnsi="Verdana"/>
          <w:sz w:val="20"/>
          <w:szCs w:val="20"/>
        </w:rPr>
        <w:t xml:space="preserve">Capítulo </w:t>
      </w:r>
      <w:r>
        <w:rPr>
          <w:rFonts w:ascii="Verdana" w:hAnsi="Verdana"/>
          <w:sz w:val="20"/>
          <w:szCs w:val="20"/>
        </w:rPr>
        <w:t>VIII</w:t>
      </w:r>
      <w:r w:rsidRPr="00F137AF">
        <w:rPr>
          <w:rFonts w:ascii="Verdana" w:hAnsi="Verdana"/>
          <w:sz w:val="20"/>
          <w:szCs w:val="20"/>
        </w:rPr>
        <w:t>)</w:t>
      </w:r>
      <w:r>
        <w:rPr>
          <w:rFonts w:ascii="Verdana" w:hAnsi="Verdana"/>
          <w:sz w:val="20"/>
          <w:szCs w:val="20"/>
        </w:rPr>
        <w:t>.</w:t>
      </w:r>
      <w:r w:rsidRPr="00F137AF">
        <w:rPr>
          <w:rFonts w:ascii="Verdana" w:hAnsi="Verdana"/>
          <w:sz w:val="20"/>
          <w:szCs w:val="20"/>
        </w:rPr>
        <w:t xml:space="preserve"> </w:t>
      </w:r>
    </w:p>
    <w:p w14:paraId="6E4E595D" w14:textId="77777777" w:rsidR="002A53BF" w:rsidRPr="00E53751" w:rsidRDefault="002A53BF" w:rsidP="005A5029">
      <w:pPr>
        <w:pStyle w:val="Prrafodelista"/>
        <w:autoSpaceDE w:val="0"/>
        <w:autoSpaceDN w:val="0"/>
        <w:adjustRightInd w:val="0"/>
        <w:spacing w:after="0" w:line="240" w:lineRule="exact"/>
        <w:ind w:left="0"/>
        <w:jc w:val="both"/>
        <w:rPr>
          <w:rFonts w:ascii="Verdana" w:hAnsi="Verdana"/>
          <w:sz w:val="20"/>
        </w:rPr>
      </w:pPr>
    </w:p>
    <w:p w14:paraId="4EC72644" w14:textId="77777777" w:rsidR="002A53BF" w:rsidRPr="00685170" w:rsidRDefault="002A53BF" w:rsidP="005A5029">
      <w:pPr>
        <w:pStyle w:val="Prrafodelista"/>
        <w:numPr>
          <w:ilvl w:val="0"/>
          <w:numId w:val="46"/>
        </w:numPr>
        <w:autoSpaceDE w:val="0"/>
        <w:autoSpaceDN w:val="0"/>
        <w:adjustRightInd w:val="0"/>
        <w:spacing w:after="0" w:line="240" w:lineRule="exact"/>
        <w:ind w:left="0" w:firstLine="0"/>
        <w:jc w:val="both"/>
        <w:rPr>
          <w:rFonts w:ascii="Verdana" w:hAnsi="Verdana"/>
          <w:sz w:val="20"/>
          <w:szCs w:val="20"/>
        </w:rPr>
      </w:pPr>
      <w:r w:rsidRPr="00685170">
        <w:rPr>
          <w:rFonts w:ascii="Verdana" w:hAnsi="Verdana"/>
          <w:sz w:val="20"/>
          <w:szCs w:val="20"/>
        </w:rPr>
        <w:t xml:space="preserve">La Corte examinará las violaciones alegadas en el siguiente orden: a) derechos al reconocimiento de la personalidad jurídica, a la vida, a la integridad personal y a la libertad personal respecto a las aducidas desapariciones forzadas de Luis Eduardo González </w:t>
      </w:r>
      <w:proofErr w:type="spellStart"/>
      <w:r w:rsidRPr="00685170">
        <w:rPr>
          <w:rFonts w:ascii="Verdana" w:hAnsi="Verdana"/>
          <w:sz w:val="20"/>
          <w:szCs w:val="20"/>
        </w:rPr>
        <w:t>González</w:t>
      </w:r>
      <w:proofErr w:type="spellEnd"/>
      <w:r w:rsidRPr="00685170">
        <w:rPr>
          <w:rFonts w:ascii="Verdana" w:hAnsi="Verdana"/>
          <w:sz w:val="20"/>
          <w:szCs w:val="20"/>
        </w:rPr>
        <w:t xml:space="preserve"> y Óscar </w:t>
      </w:r>
      <w:proofErr w:type="spellStart"/>
      <w:r w:rsidRPr="00685170">
        <w:rPr>
          <w:rFonts w:ascii="Verdana" w:hAnsi="Verdana"/>
          <w:sz w:val="20"/>
          <w:szCs w:val="20"/>
        </w:rPr>
        <w:t>Tassino</w:t>
      </w:r>
      <w:proofErr w:type="spellEnd"/>
      <w:r w:rsidRPr="00685170">
        <w:rPr>
          <w:rFonts w:ascii="Verdana" w:hAnsi="Verdana"/>
          <w:sz w:val="20"/>
          <w:szCs w:val="20"/>
        </w:rPr>
        <w:t xml:space="preserve"> </w:t>
      </w:r>
      <w:proofErr w:type="spellStart"/>
      <w:r w:rsidRPr="00685170">
        <w:rPr>
          <w:rFonts w:ascii="Verdana" w:hAnsi="Verdana"/>
          <w:sz w:val="20"/>
          <w:szCs w:val="20"/>
        </w:rPr>
        <w:t>Asteazu</w:t>
      </w:r>
      <w:proofErr w:type="spellEnd"/>
      <w:r w:rsidRPr="00685170">
        <w:rPr>
          <w:rFonts w:ascii="Verdana" w:hAnsi="Verdana"/>
          <w:sz w:val="20"/>
          <w:szCs w:val="20"/>
        </w:rPr>
        <w:t xml:space="preserve">; b) derechos a las garantías judiciales y a la protección judicial respecto a aducidas falencias en las investigaciones de los hechos antes señalados y de las muertes de Diana </w:t>
      </w:r>
      <w:proofErr w:type="spellStart"/>
      <w:r w:rsidRPr="00685170">
        <w:rPr>
          <w:rFonts w:ascii="Verdana" w:hAnsi="Verdana"/>
          <w:sz w:val="20"/>
          <w:szCs w:val="20"/>
        </w:rPr>
        <w:t>Maidanik</w:t>
      </w:r>
      <w:proofErr w:type="spellEnd"/>
      <w:r w:rsidRPr="00685170">
        <w:rPr>
          <w:rFonts w:ascii="Verdana" w:hAnsi="Verdana"/>
          <w:sz w:val="20"/>
          <w:szCs w:val="20"/>
        </w:rPr>
        <w:t xml:space="preserve">, Silvia Reyes y Laura Raggio; c) derecho a la integridad personal respecto de los familiares de las cinco personas nombradas. </w:t>
      </w:r>
    </w:p>
    <w:p w14:paraId="4913E4AE" w14:textId="77777777" w:rsidR="002A53BF" w:rsidRPr="0039097A" w:rsidRDefault="002A53BF" w:rsidP="005A5029">
      <w:pPr>
        <w:pStyle w:val="Prrafodelista"/>
        <w:spacing w:after="0" w:line="240" w:lineRule="exact"/>
        <w:ind w:left="0"/>
        <w:jc w:val="both"/>
      </w:pPr>
    </w:p>
    <w:p w14:paraId="1B38C938" w14:textId="77777777" w:rsidR="002A53BF" w:rsidRPr="0039097A" w:rsidRDefault="002A53BF" w:rsidP="005A5029">
      <w:pPr>
        <w:pStyle w:val="Prrafodelista"/>
        <w:spacing w:after="0" w:line="240" w:lineRule="exact"/>
        <w:ind w:left="0"/>
        <w:jc w:val="center"/>
        <w:outlineLvl w:val="0"/>
        <w:rPr>
          <w:rFonts w:ascii="Verdana" w:hAnsi="Verdana"/>
          <w:b/>
          <w:sz w:val="20"/>
          <w:szCs w:val="20"/>
        </w:rPr>
      </w:pPr>
      <w:bookmarkStart w:id="34" w:name="_Toc83568823"/>
      <w:bookmarkStart w:id="35" w:name="_Toc85550407"/>
      <w:r w:rsidRPr="0039097A">
        <w:rPr>
          <w:rFonts w:ascii="Verdana" w:hAnsi="Verdana"/>
          <w:b/>
          <w:sz w:val="20"/>
          <w:szCs w:val="20"/>
        </w:rPr>
        <w:t>VII.</w:t>
      </w:r>
      <w:bookmarkEnd w:id="34"/>
      <w:r>
        <w:rPr>
          <w:rFonts w:ascii="Verdana" w:hAnsi="Verdana"/>
          <w:b/>
          <w:sz w:val="20"/>
          <w:szCs w:val="20"/>
        </w:rPr>
        <w:t>1</w:t>
      </w:r>
      <w:bookmarkEnd w:id="35"/>
    </w:p>
    <w:p w14:paraId="6C8C334C" w14:textId="77777777" w:rsidR="002A53BF" w:rsidRPr="0039097A" w:rsidRDefault="002A53BF" w:rsidP="005A5029">
      <w:pPr>
        <w:pStyle w:val="Prrafodelista"/>
        <w:spacing w:after="0" w:line="240" w:lineRule="exact"/>
        <w:ind w:left="0"/>
        <w:jc w:val="center"/>
        <w:outlineLvl w:val="0"/>
        <w:rPr>
          <w:rFonts w:ascii="Verdana" w:hAnsi="Verdana"/>
          <w:b/>
          <w:sz w:val="20"/>
          <w:szCs w:val="20"/>
        </w:rPr>
      </w:pPr>
      <w:bookmarkStart w:id="36" w:name="_Toc83568824"/>
      <w:bookmarkStart w:id="37" w:name="_Toc85550408"/>
      <w:r w:rsidRPr="0039097A">
        <w:rPr>
          <w:rFonts w:ascii="Verdana" w:hAnsi="Verdana"/>
          <w:b/>
          <w:sz w:val="20"/>
          <w:szCs w:val="20"/>
        </w:rPr>
        <w:t>DERECHOS AL RECONOCIMIENTO DE LA PERSONALIDAD JURÍDICA, A LA VIDA, A LA INTEGRIDAD PERSONAL Y A LA LIBERTAD PERSONAL</w:t>
      </w:r>
      <w:bookmarkEnd w:id="36"/>
      <w:bookmarkEnd w:id="37"/>
      <w:r w:rsidRPr="00685170">
        <w:rPr>
          <w:rStyle w:val="Refdenotaalpie"/>
          <w:rFonts w:ascii="Verdana" w:hAnsi="Verdana"/>
          <w:sz w:val="20"/>
          <w:szCs w:val="20"/>
        </w:rPr>
        <w:footnoteReference w:id="133"/>
      </w:r>
      <w:r w:rsidRPr="00685170">
        <w:rPr>
          <w:rFonts w:ascii="Verdana" w:hAnsi="Verdana"/>
          <w:sz w:val="20"/>
          <w:szCs w:val="20"/>
        </w:rPr>
        <w:t xml:space="preserve"> </w:t>
      </w:r>
    </w:p>
    <w:p w14:paraId="5998CF29" w14:textId="77777777" w:rsidR="002A53BF" w:rsidRPr="0039097A" w:rsidRDefault="002A53BF" w:rsidP="005A5029">
      <w:pPr>
        <w:spacing w:after="0" w:line="240" w:lineRule="exact"/>
      </w:pPr>
    </w:p>
    <w:p w14:paraId="56504F1B" w14:textId="77777777" w:rsidR="002A53BF" w:rsidRPr="0039097A" w:rsidRDefault="002A53BF" w:rsidP="005A5029">
      <w:pPr>
        <w:pStyle w:val="Prrafodelista"/>
        <w:numPr>
          <w:ilvl w:val="0"/>
          <w:numId w:val="20"/>
        </w:numPr>
        <w:tabs>
          <w:tab w:val="left" w:pos="567"/>
          <w:tab w:val="left" w:pos="1134"/>
          <w:tab w:val="left" w:pos="2268"/>
        </w:tabs>
        <w:spacing w:after="0" w:line="240" w:lineRule="exact"/>
        <w:ind w:left="284" w:firstLine="0"/>
        <w:jc w:val="both"/>
        <w:outlineLvl w:val="1"/>
        <w:rPr>
          <w:rFonts w:ascii="Verdana" w:hAnsi="Verdana"/>
          <w:b/>
          <w:i/>
          <w:sz w:val="20"/>
          <w:szCs w:val="20"/>
        </w:rPr>
      </w:pPr>
      <w:bookmarkStart w:id="38" w:name="_Toc72187115"/>
      <w:bookmarkStart w:id="39" w:name="_Toc83568825"/>
      <w:bookmarkStart w:id="40" w:name="_Toc85550409"/>
      <w:r w:rsidRPr="0039097A">
        <w:rPr>
          <w:rFonts w:ascii="Verdana" w:hAnsi="Verdana"/>
          <w:b/>
          <w:i/>
          <w:sz w:val="20"/>
          <w:szCs w:val="20"/>
        </w:rPr>
        <w:t>Argumentos de la Comisión y de las partes</w:t>
      </w:r>
      <w:bookmarkEnd w:id="38"/>
      <w:bookmarkEnd w:id="39"/>
      <w:bookmarkEnd w:id="40"/>
      <w:r w:rsidRPr="0039097A">
        <w:rPr>
          <w:rFonts w:ascii="Verdana" w:hAnsi="Verdana"/>
          <w:b/>
          <w:i/>
          <w:sz w:val="20"/>
          <w:szCs w:val="20"/>
        </w:rPr>
        <w:t xml:space="preserve"> </w:t>
      </w:r>
    </w:p>
    <w:p w14:paraId="61F79845" w14:textId="77777777" w:rsidR="002A53BF" w:rsidRPr="0039097A" w:rsidRDefault="002A53BF" w:rsidP="005A5029">
      <w:pPr>
        <w:spacing w:after="0" w:line="240" w:lineRule="exact"/>
      </w:pPr>
    </w:p>
    <w:p w14:paraId="72998A9F" w14:textId="77777777" w:rsidR="002A53BF" w:rsidRPr="0039097A" w:rsidRDefault="002A53BF" w:rsidP="005A5029">
      <w:pPr>
        <w:pStyle w:val="Prrafodelista"/>
        <w:numPr>
          <w:ilvl w:val="0"/>
          <w:numId w:val="49"/>
        </w:numPr>
        <w:spacing w:after="0" w:line="240" w:lineRule="exact"/>
        <w:ind w:left="0" w:firstLine="0"/>
        <w:jc w:val="both"/>
      </w:pPr>
      <w:r w:rsidRPr="0039097A">
        <w:rPr>
          <w:rFonts w:ascii="Verdana" w:hAnsi="Verdana"/>
          <w:sz w:val="20"/>
          <w:szCs w:val="20"/>
        </w:rPr>
        <w:t xml:space="preserve">La </w:t>
      </w:r>
      <w:r w:rsidRPr="0039097A">
        <w:rPr>
          <w:rFonts w:ascii="Verdana" w:hAnsi="Verdana"/>
          <w:b/>
          <w:i/>
          <w:sz w:val="20"/>
          <w:szCs w:val="20"/>
        </w:rPr>
        <w:t xml:space="preserve">Comisión </w:t>
      </w:r>
      <w:r w:rsidRPr="0039097A">
        <w:rPr>
          <w:rFonts w:ascii="Verdana" w:hAnsi="Verdana"/>
          <w:sz w:val="20"/>
          <w:szCs w:val="20"/>
        </w:rPr>
        <w:t xml:space="preserve">adujo que no hay controversia en cuanto a que </w:t>
      </w:r>
      <w:r w:rsidRPr="00685170">
        <w:rPr>
          <w:rFonts w:ascii="Verdana" w:hAnsi="Verdana"/>
          <w:sz w:val="20"/>
          <w:szCs w:val="20"/>
        </w:rPr>
        <w:t xml:space="preserve">Luis Eduardo González </w:t>
      </w:r>
      <w:proofErr w:type="spellStart"/>
      <w:r w:rsidRPr="00685170">
        <w:rPr>
          <w:rFonts w:ascii="Verdana" w:hAnsi="Verdana"/>
          <w:sz w:val="20"/>
          <w:szCs w:val="20"/>
        </w:rPr>
        <w:t>González</w:t>
      </w:r>
      <w:proofErr w:type="spellEnd"/>
      <w:r w:rsidRPr="0039097A">
        <w:rPr>
          <w:rFonts w:ascii="Verdana" w:hAnsi="Verdana"/>
          <w:sz w:val="20"/>
          <w:szCs w:val="20"/>
        </w:rPr>
        <w:t xml:space="preserve"> fue detenido e</w:t>
      </w:r>
      <w:r>
        <w:rPr>
          <w:rFonts w:ascii="Verdana" w:hAnsi="Verdana"/>
          <w:sz w:val="20"/>
          <w:szCs w:val="20"/>
        </w:rPr>
        <w:t xml:space="preserve">n </w:t>
      </w:r>
      <w:r w:rsidRPr="0039097A">
        <w:rPr>
          <w:rFonts w:ascii="Verdana" w:hAnsi="Verdana"/>
          <w:sz w:val="20"/>
          <w:szCs w:val="20"/>
        </w:rPr>
        <w:t xml:space="preserve">diciembre de 1974. Señaló que la intervención de funcionarios estatales se desprende de que estos no negaron la detención (sino que la reconocieron implícitamente, señalando que el señor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se había fugado de la cárcel), y de otros elementos</w:t>
      </w:r>
      <w:r w:rsidRPr="0039097A">
        <w:rPr>
          <w:rStyle w:val="Refdenotaalpie"/>
          <w:rFonts w:ascii="Verdana" w:hAnsi="Verdana"/>
          <w:sz w:val="20"/>
          <w:szCs w:val="20"/>
        </w:rPr>
        <w:footnoteReference w:id="134"/>
      </w:r>
      <w:r w:rsidRPr="0039097A" w:rsidDel="007739A5">
        <w:rPr>
          <w:rFonts w:ascii="Verdana" w:hAnsi="Verdana"/>
          <w:sz w:val="20"/>
          <w:szCs w:val="20"/>
        </w:rPr>
        <w:t xml:space="preserve"> </w:t>
      </w:r>
      <w:r w:rsidRPr="0039097A">
        <w:rPr>
          <w:rFonts w:ascii="Verdana" w:hAnsi="Verdana"/>
          <w:sz w:val="20"/>
          <w:szCs w:val="20"/>
        </w:rPr>
        <w:t xml:space="preserve">. Agregó que “cuando su madre, Amalia González, acudió a buscarlo a [dependencias militares] se le indicó que [él] se había fugado”. La Comisión evaluó que la versión de su fuga por parte de autoridades, como también luego la falta de investigación de los hechos, operaron como formas de encubrir la suerte o el paradero del señor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w:t>
      </w:r>
      <w:r>
        <w:rPr>
          <w:rFonts w:ascii="Verdana" w:hAnsi="Verdana"/>
          <w:sz w:val="20"/>
          <w:szCs w:val="20"/>
        </w:rPr>
        <w:t>Resaltó</w:t>
      </w:r>
      <w:r w:rsidRPr="0039097A">
        <w:rPr>
          <w:rFonts w:ascii="Verdana" w:hAnsi="Verdana"/>
          <w:sz w:val="20"/>
          <w:szCs w:val="20"/>
        </w:rPr>
        <w:t xml:space="preserve"> que</w:t>
      </w:r>
      <w:r>
        <w:rPr>
          <w:rFonts w:ascii="Verdana" w:hAnsi="Verdana"/>
          <w:sz w:val="20"/>
          <w:szCs w:val="20"/>
        </w:rPr>
        <w:t xml:space="preserve"> su desaparición </w:t>
      </w:r>
      <w:r w:rsidRPr="0039097A">
        <w:rPr>
          <w:rFonts w:ascii="Verdana" w:hAnsi="Verdana"/>
          <w:sz w:val="20"/>
          <w:szCs w:val="20"/>
        </w:rPr>
        <w:t>no ha cesado, pues no se ha dado con su paradero.</w:t>
      </w:r>
      <w:r w:rsidRPr="0039097A">
        <w:rPr>
          <w:rFonts w:ascii="Verdana" w:hAnsi="Verdana"/>
          <w:sz w:val="16"/>
          <w:szCs w:val="16"/>
        </w:rPr>
        <w:t xml:space="preserve"> </w:t>
      </w:r>
    </w:p>
    <w:p w14:paraId="0767E3C3" w14:textId="77777777" w:rsidR="002A53BF" w:rsidRPr="0039097A" w:rsidRDefault="002A53BF" w:rsidP="005A5029">
      <w:pPr>
        <w:pStyle w:val="Prrafodelista"/>
        <w:spacing w:before="120" w:after="120" w:line="240" w:lineRule="exact"/>
        <w:ind w:left="0"/>
        <w:jc w:val="both"/>
      </w:pPr>
    </w:p>
    <w:p w14:paraId="379955D4" w14:textId="77777777" w:rsidR="002A53BF" w:rsidRPr="0039097A" w:rsidRDefault="002A53BF" w:rsidP="005A5029">
      <w:pPr>
        <w:pStyle w:val="Prrafodelista"/>
        <w:numPr>
          <w:ilvl w:val="0"/>
          <w:numId w:val="49"/>
        </w:numPr>
        <w:spacing w:before="120" w:after="120" w:line="240" w:lineRule="exact"/>
        <w:ind w:left="0" w:hanging="11"/>
        <w:jc w:val="both"/>
      </w:pPr>
      <w:r w:rsidRPr="0039097A">
        <w:rPr>
          <w:rFonts w:ascii="Verdana" w:hAnsi="Verdana"/>
          <w:sz w:val="20"/>
          <w:szCs w:val="20"/>
        </w:rPr>
        <w:t xml:space="preserve">La Comisión indicó también que no existe controversia en cuanto a que </w:t>
      </w:r>
      <w:r>
        <w:rPr>
          <w:rFonts w:ascii="Verdana" w:hAnsi="Verdana"/>
          <w:sz w:val="20"/>
          <w:szCs w:val="20"/>
        </w:rPr>
        <w:t>Ó</w:t>
      </w:r>
      <w:r w:rsidRPr="00685170">
        <w:rPr>
          <w:rFonts w:ascii="Verdana" w:hAnsi="Verdana"/>
          <w:sz w:val="20"/>
          <w:szCs w:val="20"/>
        </w:rPr>
        <w:t xml:space="preserve">scar </w:t>
      </w:r>
      <w:proofErr w:type="spellStart"/>
      <w:r w:rsidRPr="00685170">
        <w:rPr>
          <w:rFonts w:ascii="Verdana" w:hAnsi="Verdana"/>
          <w:sz w:val="20"/>
          <w:szCs w:val="20"/>
        </w:rPr>
        <w:t>Tassino</w:t>
      </w:r>
      <w:proofErr w:type="spellEnd"/>
      <w:r w:rsidRPr="00685170">
        <w:rPr>
          <w:rFonts w:ascii="Verdana" w:hAnsi="Verdana"/>
          <w:sz w:val="20"/>
          <w:szCs w:val="20"/>
        </w:rPr>
        <w:t xml:space="preserve"> </w:t>
      </w:r>
      <w:proofErr w:type="spellStart"/>
      <w:r w:rsidRPr="00685170">
        <w:rPr>
          <w:rFonts w:ascii="Verdana" w:hAnsi="Verdana"/>
          <w:sz w:val="20"/>
          <w:szCs w:val="20"/>
        </w:rPr>
        <w:t>Asteazu</w:t>
      </w:r>
      <w:proofErr w:type="spellEnd"/>
      <w:r w:rsidRPr="0039097A">
        <w:rPr>
          <w:rFonts w:ascii="Verdana" w:hAnsi="Verdana"/>
          <w:sz w:val="20"/>
          <w:szCs w:val="20"/>
        </w:rPr>
        <w:t xml:space="preserve"> fue detenido el 19 de julio de 1977. Refirió que esa privación de libertad se produjo por funcionarios estatales, lo que surge de diversos elementos</w:t>
      </w:r>
      <w:r w:rsidRPr="0039097A">
        <w:rPr>
          <w:rStyle w:val="Refdenotaalpie"/>
          <w:rFonts w:ascii="Verdana" w:hAnsi="Verdana"/>
          <w:sz w:val="20"/>
          <w:szCs w:val="20"/>
        </w:rPr>
        <w:footnoteReference w:id="135"/>
      </w:r>
      <w:r w:rsidRPr="0039097A">
        <w:rPr>
          <w:rFonts w:ascii="Verdana" w:hAnsi="Verdana"/>
          <w:sz w:val="20"/>
          <w:szCs w:val="20"/>
        </w:rPr>
        <w:t xml:space="preserve">. Agregó que </w:t>
      </w:r>
      <w:r w:rsidRPr="0039097A">
        <w:rPr>
          <w:rFonts w:ascii="Verdana" w:hAnsi="Verdana"/>
          <w:sz w:val="20"/>
          <w:szCs w:val="20"/>
        </w:rPr>
        <w:lastRenderedPageBreak/>
        <w:t xml:space="preserve">agentes estatales negaron a la esposa del señor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Asteazu</w:t>
      </w:r>
      <w:proofErr w:type="spellEnd"/>
      <w:r w:rsidRPr="0039097A">
        <w:rPr>
          <w:rFonts w:ascii="Verdana" w:hAnsi="Verdana"/>
          <w:sz w:val="20"/>
          <w:szCs w:val="20"/>
        </w:rPr>
        <w:t xml:space="preserve">, </w:t>
      </w:r>
      <w:proofErr w:type="spellStart"/>
      <w:r w:rsidRPr="0039097A">
        <w:rPr>
          <w:rFonts w:ascii="Verdana" w:hAnsi="Verdana"/>
          <w:sz w:val="20"/>
          <w:szCs w:val="20"/>
        </w:rPr>
        <w:t>Disnarda</w:t>
      </w:r>
      <w:proofErr w:type="spellEnd"/>
      <w:r w:rsidRPr="0039097A">
        <w:rPr>
          <w:rFonts w:ascii="Verdana" w:hAnsi="Verdana"/>
          <w:sz w:val="20"/>
          <w:szCs w:val="20"/>
        </w:rPr>
        <w:t xml:space="preserve"> Flores, que él se encontrara detenido, y que todavía sigue sin determinarse su paradero. Al respecto, advirtió que</w:t>
      </w:r>
      <w:r>
        <w:rPr>
          <w:rFonts w:ascii="Verdana" w:hAnsi="Verdana"/>
          <w:sz w:val="20"/>
          <w:szCs w:val="20"/>
        </w:rPr>
        <w:t>,</w:t>
      </w:r>
      <w:r w:rsidRPr="0039097A">
        <w:rPr>
          <w:rFonts w:ascii="Verdana" w:hAnsi="Verdana"/>
          <w:sz w:val="20"/>
          <w:szCs w:val="20"/>
        </w:rPr>
        <w:t xml:space="preserve"> si bien el informe de la “Comisión Investigadora sobre el Destino Final de 33 ciudadanos en el periodo comprendido entre el 27 de junio de 1973 y el 1 de marzo de 1985” indicó que el señor </w:t>
      </w:r>
      <w:proofErr w:type="spellStart"/>
      <w:r w:rsidRPr="0039097A">
        <w:rPr>
          <w:rFonts w:ascii="Verdana" w:hAnsi="Verdana"/>
          <w:sz w:val="20"/>
          <w:szCs w:val="20"/>
        </w:rPr>
        <w:t>Tassino</w:t>
      </w:r>
      <w:proofErr w:type="spellEnd"/>
      <w:r w:rsidRPr="0039097A">
        <w:rPr>
          <w:rFonts w:ascii="Verdana" w:hAnsi="Verdana"/>
          <w:sz w:val="20"/>
          <w:szCs w:val="20"/>
        </w:rPr>
        <w:t xml:space="preserve"> se suicidó, ello no ofrece certeza, </w:t>
      </w:r>
      <w:r>
        <w:rPr>
          <w:rFonts w:ascii="Verdana" w:hAnsi="Verdana"/>
          <w:sz w:val="20"/>
          <w:szCs w:val="20"/>
        </w:rPr>
        <w:t xml:space="preserve">y </w:t>
      </w:r>
      <w:r w:rsidRPr="0039097A">
        <w:rPr>
          <w:rFonts w:ascii="Verdana" w:hAnsi="Verdana"/>
          <w:sz w:val="20"/>
          <w:szCs w:val="20"/>
        </w:rPr>
        <w:t xml:space="preserve">no fue una </w:t>
      </w:r>
      <w:proofErr w:type="gramStart"/>
      <w:r w:rsidRPr="0039097A">
        <w:rPr>
          <w:rFonts w:ascii="Verdana" w:hAnsi="Verdana"/>
          <w:sz w:val="20"/>
          <w:szCs w:val="20"/>
        </w:rPr>
        <w:t>determinación efectuado</w:t>
      </w:r>
      <w:proofErr w:type="gramEnd"/>
      <w:r w:rsidRPr="0039097A">
        <w:rPr>
          <w:rFonts w:ascii="Verdana" w:hAnsi="Verdana"/>
          <w:sz w:val="20"/>
          <w:szCs w:val="20"/>
        </w:rPr>
        <w:t xml:space="preserve"> en un proceso penal diligente, además de lo cual hay dudas sobre dónde estarían sus restos. La Comisión indicó que</w:t>
      </w:r>
      <w:r>
        <w:rPr>
          <w:rFonts w:ascii="Verdana" w:hAnsi="Verdana"/>
          <w:sz w:val="20"/>
          <w:szCs w:val="20"/>
        </w:rPr>
        <w:t xml:space="preserve"> la desaparición del </w:t>
      </w:r>
      <w:r w:rsidRPr="0039097A">
        <w:rPr>
          <w:rFonts w:ascii="Verdana" w:hAnsi="Verdana"/>
          <w:sz w:val="20"/>
          <w:szCs w:val="20"/>
        </w:rPr>
        <w:t xml:space="preserve">señor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Asteazu</w:t>
      </w:r>
      <w:proofErr w:type="spellEnd"/>
      <w:r w:rsidRPr="0039097A">
        <w:rPr>
          <w:rFonts w:ascii="Verdana" w:hAnsi="Verdana"/>
          <w:sz w:val="20"/>
          <w:szCs w:val="20"/>
        </w:rPr>
        <w:t xml:space="preserve"> no ha cesado, en tanto que</w:t>
      </w:r>
      <w:r>
        <w:rPr>
          <w:rFonts w:ascii="Verdana" w:hAnsi="Verdana"/>
          <w:sz w:val="20"/>
          <w:szCs w:val="20"/>
        </w:rPr>
        <w:t xml:space="preserve"> su paradero no ha sido ubicado</w:t>
      </w:r>
      <w:r w:rsidRPr="0039097A">
        <w:rPr>
          <w:rFonts w:ascii="Verdana" w:hAnsi="Verdana"/>
          <w:sz w:val="20"/>
          <w:szCs w:val="20"/>
        </w:rPr>
        <w:t>.</w:t>
      </w:r>
      <w:r w:rsidRPr="0039097A">
        <w:rPr>
          <w:rFonts w:ascii="Verdana" w:hAnsi="Verdana"/>
          <w:sz w:val="16"/>
          <w:szCs w:val="16"/>
        </w:rPr>
        <w:t xml:space="preserve"> </w:t>
      </w:r>
    </w:p>
    <w:p w14:paraId="107E8361" w14:textId="77777777" w:rsidR="002A53BF" w:rsidRPr="0039097A" w:rsidRDefault="002A53BF" w:rsidP="005A5029">
      <w:pPr>
        <w:pStyle w:val="Prrafodelista"/>
        <w:spacing w:line="240" w:lineRule="exact"/>
        <w:rPr>
          <w:rFonts w:ascii="Verdana" w:hAnsi="Verdana"/>
          <w:sz w:val="20"/>
          <w:szCs w:val="20"/>
        </w:rPr>
      </w:pPr>
    </w:p>
    <w:p w14:paraId="6082E027" w14:textId="77777777" w:rsidR="002A53BF" w:rsidRPr="0039097A" w:rsidRDefault="002A53BF" w:rsidP="005A5029">
      <w:pPr>
        <w:pStyle w:val="Prrafodelista"/>
        <w:numPr>
          <w:ilvl w:val="0"/>
          <w:numId w:val="49"/>
        </w:numPr>
        <w:spacing w:before="120" w:after="120" w:line="240" w:lineRule="exact"/>
        <w:ind w:left="0" w:hanging="11"/>
        <w:jc w:val="both"/>
      </w:pPr>
      <w:r w:rsidRPr="0039097A">
        <w:rPr>
          <w:rFonts w:ascii="Verdana" w:hAnsi="Verdana"/>
          <w:sz w:val="20"/>
          <w:szCs w:val="20"/>
        </w:rPr>
        <w:t xml:space="preserve">Por lo dicho, la Comisión concluyó que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w:t>
      </w:r>
      <w:r>
        <w:rPr>
          <w:rFonts w:ascii="Verdana" w:hAnsi="Verdana"/>
          <w:sz w:val="20"/>
          <w:szCs w:val="20"/>
        </w:rPr>
        <w:t>Ó</w:t>
      </w:r>
      <w:r w:rsidRPr="0039097A">
        <w:rPr>
          <w:rFonts w:ascii="Verdana" w:hAnsi="Verdana"/>
          <w:sz w:val="20"/>
          <w:szCs w:val="20"/>
        </w:rPr>
        <w:t xml:space="preserve">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Asteazu</w:t>
      </w:r>
      <w:proofErr w:type="spellEnd"/>
      <w:r w:rsidRPr="0039097A">
        <w:rPr>
          <w:rFonts w:ascii="Verdana" w:hAnsi="Verdana"/>
          <w:sz w:val="20"/>
          <w:szCs w:val="20"/>
        </w:rPr>
        <w:t xml:space="preserve"> son víctimas de actos de desaparición forzada que continúan cometiéndose, pues en ambos casos se han presentado los siguientes elementos: a) privación de libertad; b) intervención de agentes estatales; c) negativa en reconocer la detención o revelar la suerte o paradero de la persona. Determinó, entonces, que Uruguay es responsable, en perjuicio de las dos personas nombradas, de la violación de los artículos 3, 4.1, 5.1, 5.2, y 7 de la Convención Americana</w:t>
      </w:r>
      <w:r>
        <w:rPr>
          <w:rFonts w:ascii="Verdana" w:hAnsi="Verdana"/>
          <w:sz w:val="20"/>
          <w:szCs w:val="20"/>
        </w:rPr>
        <w:t>, en relación con su artículo 1.1 y con el artículo</w:t>
      </w:r>
      <w:r w:rsidRPr="0039097A">
        <w:rPr>
          <w:rFonts w:ascii="Verdana" w:hAnsi="Verdana"/>
          <w:sz w:val="20"/>
          <w:szCs w:val="20"/>
        </w:rPr>
        <w:t xml:space="preserve"> y I a) de la CIDFP. </w:t>
      </w:r>
    </w:p>
    <w:p w14:paraId="17DE0FB0" w14:textId="77777777" w:rsidR="002A53BF" w:rsidRPr="0039097A" w:rsidRDefault="002A53BF" w:rsidP="005A5029">
      <w:pPr>
        <w:pStyle w:val="Prrafodelista"/>
        <w:spacing w:line="240" w:lineRule="exact"/>
        <w:rPr>
          <w:rFonts w:ascii="Verdana" w:hAnsi="Verdana"/>
          <w:sz w:val="20"/>
          <w:szCs w:val="20"/>
        </w:rPr>
      </w:pPr>
    </w:p>
    <w:p w14:paraId="3D0C8C68" w14:textId="77777777" w:rsidR="002A53BF" w:rsidRPr="0039097A" w:rsidRDefault="002A53BF" w:rsidP="005A5029">
      <w:pPr>
        <w:pStyle w:val="Prrafodelista"/>
        <w:numPr>
          <w:ilvl w:val="0"/>
          <w:numId w:val="49"/>
        </w:numPr>
        <w:spacing w:before="120" w:after="120" w:line="240" w:lineRule="exact"/>
        <w:ind w:left="0" w:hanging="11"/>
        <w:jc w:val="both"/>
        <w:rPr>
          <w:rFonts w:ascii="Verdana" w:hAnsi="Verdana"/>
          <w:sz w:val="20"/>
          <w:szCs w:val="20"/>
        </w:rPr>
      </w:pPr>
      <w:r w:rsidRPr="0039097A">
        <w:rPr>
          <w:rFonts w:ascii="Verdana" w:hAnsi="Verdana"/>
          <w:sz w:val="20"/>
          <w:szCs w:val="20"/>
        </w:rPr>
        <w:t xml:space="preserve">Los </w:t>
      </w:r>
      <w:r w:rsidRPr="0039097A">
        <w:rPr>
          <w:rFonts w:ascii="Verdana" w:hAnsi="Verdana"/>
          <w:b/>
          <w:i/>
          <w:sz w:val="20"/>
          <w:szCs w:val="20"/>
        </w:rPr>
        <w:t>representantes</w:t>
      </w:r>
      <w:r w:rsidRPr="0039097A">
        <w:rPr>
          <w:rFonts w:ascii="Verdana" w:hAnsi="Verdana"/>
          <w:sz w:val="20"/>
          <w:szCs w:val="20"/>
        </w:rPr>
        <w:t xml:space="preserve"> adujeron que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Oscar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Asteazu</w:t>
      </w:r>
      <w:proofErr w:type="spellEnd"/>
      <w:r w:rsidRPr="0039097A">
        <w:rPr>
          <w:rFonts w:ascii="Verdana" w:hAnsi="Verdana"/>
          <w:sz w:val="20"/>
          <w:szCs w:val="20"/>
        </w:rPr>
        <w:t xml:space="preserve"> son víctimas de desapariciones forzadas. Expresaron, con base en citas de instrumentos y pronunciamientos de órganos internacionales, inclusive jurisprudencia de la Corte, que por ello las dos personas nombradas vieron violados los siguientes derechos: libertad personal, vida, reconocimiento de la personalidad jurídica e integridad personal. Solicitaron a la Corte que declare que el Estado violó</w:t>
      </w:r>
      <w:r w:rsidRPr="0039097A">
        <w:rPr>
          <w:rFonts w:ascii="Verdana" w:hAnsi="Verdana"/>
          <w:b/>
          <w:sz w:val="20"/>
          <w:szCs w:val="20"/>
        </w:rPr>
        <w:t xml:space="preserve"> </w:t>
      </w:r>
      <w:r w:rsidRPr="0039097A">
        <w:rPr>
          <w:rFonts w:ascii="Verdana" w:hAnsi="Verdana"/>
          <w:sz w:val="20"/>
          <w:szCs w:val="20"/>
        </w:rPr>
        <w:t>los artículos 3,</w:t>
      </w:r>
      <w:r>
        <w:rPr>
          <w:rFonts w:ascii="Verdana" w:hAnsi="Verdana"/>
          <w:sz w:val="20"/>
          <w:szCs w:val="20"/>
        </w:rPr>
        <w:t xml:space="preserve"> </w:t>
      </w:r>
      <w:r w:rsidRPr="0039097A">
        <w:rPr>
          <w:rFonts w:ascii="Verdana" w:hAnsi="Verdana"/>
          <w:sz w:val="20"/>
          <w:szCs w:val="20"/>
        </w:rPr>
        <w:t>4.1,</w:t>
      </w:r>
      <w:r>
        <w:rPr>
          <w:rFonts w:ascii="Verdana" w:hAnsi="Verdana"/>
          <w:sz w:val="20"/>
          <w:szCs w:val="20"/>
        </w:rPr>
        <w:t xml:space="preserve"> </w:t>
      </w:r>
      <w:r w:rsidRPr="0039097A">
        <w:rPr>
          <w:rFonts w:ascii="Verdana" w:hAnsi="Verdana"/>
          <w:sz w:val="20"/>
          <w:szCs w:val="20"/>
        </w:rPr>
        <w:t>5.1,</w:t>
      </w:r>
      <w:r>
        <w:rPr>
          <w:rFonts w:ascii="Verdana" w:hAnsi="Verdana"/>
          <w:sz w:val="20"/>
          <w:szCs w:val="20"/>
        </w:rPr>
        <w:t xml:space="preserve"> </w:t>
      </w:r>
      <w:r w:rsidRPr="0039097A">
        <w:rPr>
          <w:rFonts w:ascii="Verdana" w:hAnsi="Verdana"/>
          <w:sz w:val="20"/>
          <w:szCs w:val="20"/>
        </w:rPr>
        <w:t xml:space="preserve">5.2 y 7 de la Convención Americana en relación con el artículo 1.1 de la misma Convención, así como el artículo </w:t>
      </w:r>
      <w:r>
        <w:rPr>
          <w:rFonts w:ascii="Verdana" w:hAnsi="Verdana"/>
          <w:sz w:val="20"/>
          <w:szCs w:val="20"/>
        </w:rPr>
        <w:t>I</w:t>
      </w:r>
      <w:r w:rsidRPr="0039097A">
        <w:rPr>
          <w:rFonts w:ascii="Verdana" w:hAnsi="Verdana"/>
          <w:sz w:val="20"/>
          <w:szCs w:val="20"/>
        </w:rPr>
        <w:t xml:space="preserve"> a) de la C</w:t>
      </w:r>
      <w:r>
        <w:rPr>
          <w:rFonts w:ascii="Verdana" w:hAnsi="Verdana"/>
          <w:sz w:val="20"/>
          <w:szCs w:val="20"/>
        </w:rPr>
        <w:t>IDFP</w:t>
      </w:r>
      <w:r w:rsidRPr="0039097A">
        <w:rPr>
          <w:rFonts w:ascii="Verdana" w:hAnsi="Verdana"/>
          <w:sz w:val="20"/>
          <w:szCs w:val="20"/>
        </w:rPr>
        <w:t xml:space="preserve">. </w:t>
      </w:r>
    </w:p>
    <w:p w14:paraId="257357D6" w14:textId="77777777" w:rsidR="002A53BF" w:rsidRPr="0039097A" w:rsidRDefault="002A53BF" w:rsidP="005A5029">
      <w:pPr>
        <w:pStyle w:val="Prrafodelista"/>
        <w:spacing w:line="240" w:lineRule="exact"/>
      </w:pPr>
    </w:p>
    <w:p w14:paraId="54FD6F5A" w14:textId="77777777" w:rsidR="002A53BF" w:rsidRPr="0039097A" w:rsidRDefault="002A53BF" w:rsidP="005A5029">
      <w:pPr>
        <w:pStyle w:val="Prrafodelista"/>
        <w:numPr>
          <w:ilvl w:val="0"/>
          <w:numId w:val="49"/>
        </w:numPr>
        <w:spacing w:after="0" w:line="240" w:lineRule="exact"/>
        <w:ind w:left="0" w:hanging="11"/>
        <w:jc w:val="both"/>
      </w:pPr>
      <w:r w:rsidRPr="0039097A">
        <w:rPr>
          <w:rFonts w:ascii="Verdana" w:hAnsi="Verdana"/>
          <w:sz w:val="20"/>
          <w:szCs w:val="20"/>
        </w:rPr>
        <w:t xml:space="preserve">El </w:t>
      </w:r>
      <w:r w:rsidRPr="0039097A">
        <w:rPr>
          <w:rFonts w:ascii="Verdana" w:hAnsi="Verdana"/>
          <w:b/>
          <w:i/>
          <w:sz w:val="20"/>
          <w:szCs w:val="20"/>
        </w:rPr>
        <w:t>Estado</w:t>
      </w:r>
      <w:r w:rsidRPr="0039097A">
        <w:rPr>
          <w:rFonts w:ascii="Verdana" w:hAnsi="Verdana"/>
          <w:sz w:val="20"/>
          <w:szCs w:val="20"/>
        </w:rPr>
        <w:t xml:space="preserve"> señaló que, con base en “</w:t>
      </w:r>
      <w:r w:rsidRPr="0039097A">
        <w:rPr>
          <w:rFonts w:ascii="Verdana" w:hAnsi="Verdana" w:cs="Times New Roman"/>
          <w:sz w:val="20"/>
          <w:szCs w:val="20"/>
        </w:rPr>
        <w:t>elementos de convicción coincidentes y relevantes”, resulta “confirmada la denuncia sobre [la]</w:t>
      </w:r>
      <w:r w:rsidRPr="0039097A">
        <w:rPr>
          <w:rFonts w:ascii="Verdana" w:hAnsi="Verdana"/>
          <w:sz w:val="20"/>
          <w:szCs w:val="20"/>
        </w:rPr>
        <w:t xml:space="preserve"> </w:t>
      </w:r>
      <w:r w:rsidRPr="0039097A">
        <w:rPr>
          <w:rFonts w:ascii="Verdana" w:hAnsi="Verdana" w:cs="Times New Roman"/>
          <w:sz w:val="20"/>
          <w:szCs w:val="20"/>
        </w:rPr>
        <w:t xml:space="preserve">desaparición forzada” de Luis Eduardo González </w:t>
      </w:r>
      <w:proofErr w:type="spellStart"/>
      <w:r w:rsidRPr="0039097A">
        <w:rPr>
          <w:rFonts w:ascii="Verdana" w:hAnsi="Verdana" w:cs="Times New Roman"/>
          <w:sz w:val="20"/>
          <w:szCs w:val="20"/>
        </w:rPr>
        <w:t>González</w:t>
      </w:r>
      <w:proofErr w:type="spellEnd"/>
      <w:r w:rsidRPr="0039097A">
        <w:rPr>
          <w:rFonts w:ascii="Verdana" w:hAnsi="Verdana" w:cs="Times New Roman"/>
          <w:sz w:val="20"/>
          <w:szCs w:val="20"/>
        </w:rPr>
        <w:t xml:space="preserve">, así como de Óscar </w:t>
      </w:r>
      <w:proofErr w:type="spellStart"/>
      <w:r w:rsidRPr="0039097A">
        <w:rPr>
          <w:rFonts w:ascii="Verdana" w:hAnsi="Verdana" w:cs="Times New Roman"/>
          <w:sz w:val="20"/>
          <w:szCs w:val="20"/>
        </w:rPr>
        <w:t>Tassino</w:t>
      </w:r>
      <w:proofErr w:type="spellEnd"/>
      <w:r w:rsidRPr="0039097A">
        <w:rPr>
          <w:rFonts w:ascii="Verdana" w:hAnsi="Verdana" w:cs="Times New Roman"/>
          <w:sz w:val="20"/>
          <w:szCs w:val="20"/>
        </w:rPr>
        <w:t xml:space="preserve"> </w:t>
      </w:r>
      <w:proofErr w:type="spellStart"/>
      <w:r w:rsidRPr="0039097A">
        <w:rPr>
          <w:rFonts w:ascii="Verdana" w:hAnsi="Verdana" w:cs="Times New Roman"/>
          <w:sz w:val="20"/>
          <w:szCs w:val="20"/>
        </w:rPr>
        <w:t>Asteazú</w:t>
      </w:r>
      <w:proofErr w:type="spellEnd"/>
      <w:r w:rsidRPr="0039097A">
        <w:rPr>
          <w:rStyle w:val="Refdenotaalpie"/>
          <w:rFonts w:ascii="Verdana" w:hAnsi="Verdana" w:cs="Times New Roman"/>
          <w:sz w:val="20"/>
          <w:szCs w:val="20"/>
        </w:rPr>
        <w:footnoteReference w:id="136"/>
      </w:r>
      <w:r w:rsidRPr="0039097A">
        <w:rPr>
          <w:rFonts w:ascii="Verdana" w:hAnsi="Verdana" w:cs="Times New Roman"/>
          <w:sz w:val="20"/>
          <w:szCs w:val="20"/>
        </w:rPr>
        <w:t>.</w:t>
      </w:r>
    </w:p>
    <w:p w14:paraId="19A5BBE5" w14:textId="77777777" w:rsidR="002A53BF" w:rsidRPr="0039097A" w:rsidRDefault="002A53BF" w:rsidP="005A5029">
      <w:pPr>
        <w:pStyle w:val="Prrafodelista"/>
        <w:spacing w:after="0" w:line="240" w:lineRule="exact"/>
        <w:ind w:left="0"/>
        <w:jc w:val="both"/>
      </w:pPr>
    </w:p>
    <w:p w14:paraId="0625FEC3" w14:textId="77777777" w:rsidR="002A53BF" w:rsidRPr="0039097A" w:rsidRDefault="002A53BF" w:rsidP="005A5029">
      <w:pPr>
        <w:pStyle w:val="Prrafodelista"/>
        <w:numPr>
          <w:ilvl w:val="0"/>
          <w:numId w:val="20"/>
        </w:numPr>
        <w:tabs>
          <w:tab w:val="left" w:pos="567"/>
          <w:tab w:val="left" w:pos="1134"/>
          <w:tab w:val="left" w:pos="2268"/>
        </w:tabs>
        <w:spacing w:after="0" w:line="240" w:lineRule="exact"/>
        <w:ind w:left="284" w:firstLine="0"/>
        <w:jc w:val="both"/>
        <w:outlineLvl w:val="1"/>
        <w:rPr>
          <w:rFonts w:ascii="Verdana" w:hAnsi="Verdana"/>
          <w:b/>
          <w:i/>
          <w:sz w:val="20"/>
          <w:szCs w:val="20"/>
        </w:rPr>
      </w:pPr>
      <w:bookmarkStart w:id="41" w:name="_Toc83568826"/>
      <w:bookmarkStart w:id="42" w:name="_Toc85550410"/>
      <w:r w:rsidRPr="0039097A">
        <w:rPr>
          <w:rFonts w:ascii="Verdana" w:hAnsi="Verdana"/>
          <w:b/>
          <w:i/>
          <w:sz w:val="20"/>
          <w:szCs w:val="20"/>
        </w:rPr>
        <w:t>Consideraciones de la Corte</w:t>
      </w:r>
      <w:bookmarkEnd w:id="41"/>
      <w:bookmarkEnd w:id="42"/>
      <w:r w:rsidRPr="0039097A">
        <w:rPr>
          <w:rFonts w:ascii="Verdana" w:hAnsi="Verdana"/>
          <w:b/>
          <w:i/>
          <w:sz w:val="20"/>
          <w:szCs w:val="20"/>
        </w:rPr>
        <w:t xml:space="preserve"> </w:t>
      </w:r>
    </w:p>
    <w:p w14:paraId="7AAB25A6" w14:textId="77777777" w:rsidR="002A53BF" w:rsidRPr="0039097A" w:rsidRDefault="002A53BF" w:rsidP="005A5029">
      <w:pPr>
        <w:spacing w:after="0" w:line="240" w:lineRule="exact"/>
      </w:pPr>
    </w:p>
    <w:p w14:paraId="12D054F5" w14:textId="77777777" w:rsidR="002A53BF" w:rsidRPr="0039097A" w:rsidRDefault="002A53BF" w:rsidP="005A5029">
      <w:pPr>
        <w:pStyle w:val="Ttulo3"/>
        <w:spacing w:before="0" w:line="240" w:lineRule="exact"/>
        <w:ind w:left="567"/>
        <w:rPr>
          <w:rFonts w:ascii="Verdana" w:hAnsi="Verdana"/>
          <w:i/>
          <w:color w:val="auto"/>
          <w:sz w:val="20"/>
          <w:szCs w:val="20"/>
          <w:u w:val="single"/>
        </w:rPr>
      </w:pPr>
      <w:bookmarkStart w:id="43" w:name="_Toc83568827"/>
      <w:bookmarkStart w:id="44" w:name="_Toc85550411"/>
      <w:r w:rsidRPr="0039097A">
        <w:rPr>
          <w:rFonts w:ascii="Verdana" w:hAnsi="Verdana"/>
          <w:i/>
          <w:color w:val="auto"/>
          <w:sz w:val="20"/>
          <w:szCs w:val="20"/>
        </w:rPr>
        <w:t xml:space="preserve">B.1 </w:t>
      </w:r>
      <w:r w:rsidRPr="0039097A">
        <w:rPr>
          <w:rFonts w:ascii="Verdana" w:hAnsi="Verdana"/>
          <w:i/>
          <w:color w:val="auto"/>
          <w:sz w:val="20"/>
          <w:szCs w:val="20"/>
          <w:u w:val="single"/>
        </w:rPr>
        <w:t>Consideraciones generales sobre la desaparición forzada de personas</w:t>
      </w:r>
      <w:bookmarkEnd w:id="43"/>
      <w:bookmarkEnd w:id="44"/>
    </w:p>
    <w:p w14:paraId="5D57F406" w14:textId="77777777" w:rsidR="002A53BF" w:rsidRPr="0039097A" w:rsidRDefault="002A53BF" w:rsidP="005A5029">
      <w:pPr>
        <w:widowControl w:val="0"/>
        <w:tabs>
          <w:tab w:val="left" w:pos="567"/>
        </w:tabs>
        <w:adjustRightInd w:val="0"/>
        <w:spacing w:after="0" w:line="240" w:lineRule="exact"/>
        <w:ind w:right="333"/>
        <w:jc w:val="both"/>
        <w:textAlignment w:val="baseline"/>
      </w:pPr>
    </w:p>
    <w:p w14:paraId="12396CCA" w14:textId="77777777"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Pr>
          <w:rFonts w:ascii="Verdana" w:hAnsi="Verdana"/>
          <w:spacing w:val="-2"/>
          <w:sz w:val="20"/>
          <w:szCs w:val="20"/>
        </w:rPr>
        <w:t>C</w:t>
      </w:r>
      <w:r w:rsidRPr="0039097A">
        <w:rPr>
          <w:rFonts w:ascii="Verdana" w:hAnsi="Verdana"/>
          <w:spacing w:val="-2"/>
          <w:sz w:val="20"/>
          <w:szCs w:val="20"/>
        </w:rPr>
        <w:t xml:space="preserve">omo surge de la jurisprudencia constante de la Corte, la desaparición </w:t>
      </w:r>
      <w:r w:rsidRPr="0039097A">
        <w:rPr>
          <w:rFonts w:ascii="Verdana" w:eastAsia="Calibri" w:hAnsi="Verdana"/>
          <w:sz w:val="20"/>
          <w:szCs w:val="20"/>
        </w:rPr>
        <w:t>forzada</w:t>
      </w:r>
      <w:r w:rsidRPr="0039097A">
        <w:rPr>
          <w:rFonts w:ascii="Verdana" w:hAnsi="Verdana"/>
          <w:spacing w:val="-2"/>
          <w:sz w:val="20"/>
          <w:szCs w:val="20"/>
        </w:rPr>
        <w:t xml:space="preserve"> de personas es una</w:t>
      </w:r>
      <w:r>
        <w:rPr>
          <w:rFonts w:ascii="Verdana" w:hAnsi="Verdana"/>
          <w:spacing w:val="-2"/>
          <w:sz w:val="20"/>
          <w:szCs w:val="20"/>
        </w:rPr>
        <w:t xml:space="preserve"> grave</w:t>
      </w:r>
      <w:r w:rsidRPr="0039097A">
        <w:rPr>
          <w:rFonts w:ascii="Verdana" w:hAnsi="Verdana"/>
          <w:spacing w:val="-2"/>
          <w:sz w:val="20"/>
          <w:szCs w:val="20"/>
        </w:rPr>
        <w:t xml:space="preserve"> violación de derechos humanos</w:t>
      </w:r>
      <w:r>
        <w:rPr>
          <w:rStyle w:val="Refdenotaalpie"/>
          <w:rFonts w:ascii="Verdana" w:hAnsi="Verdana"/>
          <w:spacing w:val="-2"/>
          <w:sz w:val="20"/>
          <w:szCs w:val="20"/>
        </w:rPr>
        <w:footnoteReference w:id="137"/>
      </w:r>
      <w:r w:rsidRPr="0039097A">
        <w:rPr>
          <w:rFonts w:ascii="Verdana" w:hAnsi="Verdana"/>
          <w:spacing w:val="-2"/>
          <w:sz w:val="20"/>
          <w:szCs w:val="20"/>
        </w:rPr>
        <w:t xml:space="preserve"> constituida por tres </w:t>
      </w:r>
      <w:r w:rsidRPr="0039097A">
        <w:rPr>
          <w:rFonts w:ascii="Verdana" w:hAnsi="Verdana"/>
          <w:sz w:val="20"/>
          <w:szCs w:val="20"/>
        </w:rPr>
        <w:t>elementos</w:t>
      </w:r>
      <w:r w:rsidRPr="0039097A">
        <w:rPr>
          <w:rFonts w:ascii="Verdana" w:hAnsi="Verdana"/>
          <w:spacing w:val="-2"/>
          <w:sz w:val="20"/>
          <w:szCs w:val="20"/>
        </w:rPr>
        <w:t xml:space="preserve"> concurrentes: a) la privación de la libertad; b) la intervención directa de agentes estatales o la aquiescencia</w:t>
      </w:r>
      <w:r>
        <w:rPr>
          <w:rFonts w:ascii="Verdana" w:hAnsi="Verdana"/>
          <w:spacing w:val="-2"/>
          <w:sz w:val="20"/>
          <w:szCs w:val="20"/>
        </w:rPr>
        <w:t xml:space="preserve"> </w:t>
      </w:r>
      <w:r w:rsidRPr="0039097A">
        <w:rPr>
          <w:rFonts w:ascii="Verdana" w:hAnsi="Verdana"/>
          <w:spacing w:val="-2"/>
          <w:sz w:val="20"/>
          <w:szCs w:val="20"/>
        </w:rPr>
        <w:t>de estos, y c) la negativa de reconocer la detención y de revelar la suerte o el paradero de la persona interesada</w:t>
      </w:r>
      <w:r w:rsidRPr="0039097A">
        <w:rPr>
          <w:rStyle w:val="Refdenotaalpie"/>
          <w:rFonts w:ascii="Verdana" w:hAnsi="Verdana"/>
          <w:sz w:val="20"/>
          <w:szCs w:val="20"/>
        </w:rPr>
        <w:footnoteReference w:id="138"/>
      </w:r>
      <w:r w:rsidRPr="0039097A">
        <w:rPr>
          <w:rFonts w:ascii="Verdana" w:hAnsi="Verdana"/>
          <w:spacing w:val="-2"/>
          <w:sz w:val="20"/>
          <w:szCs w:val="20"/>
        </w:rPr>
        <w:t>.</w:t>
      </w:r>
      <w:r w:rsidRPr="0039097A">
        <w:rPr>
          <w:rFonts w:ascii="Verdana" w:hAnsi="Verdana" w:cs="Arial"/>
          <w:sz w:val="20"/>
          <w:szCs w:val="20"/>
        </w:rPr>
        <w:t xml:space="preserve"> </w:t>
      </w:r>
    </w:p>
    <w:p w14:paraId="400F365C" w14:textId="77777777" w:rsidR="002A53BF" w:rsidRPr="0039097A" w:rsidRDefault="002A53BF" w:rsidP="005A5029">
      <w:pPr>
        <w:widowControl w:val="0"/>
        <w:tabs>
          <w:tab w:val="left" w:pos="567"/>
        </w:tabs>
        <w:adjustRightInd w:val="0"/>
        <w:spacing w:after="0" w:line="240" w:lineRule="exact"/>
        <w:jc w:val="both"/>
        <w:textAlignment w:val="baseline"/>
        <w:rPr>
          <w:rFonts w:ascii="Verdana" w:hAnsi="Verdana"/>
          <w:sz w:val="20"/>
          <w:szCs w:val="20"/>
        </w:rPr>
      </w:pPr>
    </w:p>
    <w:p w14:paraId="22A52B02" w14:textId="2FE8C5B9" w:rsidR="002A53BF" w:rsidRPr="00F137AF"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F137AF">
        <w:rPr>
          <w:rFonts w:ascii="Verdana" w:hAnsi="Verdana"/>
          <w:sz w:val="20"/>
          <w:szCs w:val="20"/>
        </w:rPr>
        <w:t>Este Tribunal, en el examen de un ca</w:t>
      </w:r>
      <w:r w:rsidR="00DD24B1">
        <w:rPr>
          <w:rFonts w:ascii="Verdana" w:hAnsi="Verdana"/>
          <w:sz w:val="20"/>
          <w:szCs w:val="20"/>
        </w:rPr>
        <w:t xml:space="preserve">so previo respecto de Uruguay, </w:t>
      </w:r>
      <w:r w:rsidRPr="00F137AF">
        <w:rPr>
          <w:rFonts w:ascii="Verdana" w:hAnsi="Verdana"/>
          <w:sz w:val="20"/>
          <w:szCs w:val="20"/>
        </w:rPr>
        <w:t>ha señalado</w:t>
      </w:r>
      <w:r w:rsidR="00DD24B1">
        <w:rPr>
          <w:rFonts w:ascii="Verdana" w:hAnsi="Verdana"/>
          <w:sz w:val="20"/>
          <w:szCs w:val="20"/>
        </w:rPr>
        <w:t xml:space="preserve"> que</w:t>
      </w:r>
      <w:r w:rsidRPr="00F137AF">
        <w:rPr>
          <w:rFonts w:ascii="Verdana" w:hAnsi="Verdana"/>
          <w:sz w:val="20"/>
          <w:szCs w:val="20"/>
        </w:rPr>
        <w:t xml:space="preserve"> la desaparición forzada ha sido conceptuada como un acto contin</w:t>
      </w:r>
      <w:r>
        <w:rPr>
          <w:rFonts w:ascii="Verdana" w:hAnsi="Verdana"/>
          <w:sz w:val="20"/>
          <w:szCs w:val="20"/>
        </w:rPr>
        <w:t>uado</w:t>
      </w:r>
      <w:r w:rsidRPr="00F137AF">
        <w:rPr>
          <w:rFonts w:ascii="Verdana" w:hAnsi="Verdana"/>
          <w:sz w:val="20"/>
          <w:szCs w:val="20"/>
        </w:rPr>
        <w:t xml:space="preserve"> o permanente, que permanece mientras no se conozca el paradero de la víctima o se hallen sus restos, y mientras no se determine con certeza </w:t>
      </w:r>
      <w:r>
        <w:rPr>
          <w:rFonts w:ascii="Verdana" w:hAnsi="Verdana"/>
          <w:sz w:val="20"/>
          <w:szCs w:val="20"/>
        </w:rPr>
        <w:t>la</w:t>
      </w:r>
      <w:r w:rsidRPr="00F137AF">
        <w:rPr>
          <w:rFonts w:ascii="Verdana" w:hAnsi="Verdana"/>
          <w:sz w:val="20"/>
          <w:szCs w:val="20"/>
        </w:rPr>
        <w:t xml:space="preserve"> identidad</w:t>
      </w:r>
      <w:r>
        <w:rPr>
          <w:rFonts w:ascii="Verdana" w:hAnsi="Verdana"/>
          <w:sz w:val="20"/>
          <w:szCs w:val="20"/>
        </w:rPr>
        <w:t xml:space="preserve"> de </w:t>
      </w:r>
      <w:proofErr w:type="gramStart"/>
      <w:r>
        <w:rPr>
          <w:rFonts w:ascii="Verdana" w:hAnsi="Verdana"/>
          <w:sz w:val="20"/>
          <w:szCs w:val="20"/>
        </w:rPr>
        <w:t>los mismos</w:t>
      </w:r>
      <w:proofErr w:type="gramEnd"/>
      <w:r w:rsidRPr="00F137AF">
        <w:rPr>
          <w:rStyle w:val="Refdenotaalpie"/>
          <w:rFonts w:ascii="Verdana" w:hAnsi="Verdana"/>
          <w:sz w:val="20"/>
          <w:szCs w:val="20"/>
        </w:rPr>
        <w:footnoteReference w:id="139"/>
      </w:r>
      <w:r w:rsidRPr="00F137AF">
        <w:rPr>
          <w:rFonts w:ascii="Verdana" w:hAnsi="Verdana"/>
          <w:sz w:val="20"/>
          <w:szCs w:val="20"/>
        </w:rPr>
        <w:t xml:space="preserve">.  </w:t>
      </w:r>
    </w:p>
    <w:p w14:paraId="356FBF6C" w14:textId="77777777" w:rsidR="002A53BF" w:rsidRPr="0039097A" w:rsidRDefault="002A53BF" w:rsidP="005A5029">
      <w:pPr>
        <w:pStyle w:val="Prrafodelista"/>
        <w:spacing w:after="0" w:line="240" w:lineRule="exact"/>
        <w:jc w:val="both"/>
        <w:rPr>
          <w:rFonts w:ascii="Verdana" w:hAnsi="Verdana"/>
          <w:sz w:val="20"/>
          <w:szCs w:val="20"/>
        </w:rPr>
      </w:pPr>
    </w:p>
    <w:p w14:paraId="1B0F67F4" w14:textId="77777777"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39097A">
        <w:rPr>
          <w:rFonts w:ascii="Verdana" w:hAnsi="Verdana"/>
          <w:sz w:val="20"/>
          <w:szCs w:val="20"/>
        </w:rPr>
        <w:t>La Corte también ha señalado la naturaleza pluriofensiva de la desaparición forzada respecto a derechos reconocidos en la Convención Americana</w:t>
      </w:r>
      <w:r w:rsidRPr="0039097A">
        <w:rPr>
          <w:rStyle w:val="Refdenotaalpie"/>
          <w:rFonts w:ascii="Verdana" w:hAnsi="Verdana"/>
          <w:sz w:val="20"/>
          <w:szCs w:val="20"/>
        </w:rPr>
        <w:footnoteReference w:id="140"/>
      </w:r>
      <w:r w:rsidRPr="0039097A">
        <w:rPr>
          <w:rFonts w:ascii="Verdana" w:hAnsi="Verdana"/>
          <w:sz w:val="20"/>
          <w:szCs w:val="20"/>
        </w:rPr>
        <w:t>. Se trata de una violación compleja y múltiple, dada la pluralidad de conductas que, cohesionadas por un único fin, vulneran de manera conjunta y continuada, mientras subsistan, diversos bienes jurídicos protegidos por la Convención Americana, en particular, aquellos tutelados por los derechos al reconocimiento de la personalidad jurídica, a la vida, a la integridad personal y a la libertad personal, consagrados en los artículos 3, 4, 5 y 7 de la Convención, respectivamente</w:t>
      </w:r>
      <w:r w:rsidRPr="0039097A">
        <w:rPr>
          <w:rStyle w:val="Refdenotaalpie"/>
          <w:rFonts w:ascii="Verdana" w:hAnsi="Verdana"/>
          <w:sz w:val="20"/>
          <w:szCs w:val="20"/>
        </w:rPr>
        <w:footnoteReference w:id="141"/>
      </w:r>
      <w:r w:rsidRPr="0039097A">
        <w:rPr>
          <w:rFonts w:ascii="Verdana" w:hAnsi="Verdana"/>
          <w:sz w:val="20"/>
          <w:szCs w:val="20"/>
        </w:rPr>
        <w:t xml:space="preserve">. </w:t>
      </w:r>
    </w:p>
    <w:p w14:paraId="3913CDB0" w14:textId="77777777" w:rsidR="002A53BF" w:rsidRPr="0039097A" w:rsidRDefault="002A53BF" w:rsidP="005A5029">
      <w:pPr>
        <w:pStyle w:val="Prrafodelista"/>
        <w:spacing w:after="0" w:line="240" w:lineRule="exact"/>
        <w:rPr>
          <w:rFonts w:ascii="Verdana" w:hAnsi="Verdana"/>
          <w:sz w:val="20"/>
          <w:szCs w:val="20"/>
        </w:rPr>
      </w:pPr>
    </w:p>
    <w:p w14:paraId="47C6AECE" w14:textId="77777777" w:rsidR="002A53BF" w:rsidRPr="00F137AF"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F137AF">
        <w:rPr>
          <w:rFonts w:ascii="Verdana" w:hAnsi="Verdana"/>
          <w:sz w:val="20"/>
          <w:szCs w:val="20"/>
        </w:rPr>
        <w:t>La desaparición forzada coloca a la víctima en un estado de completa indefensión</w:t>
      </w:r>
      <w:r w:rsidRPr="00F137AF">
        <w:rPr>
          <w:rStyle w:val="Refdenotaalpie"/>
          <w:rFonts w:ascii="Verdana" w:hAnsi="Verdana"/>
          <w:sz w:val="20"/>
          <w:szCs w:val="20"/>
        </w:rPr>
        <w:footnoteReference w:id="142"/>
      </w:r>
      <w:r w:rsidRPr="00F137AF">
        <w:rPr>
          <w:rFonts w:ascii="Verdana" w:hAnsi="Verdana"/>
          <w:sz w:val="20"/>
          <w:szCs w:val="20"/>
        </w:rPr>
        <w:t>. Una salvaguarda fundamental contra este fenómeno es que la privación de libertad se desarrolle en centros legalmente reconocidos y la existencia de registros de detenidos. Por el contrario, la utilización de centros clandestinos de detención atenta directamente contra los derechos a la vida, a la integridad personal y a la libertad personal</w:t>
      </w:r>
      <w:r>
        <w:rPr>
          <w:rStyle w:val="Refdenotaalpie"/>
          <w:rFonts w:ascii="Verdana" w:hAnsi="Verdana"/>
          <w:sz w:val="20"/>
          <w:szCs w:val="20"/>
        </w:rPr>
        <w:footnoteReference w:id="143"/>
      </w:r>
      <w:r w:rsidRPr="00F137AF">
        <w:rPr>
          <w:rFonts w:ascii="Verdana" w:hAnsi="Verdana"/>
          <w:sz w:val="20"/>
          <w:szCs w:val="20"/>
        </w:rPr>
        <w:t xml:space="preserve">. </w:t>
      </w:r>
    </w:p>
    <w:p w14:paraId="2C2CF4D2" w14:textId="77777777" w:rsidR="002A53BF" w:rsidRPr="00F137AF" w:rsidRDefault="002A53BF" w:rsidP="005A5029">
      <w:pPr>
        <w:widowControl w:val="0"/>
        <w:tabs>
          <w:tab w:val="left" w:pos="567"/>
        </w:tabs>
        <w:adjustRightInd w:val="0"/>
        <w:spacing w:after="0" w:line="240" w:lineRule="exact"/>
        <w:jc w:val="both"/>
        <w:textAlignment w:val="baseline"/>
        <w:rPr>
          <w:rFonts w:ascii="Verdana" w:hAnsi="Verdana"/>
          <w:sz w:val="20"/>
          <w:szCs w:val="20"/>
        </w:rPr>
      </w:pPr>
    </w:p>
    <w:p w14:paraId="53B8E9EA" w14:textId="77777777"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F137AF">
        <w:rPr>
          <w:rFonts w:ascii="Verdana" w:hAnsi="Verdana"/>
          <w:sz w:val="20"/>
          <w:szCs w:val="20"/>
        </w:rPr>
        <w:t xml:space="preserve">La desaparición forzada es particularmente grave cuando forma parte de un patrón sistemático o </w:t>
      </w:r>
      <w:r>
        <w:rPr>
          <w:rFonts w:ascii="Verdana" w:hAnsi="Verdana"/>
          <w:sz w:val="20"/>
          <w:szCs w:val="20"/>
        </w:rPr>
        <w:t xml:space="preserve">es una </w:t>
      </w:r>
      <w:r w:rsidRPr="00F137AF">
        <w:rPr>
          <w:rFonts w:ascii="Verdana" w:hAnsi="Verdana"/>
          <w:sz w:val="20"/>
          <w:szCs w:val="20"/>
        </w:rPr>
        <w:t>práctica aplicada o tolerada</w:t>
      </w:r>
      <w:r w:rsidRPr="0039097A">
        <w:rPr>
          <w:rFonts w:ascii="Verdana" w:hAnsi="Verdana"/>
          <w:sz w:val="20"/>
          <w:szCs w:val="20"/>
        </w:rPr>
        <w:t xml:space="preserve"> por el Estado</w:t>
      </w:r>
      <w:r w:rsidRPr="0039097A">
        <w:rPr>
          <w:rStyle w:val="Refdenotaalpie"/>
          <w:rFonts w:ascii="Verdana" w:hAnsi="Verdana"/>
          <w:sz w:val="20"/>
          <w:szCs w:val="20"/>
        </w:rPr>
        <w:footnoteReference w:id="144"/>
      </w:r>
      <w:r w:rsidRPr="0039097A">
        <w:rPr>
          <w:rFonts w:ascii="Verdana" w:hAnsi="Verdana"/>
          <w:sz w:val="20"/>
          <w:szCs w:val="20"/>
        </w:rPr>
        <w:t xml:space="preserve">. </w:t>
      </w:r>
      <w:r w:rsidRPr="0039097A">
        <w:rPr>
          <w:rFonts w:ascii="Verdana" w:hAnsi="Verdana" w:cs="Verdana"/>
          <w:sz w:val="20"/>
          <w:szCs w:val="20"/>
          <w:lang w:val="es-CL"/>
        </w:rPr>
        <w:t xml:space="preserve">La práctica de </w:t>
      </w:r>
      <w:r w:rsidRPr="0039097A">
        <w:rPr>
          <w:rFonts w:ascii="Verdana" w:hAnsi="Verdana" w:cs="Verdana"/>
          <w:sz w:val="20"/>
          <w:szCs w:val="20"/>
          <w:lang w:val="es-CL"/>
        </w:rPr>
        <w:lastRenderedPageBreak/>
        <w:t xml:space="preserve">desaparición forzada implica, como ya ha advertido este Tribunal, </w:t>
      </w:r>
      <w:r>
        <w:rPr>
          <w:rFonts w:ascii="Verdana" w:hAnsi="Verdana" w:cs="Verdana"/>
          <w:sz w:val="20"/>
          <w:szCs w:val="20"/>
          <w:lang w:val="es-CL"/>
        </w:rPr>
        <w:t>“</w:t>
      </w:r>
      <w:r w:rsidRPr="0039097A">
        <w:rPr>
          <w:rFonts w:ascii="Verdana" w:hAnsi="Verdana" w:cs="Verdana"/>
          <w:sz w:val="20"/>
          <w:szCs w:val="20"/>
          <w:lang w:val="es-CL"/>
        </w:rPr>
        <w:t>un craso abandono de los principios esenciales en que se fundamenta el Sistema Interamericano de Derechos Humanos</w:t>
      </w:r>
      <w:r w:rsidRPr="0039097A">
        <w:rPr>
          <w:rStyle w:val="Refdenotaalpie"/>
          <w:rFonts w:ascii="Verdana" w:hAnsi="Verdana"/>
          <w:sz w:val="20"/>
          <w:szCs w:val="20"/>
        </w:rPr>
        <w:footnoteReference w:id="145"/>
      </w:r>
      <w:r w:rsidRPr="0039097A">
        <w:rPr>
          <w:rFonts w:ascii="Verdana" w:hAnsi="Verdana" w:cs="Verdana"/>
          <w:sz w:val="20"/>
          <w:szCs w:val="20"/>
          <w:lang w:val="es-CL"/>
        </w:rPr>
        <w:t xml:space="preserve">, y su prohibición ha alcanzado carácter de </w:t>
      </w:r>
      <w:proofErr w:type="spellStart"/>
      <w:r w:rsidRPr="0039097A">
        <w:rPr>
          <w:rFonts w:ascii="Verdana" w:hAnsi="Verdana" w:cs="Verdana"/>
          <w:i/>
          <w:iCs/>
          <w:sz w:val="20"/>
          <w:szCs w:val="20"/>
          <w:lang w:val="es-CL"/>
        </w:rPr>
        <w:t>jus</w:t>
      </w:r>
      <w:proofErr w:type="spellEnd"/>
      <w:r w:rsidRPr="0039097A">
        <w:rPr>
          <w:rFonts w:ascii="Verdana" w:hAnsi="Verdana" w:cs="Verdana"/>
          <w:i/>
          <w:iCs/>
          <w:sz w:val="20"/>
          <w:szCs w:val="20"/>
          <w:lang w:val="es-CL"/>
        </w:rPr>
        <w:t xml:space="preserve"> cogens</w:t>
      </w:r>
      <w:r w:rsidRPr="0039097A">
        <w:rPr>
          <w:rFonts w:ascii="Verdana" w:hAnsi="Verdana" w:cs="Verdana"/>
          <w:iCs/>
          <w:sz w:val="20"/>
          <w:szCs w:val="20"/>
          <w:lang w:val="es-CL"/>
        </w:rPr>
        <w:t>”</w:t>
      </w:r>
      <w:r w:rsidRPr="0039097A">
        <w:rPr>
          <w:rStyle w:val="Refdenotaalpie"/>
          <w:rFonts w:ascii="Verdana" w:hAnsi="Verdana"/>
          <w:iCs/>
          <w:sz w:val="20"/>
          <w:szCs w:val="20"/>
        </w:rPr>
        <w:footnoteReference w:id="146"/>
      </w:r>
      <w:r w:rsidRPr="0039097A">
        <w:rPr>
          <w:rFonts w:ascii="Verdana" w:hAnsi="Verdana" w:cs="Verdana"/>
          <w:iCs/>
          <w:sz w:val="20"/>
          <w:szCs w:val="20"/>
          <w:lang w:val="es-CL"/>
        </w:rPr>
        <w:t xml:space="preserve">. </w:t>
      </w:r>
    </w:p>
    <w:p w14:paraId="77F296BD" w14:textId="77777777" w:rsidR="002A53BF" w:rsidRPr="0039097A" w:rsidRDefault="002A53BF" w:rsidP="005A5029">
      <w:pPr>
        <w:pStyle w:val="Prrafodelista"/>
        <w:spacing w:after="0" w:line="240" w:lineRule="exact"/>
        <w:rPr>
          <w:rFonts w:ascii="Verdana" w:hAnsi="Verdana"/>
          <w:sz w:val="20"/>
          <w:szCs w:val="20"/>
        </w:rPr>
      </w:pPr>
    </w:p>
    <w:p w14:paraId="308DBD9B" w14:textId="77777777"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39097A">
        <w:rPr>
          <w:rFonts w:ascii="Verdana" w:hAnsi="Verdana"/>
          <w:sz w:val="20"/>
          <w:szCs w:val="20"/>
        </w:rPr>
        <w:t>Teniendo en cuenta las pautas expresadas, la consideración de las desapariciones forzadas alegadas en presente caso debe abarcar el conjunto de hechos relevantes y el contexto en el que ocurrieron, pues solo de ese modo el análisis jurídico será consecuente con el carácter complejo y continuado del fenómeno examinado</w:t>
      </w:r>
      <w:r w:rsidRPr="0039097A">
        <w:rPr>
          <w:rStyle w:val="Refdenotaalpie"/>
          <w:rFonts w:ascii="Verdana" w:hAnsi="Verdana"/>
          <w:sz w:val="20"/>
          <w:szCs w:val="20"/>
        </w:rPr>
        <w:footnoteReference w:id="147"/>
      </w:r>
      <w:r w:rsidRPr="0039097A">
        <w:rPr>
          <w:rFonts w:ascii="Verdana" w:hAnsi="Verdana"/>
          <w:sz w:val="20"/>
          <w:szCs w:val="20"/>
        </w:rPr>
        <w:t xml:space="preserve">. </w:t>
      </w:r>
    </w:p>
    <w:p w14:paraId="48AFC158" w14:textId="77777777" w:rsidR="002A53BF" w:rsidRPr="0039097A" w:rsidRDefault="002A53BF" w:rsidP="005A5029">
      <w:pPr>
        <w:pStyle w:val="Prrafodelista"/>
        <w:spacing w:after="0" w:line="240" w:lineRule="exact"/>
        <w:rPr>
          <w:rFonts w:ascii="Verdana" w:hAnsi="Verdana"/>
          <w:sz w:val="20"/>
          <w:szCs w:val="20"/>
        </w:rPr>
      </w:pPr>
    </w:p>
    <w:p w14:paraId="1999253D" w14:textId="77777777" w:rsidR="002A53BF" w:rsidRPr="0039097A" w:rsidRDefault="002A53BF" w:rsidP="005A5029">
      <w:pPr>
        <w:pStyle w:val="Ttulo3"/>
        <w:spacing w:line="240" w:lineRule="exact"/>
        <w:ind w:left="567"/>
        <w:rPr>
          <w:rFonts w:ascii="Verdana" w:hAnsi="Verdana"/>
          <w:i/>
          <w:color w:val="auto"/>
          <w:sz w:val="20"/>
          <w:szCs w:val="20"/>
          <w:u w:val="single"/>
        </w:rPr>
      </w:pPr>
      <w:bookmarkStart w:id="45" w:name="_Toc83568828"/>
      <w:bookmarkStart w:id="46" w:name="_Toc85550412"/>
      <w:r w:rsidRPr="0039097A">
        <w:rPr>
          <w:rFonts w:ascii="Verdana" w:hAnsi="Verdana"/>
          <w:i/>
          <w:color w:val="auto"/>
          <w:sz w:val="20"/>
          <w:szCs w:val="20"/>
        </w:rPr>
        <w:t xml:space="preserve">B.2 </w:t>
      </w:r>
      <w:r w:rsidRPr="0039097A">
        <w:rPr>
          <w:rFonts w:ascii="Verdana" w:hAnsi="Verdana"/>
          <w:i/>
          <w:color w:val="auto"/>
          <w:sz w:val="20"/>
          <w:szCs w:val="20"/>
          <w:u w:val="single"/>
        </w:rPr>
        <w:t>Examen de los hechos del caso</w:t>
      </w:r>
      <w:bookmarkEnd w:id="45"/>
      <w:bookmarkEnd w:id="46"/>
    </w:p>
    <w:p w14:paraId="23364797" w14:textId="77777777" w:rsidR="002A53BF" w:rsidRPr="0039097A" w:rsidRDefault="002A53BF" w:rsidP="00A0786D">
      <w:pPr>
        <w:pStyle w:val="Prrafodelista"/>
        <w:spacing w:after="0" w:line="240" w:lineRule="exact"/>
        <w:ind w:left="709"/>
        <w:rPr>
          <w:rFonts w:ascii="Verdana" w:hAnsi="Verdana"/>
          <w:sz w:val="20"/>
          <w:szCs w:val="20"/>
        </w:rPr>
      </w:pPr>
    </w:p>
    <w:p w14:paraId="746528B2" w14:textId="77777777"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39097A">
        <w:rPr>
          <w:rFonts w:ascii="Verdana" w:hAnsi="Verdana"/>
          <w:sz w:val="20"/>
          <w:szCs w:val="20"/>
        </w:rPr>
        <w:t xml:space="preserve">De los hechos surge que el día 13 de diciembre de 1974, en horas de la madrugada, personal militar irrumpió en la casa de Amalia González, y que luego de permanecer varias horas en ese domicilio, cuando lograron establecer dónde se encontraba el hijo de ella,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se trasladaron a ese lu</w:t>
      </w:r>
      <w:r>
        <w:rPr>
          <w:rFonts w:ascii="Verdana" w:hAnsi="Verdana"/>
          <w:sz w:val="20"/>
          <w:szCs w:val="20"/>
        </w:rPr>
        <w:t>gar y lo detuvieron, llevándo</w:t>
      </w:r>
      <w:r w:rsidRPr="0039097A">
        <w:rPr>
          <w:rFonts w:ascii="Verdana" w:hAnsi="Verdana"/>
          <w:sz w:val="20"/>
          <w:szCs w:val="20"/>
        </w:rPr>
        <w:t xml:space="preserve">lo luego a un Regimiento </w:t>
      </w:r>
      <w:r w:rsidRPr="00685170">
        <w:rPr>
          <w:rFonts w:ascii="Verdana" w:hAnsi="Verdana"/>
          <w:sz w:val="20"/>
          <w:szCs w:val="20"/>
        </w:rPr>
        <w:t>militar, donde sufrió graves vejámenes (</w:t>
      </w:r>
      <w:r w:rsidRPr="00685170">
        <w:rPr>
          <w:rFonts w:ascii="Verdana" w:hAnsi="Verdana"/>
          <w:i/>
          <w:sz w:val="20"/>
          <w:szCs w:val="20"/>
        </w:rPr>
        <w:t xml:space="preserve">supra </w:t>
      </w:r>
      <w:proofErr w:type="spellStart"/>
      <w:r w:rsidRPr="00685170">
        <w:rPr>
          <w:rFonts w:ascii="Verdana" w:hAnsi="Verdana"/>
          <w:sz w:val="20"/>
          <w:szCs w:val="20"/>
        </w:rPr>
        <w:t>párrs</w:t>
      </w:r>
      <w:proofErr w:type="spellEnd"/>
      <w:r w:rsidRPr="00685170">
        <w:rPr>
          <w:rFonts w:ascii="Verdana" w:hAnsi="Verdana"/>
          <w:sz w:val="20"/>
          <w:szCs w:val="20"/>
        </w:rPr>
        <w:t>. 73 a 75)</w:t>
      </w:r>
      <w:r w:rsidRPr="00685170">
        <w:rPr>
          <w:rStyle w:val="Refdenotaalpie"/>
          <w:rFonts w:ascii="Verdana" w:hAnsi="Verdana"/>
          <w:sz w:val="20"/>
          <w:szCs w:val="20"/>
        </w:rPr>
        <w:footnoteReference w:id="148"/>
      </w:r>
      <w:r w:rsidRPr="00685170">
        <w:rPr>
          <w:rFonts w:ascii="Verdana" w:hAnsi="Verdana"/>
          <w:sz w:val="20"/>
          <w:szCs w:val="20"/>
        </w:rPr>
        <w:t xml:space="preserve">. Días después, cuando la madre del señor González </w:t>
      </w:r>
      <w:proofErr w:type="spellStart"/>
      <w:r w:rsidRPr="00685170">
        <w:rPr>
          <w:rFonts w:ascii="Verdana" w:hAnsi="Verdana"/>
          <w:sz w:val="20"/>
          <w:szCs w:val="20"/>
        </w:rPr>
        <w:t>González</w:t>
      </w:r>
      <w:proofErr w:type="spellEnd"/>
      <w:r w:rsidRPr="00685170">
        <w:rPr>
          <w:rFonts w:ascii="Verdana" w:hAnsi="Verdana"/>
          <w:sz w:val="20"/>
          <w:szCs w:val="20"/>
        </w:rPr>
        <w:t xml:space="preserve"> solicitó información sobre su hijo a autoridades militares, éstas no negaron su detención, pero sí que él permaneciera privado de la libertad, señalando que lo habían llevado a reconocer un lugar y que luego él se había fugado (</w:t>
      </w:r>
      <w:r w:rsidRPr="00685170">
        <w:rPr>
          <w:rFonts w:ascii="Verdana" w:hAnsi="Verdana"/>
          <w:i/>
          <w:sz w:val="20"/>
          <w:szCs w:val="20"/>
        </w:rPr>
        <w:t>supra</w:t>
      </w:r>
      <w:r w:rsidRPr="00685170">
        <w:rPr>
          <w:rFonts w:ascii="Verdana" w:hAnsi="Verdana"/>
          <w:sz w:val="20"/>
          <w:szCs w:val="20"/>
        </w:rPr>
        <w:t xml:space="preserve"> párr. 76).</w:t>
      </w:r>
      <w:r w:rsidRPr="0039097A">
        <w:rPr>
          <w:rFonts w:ascii="Verdana" w:hAnsi="Verdana"/>
          <w:sz w:val="20"/>
          <w:szCs w:val="20"/>
        </w:rPr>
        <w:t xml:space="preserve"> </w:t>
      </w:r>
    </w:p>
    <w:p w14:paraId="67D72162" w14:textId="77777777" w:rsidR="002A53BF" w:rsidRPr="0039097A" w:rsidRDefault="002A53BF" w:rsidP="005A5029">
      <w:pPr>
        <w:widowControl w:val="0"/>
        <w:tabs>
          <w:tab w:val="left" w:pos="567"/>
        </w:tabs>
        <w:adjustRightInd w:val="0"/>
        <w:spacing w:after="0" w:line="240" w:lineRule="exact"/>
        <w:jc w:val="both"/>
        <w:textAlignment w:val="baseline"/>
        <w:rPr>
          <w:rFonts w:ascii="Verdana" w:hAnsi="Verdana"/>
          <w:sz w:val="20"/>
          <w:szCs w:val="20"/>
        </w:rPr>
      </w:pPr>
    </w:p>
    <w:p w14:paraId="43289C05" w14:textId="735B438B"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39097A">
        <w:rPr>
          <w:rFonts w:ascii="Verdana" w:hAnsi="Verdana"/>
          <w:sz w:val="20"/>
          <w:szCs w:val="20"/>
        </w:rPr>
        <w:t xml:space="preserve">Por otra parte, el 19 de julio de 1977 tres personas armadas, integrantes de fuerzas militares, se presentaron en la residencia de Óscar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esperaron su llegada, amenazando a las personas que allí se encontraban. Cuando él llegó, fue apresado de manera violenta en la misma residencia, donde fue golpeado. Fue retirado el día </w:t>
      </w:r>
      <w:r w:rsidRPr="00685170">
        <w:rPr>
          <w:rFonts w:ascii="Verdana" w:hAnsi="Verdana"/>
          <w:sz w:val="20"/>
          <w:szCs w:val="20"/>
        </w:rPr>
        <w:t>siguiente. Hay información que indica que fue trasladado al establecimiento clandestino de detención La Tablada, y que sufrió graves vejámenes (</w:t>
      </w:r>
      <w:r w:rsidRPr="00685170">
        <w:rPr>
          <w:rFonts w:ascii="Verdana" w:hAnsi="Verdana"/>
          <w:i/>
          <w:sz w:val="20"/>
          <w:szCs w:val="20"/>
        </w:rPr>
        <w:t xml:space="preserve">supra </w:t>
      </w:r>
      <w:proofErr w:type="spellStart"/>
      <w:r w:rsidRPr="00685170">
        <w:rPr>
          <w:rFonts w:ascii="Verdana" w:hAnsi="Verdana"/>
          <w:sz w:val="20"/>
          <w:szCs w:val="20"/>
        </w:rPr>
        <w:t>pár</w:t>
      </w:r>
      <w:r w:rsidR="00C126A3">
        <w:rPr>
          <w:rFonts w:ascii="Verdana" w:hAnsi="Verdana"/>
          <w:sz w:val="20"/>
          <w:szCs w:val="20"/>
        </w:rPr>
        <w:t>rs</w:t>
      </w:r>
      <w:proofErr w:type="spellEnd"/>
      <w:r w:rsidR="00C126A3">
        <w:rPr>
          <w:rFonts w:ascii="Verdana" w:hAnsi="Verdana"/>
          <w:sz w:val="20"/>
          <w:szCs w:val="20"/>
        </w:rPr>
        <w:t xml:space="preserve">. 88 y 96). </w:t>
      </w:r>
      <w:r w:rsidRPr="00685170">
        <w:rPr>
          <w:rFonts w:ascii="Verdana" w:hAnsi="Verdana"/>
          <w:sz w:val="20"/>
          <w:szCs w:val="20"/>
        </w:rPr>
        <w:t>Cuando su esposa requirió información a autoridades estatales, las mismas negaron la detención (</w:t>
      </w:r>
      <w:r w:rsidRPr="00685170">
        <w:rPr>
          <w:rFonts w:ascii="Verdana" w:hAnsi="Verdana"/>
          <w:i/>
          <w:sz w:val="20"/>
          <w:szCs w:val="20"/>
        </w:rPr>
        <w:t xml:space="preserve">supra </w:t>
      </w:r>
      <w:r w:rsidRPr="00685170">
        <w:rPr>
          <w:rFonts w:ascii="Verdana" w:hAnsi="Verdana"/>
          <w:sz w:val="20"/>
          <w:szCs w:val="20"/>
        </w:rPr>
        <w:t>párr. 89).</w:t>
      </w:r>
    </w:p>
    <w:p w14:paraId="07F6497B" w14:textId="77777777" w:rsidR="002A53BF" w:rsidRPr="0039097A" w:rsidRDefault="002A53BF" w:rsidP="005A5029">
      <w:pPr>
        <w:pStyle w:val="Prrafodelista"/>
        <w:spacing w:after="0" w:line="240" w:lineRule="exact"/>
        <w:rPr>
          <w:rFonts w:ascii="Verdana" w:hAnsi="Verdana"/>
          <w:sz w:val="20"/>
          <w:szCs w:val="20"/>
        </w:rPr>
      </w:pPr>
    </w:p>
    <w:p w14:paraId="0E6DA91C" w14:textId="74911F84" w:rsidR="002A53BF"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39097A">
        <w:rPr>
          <w:rFonts w:ascii="Verdana" w:hAnsi="Verdana"/>
          <w:sz w:val="20"/>
          <w:szCs w:val="20"/>
        </w:rPr>
        <w:t xml:space="preserve">Pese a señalamientos y versiones sobre las </w:t>
      </w:r>
      <w:r>
        <w:rPr>
          <w:rFonts w:ascii="Verdana" w:hAnsi="Verdana"/>
          <w:sz w:val="20"/>
          <w:szCs w:val="20"/>
        </w:rPr>
        <w:t xml:space="preserve">posibles </w:t>
      </w:r>
      <w:r w:rsidRPr="0039097A">
        <w:rPr>
          <w:rFonts w:ascii="Verdana" w:hAnsi="Verdana"/>
          <w:sz w:val="20"/>
          <w:szCs w:val="20"/>
        </w:rPr>
        <w:t xml:space="preserve">muertes de los señores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el destino de sus restos, estas circunstancias no han sido determinadas con certeza. Ello surge incluso de a</w:t>
      </w:r>
      <w:r w:rsidRPr="009E23FE">
        <w:rPr>
          <w:rFonts w:ascii="Verdana" w:hAnsi="Verdana"/>
          <w:sz w:val="20"/>
          <w:szCs w:val="20"/>
        </w:rPr>
        <w:t>severaciones del Estado, que ha manifestado que en la actualidad continúa la “búsqueda material” para dar con el paradero de las dos personas nombradas (</w:t>
      </w:r>
      <w:r w:rsidRPr="009E23FE">
        <w:rPr>
          <w:rFonts w:ascii="Verdana" w:hAnsi="Verdana"/>
          <w:i/>
          <w:sz w:val="20"/>
          <w:szCs w:val="20"/>
        </w:rPr>
        <w:t>infra</w:t>
      </w:r>
      <w:r w:rsidRPr="009E23FE">
        <w:rPr>
          <w:rFonts w:ascii="Verdana" w:hAnsi="Verdana"/>
          <w:sz w:val="20"/>
          <w:szCs w:val="20"/>
        </w:rPr>
        <w:t xml:space="preserve"> párr. 13</w:t>
      </w:r>
      <w:r w:rsidR="009E23FE" w:rsidRPr="009E23FE">
        <w:rPr>
          <w:rFonts w:ascii="Verdana" w:hAnsi="Verdana"/>
          <w:sz w:val="20"/>
          <w:szCs w:val="20"/>
        </w:rPr>
        <w:t>4</w:t>
      </w:r>
      <w:r w:rsidRPr="009E23FE">
        <w:rPr>
          <w:rFonts w:ascii="Verdana" w:hAnsi="Verdana"/>
          <w:sz w:val="20"/>
          <w:szCs w:val="20"/>
        </w:rPr>
        <w:t>).</w:t>
      </w:r>
    </w:p>
    <w:p w14:paraId="1FFD5E35" w14:textId="77777777" w:rsidR="002A53BF" w:rsidRPr="00F137AF" w:rsidRDefault="002A53BF" w:rsidP="005A5029">
      <w:pPr>
        <w:widowControl w:val="0"/>
        <w:tabs>
          <w:tab w:val="left" w:pos="567"/>
        </w:tabs>
        <w:adjustRightInd w:val="0"/>
        <w:spacing w:after="0" w:line="240" w:lineRule="exact"/>
        <w:jc w:val="both"/>
        <w:textAlignment w:val="baseline"/>
        <w:rPr>
          <w:rFonts w:ascii="Verdana" w:hAnsi="Verdana"/>
          <w:sz w:val="20"/>
          <w:szCs w:val="20"/>
        </w:rPr>
      </w:pPr>
    </w:p>
    <w:p w14:paraId="5613D239" w14:textId="77777777"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39097A">
        <w:rPr>
          <w:rFonts w:ascii="Verdana" w:hAnsi="Verdana"/>
          <w:sz w:val="20"/>
          <w:szCs w:val="20"/>
        </w:rPr>
        <w:t xml:space="preserve">Por el modo en que los señores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Asteazu</w:t>
      </w:r>
      <w:proofErr w:type="spellEnd"/>
      <w:r w:rsidRPr="0039097A">
        <w:rPr>
          <w:rFonts w:ascii="Verdana" w:hAnsi="Verdana"/>
          <w:sz w:val="20"/>
          <w:szCs w:val="20"/>
        </w:rPr>
        <w:t xml:space="preserve"> fueron </w:t>
      </w:r>
      <w:r w:rsidRPr="0039097A">
        <w:rPr>
          <w:rFonts w:ascii="Verdana" w:hAnsi="Verdana"/>
          <w:sz w:val="20"/>
          <w:szCs w:val="20"/>
        </w:rPr>
        <w:lastRenderedPageBreak/>
        <w:t xml:space="preserve">privados de su libertad, en un contexto </w:t>
      </w:r>
      <w:r w:rsidRPr="00655B3D">
        <w:rPr>
          <w:rFonts w:ascii="Verdana" w:hAnsi="Verdana"/>
          <w:sz w:val="20"/>
          <w:szCs w:val="20"/>
        </w:rPr>
        <w:t xml:space="preserve">de </w:t>
      </w:r>
      <w:r w:rsidRPr="00DE69BB">
        <w:rPr>
          <w:rFonts w:ascii="Verdana" w:hAnsi="Verdana"/>
          <w:sz w:val="20"/>
          <w:szCs w:val="20"/>
        </w:rPr>
        <w:t>detenciones ilegales</w:t>
      </w:r>
      <w:r>
        <w:rPr>
          <w:rFonts w:ascii="Verdana" w:hAnsi="Verdana"/>
          <w:sz w:val="20"/>
          <w:szCs w:val="20"/>
        </w:rPr>
        <w:t xml:space="preserve"> </w:t>
      </w:r>
      <w:r w:rsidRPr="00DE69BB">
        <w:rPr>
          <w:rFonts w:ascii="Verdana" w:hAnsi="Verdana"/>
          <w:sz w:val="20"/>
          <w:szCs w:val="20"/>
        </w:rPr>
        <w:t>en centros clandestinos</w:t>
      </w:r>
      <w:r w:rsidRPr="0039097A">
        <w:rPr>
          <w:rFonts w:ascii="Verdana" w:hAnsi="Verdana"/>
          <w:sz w:val="20"/>
          <w:szCs w:val="20"/>
        </w:rPr>
        <w:t>, resulta que ambas detenciones fueron manifiestamente ilegales, en contravención con el artículo 7.1 de la Convención. Esos actos configuraron el inicio de la compleja violación de derechos que implica la desaparición forzada. Además, implicaron el incumplimiento de la obligación estatal de mantener a las personas privadas de la libertad en centros de detención reconocidos oficialmente, y de presentarlas sin demora ante las autoridades judiciales competentes</w:t>
      </w:r>
      <w:r>
        <w:rPr>
          <w:rStyle w:val="Refdenotaalpie"/>
          <w:rFonts w:ascii="Verdana" w:hAnsi="Verdana"/>
          <w:sz w:val="20"/>
          <w:szCs w:val="20"/>
        </w:rPr>
        <w:footnoteReference w:id="149"/>
      </w:r>
      <w:r w:rsidRPr="0039097A">
        <w:rPr>
          <w:rFonts w:ascii="Verdana" w:hAnsi="Verdana"/>
          <w:sz w:val="20"/>
          <w:szCs w:val="20"/>
        </w:rPr>
        <w:t xml:space="preserve">. </w:t>
      </w:r>
    </w:p>
    <w:p w14:paraId="5174ACAC" w14:textId="77777777" w:rsidR="002A53BF" w:rsidRPr="0039097A" w:rsidRDefault="002A53BF" w:rsidP="005A5029">
      <w:pPr>
        <w:pStyle w:val="Prrafodelista"/>
        <w:spacing w:after="0" w:line="240" w:lineRule="exact"/>
        <w:rPr>
          <w:rFonts w:ascii="Verdana" w:hAnsi="Verdana"/>
          <w:sz w:val="20"/>
          <w:szCs w:val="20"/>
        </w:rPr>
      </w:pPr>
    </w:p>
    <w:p w14:paraId="041125C5" w14:textId="77777777"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Pr>
          <w:rFonts w:ascii="Verdana" w:hAnsi="Verdana"/>
          <w:sz w:val="20"/>
          <w:szCs w:val="20"/>
        </w:rPr>
        <w:t>L</w:t>
      </w:r>
      <w:r w:rsidRPr="0039097A">
        <w:rPr>
          <w:rFonts w:ascii="Verdana" w:hAnsi="Verdana"/>
          <w:sz w:val="20"/>
          <w:szCs w:val="20"/>
        </w:rPr>
        <w:t xml:space="preserve">as víctimas fueron puestas en una situación de indeterminación jurídica que anuló su posibilidad de ejercer sus derechos de modo efectivo, lo cual, como ya ha expresado esta Corte, constituye </w:t>
      </w:r>
      <w:r>
        <w:rPr>
          <w:rFonts w:ascii="Verdana" w:hAnsi="Verdana"/>
          <w:sz w:val="20"/>
          <w:szCs w:val="20"/>
        </w:rPr>
        <w:t>“</w:t>
      </w:r>
      <w:r w:rsidRPr="0039097A">
        <w:rPr>
          <w:rFonts w:ascii="Verdana" w:hAnsi="Verdana"/>
          <w:sz w:val="20"/>
          <w:szCs w:val="20"/>
        </w:rPr>
        <w:t>una de las más graves formas de incumplimiento de las obligaciones estatales de respetar y garantizar los derechos humanos”</w:t>
      </w:r>
      <w:r w:rsidRPr="0039097A">
        <w:rPr>
          <w:rStyle w:val="Refdenotaalpie"/>
          <w:rFonts w:ascii="Verdana" w:hAnsi="Verdana"/>
          <w:sz w:val="20"/>
          <w:szCs w:val="20"/>
        </w:rPr>
        <w:footnoteReference w:id="150"/>
      </w:r>
      <w:r w:rsidRPr="0039097A">
        <w:rPr>
          <w:rFonts w:ascii="Verdana" w:hAnsi="Verdana"/>
          <w:sz w:val="20"/>
          <w:szCs w:val="20"/>
        </w:rPr>
        <w:t>.</w:t>
      </w:r>
      <w:r w:rsidRPr="0039097A">
        <w:rPr>
          <w:rFonts w:ascii="Verdana" w:hAnsi="Verdana"/>
          <w:sz w:val="20"/>
          <w:szCs w:val="20"/>
          <w:lang w:val="es-ES"/>
        </w:rPr>
        <w:t xml:space="preserve"> </w:t>
      </w:r>
      <w:r w:rsidRPr="0039097A">
        <w:rPr>
          <w:rFonts w:ascii="Verdana" w:hAnsi="Verdana"/>
          <w:sz w:val="20"/>
          <w:szCs w:val="20"/>
        </w:rPr>
        <w:t>Por eso, fue violado el derecho de ambas víctimas al reconocimiento de la personalidad jurídica, rec</w:t>
      </w:r>
      <w:r>
        <w:rPr>
          <w:rFonts w:ascii="Verdana" w:hAnsi="Verdana"/>
          <w:sz w:val="20"/>
          <w:szCs w:val="20"/>
        </w:rPr>
        <w:t>eptado</w:t>
      </w:r>
      <w:r w:rsidRPr="0039097A">
        <w:rPr>
          <w:rFonts w:ascii="Verdana" w:hAnsi="Verdana"/>
          <w:sz w:val="20"/>
          <w:szCs w:val="20"/>
        </w:rPr>
        <w:t xml:space="preserve"> en el artículo 3 de la Convención Americana. </w:t>
      </w:r>
    </w:p>
    <w:p w14:paraId="20E29D88" w14:textId="77777777" w:rsidR="002A53BF" w:rsidRPr="0039097A" w:rsidRDefault="002A53BF" w:rsidP="005A5029">
      <w:pPr>
        <w:pStyle w:val="Prrafodelista"/>
        <w:spacing w:after="0" w:line="240" w:lineRule="exact"/>
        <w:rPr>
          <w:rFonts w:ascii="Verdana" w:hAnsi="Verdana"/>
          <w:sz w:val="20"/>
          <w:szCs w:val="20"/>
        </w:rPr>
      </w:pPr>
    </w:p>
    <w:p w14:paraId="30C22F44" w14:textId="370974E8"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39097A">
        <w:rPr>
          <w:rFonts w:ascii="Verdana" w:hAnsi="Verdana"/>
          <w:sz w:val="20"/>
          <w:szCs w:val="20"/>
        </w:rPr>
        <w:t xml:space="preserve">Por otra parte, los señores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w:t>
      </w:r>
      <w:r w:rsidRPr="0039097A">
        <w:rPr>
          <w:rFonts w:ascii="Verdana" w:hAnsi="Verdana"/>
          <w:sz w:val="20"/>
          <w:szCs w:val="20"/>
          <w:lang w:val="es-ES"/>
        </w:rPr>
        <w:t>estuv</w:t>
      </w:r>
      <w:r>
        <w:rPr>
          <w:rFonts w:ascii="Verdana" w:hAnsi="Verdana"/>
          <w:sz w:val="20"/>
          <w:szCs w:val="20"/>
          <w:lang w:val="es-ES"/>
        </w:rPr>
        <w:t>ieron</w:t>
      </w:r>
      <w:r w:rsidRPr="0039097A">
        <w:rPr>
          <w:rFonts w:ascii="Verdana" w:hAnsi="Verdana"/>
          <w:sz w:val="20"/>
          <w:szCs w:val="20"/>
          <w:lang w:val="es-ES"/>
        </w:rPr>
        <w:t xml:space="preserve"> bajo control </w:t>
      </w:r>
      <w:r>
        <w:rPr>
          <w:rFonts w:ascii="Verdana" w:hAnsi="Verdana"/>
          <w:sz w:val="20"/>
          <w:szCs w:val="20"/>
          <w:lang w:val="es-ES"/>
        </w:rPr>
        <w:t xml:space="preserve">de </w:t>
      </w:r>
      <w:r w:rsidRPr="0039097A">
        <w:rPr>
          <w:rFonts w:ascii="Verdana" w:hAnsi="Verdana"/>
          <w:sz w:val="20"/>
          <w:szCs w:val="20"/>
          <w:lang w:val="es-ES"/>
        </w:rPr>
        <w:t xml:space="preserve">autoridades militares que, en la época que iniciaron sus desapariciones forzadas, realizaban tal práctica en forma impune, como también, del mismo modo, la tortura y el </w:t>
      </w:r>
      <w:r w:rsidRPr="00685170">
        <w:rPr>
          <w:rFonts w:ascii="Verdana" w:hAnsi="Verdana"/>
          <w:sz w:val="20"/>
          <w:szCs w:val="20"/>
          <w:lang w:val="es-ES"/>
        </w:rPr>
        <w:t>asesinato (</w:t>
      </w:r>
      <w:r w:rsidRPr="00685170">
        <w:rPr>
          <w:rFonts w:ascii="Verdana" w:hAnsi="Verdana"/>
          <w:i/>
          <w:sz w:val="20"/>
          <w:szCs w:val="20"/>
          <w:lang w:val="es-ES"/>
        </w:rPr>
        <w:t xml:space="preserve">supra </w:t>
      </w:r>
      <w:r w:rsidRPr="00685170">
        <w:rPr>
          <w:rFonts w:ascii="Verdana" w:hAnsi="Verdana"/>
          <w:sz w:val="20"/>
          <w:szCs w:val="20"/>
          <w:lang w:val="es-ES"/>
        </w:rPr>
        <w:t>párr. 31)</w:t>
      </w:r>
      <w:r w:rsidRPr="00685170">
        <w:rPr>
          <w:rStyle w:val="Refdenotaalpie"/>
          <w:rFonts w:ascii="Verdana" w:hAnsi="Verdana"/>
          <w:sz w:val="20"/>
          <w:szCs w:val="20"/>
          <w:lang w:val="es-ES"/>
        </w:rPr>
        <w:footnoteReference w:id="151"/>
      </w:r>
      <w:r w:rsidRPr="00685170">
        <w:rPr>
          <w:rFonts w:ascii="Verdana" w:hAnsi="Verdana"/>
          <w:sz w:val="20"/>
          <w:szCs w:val="20"/>
          <w:lang w:val="es-ES"/>
        </w:rPr>
        <w:t>.</w:t>
      </w:r>
      <w:r w:rsidRPr="0039097A">
        <w:rPr>
          <w:rFonts w:ascii="Verdana" w:hAnsi="Verdana"/>
          <w:sz w:val="20"/>
          <w:szCs w:val="20"/>
          <w:lang w:val="es-ES"/>
        </w:rPr>
        <w:t xml:space="preserve"> </w:t>
      </w:r>
      <w:r w:rsidR="00DD24B1">
        <w:rPr>
          <w:rFonts w:ascii="Verdana" w:hAnsi="Verdana"/>
          <w:sz w:val="20"/>
          <w:szCs w:val="20"/>
          <w:lang w:val="es-ES"/>
        </w:rPr>
        <w:t xml:space="preserve">Las últimas veces que fueron vistas se encontraban bajo la custodia de agentes estatales. </w:t>
      </w:r>
      <w:r w:rsidRPr="0039097A">
        <w:rPr>
          <w:rFonts w:ascii="Verdana" w:hAnsi="Verdana"/>
          <w:sz w:val="20"/>
          <w:szCs w:val="20"/>
          <w:lang w:val="es-ES"/>
        </w:rPr>
        <w:t>Esto representa, por sí mismo, un</w:t>
      </w:r>
      <w:r>
        <w:rPr>
          <w:rFonts w:ascii="Verdana" w:hAnsi="Verdana"/>
          <w:sz w:val="20"/>
          <w:szCs w:val="20"/>
          <w:lang w:val="es-ES"/>
        </w:rPr>
        <w:t xml:space="preserve"> atentado </w:t>
      </w:r>
      <w:r w:rsidRPr="0039097A">
        <w:rPr>
          <w:rFonts w:ascii="Verdana" w:hAnsi="Verdana"/>
          <w:sz w:val="20"/>
          <w:szCs w:val="20"/>
          <w:lang w:val="es-ES"/>
        </w:rPr>
        <w:t xml:space="preserve">a los derechos a la integridad personal y a la vida, </w:t>
      </w:r>
      <w:r w:rsidRPr="0039097A">
        <w:rPr>
          <w:rFonts w:ascii="Verdana" w:hAnsi="Verdana"/>
          <w:sz w:val="20"/>
          <w:szCs w:val="20"/>
        </w:rPr>
        <w:t>reconocidos</w:t>
      </w:r>
      <w:r>
        <w:rPr>
          <w:rFonts w:ascii="Verdana" w:hAnsi="Verdana"/>
          <w:sz w:val="20"/>
          <w:szCs w:val="20"/>
        </w:rPr>
        <w:t>, respectivamente,</w:t>
      </w:r>
      <w:r w:rsidRPr="0039097A">
        <w:rPr>
          <w:rFonts w:ascii="Verdana" w:hAnsi="Verdana"/>
          <w:sz w:val="20"/>
          <w:szCs w:val="20"/>
        </w:rPr>
        <w:t xml:space="preserve"> en los artículos 5 y 4 de la Convención Americana, </w:t>
      </w:r>
      <w:r w:rsidRPr="0039097A">
        <w:rPr>
          <w:rFonts w:ascii="Verdana" w:hAnsi="Verdana"/>
          <w:sz w:val="20"/>
          <w:szCs w:val="20"/>
          <w:lang w:val="es-ES"/>
        </w:rPr>
        <w:t>aún en el supuesto de que no puedan demostrarse hechos de torturas o de privación de la vida de la persona en el caso concreto</w:t>
      </w:r>
      <w:r w:rsidRPr="0039097A">
        <w:rPr>
          <w:rStyle w:val="Refdenotaalpie"/>
          <w:rFonts w:ascii="Verdana" w:hAnsi="Verdana"/>
          <w:sz w:val="20"/>
          <w:szCs w:val="20"/>
        </w:rPr>
        <w:footnoteReference w:id="152"/>
      </w:r>
      <w:r w:rsidRPr="0039097A">
        <w:rPr>
          <w:rFonts w:ascii="Verdana" w:hAnsi="Verdana"/>
          <w:sz w:val="20"/>
          <w:szCs w:val="20"/>
          <w:lang w:val="es-ES"/>
        </w:rPr>
        <w:t>. Sin perjuicio de ello, hay información que indica que ambas víctimas sufrieron graves agresiones que pudieron ser constitutivas de actos de tortura, y el mero hecho de permanecer privados de libertad en el contexto y condiciones referidas representa un tratamiento cruel e inhumano</w:t>
      </w:r>
      <w:r w:rsidRPr="0039097A">
        <w:rPr>
          <w:rStyle w:val="Refdenotaalpie"/>
          <w:rFonts w:ascii="Verdana" w:hAnsi="Verdana"/>
          <w:sz w:val="20"/>
          <w:szCs w:val="20"/>
          <w:lang w:val="es-ES"/>
        </w:rPr>
        <w:footnoteReference w:id="153"/>
      </w:r>
      <w:r w:rsidRPr="0039097A">
        <w:rPr>
          <w:rFonts w:ascii="Verdana" w:hAnsi="Verdana"/>
          <w:sz w:val="20"/>
          <w:szCs w:val="20"/>
          <w:lang w:val="es-ES"/>
        </w:rPr>
        <w:t xml:space="preserve">. Lo anterior configura una vulneración de los incisos 1 y 2 del artículo 5 de la Convención Americana. </w:t>
      </w:r>
    </w:p>
    <w:p w14:paraId="249C1AC6" w14:textId="77777777" w:rsidR="002A53BF" w:rsidRPr="0039097A" w:rsidRDefault="002A53BF" w:rsidP="005A5029">
      <w:pPr>
        <w:pStyle w:val="Prrafodelista"/>
        <w:spacing w:after="0" w:line="240" w:lineRule="exact"/>
        <w:rPr>
          <w:rFonts w:ascii="Verdana" w:hAnsi="Verdana"/>
          <w:sz w:val="20"/>
          <w:szCs w:val="20"/>
        </w:rPr>
      </w:pPr>
    </w:p>
    <w:p w14:paraId="13BBD3F5" w14:textId="77777777" w:rsidR="002A53BF" w:rsidRPr="00E53751"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sidRPr="0039097A">
        <w:rPr>
          <w:rFonts w:ascii="Verdana" w:hAnsi="Verdana"/>
          <w:sz w:val="20"/>
          <w:szCs w:val="20"/>
        </w:rPr>
        <w:t xml:space="preserve">Las desapariciones forzadas de los señores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constituyen, por la naturaleza de los derechos lesionados, una violación de una norma </w:t>
      </w:r>
      <w:proofErr w:type="spellStart"/>
      <w:r w:rsidRPr="0039097A">
        <w:rPr>
          <w:rFonts w:ascii="Verdana" w:hAnsi="Verdana"/>
          <w:i/>
          <w:sz w:val="20"/>
          <w:szCs w:val="20"/>
        </w:rPr>
        <w:t>jus</w:t>
      </w:r>
      <w:proofErr w:type="spellEnd"/>
      <w:r w:rsidRPr="0039097A">
        <w:rPr>
          <w:rFonts w:ascii="Verdana" w:hAnsi="Verdana"/>
          <w:i/>
          <w:sz w:val="20"/>
          <w:szCs w:val="20"/>
        </w:rPr>
        <w:t xml:space="preserve"> cogens</w:t>
      </w:r>
      <w:r w:rsidRPr="00685170">
        <w:rPr>
          <w:rFonts w:ascii="Verdana" w:hAnsi="Verdana"/>
          <w:sz w:val="20"/>
          <w:szCs w:val="20"/>
        </w:rPr>
        <w:t xml:space="preserve"> (</w:t>
      </w:r>
      <w:r w:rsidRPr="00531B0F">
        <w:rPr>
          <w:rFonts w:ascii="Verdana" w:hAnsi="Verdana"/>
          <w:i/>
          <w:sz w:val="20"/>
          <w:szCs w:val="20"/>
        </w:rPr>
        <w:t>supra</w:t>
      </w:r>
      <w:r>
        <w:rPr>
          <w:rFonts w:ascii="Verdana" w:hAnsi="Verdana"/>
          <w:sz w:val="20"/>
          <w:szCs w:val="20"/>
        </w:rPr>
        <w:t>, párr. 116</w:t>
      </w:r>
      <w:r w:rsidRPr="00685170">
        <w:rPr>
          <w:rFonts w:ascii="Verdana" w:hAnsi="Verdana"/>
          <w:sz w:val="20"/>
          <w:szCs w:val="20"/>
        </w:rPr>
        <w:t>)</w:t>
      </w:r>
      <w:r w:rsidRPr="0039097A">
        <w:rPr>
          <w:rFonts w:ascii="Verdana" w:hAnsi="Verdana"/>
          <w:sz w:val="20"/>
          <w:szCs w:val="20"/>
        </w:rPr>
        <w:t xml:space="preserve"> </w:t>
      </w:r>
      <w:r w:rsidRPr="00E53751">
        <w:rPr>
          <w:rFonts w:ascii="Verdana" w:hAnsi="Verdana"/>
          <w:sz w:val="20"/>
          <w:szCs w:val="20"/>
        </w:rPr>
        <w:t xml:space="preserve">especialmente grave por haber acontecido como parte de </w:t>
      </w:r>
      <w:r w:rsidRPr="00E53751">
        <w:rPr>
          <w:rFonts w:ascii="Verdana" w:hAnsi="Verdana"/>
          <w:sz w:val="20"/>
          <w:szCs w:val="20"/>
        </w:rPr>
        <w:lastRenderedPageBreak/>
        <w:t xml:space="preserve">una práctica </w:t>
      </w:r>
      <w:r w:rsidRPr="00E53751">
        <w:rPr>
          <w:rFonts w:ascii="Verdana" w:eastAsia="Arial Unicode MS" w:hAnsi="Verdana" w:cs="Arial Unicode MS"/>
          <w:sz w:val="20"/>
          <w:szCs w:val="20"/>
        </w:rPr>
        <w:t>sistemática de “terrorismo de Estado”</w:t>
      </w:r>
      <w:r w:rsidRPr="00E53751">
        <w:rPr>
          <w:rStyle w:val="Refdenotaalpie"/>
          <w:rFonts w:ascii="Verdana" w:hAnsi="Verdana"/>
          <w:sz w:val="20"/>
          <w:szCs w:val="20"/>
        </w:rPr>
        <w:footnoteReference w:id="154"/>
      </w:r>
      <w:r w:rsidRPr="00E53751">
        <w:rPr>
          <w:rFonts w:ascii="Verdana" w:eastAsia="Arial Unicode MS" w:hAnsi="Verdana" w:cs="Arial Unicode MS"/>
          <w:sz w:val="20"/>
          <w:szCs w:val="20"/>
        </w:rPr>
        <w:t>. En ese sentido, como se ha señalado, los hechos se vinculan a una política estatal, durante la dictadura militar, de vigilancia, represión y control de organizaciones de izquierda, así como a la práctica sistemática de múltiples violaciones graves a los derechos humanos, inclusive desapariciones forzadas (</w:t>
      </w:r>
      <w:r w:rsidRPr="00E53751">
        <w:rPr>
          <w:rFonts w:ascii="Verdana" w:eastAsia="Arial Unicode MS" w:hAnsi="Verdana" w:cs="Arial Unicode MS"/>
          <w:i/>
          <w:sz w:val="20"/>
          <w:szCs w:val="20"/>
        </w:rPr>
        <w:t xml:space="preserve">supra </w:t>
      </w:r>
      <w:r w:rsidRPr="00E53751">
        <w:rPr>
          <w:rFonts w:ascii="Verdana" w:eastAsia="Arial Unicode MS" w:hAnsi="Verdana" w:cs="Arial Unicode MS"/>
          <w:sz w:val="20"/>
          <w:szCs w:val="20"/>
        </w:rPr>
        <w:t xml:space="preserve">párr. </w:t>
      </w:r>
      <w:r>
        <w:rPr>
          <w:rFonts w:ascii="Verdana" w:eastAsia="Arial Unicode MS" w:hAnsi="Verdana" w:cs="Arial Unicode MS"/>
          <w:sz w:val="20"/>
          <w:szCs w:val="20"/>
        </w:rPr>
        <w:t>31</w:t>
      </w:r>
      <w:r w:rsidRPr="00E53751">
        <w:rPr>
          <w:rFonts w:ascii="Verdana" w:eastAsia="Arial Unicode MS" w:hAnsi="Verdana" w:cs="Arial Unicode MS"/>
          <w:sz w:val="20"/>
          <w:szCs w:val="20"/>
        </w:rPr>
        <w:t>).</w:t>
      </w:r>
    </w:p>
    <w:p w14:paraId="27BF100F" w14:textId="77777777" w:rsidR="002A53BF" w:rsidRPr="0039097A" w:rsidRDefault="002A53BF" w:rsidP="005A5029">
      <w:pPr>
        <w:spacing w:after="0" w:line="240" w:lineRule="exact"/>
      </w:pPr>
    </w:p>
    <w:p w14:paraId="67D7CFCF" w14:textId="4C5C7783" w:rsidR="002A53BF" w:rsidRPr="0039097A" w:rsidRDefault="002A53BF" w:rsidP="005A5029">
      <w:pPr>
        <w:widowControl w:val="0"/>
        <w:numPr>
          <w:ilvl w:val="0"/>
          <w:numId w:val="49"/>
        </w:numPr>
        <w:tabs>
          <w:tab w:val="left" w:pos="567"/>
        </w:tabs>
        <w:adjustRightInd w:val="0"/>
        <w:spacing w:after="0" w:line="240" w:lineRule="exact"/>
        <w:ind w:left="0" w:firstLine="0"/>
        <w:jc w:val="both"/>
        <w:textAlignment w:val="baseline"/>
        <w:rPr>
          <w:rFonts w:ascii="Verdana" w:hAnsi="Verdana"/>
          <w:sz w:val="20"/>
          <w:szCs w:val="20"/>
        </w:rPr>
      </w:pPr>
      <w:r>
        <w:rPr>
          <w:rFonts w:ascii="Verdana" w:hAnsi="Verdana"/>
          <w:sz w:val="20"/>
          <w:szCs w:val="20"/>
        </w:rPr>
        <w:t xml:space="preserve"> </w:t>
      </w:r>
      <w:r>
        <w:rPr>
          <w:rFonts w:ascii="Verdana" w:hAnsi="Verdana"/>
          <w:sz w:val="20"/>
          <w:szCs w:val="20"/>
        </w:rPr>
        <w:tab/>
      </w:r>
      <w:r w:rsidRPr="0039097A">
        <w:rPr>
          <w:rFonts w:ascii="Verdana" w:hAnsi="Verdana"/>
          <w:sz w:val="20"/>
          <w:szCs w:val="20"/>
        </w:rPr>
        <w:t xml:space="preserve">En consideración de lo expuesto, en virtud de las desapariciones forzadas en perjuicio de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Oscar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que se mantienen hasta el día de hoy, la Corte concluye que el Estado es responsable por la violación de los derechos de ambas personas a</w:t>
      </w:r>
      <w:r w:rsidR="004A654C">
        <w:rPr>
          <w:rFonts w:ascii="Verdana" w:hAnsi="Verdana"/>
          <w:sz w:val="20"/>
          <w:szCs w:val="20"/>
        </w:rPr>
        <w:t xml:space="preserve">l reconocimiento de la personalidad jurídica, a la vida, a la integridad personal y a </w:t>
      </w:r>
      <w:r w:rsidRPr="0039097A">
        <w:rPr>
          <w:rFonts w:ascii="Verdana" w:hAnsi="Verdana"/>
          <w:sz w:val="20"/>
          <w:szCs w:val="20"/>
        </w:rPr>
        <w:t>la libertad personal, reconocidos en los artículos</w:t>
      </w:r>
      <w:r w:rsidR="004A654C">
        <w:rPr>
          <w:rFonts w:ascii="Verdana" w:hAnsi="Verdana"/>
          <w:sz w:val="20"/>
          <w:szCs w:val="20"/>
        </w:rPr>
        <w:t xml:space="preserve"> 3, 4.1, 5.1 y 5.2, y 7.1</w:t>
      </w:r>
      <w:r w:rsidRPr="0039097A">
        <w:rPr>
          <w:rFonts w:ascii="Verdana" w:hAnsi="Verdana"/>
          <w:sz w:val="20"/>
          <w:szCs w:val="20"/>
        </w:rPr>
        <w:t xml:space="preserve"> de la Convención Americana sobre Derechos Humanos, en razón del incumplimiento de las obligaciones de respetar y garantizar esos derechos, establecidas en el artículo 1.1 del mismo tratado, en relación con los artículos I. a. y XI de la </w:t>
      </w:r>
      <w:r w:rsidRPr="0039097A">
        <w:rPr>
          <w:rFonts w:ascii="Verdana" w:hAnsi="Verdana"/>
          <w:sz w:val="20"/>
          <w:szCs w:val="20"/>
          <w:lang w:val="es-UY"/>
        </w:rPr>
        <w:t>Convención Interamericana sobre Desaparición Forzada de Personas.</w:t>
      </w:r>
    </w:p>
    <w:p w14:paraId="460BC04E" w14:textId="41D625FE" w:rsidR="009274E3" w:rsidRPr="0039097A" w:rsidRDefault="009274E3" w:rsidP="005A5029">
      <w:pPr>
        <w:spacing w:after="0" w:line="240" w:lineRule="exact"/>
      </w:pPr>
    </w:p>
    <w:p w14:paraId="5047B726" w14:textId="77777777" w:rsidR="002A53BF" w:rsidRPr="0039097A" w:rsidRDefault="002A53BF" w:rsidP="005A5029">
      <w:pPr>
        <w:pStyle w:val="Prrafodelista"/>
        <w:spacing w:before="120" w:after="120" w:line="240" w:lineRule="exact"/>
        <w:jc w:val="center"/>
        <w:outlineLvl w:val="0"/>
        <w:rPr>
          <w:rFonts w:ascii="Verdana" w:hAnsi="Verdana"/>
          <w:b/>
          <w:sz w:val="20"/>
          <w:szCs w:val="20"/>
        </w:rPr>
      </w:pPr>
      <w:bookmarkStart w:id="47" w:name="_Toc83568829"/>
      <w:bookmarkStart w:id="48" w:name="_Toc85550413"/>
      <w:r w:rsidRPr="0039097A">
        <w:rPr>
          <w:rFonts w:ascii="Verdana" w:hAnsi="Verdana"/>
          <w:b/>
          <w:sz w:val="20"/>
          <w:szCs w:val="20"/>
        </w:rPr>
        <w:t>VII.</w:t>
      </w:r>
      <w:bookmarkEnd w:id="47"/>
      <w:r>
        <w:rPr>
          <w:rFonts w:ascii="Verdana" w:hAnsi="Verdana"/>
          <w:b/>
          <w:sz w:val="20"/>
          <w:szCs w:val="20"/>
        </w:rPr>
        <w:t>2</w:t>
      </w:r>
      <w:bookmarkEnd w:id="48"/>
    </w:p>
    <w:p w14:paraId="6A4A151A" w14:textId="77777777" w:rsidR="002A53BF" w:rsidRPr="0039097A" w:rsidRDefault="002A53BF" w:rsidP="005A5029">
      <w:pPr>
        <w:pStyle w:val="Prrafodelista"/>
        <w:spacing w:before="120" w:after="120" w:line="240" w:lineRule="exact"/>
        <w:jc w:val="center"/>
        <w:outlineLvl w:val="0"/>
        <w:rPr>
          <w:rFonts w:ascii="Verdana" w:hAnsi="Verdana"/>
          <w:b/>
          <w:sz w:val="20"/>
          <w:szCs w:val="20"/>
        </w:rPr>
      </w:pPr>
      <w:bookmarkStart w:id="49" w:name="_Toc83568830"/>
      <w:bookmarkStart w:id="50" w:name="_Toc85550414"/>
      <w:r w:rsidRPr="0039097A">
        <w:rPr>
          <w:rFonts w:ascii="Verdana" w:hAnsi="Verdana"/>
          <w:b/>
          <w:sz w:val="20"/>
          <w:szCs w:val="20"/>
        </w:rPr>
        <w:t>DERECHOS A LAS GARANTÍAS JUDICIALES Y A LA PROTECCIÓN JUDICIAL</w:t>
      </w:r>
      <w:bookmarkEnd w:id="49"/>
      <w:bookmarkEnd w:id="50"/>
      <w:r w:rsidRPr="00685170">
        <w:rPr>
          <w:rStyle w:val="Refdenotaalpie"/>
          <w:rFonts w:ascii="Verdana" w:hAnsi="Verdana"/>
          <w:sz w:val="20"/>
          <w:szCs w:val="20"/>
        </w:rPr>
        <w:footnoteReference w:id="155"/>
      </w:r>
      <w:r w:rsidRPr="00685170">
        <w:rPr>
          <w:rFonts w:ascii="Verdana" w:hAnsi="Verdana"/>
          <w:sz w:val="20"/>
          <w:szCs w:val="20"/>
        </w:rPr>
        <w:t xml:space="preserve"> </w:t>
      </w:r>
    </w:p>
    <w:p w14:paraId="371880A7" w14:textId="77777777" w:rsidR="002A53BF" w:rsidRPr="0039097A" w:rsidRDefault="002A53BF" w:rsidP="005A5029">
      <w:pPr>
        <w:pStyle w:val="Prrafodelista"/>
        <w:spacing w:before="120" w:after="120" w:line="240" w:lineRule="exact"/>
      </w:pPr>
    </w:p>
    <w:p w14:paraId="420C6A53" w14:textId="77777777" w:rsidR="002A53BF" w:rsidRPr="0039097A" w:rsidRDefault="002A53BF" w:rsidP="005A5029">
      <w:pPr>
        <w:pStyle w:val="Prrafodelista"/>
        <w:numPr>
          <w:ilvl w:val="0"/>
          <w:numId w:val="27"/>
        </w:numPr>
        <w:spacing w:before="120" w:after="120" w:line="240" w:lineRule="exact"/>
        <w:ind w:left="284" w:firstLine="0"/>
        <w:outlineLvl w:val="1"/>
        <w:rPr>
          <w:rFonts w:ascii="Verdana" w:hAnsi="Verdana"/>
          <w:b/>
          <w:i/>
          <w:sz w:val="20"/>
          <w:szCs w:val="20"/>
        </w:rPr>
      </w:pPr>
      <w:bookmarkStart w:id="51" w:name="_Toc83568831"/>
      <w:bookmarkStart w:id="52" w:name="_Toc85550415"/>
      <w:r w:rsidRPr="0039097A">
        <w:rPr>
          <w:rFonts w:ascii="Verdana" w:hAnsi="Verdana"/>
          <w:b/>
          <w:i/>
          <w:sz w:val="20"/>
          <w:szCs w:val="20"/>
        </w:rPr>
        <w:t>Argumentos de la Comisión y de las partes</w:t>
      </w:r>
      <w:bookmarkEnd w:id="51"/>
      <w:bookmarkEnd w:id="52"/>
    </w:p>
    <w:p w14:paraId="7157BBF4" w14:textId="77777777" w:rsidR="002A53BF" w:rsidRPr="0039097A" w:rsidRDefault="002A53BF" w:rsidP="005A5029">
      <w:pPr>
        <w:pStyle w:val="Prrafodelista"/>
        <w:spacing w:before="120" w:after="120" w:line="240" w:lineRule="exact"/>
      </w:pPr>
    </w:p>
    <w:p w14:paraId="4DD27C9F" w14:textId="77777777" w:rsidR="002A53BF" w:rsidRPr="0039097A" w:rsidRDefault="002A53BF" w:rsidP="005A5029">
      <w:pPr>
        <w:pStyle w:val="Prrafodelista"/>
        <w:numPr>
          <w:ilvl w:val="0"/>
          <w:numId w:val="49"/>
        </w:numPr>
        <w:spacing w:before="120" w:after="120" w:line="240" w:lineRule="exact"/>
        <w:ind w:left="0" w:firstLine="0"/>
        <w:jc w:val="both"/>
      </w:pPr>
      <w:r w:rsidRPr="0039097A">
        <w:rPr>
          <w:rFonts w:ascii="Verdana" w:hAnsi="Verdana"/>
          <w:sz w:val="20"/>
          <w:szCs w:val="20"/>
        </w:rPr>
        <w:t xml:space="preserve">La </w:t>
      </w:r>
      <w:r w:rsidRPr="0039097A">
        <w:rPr>
          <w:rFonts w:ascii="Verdana" w:hAnsi="Verdana"/>
          <w:b/>
          <w:i/>
          <w:sz w:val="20"/>
          <w:szCs w:val="20"/>
        </w:rPr>
        <w:t>Comisión</w:t>
      </w:r>
      <w:r w:rsidRPr="0039097A">
        <w:rPr>
          <w:rFonts w:ascii="Verdana" w:hAnsi="Verdana"/>
          <w:sz w:val="20"/>
          <w:szCs w:val="20"/>
        </w:rPr>
        <w:t xml:space="preserve"> adujo que el Estado incumplió su obligación de investigar las desapariciones forzadas y las ejecuciones extrajudiciales en el caso. </w:t>
      </w:r>
      <w:r>
        <w:rPr>
          <w:rFonts w:ascii="Verdana" w:hAnsi="Verdana"/>
          <w:sz w:val="20"/>
          <w:szCs w:val="20"/>
        </w:rPr>
        <w:t>M</w:t>
      </w:r>
      <w:r w:rsidRPr="0039097A">
        <w:rPr>
          <w:rFonts w:ascii="Verdana" w:hAnsi="Verdana"/>
          <w:sz w:val="20"/>
          <w:szCs w:val="20"/>
        </w:rPr>
        <w:t>anifestó que hasta el momento ninguna persona ha sido condenada, por lo que estos hechos continúan en una situación de impunidad.</w:t>
      </w:r>
      <w:r w:rsidRPr="0039097A">
        <w:rPr>
          <w:rFonts w:ascii="Verdana" w:hAnsi="Verdana"/>
          <w:b/>
          <w:sz w:val="16"/>
          <w:szCs w:val="16"/>
        </w:rPr>
        <w:t xml:space="preserve"> </w:t>
      </w:r>
      <w:r>
        <w:rPr>
          <w:rFonts w:ascii="Verdana" w:hAnsi="Verdana"/>
          <w:sz w:val="20"/>
          <w:szCs w:val="20"/>
        </w:rPr>
        <w:t>S</w:t>
      </w:r>
      <w:r w:rsidRPr="0039097A">
        <w:rPr>
          <w:rFonts w:ascii="Verdana" w:hAnsi="Verdana"/>
          <w:sz w:val="20"/>
          <w:szCs w:val="20"/>
        </w:rPr>
        <w:t>ustentó su aseveración sobre la inobservancia del deber de investigar con base en tres aspectos: la aplicación de la Ley de Caducidad, la falta de debida diligencia y la inobservancia de un plazo razonable en las actuaciones</w:t>
      </w:r>
      <w:r>
        <w:rPr>
          <w:rFonts w:ascii="Verdana" w:hAnsi="Verdana"/>
          <w:sz w:val="20"/>
          <w:szCs w:val="20"/>
        </w:rPr>
        <w:t>.</w:t>
      </w:r>
    </w:p>
    <w:p w14:paraId="1F03B8B4" w14:textId="77777777" w:rsidR="002A53BF" w:rsidRPr="0039097A" w:rsidRDefault="002A53BF" w:rsidP="005A5029">
      <w:pPr>
        <w:pStyle w:val="Prrafodelista"/>
        <w:spacing w:before="120" w:after="120" w:line="240" w:lineRule="exact"/>
        <w:ind w:left="0"/>
        <w:jc w:val="both"/>
      </w:pPr>
    </w:p>
    <w:p w14:paraId="6CD19C2B" w14:textId="77777777" w:rsidR="002A53BF" w:rsidRPr="00F308FB" w:rsidRDefault="002A53BF" w:rsidP="005A5029">
      <w:pPr>
        <w:pStyle w:val="Prrafodelista"/>
        <w:numPr>
          <w:ilvl w:val="0"/>
          <w:numId w:val="49"/>
        </w:numPr>
        <w:spacing w:before="120" w:after="120" w:line="240" w:lineRule="exact"/>
        <w:ind w:left="0" w:firstLine="0"/>
        <w:jc w:val="both"/>
        <w:rPr>
          <w:rFonts w:ascii="Verdana" w:hAnsi="Verdana"/>
          <w:sz w:val="20"/>
          <w:szCs w:val="20"/>
        </w:rPr>
      </w:pPr>
      <w:r>
        <w:rPr>
          <w:rFonts w:ascii="Verdana" w:hAnsi="Verdana"/>
          <w:i/>
          <w:sz w:val="20"/>
          <w:szCs w:val="20"/>
        </w:rPr>
        <w:t xml:space="preserve">Ley de </w:t>
      </w:r>
      <w:proofErr w:type="gramStart"/>
      <w:r>
        <w:rPr>
          <w:rFonts w:ascii="Verdana" w:hAnsi="Verdana"/>
          <w:i/>
          <w:sz w:val="20"/>
          <w:szCs w:val="20"/>
        </w:rPr>
        <w:t>Caducidad.-</w:t>
      </w:r>
      <w:proofErr w:type="gramEnd"/>
      <w:r>
        <w:rPr>
          <w:rFonts w:ascii="Verdana" w:hAnsi="Verdana"/>
          <w:i/>
          <w:sz w:val="20"/>
          <w:szCs w:val="20"/>
        </w:rPr>
        <w:t xml:space="preserve"> </w:t>
      </w:r>
      <w:r w:rsidRPr="0039097A">
        <w:rPr>
          <w:rFonts w:ascii="Verdana" w:hAnsi="Verdana"/>
          <w:sz w:val="20"/>
          <w:szCs w:val="20"/>
        </w:rPr>
        <w:t xml:space="preserve">La Comisión señaló que la ley de Caducidad, que ya ha sido declarada </w:t>
      </w:r>
      <w:proofErr w:type="spellStart"/>
      <w:r w:rsidRPr="0039097A">
        <w:rPr>
          <w:rFonts w:ascii="Verdana" w:hAnsi="Verdana"/>
          <w:sz w:val="20"/>
          <w:szCs w:val="20"/>
        </w:rPr>
        <w:t>inconvencional</w:t>
      </w:r>
      <w:proofErr w:type="spellEnd"/>
      <w:r w:rsidRPr="0039097A">
        <w:rPr>
          <w:rFonts w:ascii="Verdana" w:hAnsi="Verdana"/>
          <w:sz w:val="20"/>
          <w:szCs w:val="20"/>
        </w:rPr>
        <w:t xml:space="preserve"> por la Corte, impidió las investigaciones de los hechos a partir de su expedición el 22 de diciembre de 1986</w:t>
      </w:r>
      <w:r>
        <w:rPr>
          <w:rFonts w:ascii="Verdana" w:hAnsi="Verdana"/>
          <w:sz w:val="20"/>
          <w:szCs w:val="20"/>
        </w:rPr>
        <w:t>, constituyendo un obstáculo “en distintos momentos”.</w:t>
      </w:r>
      <w:r w:rsidRPr="0039097A">
        <w:rPr>
          <w:rFonts w:ascii="Verdana" w:hAnsi="Verdana"/>
          <w:sz w:val="20"/>
          <w:szCs w:val="20"/>
        </w:rPr>
        <w:t xml:space="preserve"> Agregó que</w:t>
      </w:r>
      <w:r>
        <w:rPr>
          <w:rFonts w:ascii="Verdana" w:hAnsi="Verdana"/>
          <w:sz w:val="20"/>
          <w:szCs w:val="20"/>
        </w:rPr>
        <w:t>, pese a que actualmente</w:t>
      </w:r>
      <w:r w:rsidRPr="0039097A">
        <w:rPr>
          <w:rFonts w:ascii="Verdana" w:hAnsi="Verdana"/>
          <w:sz w:val="20"/>
          <w:szCs w:val="20"/>
        </w:rPr>
        <w:t xml:space="preserve"> </w:t>
      </w:r>
      <w:r>
        <w:rPr>
          <w:rFonts w:ascii="Verdana" w:hAnsi="Verdana"/>
          <w:sz w:val="20"/>
          <w:szCs w:val="20"/>
        </w:rPr>
        <w:t>“</w:t>
      </w:r>
      <w:r w:rsidRPr="0039097A">
        <w:rPr>
          <w:rFonts w:ascii="Verdana" w:hAnsi="Verdana"/>
          <w:sz w:val="20"/>
          <w:szCs w:val="20"/>
        </w:rPr>
        <w:t>las investigaciones por los hechos materia del presente caso se encuentran abiertas</w:t>
      </w:r>
      <w:r>
        <w:rPr>
          <w:rFonts w:ascii="Verdana" w:hAnsi="Verdana"/>
          <w:sz w:val="20"/>
          <w:szCs w:val="20"/>
        </w:rPr>
        <w:t>”</w:t>
      </w:r>
      <w:r w:rsidRPr="0039097A">
        <w:rPr>
          <w:rFonts w:ascii="Verdana" w:hAnsi="Verdana"/>
          <w:sz w:val="20"/>
          <w:szCs w:val="20"/>
        </w:rPr>
        <w:t xml:space="preserve">, </w:t>
      </w:r>
      <w:r>
        <w:rPr>
          <w:rFonts w:ascii="Verdana" w:hAnsi="Verdana"/>
          <w:sz w:val="20"/>
          <w:szCs w:val="20"/>
        </w:rPr>
        <w:t>“</w:t>
      </w:r>
      <w:r w:rsidRPr="0039097A">
        <w:rPr>
          <w:rFonts w:ascii="Verdana" w:hAnsi="Verdana"/>
          <w:sz w:val="20"/>
          <w:szCs w:val="20"/>
        </w:rPr>
        <w:t>aún no existe certeza en el Estado sobre la no aplicación de la figura de prescripción para […] delitos</w:t>
      </w:r>
      <w:r>
        <w:rPr>
          <w:rFonts w:ascii="Verdana" w:hAnsi="Verdana"/>
          <w:sz w:val="20"/>
          <w:szCs w:val="20"/>
        </w:rPr>
        <w:t>”</w:t>
      </w:r>
      <w:r w:rsidRPr="0039097A">
        <w:rPr>
          <w:rFonts w:ascii="Verdana" w:hAnsi="Verdana"/>
          <w:sz w:val="20"/>
          <w:szCs w:val="20"/>
        </w:rPr>
        <w:t xml:space="preserve"> como los de este caso. Manifestó, al respecto, que</w:t>
      </w:r>
      <w:r>
        <w:rPr>
          <w:rFonts w:ascii="Verdana" w:hAnsi="Verdana"/>
          <w:sz w:val="20"/>
          <w:szCs w:val="20"/>
        </w:rPr>
        <w:t xml:space="preserve"> en el mismo</w:t>
      </w:r>
      <w:r w:rsidRPr="0039097A">
        <w:rPr>
          <w:rFonts w:ascii="Verdana" w:hAnsi="Verdana"/>
          <w:sz w:val="20"/>
          <w:szCs w:val="20"/>
        </w:rPr>
        <w:t xml:space="preserve"> “la falta de certeza sobre la no aplicabilidad de la prescripción ha ocasionado que se presenten recursos por parte de las personas investigadas, los cuales han ocasionado dilaciones en el proceso”.</w:t>
      </w:r>
    </w:p>
    <w:p w14:paraId="4061021A" w14:textId="77777777" w:rsidR="002A53BF" w:rsidRPr="0039097A" w:rsidRDefault="002A53BF" w:rsidP="005A5029">
      <w:pPr>
        <w:pStyle w:val="Prrafodelista"/>
        <w:spacing w:after="200" w:line="240" w:lineRule="exact"/>
        <w:ind w:left="1068"/>
        <w:jc w:val="both"/>
        <w:rPr>
          <w:rFonts w:ascii="Verdana" w:hAnsi="Verdana"/>
          <w:sz w:val="16"/>
          <w:szCs w:val="16"/>
        </w:rPr>
      </w:pPr>
    </w:p>
    <w:p w14:paraId="649A693F"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i/>
          <w:sz w:val="20"/>
          <w:szCs w:val="20"/>
        </w:rPr>
        <w:t xml:space="preserve">Falta de diligencia. – </w:t>
      </w:r>
      <w:r w:rsidRPr="0039097A">
        <w:rPr>
          <w:rFonts w:ascii="Verdana" w:hAnsi="Verdana"/>
          <w:sz w:val="20"/>
          <w:szCs w:val="20"/>
        </w:rPr>
        <w:t>La Comisión indicó que el Estado, luego de tener conocimiento de los hechos, no inició investigaciones de oficio</w:t>
      </w:r>
      <w:r>
        <w:rPr>
          <w:rFonts w:ascii="Verdana" w:hAnsi="Verdana"/>
          <w:sz w:val="20"/>
          <w:szCs w:val="20"/>
        </w:rPr>
        <w:t>. Señaló que luego de estar paralizadas las actuaciones por la Ley de Caducidad,</w:t>
      </w:r>
      <w:r w:rsidRPr="0039097A">
        <w:rPr>
          <w:rFonts w:ascii="Verdana" w:hAnsi="Verdana"/>
          <w:sz w:val="20"/>
          <w:szCs w:val="20"/>
        </w:rPr>
        <w:t xml:space="preserve"> </w:t>
      </w:r>
      <w:r>
        <w:rPr>
          <w:rFonts w:ascii="Verdana" w:hAnsi="Verdana"/>
          <w:sz w:val="20"/>
          <w:szCs w:val="20"/>
        </w:rPr>
        <w:t>l</w:t>
      </w:r>
      <w:r w:rsidRPr="0039097A">
        <w:rPr>
          <w:rFonts w:ascii="Verdana" w:hAnsi="Verdana"/>
          <w:sz w:val="20"/>
          <w:szCs w:val="20"/>
        </w:rPr>
        <w:t xml:space="preserve">as primeras diligencias respecto de las ejecuciones extrajudiciales fueron efectuadas </w:t>
      </w:r>
      <w:r>
        <w:rPr>
          <w:rFonts w:ascii="Verdana" w:hAnsi="Verdana"/>
          <w:sz w:val="20"/>
          <w:szCs w:val="20"/>
        </w:rPr>
        <w:t xml:space="preserve">cerca de </w:t>
      </w:r>
      <w:r w:rsidRPr="0039097A">
        <w:rPr>
          <w:rFonts w:ascii="Verdana" w:hAnsi="Verdana"/>
          <w:sz w:val="20"/>
          <w:szCs w:val="20"/>
        </w:rPr>
        <w:t>30 años después de los hechos</w:t>
      </w:r>
      <w:r>
        <w:rPr>
          <w:rFonts w:ascii="Verdana" w:hAnsi="Verdana"/>
          <w:sz w:val="20"/>
          <w:szCs w:val="20"/>
        </w:rPr>
        <w:t>.</w:t>
      </w:r>
      <w:r w:rsidRPr="0039097A">
        <w:rPr>
          <w:rFonts w:ascii="Verdana" w:hAnsi="Verdana"/>
          <w:sz w:val="20"/>
          <w:szCs w:val="20"/>
        </w:rPr>
        <w:t xml:space="preserve"> En la audiencia pública</w:t>
      </w:r>
      <w:r>
        <w:rPr>
          <w:rFonts w:ascii="Verdana" w:hAnsi="Verdana"/>
          <w:sz w:val="20"/>
          <w:szCs w:val="20"/>
        </w:rPr>
        <w:t xml:space="preserve"> afirmó</w:t>
      </w:r>
      <w:r w:rsidRPr="0039097A">
        <w:rPr>
          <w:rFonts w:ascii="Verdana" w:hAnsi="Verdana"/>
          <w:sz w:val="20"/>
          <w:szCs w:val="20"/>
        </w:rPr>
        <w:t xml:space="preserve"> que la investigación respecto de las ejecuciones </w:t>
      </w:r>
      <w:r w:rsidRPr="0039097A">
        <w:rPr>
          <w:rFonts w:ascii="Verdana" w:hAnsi="Verdana"/>
          <w:sz w:val="20"/>
          <w:szCs w:val="20"/>
        </w:rPr>
        <w:lastRenderedPageBreak/>
        <w:t>extrajudiciales no “toma[ron] en cuenta un enfoque de género y el deber reforzado que implica la investigación de este tipo de violencia”</w:t>
      </w:r>
      <w:r w:rsidRPr="0039097A">
        <w:rPr>
          <w:rStyle w:val="Refdenotaalpie"/>
          <w:rFonts w:ascii="Verdana" w:hAnsi="Verdana"/>
          <w:sz w:val="20"/>
          <w:szCs w:val="20"/>
        </w:rPr>
        <w:footnoteReference w:id="156"/>
      </w:r>
      <w:r w:rsidRPr="0039097A">
        <w:rPr>
          <w:rFonts w:ascii="Verdana" w:hAnsi="Verdana"/>
          <w:sz w:val="20"/>
          <w:szCs w:val="20"/>
        </w:rPr>
        <w:t>.</w:t>
      </w:r>
      <w:r>
        <w:rPr>
          <w:rFonts w:ascii="Verdana" w:hAnsi="Verdana"/>
          <w:b/>
          <w:sz w:val="16"/>
          <w:szCs w:val="16"/>
        </w:rPr>
        <w:t xml:space="preserve"> </w:t>
      </w:r>
      <w:r w:rsidRPr="0039097A">
        <w:rPr>
          <w:rFonts w:ascii="Verdana" w:hAnsi="Verdana"/>
          <w:sz w:val="20"/>
          <w:szCs w:val="20"/>
        </w:rPr>
        <w:t xml:space="preserve">Indicó también que no surge de los hechos que se hayan iniciado investigaciones de oficio de las dos </w:t>
      </w:r>
      <w:r>
        <w:rPr>
          <w:rFonts w:ascii="Verdana" w:hAnsi="Verdana"/>
          <w:sz w:val="20"/>
          <w:szCs w:val="20"/>
        </w:rPr>
        <w:t>desapariciones</w:t>
      </w:r>
      <w:r w:rsidRPr="0039097A">
        <w:rPr>
          <w:rFonts w:ascii="Verdana" w:hAnsi="Verdana"/>
          <w:sz w:val="20"/>
          <w:szCs w:val="20"/>
        </w:rPr>
        <w:t xml:space="preserve"> forzadas</w:t>
      </w:r>
      <w:r w:rsidRPr="0039097A">
        <w:rPr>
          <w:rStyle w:val="Refdenotaalpie"/>
          <w:rFonts w:ascii="Verdana" w:hAnsi="Verdana"/>
          <w:sz w:val="20"/>
          <w:szCs w:val="20"/>
        </w:rPr>
        <w:footnoteReference w:id="157"/>
      </w:r>
      <w:r w:rsidRPr="0039097A">
        <w:rPr>
          <w:rFonts w:ascii="Verdana" w:hAnsi="Verdana"/>
          <w:sz w:val="20"/>
          <w:szCs w:val="20"/>
        </w:rPr>
        <w:t>. En ambas, por otra parte, hubo conflictos de competencia, que demoraron cerca de dos años en resolverse, por la intervención de la justicia militar. Asimismo, expresó que si bien las investigaciones de las desapariciones “fueron reabiertas”, no han tenido “avances sustantivos”.</w:t>
      </w:r>
      <w:r>
        <w:rPr>
          <w:rFonts w:ascii="Verdana" w:hAnsi="Verdana"/>
          <w:b/>
          <w:sz w:val="16"/>
          <w:szCs w:val="16"/>
        </w:rPr>
        <w:t xml:space="preserve"> </w:t>
      </w:r>
      <w:r w:rsidRPr="00E53751">
        <w:rPr>
          <w:rFonts w:ascii="Verdana" w:hAnsi="Verdana"/>
          <w:sz w:val="20"/>
          <w:szCs w:val="20"/>
        </w:rPr>
        <w:t xml:space="preserve">Agregó que ha habido una conducta omisiva del Estado en cuanto a la implementación de un “plan de búsqueda” de los señores González </w:t>
      </w:r>
      <w:proofErr w:type="spellStart"/>
      <w:r w:rsidRPr="00E53751">
        <w:rPr>
          <w:rFonts w:ascii="Verdana" w:hAnsi="Verdana"/>
          <w:sz w:val="20"/>
          <w:szCs w:val="20"/>
        </w:rPr>
        <w:t>González</w:t>
      </w:r>
      <w:proofErr w:type="spellEnd"/>
      <w:r w:rsidRPr="00E53751">
        <w:rPr>
          <w:rFonts w:ascii="Verdana" w:hAnsi="Verdana"/>
          <w:sz w:val="20"/>
          <w:szCs w:val="20"/>
        </w:rPr>
        <w:t xml:space="preserve"> y </w:t>
      </w:r>
      <w:proofErr w:type="spellStart"/>
      <w:r w:rsidRPr="00E53751">
        <w:rPr>
          <w:rFonts w:ascii="Verdana" w:hAnsi="Verdana"/>
          <w:sz w:val="20"/>
          <w:szCs w:val="20"/>
        </w:rPr>
        <w:t>Tassino</w:t>
      </w:r>
      <w:proofErr w:type="spellEnd"/>
      <w:r w:rsidRPr="00E53751">
        <w:rPr>
          <w:rFonts w:ascii="Verdana" w:hAnsi="Verdana"/>
          <w:sz w:val="20"/>
          <w:szCs w:val="20"/>
        </w:rPr>
        <w:t xml:space="preserve"> </w:t>
      </w:r>
      <w:proofErr w:type="spellStart"/>
      <w:r w:rsidRPr="00E53751">
        <w:rPr>
          <w:rFonts w:ascii="Verdana" w:hAnsi="Verdana"/>
          <w:sz w:val="20"/>
          <w:szCs w:val="20"/>
        </w:rPr>
        <w:t>Asteazu</w:t>
      </w:r>
      <w:proofErr w:type="spellEnd"/>
      <w:r w:rsidRPr="008C0AAC">
        <w:rPr>
          <w:rStyle w:val="Refdenotaalpie"/>
          <w:rFonts w:ascii="Verdana" w:hAnsi="Verdana"/>
          <w:sz w:val="20"/>
          <w:szCs w:val="20"/>
        </w:rPr>
        <w:footnoteReference w:id="158"/>
      </w:r>
      <w:r w:rsidRPr="00E53751">
        <w:rPr>
          <w:rFonts w:ascii="Verdana" w:hAnsi="Verdana"/>
          <w:sz w:val="20"/>
          <w:szCs w:val="20"/>
        </w:rPr>
        <w:t>.</w:t>
      </w:r>
    </w:p>
    <w:p w14:paraId="12C492DF" w14:textId="77777777" w:rsidR="002A53BF" w:rsidRPr="0039097A" w:rsidRDefault="002A53BF" w:rsidP="005A5029">
      <w:pPr>
        <w:pStyle w:val="Prrafodelista"/>
        <w:spacing w:after="0" w:line="240" w:lineRule="exact"/>
        <w:ind w:left="0"/>
        <w:jc w:val="both"/>
      </w:pPr>
    </w:p>
    <w:p w14:paraId="1A432797" w14:textId="77777777" w:rsidR="002A53BF" w:rsidRPr="0039097A" w:rsidRDefault="002A53BF" w:rsidP="005A5029">
      <w:pPr>
        <w:pStyle w:val="Prrafodelista"/>
        <w:numPr>
          <w:ilvl w:val="0"/>
          <w:numId w:val="49"/>
        </w:numPr>
        <w:spacing w:after="0" w:line="240" w:lineRule="exact"/>
        <w:ind w:left="0" w:firstLine="0"/>
        <w:jc w:val="both"/>
      </w:pPr>
      <w:r w:rsidRPr="0039097A">
        <w:rPr>
          <w:rFonts w:ascii="Verdana" w:hAnsi="Verdana"/>
          <w:i/>
          <w:sz w:val="20"/>
          <w:szCs w:val="20"/>
        </w:rPr>
        <w:t xml:space="preserve">Inobservancia de un plazo razonable. </w:t>
      </w:r>
      <w:r>
        <w:rPr>
          <w:rFonts w:ascii="Verdana" w:hAnsi="Verdana"/>
          <w:i/>
          <w:sz w:val="20"/>
          <w:szCs w:val="20"/>
        </w:rPr>
        <w:t>–</w:t>
      </w:r>
      <w:r w:rsidRPr="0039097A">
        <w:rPr>
          <w:rFonts w:ascii="Verdana" w:hAnsi="Verdana"/>
          <w:i/>
          <w:sz w:val="20"/>
          <w:szCs w:val="20"/>
        </w:rPr>
        <w:t xml:space="preserve"> </w:t>
      </w:r>
      <w:r>
        <w:rPr>
          <w:rFonts w:ascii="Verdana" w:hAnsi="Verdana"/>
          <w:sz w:val="20"/>
          <w:szCs w:val="20"/>
        </w:rPr>
        <w:t>Por último, la Comisión adujo que t</w:t>
      </w:r>
      <w:r w:rsidRPr="0039097A">
        <w:rPr>
          <w:rFonts w:ascii="Verdana" w:hAnsi="Verdana"/>
          <w:sz w:val="20"/>
          <w:szCs w:val="20"/>
        </w:rPr>
        <w:t xml:space="preserve">ranscurrieron más de 40 años desde que ocurrieron los hechos, y aún no han sido esclarecidos. </w:t>
      </w:r>
      <w:r>
        <w:rPr>
          <w:rFonts w:ascii="Verdana" w:hAnsi="Verdana"/>
          <w:sz w:val="20"/>
          <w:szCs w:val="20"/>
        </w:rPr>
        <w:t>Alegó que, t</w:t>
      </w:r>
      <w:r w:rsidRPr="0039097A">
        <w:rPr>
          <w:rFonts w:ascii="Verdana" w:hAnsi="Verdana"/>
          <w:sz w:val="20"/>
          <w:szCs w:val="20"/>
        </w:rPr>
        <w:t xml:space="preserve">eniendo en cuenta la falta de impulso de las investigaciones y la aplicación de la Ley de Caducidad, </w:t>
      </w:r>
      <w:r>
        <w:rPr>
          <w:rFonts w:ascii="Verdana" w:hAnsi="Verdana"/>
          <w:sz w:val="20"/>
          <w:szCs w:val="20"/>
        </w:rPr>
        <w:t xml:space="preserve">es claro que ese tiempo conllevó </w:t>
      </w:r>
      <w:r w:rsidRPr="0039097A">
        <w:rPr>
          <w:rFonts w:ascii="Verdana" w:hAnsi="Verdana"/>
          <w:sz w:val="20"/>
          <w:szCs w:val="20"/>
        </w:rPr>
        <w:t xml:space="preserve">una vulneración del plazo razonable. </w:t>
      </w:r>
    </w:p>
    <w:p w14:paraId="1D5296A3" w14:textId="77777777" w:rsidR="002A53BF" w:rsidRPr="0039097A" w:rsidRDefault="002A53BF" w:rsidP="005A5029">
      <w:pPr>
        <w:pStyle w:val="Prrafodelista"/>
        <w:spacing w:before="120" w:after="120" w:line="240" w:lineRule="exact"/>
        <w:ind w:left="0"/>
        <w:jc w:val="both"/>
      </w:pPr>
      <w:r w:rsidRPr="0039097A" w:rsidDel="008C0AAC">
        <w:rPr>
          <w:rFonts w:ascii="Verdana" w:hAnsi="Verdana"/>
          <w:sz w:val="20"/>
          <w:szCs w:val="20"/>
        </w:rPr>
        <w:t xml:space="preserve"> </w:t>
      </w:r>
    </w:p>
    <w:p w14:paraId="0469A956" w14:textId="77777777" w:rsidR="002A53BF" w:rsidRPr="0039097A" w:rsidRDefault="002A53BF" w:rsidP="005A5029">
      <w:pPr>
        <w:pStyle w:val="Prrafodelista"/>
        <w:numPr>
          <w:ilvl w:val="0"/>
          <w:numId w:val="49"/>
        </w:numPr>
        <w:spacing w:before="120" w:after="120" w:line="240" w:lineRule="exact"/>
        <w:ind w:left="0" w:firstLine="0"/>
        <w:jc w:val="both"/>
      </w:pPr>
      <w:r w:rsidRPr="0039097A">
        <w:rPr>
          <w:rFonts w:ascii="Verdana" w:hAnsi="Verdana"/>
          <w:sz w:val="20"/>
          <w:szCs w:val="20"/>
        </w:rPr>
        <w:t xml:space="preserve">La Comisión concluyó que, en perjuicio de Diana </w:t>
      </w:r>
      <w:proofErr w:type="spellStart"/>
      <w:r w:rsidRPr="0039097A">
        <w:rPr>
          <w:rFonts w:ascii="Verdana" w:hAnsi="Verdana"/>
          <w:sz w:val="20"/>
          <w:szCs w:val="20"/>
        </w:rPr>
        <w:t>Maidanik</w:t>
      </w:r>
      <w:proofErr w:type="spellEnd"/>
      <w:r w:rsidRPr="0039097A">
        <w:rPr>
          <w:rFonts w:ascii="Verdana" w:hAnsi="Verdana"/>
          <w:sz w:val="20"/>
          <w:szCs w:val="20"/>
        </w:rPr>
        <w:t xml:space="preserve">, Silvia Reyes y Laura Raggio, el Estado vulneró los artículos 8.1 y 25.1 de la Convención, en relación con sus artículos 1.1 y 2, y que, en perjuicio de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Oscar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Asteazu</w:t>
      </w:r>
      <w:proofErr w:type="spellEnd"/>
      <w:r w:rsidRPr="0039097A">
        <w:rPr>
          <w:rFonts w:ascii="Verdana" w:hAnsi="Verdana"/>
          <w:sz w:val="20"/>
          <w:szCs w:val="20"/>
        </w:rPr>
        <w:t xml:space="preserve"> incumplió las mismas normas y, además, los artículos I.</w:t>
      </w:r>
      <w:r>
        <w:rPr>
          <w:rFonts w:ascii="Verdana" w:hAnsi="Verdana"/>
          <w:sz w:val="20"/>
          <w:szCs w:val="20"/>
        </w:rPr>
        <w:t xml:space="preserve"> </w:t>
      </w:r>
      <w:r w:rsidRPr="0039097A">
        <w:rPr>
          <w:rFonts w:ascii="Verdana" w:hAnsi="Verdana"/>
          <w:sz w:val="20"/>
          <w:szCs w:val="20"/>
        </w:rPr>
        <w:t>b</w:t>
      </w:r>
      <w:r>
        <w:rPr>
          <w:rFonts w:ascii="Verdana" w:hAnsi="Verdana"/>
          <w:sz w:val="20"/>
          <w:szCs w:val="20"/>
        </w:rPr>
        <w:t>)</w:t>
      </w:r>
      <w:r w:rsidRPr="0039097A">
        <w:rPr>
          <w:rFonts w:ascii="Verdana" w:hAnsi="Verdana"/>
          <w:sz w:val="20"/>
          <w:szCs w:val="20"/>
        </w:rPr>
        <w:t xml:space="preserve"> y I.</w:t>
      </w:r>
      <w:r>
        <w:rPr>
          <w:rFonts w:ascii="Verdana" w:hAnsi="Verdana"/>
          <w:sz w:val="20"/>
          <w:szCs w:val="20"/>
        </w:rPr>
        <w:t xml:space="preserve"> </w:t>
      </w:r>
      <w:r w:rsidRPr="0039097A">
        <w:rPr>
          <w:rFonts w:ascii="Verdana" w:hAnsi="Verdana"/>
          <w:sz w:val="20"/>
          <w:szCs w:val="20"/>
        </w:rPr>
        <w:t>c</w:t>
      </w:r>
      <w:r>
        <w:rPr>
          <w:rFonts w:ascii="Verdana" w:hAnsi="Verdana"/>
          <w:sz w:val="20"/>
          <w:szCs w:val="20"/>
        </w:rPr>
        <w:t>)</w:t>
      </w:r>
      <w:r w:rsidRPr="0039097A">
        <w:rPr>
          <w:rFonts w:ascii="Verdana" w:hAnsi="Verdana"/>
          <w:sz w:val="20"/>
          <w:szCs w:val="20"/>
        </w:rPr>
        <w:t xml:space="preserve"> de la CIDFP.</w:t>
      </w:r>
    </w:p>
    <w:p w14:paraId="6491EB9B" w14:textId="77777777" w:rsidR="002A53BF" w:rsidRPr="0039097A" w:rsidRDefault="002A53BF" w:rsidP="005A5029">
      <w:pPr>
        <w:pStyle w:val="Prrafodelista"/>
        <w:spacing w:before="120" w:after="120" w:line="240" w:lineRule="exact"/>
        <w:ind w:left="0"/>
        <w:jc w:val="both"/>
      </w:pPr>
      <w:r w:rsidRPr="0039097A">
        <w:rPr>
          <w:rFonts w:ascii="Verdana" w:hAnsi="Verdana"/>
          <w:sz w:val="20"/>
          <w:szCs w:val="20"/>
        </w:rPr>
        <w:t xml:space="preserve"> </w:t>
      </w:r>
    </w:p>
    <w:p w14:paraId="4D088F52" w14:textId="77777777" w:rsidR="002A53BF" w:rsidRPr="00E53751" w:rsidRDefault="002A53BF" w:rsidP="005A5029">
      <w:pPr>
        <w:pStyle w:val="Prrafodelista"/>
        <w:numPr>
          <w:ilvl w:val="0"/>
          <w:numId w:val="49"/>
        </w:numPr>
        <w:spacing w:before="120" w:after="120" w:line="240" w:lineRule="exact"/>
        <w:ind w:left="0" w:firstLine="0"/>
        <w:jc w:val="both"/>
      </w:pPr>
      <w:r w:rsidRPr="0039097A">
        <w:rPr>
          <w:rFonts w:ascii="Verdana" w:hAnsi="Verdana"/>
          <w:sz w:val="20"/>
          <w:szCs w:val="20"/>
        </w:rPr>
        <w:t xml:space="preserve">Los </w:t>
      </w:r>
      <w:r w:rsidRPr="0039097A">
        <w:rPr>
          <w:rFonts w:ascii="Verdana" w:hAnsi="Verdana"/>
          <w:b/>
          <w:i/>
          <w:sz w:val="20"/>
          <w:szCs w:val="20"/>
        </w:rPr>
        <w:t>representantes</w:t>
      </w:r>
      <w:r w:rsidRPr="0039097A">
        <w:rPr>
          <w:rFonts w:ascii="Verdana" w:hAnsi="Verdana"/>
          <w:sz w:val="20"/>
          <w:szCs w:val="20"/>
        </w:rPr>
        <w:t xml:space="preserve"> </w:t>
      </w:r>
      <w:r w:rsidRPr="0039097A">
        <w:rPr>
          <w:rFonts w:ascii="Verdana" w:eastAsia="Verdana" w:hAnsi="Verdana" w:cs="Verdana"/>
          <w:sz w:val="20"/>
          <w:szCs w:val="20"/>
        </w:rPr>
        <w:t>alegaron que, en relación con hechos de la última dictadura militar, Uruguay vive una “situación de impunidad estructural inadmisible”</w:t>
      </w:r>
      <w:r w:rsidRPr="0039097A">
        <w:rPr>
          <w:rStyle w:val="Refdenotaalpie"/>
          <w:rFonts w:ascii="Verdana" w:eastAsia="Verdana" w:hAnsi="Verdana" w:cs="Verdana"/>
          <w:sz w:val="20"/>
          <w:szCs w:val="20"/>
        </w:rPr>
        <w:footnoteReference w:id="159"/>
      </w:r>
      <w:r w:rsidRPr="0039097A">
        <w:rPr>
          <w:rFonts w:ascii="Verdana" w:eastAsia="Verdana" w:hAnsi="Verdana" w:cs="Verdana"/>
          <w:sz w:val="20"/>
          <w:szCs w:val="20"/>
        </w:rPr>
        <w:t>.</w:t>
      </w:r>
      <w:r w:rsidRPr="0039097A">
        <w:rPr>
          <w:rFonts w:ascii="Verdana" w:eastAsia="Verdana" w:hAnsi="Verdana" w:cs="Verdana"/>
          <w:b/>
          <w:sz w:val="16"/>
          <w:szCs w:val="16"/>
        </w:rPr>
        <w:t xml:space="preserve"> </w:t>
      </w:r>
      <w:r>
        <w:rPr>
          <w:rFonts w:ascii="Verdana" w:hAnsi="Verdana"/>
          <w:sz w:val="20"/>
          <w:szCs w:val="20"/>
        </w:rPr>
        <w:t>A</w:t>
      </w:r>
      <w:r w:rsidRPr="0039097A">
        <w:rPr>
          <w:rFonts w:ascii="Verdana" w:hAnsi="Verdana"/>
          <w:sz w:val="20"/>
          <w:szCs w:val="20"/>
        </w:rPr>
        <w:t>severaron que aceptan “algunos avances” en las investigacion</w:t>
      </w:r>
      <w:r>
        <w:rPr>
          <w:rFonts w:ascii="Verdana" w:hAnsi="Verdana"/>
          <w:sz w:val="20"/>
          <w:szCs w:val="20"/>
        </w:rPr>
        <w:t>es, así como el “trabajo de la Fiscalía E</w:t>
      </w:r>
      <w:r w:rsidRPr="0039097A">
        <w:rPr>
          <w:rFonts w:ascii="Verdana" w:hAnsi="Verdana"/>
          <w:sz w:val="20"/>
          <w:szCs w:val="20"/>
        </w:rPr>
        <w:t>specializada”</w:t>
      </w:r>
      <w:r>
        <w:rPr>
          <w:rStyle w:val="Refdenotaalpie"/>
          <w:rFonts w:ascii="Verdana" w:hAnsi="Verdana"/>
          <w:sz w:val="20"/>
          <w:szCs w:val="20"/>
        </w:rPr>
        <w:footnoteReference w:id="160"/>
      </w:r>
      <w:r>
        <w:rPr>
          <w:rFonts w:ascii="Verdana" w:hAnsi="Verdana"/>
          <w:sz w:val="20"/>
          <w:szCs w:val="20"/>
        </w:rPr>
        <w:t xml:space="preserve">, pero que </w:t>
      </w:r>
      <w:r w:rsidRPr="0039097A">
        <w:rPr>
          <w:rFonts w:ascii="Verdana" w:hAnsi="Verdana"/>
          <w:sz w:val="20"/>
          <w:szCs w:val="20"/>
        </w:rPr>
        <w:t>“</w:t>
      </w:r>
      <w:r w:rsidRPr="0039097A">
        <w:rPr>
          <w:rFonts w:ascii="Verdana" w:eastAsia="Verdana" w:hAnsi="Verdana" w:cs="Verdana"/>
          <w:sz w:val="20"/>
          <w:szCs w:val="20"/>
        </w:rPr>
        <w:t>a casi 50 años de los hechos denunciados” los familiares de las víctimas “[no] han obtenido respuestas satisfactorias”.</w:t>
      </w:r>
    </w:p>
    <w:p w14:paraId="5C6F19D9" w14:textId="77777777" w:rsidR="002A53BF" w:rsidRPr="00E53751" w:rsidRDefault="002A53BF" w:rsidP="005A5029">
      <w:pPr>
        <w:pStyle w:val="Prrafodelista"/>
        <w:spacing w:line="240" w:lineRule="exact"/>
        <w:rPr>
          <w:rFonts w:ascii="Verdana" w:eastAsia="Verdana" w:hAnsi="Verdana" w:cs="Verdana"/>
          <w:b/>
          <w:sz w:val="16"/>
          <w:szCs w:val="16"/>
        </w:rPr>
      </w:pPr>
    </w:p>
    <w:p w14:paraId="2D3F8A9A" w14:textId="77777777" w:rsidR="002A53BF" w:rsidRPr="00E53751" w:rsidRDefault="002A53BF" w:rsidP="005A5029">
      <w:pPr>
        <w:pStyle w:val="Prrafodelista"/>
        <w:numPr>
          <w:ilvl w:val="0"/>
          <w:numId w:val="49"/>
        </w:numPr>
        <w:spacing w:before="120" w:after="120" w:line="240" w:lineRule="exact"/>
        <w:ind w:left="0" w:firstLine="0"/>
        <w:jc w:val="both"/>
        <w:rPr>
          <w:rFonts w:ascii="Verdana" w:hAnsi="Verdana"/>
          <w:sz w:val="20"/>
          <w:szCs w:val="20"/>
        </w:rPr>
      </w:pPr>
      <w:r w:rsidRPr="0039097A">
        <w:rPr>
          <w:rFonts w:ascii="Verdana" w:eastAsia="Verdana" w:hAnsi="Verdana" w:cs="Verdana"/>
          <w:sz w:val="20"/>
          <w:szCs w:val="20"/>
        </w:rPr>
        <w:t>Puntualizaron que no se ha procesado ni acusado a ninguna persona por el hecho que derivó en las muertes de Diana</w:t>
      </w:r>
      <w:r>
        <w:rPr>
          <w:rFonts w:ascii="Verdana" w:eastAsia="Verdana" w:hAnsi="Verdana" w:cs="Verdana"/>
          <w:sz w:val="20"/>
          <w:szCs w:val="20"/>
        </w:rPr>
        <w:t xml:space="preserve"> </w:t>
      </w:r>
      <w:proofErr w:type="spellStart"/>
      <w:r>
        <w:rPr>
          <w:rFonts w:ascii="Verdana" w:eastAsia="Verdana" w:hAnsi="Verdana" w:cs="Verdana"/>
          <w:sz w:val="20"/>
          <w:szCs w:val="20"/>
        </w:rPr>
        <w:t>Maidanik</w:t>
      </w:r>
      <w:proofErr w:type="spellEnd"/>
      <w:r w:rsidRPr="0039097A">
        <w:rPr>
          <w:rFonts w:ascii="Verdana" w:eastAsia="Verdana" w:hAnsi="Verdana" w:cs="Verdana"/>
          <w:sz w:val="20"/>
          <w:szCs w:val="20"/>
        </w:rPr>
        <w:t xml:space="preserve">, </w:t>
      </w:r>
      <w:r>
        <w:rPr>
          <w:rFonts w:ascii="Verdana" w:eastAsia="Verdana" w:hAnsi="Verdana" w:cs="Verdana"/>
          <w:sz w:val="20"/>
          <w:szCs w:val="20"/>
        </w:rPr>
        <w:t>Silvia Reyes y L</w:t>
      </w:r>
      <w:r w:rsidRPr="0039097A">
        <w:rPr>
          <w:rFonts w:ascii="Verdana" w:eastAsia="Verdana" w:hAnsi="Verdana" w:cs="Verdana"/>
          <w:sz w:val="20"/>
          <w:szCs w:val="20"/>
        </w:rPr>
        <w:t>aura</w:t>
      </w:r>
      <w:r>
        <w:rPr>
          <w:rFonts w:ascii="Verdana" w:eastAsia="Verdana" w:hAnsi="Verdana" w:cs="Verdana"/>
          <w:sz w:val="20"/>
          <w:szCs w:val="20"/>
        </w:rPr>
        <w:t xml:space="preserve"> Raggio</w:t>
      </w:r>
      <w:r w:rsidRPr="0039097A">
        <w:rPr>
          <w:rFonts w:ascii="Verdana" w:eastAsia="Verdana" w:hAnsi="Verdana" w:cs="Verdana"/>
          <w:sz w:val="20"/>
          <w:szCs w:val="20"/>
        </w:rPr>
        <w:t xml:space="preserve">, y que las </w:t>
      </w:r>
      <w:r>
        <w:rPr>
          <w:rFonts w:ascii="Verdana" w:eastAsia="Verdana" w:hAnsi="Verdana" w:cs="Verdana"/>
          <w:sz w:val="20"/>
          <w:szCs w:val="20"/>
        </w:rPr>
        <w:lastRenderedPageBreak/>
        <w:t>actuaciones respectivas</w:t>
      </w:r>
      <w:r w:rsidRPr="0039097A">
        <w:rPr>
          <w:rFonts w:ascii="Verdana" w:eastAsia="Verdana" w:hAnsi="Verdana" w:cs="Verdana"/>
          <w:sz w:val="20"/>
          <w:szCs w:val="20"/>
        </w:rPr>
        <w:t xml:space="preserve"> no se han desarrollado “con perspectiva de género”</w:t>
      </w:r>
      <w:r>
        <w:rPr>
          <w:rFonts w:ascii="Verdana" w:eastAsia="Verdana" w:hAnsi="Verdana" w:cs="Verdana"/>
          <w:sz w:val="20"/>
          <w:szCs w:val="20"/>
        </w:rPr>
        <w:t>.</w:t>
      </w:r>
      <w:r w:rsidRPr="0039097A">
        <w:rPr>
          <w:rFonts w:ascii="Verdana" w:eastAsia="Verdana" w:hAnsi="Verdana" w:cs="Verdana"/>
          <w:b/>
          <w:sz w:val="16"/>
          <w:szCs w:val="16"/>
        </w:rPr>
        <w:t xml:space="preserve"> </w:t>
      </w:r>
      <w:r w:rsidRPr="0039097A">
        <w:rPr>
          <w:rFonts w:ascii="Verdana" w:eastAsia="Verdana" w:hAnsi="Verdana" w:cs="Verdana"/>
          <w:sz w:val="20"/>
          <w:szCs w:val="20"/>
        </w:rPr>
        <w:t>Agregaron que no se ha obtenido información sobre</w:t>
      </w:r>
      <w:r>
        <w:rPr>
          <w:rFonts w:ascii="Verdana" w:eastAsia="Verdana" w:hAnsi="Verdana" w:cs="Verdana"/>
          <w:sz w:val="20"/>
          <w:szCs w:val="20"/>
        </w:rPr>
        <w:t xml:space="preserve"> el paradero o</w:t>
      </w:r>
      <w:r w:rsidRPr="0039097A">
        <w:rPr>
          <w:rFonts w:ascii="Verdana" w:eastAsia="Verdana" w:hAnsi="Verdana" w:cs="Verdana"/>
          <w:sz w:val="20"/>
          <w:szCs w:val="20"/>
        </w:rPr>
        <w:t xml:space="preserve"> los restos de Luis Eduardo González </w:t>
      </w:r>
      <w:proofErr w:type="spellStart"/>
      <w:r w:rsidRPr="0039097A">
        <w:rPr>
          <w:rFonts w:ascii="Verdana" w:eastAsia="Verdana" w:hAnsi="Verdana" w:cs="Verdana"/>
          <w:sz w:val="20"/>
          <w:szCs w:val="20"/>
        </w:rPr>
        <w:t>González</w:t>
      </w:r>
      <w:proofErr w:type="spellEnd"/>
      <w:r w:rsidRPr="0039097A">
        <w:rPr>
          <w:rFonts w:ascii="Verdana" w:eastAsia="Verdana" w:hAnsi="Verdana" w:cs="Verdana"/>
          <w:sz w:val="20"/>
          <w:szCs w:val="20"/>
        </w:rPr>
        <w:t xml:space="preserve"> y Oscar </w:t>
      </w:r>
      <w:proofErr w:type="spellStart"/>
      <w:r w:rsidRPr="0039097A">
        <w:rPr>
          <w:rFonts w:ascii="Verdana" w:eastAsia="Verdana" w:hAnsi="Verdana" w:cs="Verdana"/>
          <w:sz w:val="20"/>
          <w:szCs w:val="20"/>
        </w:rPr>
        <w:t>Tassino</w:t>
      </w:r>
      <w:proofErr w:type="spellEnd"/>
      <w:r w:rsidRPr="0039097A">
        <w:rPr>
          <w:rFonts w:ascii="Verdana" w:eastAsia="Verdana" w:hAnsi="Verdana" w:cs="Verdana"/>
          <w:sz w:val="20"/>
          <w:szCs w:val="20"/>
        </w:rPr>
        <w:t xml:space="preserve">, y que recién en marzo de 2021 </w:t>
      </w:r>
      <w:r w:rsidRPr="0039097A">
        <w:t>“</w:t>
      </w:r>
      <w:r w:rsidRPr="0039097A">
        <w:rPr>
          <w:rFonts w:ascii="Verdana" w:eastAsia="Verdana" w:hAnsi="Verdana" w:cs="Verdana"/>
          <w:sz w:val="20"/>
          <w:szCs w:val="20"/>
        </w:rPr>
        <w:t>fue procesado el principal sospechoso” de la desaparición del último mencionado.</w:t>
      </w:r>
      <w:r w:rsidRPr="0039097A">
        <w:rPr>
          <w:rFonts w:ascii="Verdana" w:eastAsia="Verdana" w:hAnsi="Verdana" w:cs="Verdana"/>
          <w:sz w:val="24"/>
          <w:szCs w:val="24"/>
        </w:rPr>
        <w:t xml:space="preserve"> </w:t>
      </w:r>
      <w:r>
        <w:rPr>
          <w:rFonts w:ascii="Verdana" w:hAnsi="Verdana"/>
          <w:sz w:val="20"/>
          <w:szCs w:val="20"/>
        </w:rPr>
        <w:t>Afirmaron</w:t>
      </w:r>
      <w:r w:rsidRPr="0039097A">
        <w:rPr>
          <w:rFonts w:ascii="Verdana" w:hAnsi="Verdana"/>
          <w:sz w:val="20"/>
          <w:szCs w:val="20"/>
        </w:rPr>
        <w:t>, además, que “el poder judicial no ha tramitado las causas con la debida diligencia”, teniendo en cuenta la “urgencia especial” de los asuntos, sino que actúa “como si fueran causas comunes”. Señalaron que se presentan, además</w:t>
      </w:r>
      <w:proofErr w:type="gramStart"/>
      <w:r w:rsidRPr="0039097A">
        <w:rPr>
          <w:rFonts w:ascii="Verdana" w:hAnsi="Verdana"/>
          <w:sz w:val="20"/>
          <w:szCs w:val="20"/>
        </w:rPr>
        <w:t>, ”</w:t>
      </w:r>
      <w:r>
        <w:rPr>
          <w:rFonts w:ascii="Verdana" w:hAnsi="Verdana"/>
          <w:sz w:val="20"/>
          <w:szCs w:val="20"/>
        </w:rPr>
        <w:t>estrategias</w:t>
      </w:r>
      <w:proofErr w:type="gramEnd"/>
      <w:r w:rsidRPr="0039097A">
        <w:rPr>
          <w:rFonts w:ascii="Verdana" w:hAnsi="Verdana"/>
          <w:sz w:val="20"/>
          <w:szCs w:val="20"/>
        </w:rPr>
        <w:t xml:space="preserve"> dilatorias” de las personas procesadas</w:t>
      </w:r>
      <w:r w:rsidRPr="0039097A">
        <w:rPr>
          <w:rStyle w:val="Refdenotaalpie"/>
          <w:rFonts w:ascii="Verdana" w:hAnsi="Verdana"/>
          <w:sz w:val="20"/>
          <w:szCs w:val="20"/>
        </w:rPr>
        <w:footnoteReference w:id="161"/>
      </w:r>
      <w:r w:rsidRPr="0039097A">
        <w:rPr>
          <w:rFonts w:ascii="Verdana" w:hAnsi="Verdana"/>
          <w:sz w:val="20"/>
          <w:szCs w:val="20"/>
        </w:rPr>
        <w:t>.</w:t>
      </w:r>
    </w:p>
    <w:p w14:paraId="79B4F794" w14:textId="77777777" w:rsidR="002A53BF" w:rsidRPr="0039097A" w:rsidRDefault="002A53BF" w:rsidP="005A5029">
      <w:pPr>
        <w:pStyle w:val="Prrafodelista"/>
        <w:spacing w:before="120" w:after="120" w:line="240" w:lineRule="exact"/>
        <w:ind w:left="0"/>
        <w:jc w:val="both"/>
        <w:rPr>
          <w:rFonts w:ascii="Verdana" w:hAnsi="Verdana"/>
          <w:sz w:val="20"/>
          <w:szCs w:val="20"/>
        </w:rPr>
      </w:pPr>
      <w:r>
        <w:rPr>
          <w:rFonts w:ascii="Verdana" w:hAnsi="Verdana"/>
          <w:b/>
          <w:sz w:val="16"/>
          <w:szCs w:val="16"/>
        </w:rPr>
        <w:t xml:space="preserve"> </w:t>
      </w:r>
    </w:p>
    <w:p w14:paraId="2E8AED77" w14:textId="77777777" w:rsidR="002A53BF" w:rsidRPr="0039097A" w:rsidRDefault="002A53BF" w:rsidP="005A5029">
      <w:pPr>
        <w:pStyle w:val="Prrafodelista"/>
        <w:numPr>
          <w:ilvl w:val="0"/>
          <w:numId w:val="49"/>
        </w:numPr>
        <w:spacing w:after="0" w:line="240" w:lineRule="exact"/>
        <w:ind w:left="0" w:firstLine="0"/>
        <w:jc w:val="both"/>
      </w:pPr>
      <w:r>
        <w:rPr>
          <w:rFonts w:ascii="Verdana" w:hAnsi="Verdana"/>
          <w:sz w:val="20"/>
          <w:szCs w:val="20"/>
        </w:rPr>
        <w:t>Concluyeron, c</w:t>
      </w:r>
      <w:r w:rsidRPr="0039097A">
        <w:rPr>
          <w:rFonts w:ascii="Verdana" w:hAnsi="Verdana"/>
          <w:sz w:val="20"/>
          <w:szCs w:val="20"/>
        </w:rPr>
        <w:t xml:space="preserve">itando los artículos 8 y 13 de la Convención Americana, que los familiares de las víctimas directas vieron vulnerado su derecho de “acceso a la justicia”, así como su “derecho a la verdad”. Además, aludiendo a las </w:t>
      </w:r>
      <w:r>
        <w:rPr>
          <w:rFonts w:ascii="Verdana" w:hAnsi="Verdana"/>
          <w:sz w:val="20"/>
          <w:szCs w:val="20"/>
        </w:rPr>
        <w:t xml:space="preserve">actuaciones sobre las </w:t>
      </w:r>
      <w:r w:rsidRPr="0039097A">
        <w:rPr>
          <w:rFonts w:ascii="Verdana" w:hAnsi="Verdana"/>
          <w:sz w:val="20"/>
          <w:szCs w:val="20"/>
        </w:rPr>
        <w:t xml:space="preserve">desapariciones forzadas de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Oscar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señalaron que el Estado violó los</w:t>
      </w:r>
      <w:r w:rsidRPr="0039097A">
        <w:rPr>
          <w:rFonts w:ascii="Verdana" w:hAnsi="Verdana"/>
          <w:b/>
          <w:sz w:val="20"/>
          <w:szCs w:val="20"/>
        </w:rPr>
        <w:t xml:space="preserve"> </w:t>
      </w:r>
      <w:r w:rsidRPr="0039097A">
        <w:rPr>
          <w:rFonts w:ascii="Verdana" w:hAnsi="Verdana"/>
          <w:sz w:val="20"/>
          <w:szCs w:val="20"/>
        </w:rPr>
        <w:t>artículos 8.1 y 25.1 de la Convención Americana y los artículos I. b</w:t>
      </w:r>
      <w:r>
        <w:rPr>
          <w:rFonts w:ascii="Verdana" w:hAnsi="Verdana"/>
          <w:sz w:val="20"/>
          <w:szCs w:val="20"/>
        </w:rPr>
        <w:t>)</w:t>
      </w:r>
      <w:r w:rsidRPr="0039097A">
        <w:rPr>
          <w:rFonts w:ascii="Verdana" w:hAnsi="Verdana"/>
          <w:sz w:val="20"/>
          <w:szCs w:val="20"/>
        </w:rPr>
        <w:t xml:space="preserve"> y I.</w:t>
      </w:r>
      <w:r>
        <w:rPr>
          <w:rFonts w:ascii="Verdana" w:hAnsi="Verdana"/>
          <w:sz w:val="20"/>
          <w:szCs w:val="20"/>
        </w:rPr>
        <w:t xml:space="preserve"> </w:t>
      </w:r>
      <w:r w:rsidRPr="0039097A">
        <w:rPr>
          <w:rFonts w:ascii="Verdana" w:hAnsi="Verdana"/>
          <w:sz w:val="20"/>
          <w:szCs w:val="20"/>
        </w:rPr>
        <w:t>d</w:t>
      </w:r>
      <w:r>
        <w:rPr>
          <w:rFonts w:ascii="Verdana" w:hAnsi="Verdana"/>
          <w:sz w:val="20"/>
          <w:szCs w:val="20"/>
        </w:rPr>
        <w:t>)</w:t>
      </w:r>
      <w:r w:rsidRPr="0039097A">
        <w:rPr>
          <w:rFonts w:ascii="Verdana" w:hAnsi="Verdana"/>
          <w:sz w:val="20"/>
          <w:szCs w:val="20"/>
        </w:rPr>
        <w:t xml:space="preserve"> de la Convención Interamericana sobre Desaparición Forzada de Personas.</w:t>
      </w:r>
    </w:p>
    <w:p w14:paraId="22C4BC15" w14:textId="77777777" w:rsidR="002A53BF" w:rsidRPr="0039097A" w:rsidRDefault="002A53BF" w:rsidP="005A5029">
      <w:pPr>
        <w:spacing w:after="0" w:line="240" w:lineRule="exact"/>
      </w:pPr>
    </w:p>
    <w:p w14:paraId="707040E7" w14:textId="760A1626" w:rsidR="002A53BF" w:rsidRPr="0039097A" w:rsidRDefault="002A53BF" w:rsidP="005A5029">
      <w:pPr>
        <w:pStyle w:val="Prrafodelista"/>
        <w:numPr>
          <w:ilvl w:val="0"/>
          <w:numId w:val="49"/>
        </w:numPr>
        <w:spacing w:after="0" w:line="240" w:lineRule="exact"/>
        <w:ind w:left="0" w:firstLine="0"/>
        <w:jc w:val="both"/>
      </w:pPr>
      <w:r w:rsidRPr="0039097A">
        <w:rPr>
          <w:rFonts w:ascii="Verdana" w:hAnsi="Verdana"/>
          <w:sz w:val="20"/>
          <w:szCs w:val="20"/>
        </w:rPr>
        <w:t xml:space="preserve">El </w:t>
      </w:r>
      <w:r w:rsidRPr="0039097A">
        <w:rPr>
          <w:rFonts w:ascii="Verdana" w:hAnsi="Verdana"/>
          <w:b/>
          <w:i/>
          <w:sz w:val="20"/>
          <w:szCs w:val="20"/>
        </w:rPr>
        <w:t>Estado</w:t>
      </w:r>
      <w:r w:rsidRPr="0039097A">
        <w:rPr>
          <w:rFonts w:ascii="Verdana" w:hAnsi="Verdana"/>
          <w:sz w:val="20"/>
          <w:szCs w:val="20"/>
        </w:rPr>
        <w:t>, rechazó que haya una situación de impunidad respecto a los hechos del caso, pues, conforme adujo, no puede afirmarse que haya una “falta en su conjunto de investigación, persecución, captura, enjuiciamiento y condena de los responsables”</w:t>
      </w:r>
      <w:r w:rsidRPr="0039097A">
        <w:rPr>
          <w:rStyle w:val="Refdenotaalpie"/>
          <w:rFonts w:ascii="Verdana" w:hAnsi="Verdana"/>
          <w:sz w:val="20"/>
          <w:szCs w:val="20"/>
        </w:rPr>
        <w:footnoteReference w:id="162"/>
      </w:r>
      <w:r w:rsidRPr="0039097A">
        <w:rPr>
          <w:rFonts w:ascii="Verdana" w:hAnsi="Verdana"/>
          <w:sz w:val="20"/>
          <w:szCs w:val="20"/>
        </w:rPr>
        <w:t>. Afirmó que, por el contrario, “que los procesos judiciales penales correspondientes se encuentran encauzados, en curso y con avances cualitativamente destacados en los últimos tiempos, que permiten vislumbrar su dilucidación”</w:t>
      </w:r>
      <w:r w:rsidRPr="0039097A">
        <w:rPr>
          <w:rStyle w:val="Refdenotaalpie"/>
          <w:rFonts w:ascii="Verdana" w:hAnsi="Verdana"/>
          <w:sz w:val="20"/>
          <w:szCs w:val="20"/>
        </w:rPr>
        <w:footnoteReference w:id="163"/>
      </w:r>
      <w:r w:rsidRPr="0039097A">
        <w:rPr>
          <w:rFonts w:ascii="Verdana" w:hAnsi="Verdana"/>
          <w:sz w:val="20"/>
          <w:szCs w:val="20"/>
        </w:rPr>
        <w:t xml:space="preserve">. </w:t>
      </w:r>
      <w:r w:rsidRPr="0039097A">
        <w:rPr>
          <w:rFonts w:ascii="Verdana" w:hAnsi="Verdana" w:cs="Times New Roman"/>
          <w:sz w:val="20"/>
          <w:szCs w:val="20"/>
        </w:rPr>
        <w:t>Expresó también que “se han realizado esfuerzos tendientes a investigar el paradero de [las víctimas desaparecidas], y aunque puedan existir versiones diferentes al respecto, la búsqueda material continúa en la actualidad”</w:t>
      </w:r>
      <w:r>
        <w:rPr>
          <w:rFonts w:ascii="Verdana" w:hAnsi="Verdana"/>
          <w:sz w:val="20"/>
          <w:szCs w:val="20"/>
        </w:rPr>
        <w:t xml:space="preserve">. Señaló, en relación con alegaciones sobre maniobras dilatorias de las </w:t>
      </w:r>
      <w:r w:rsidRPr="00275FA4">
        <w:rPr>
          <w:rFonts w:ascii="Verdana" w:hAnsi="Verdana"/>
          <w:sz w:val="20"/>
          <w:szCs w:val="20"/>
        </w:rPr>
        <w:t>personas imputadas, que no puede eludirse el debido proceso y que el ordenamiento jurídico interno cuenta con las “herramientas” necesarias para detectar abusos de derecho (</w:t>
      </w:r>
      <w:r w:rsidRPr="00275FA4">
        <w:rPr>
          <w:rFonts w:ascii="Verdana" w:hAnsi="Verdana"/>
          <w:i/>
          <w:sz w:val="20"/>
          <w:szCs w:val="20"/>
        </w:rPr>
        <w:t xml:space="preserve">infra </w:t>
      </w:r>
      <w:r w:rsidR="00275FA4" w:rsidRPr="00275FA4">
        <w:rPr>
          <w:rFonts w:ascii="Verdana" w:hAnsi="Verdana"/>
          <w:sz w:val="20"/>
          <w:szCs w:val="20"/>
        </w:rPr>
        <w:t>párr. 244</w:t>
      </w:r>
      <w:r w:rsidRPr="00275FA4">
        <w:rPr>
          <w:rFonts w:ascii="Verdana" w:hAnsi="Verdana"/>
          <w:sz w:val="20"/>
          <w:szCs w:val="20"/>
        </w:rPr>
        <w:t>) Indicó</w:t>
      </w:r>
      <w:r>
        <w:rPr>
          <w:rFonts w:ascii="Verdana" w:hAnsi="Verdana"/>
          <w:sz w:val="20"/>
          <w:szCs w:val="20"/>
        </w:rPr>
        <w:t xml:space="preserve"> también que </w:t>
      </w:r>
      <w:r w:rsidRPr="0039097A">
        <w:rPr>
          <w:rFonts w:ascii="Verdana" w:hAnsi="Verdana"/>
          <w:sz w:val="20"/>
          <w:szCs w:val="20"/>
        </w:rPr>
        <w:t>la</w:t>
      </w:r>
      <w:r>
        <w:rPr>
          <w:rFonts w:ascii="Verdana" w:hAnsi="Verdana"/>
          <w:sz w:val="20"/>
          <w:szCs w:val="20"/>
        </w:rPr>
        <w:t xml:space="preserve"> cuestión de la</w:t>
      </w:r>
      <w:r w:rsidRPr="0039097A">
        <w:rPr>
          <w:rFonts w:ascii="Verdana" w:hAnsi="Verdana"/>
          <w:sz w:val="20"/>
          <w:szCs w:val="20"/>
        </w:rPr>
        <w:t xml:space="preserve"> perspectiva de género en las investigaciones</w:t>
      </w:r>
      <w:r>
        <w:rPr>
          <w:rFonts w:ascii="Verdana" w:hAnsi="Verdana"/>
          <w:sz w:val="20"/>
          <w:szCs w:val="20"/>
        </w:rPr>
        <w:t xml:space="preserve"> sobre las muertes de Diana </w:t>
      </w:r>
      <w:proofErr w:type="spellStart"/>
      <w:r>
        <w:rPr>
          <w:rFonts w:ascii="Verdana" w:hAnsi="Verdana"/>
          <w:sz w:val="20"/>
          <w:szCs w:val="20"/>
        </w:rPr>
        <w:t>Maidanik</w:t>
      </w:r>
      <w:proofErr w:type="spellEnd"/>
      <w:r>
        <w:rPr>
          <w:rFonts w:ascii="Verdana" w:hAnsi="Verdana"/>
          <w:sz w:val="20"/>
          <w:szCs w:val="20"/>
        </w:rPr>
        <w:t>, Silvia Reyes y Laura Raggio</w:t>
      </w:r>
      <w:r w:rsidRPr="0039097A">
        <w:rPr>
          <w:rFonts w:ascii="Verdana" w:hAnsi="Verdana"/>
          <w:sz w:val="20"/>
          <w:szCs w:val="20"/>
        </w:rPr>
        <w:t xml:space="preserve"> “no fue planteado</w:t>
      </w:r>
      <w:r>
        <w:rPr>
          <w:rFonts w:ascii="Verdana" w:hAnsi="Verdana"/>
          <w:sz w:val="20"/>
          <w:szCs w:val="20"/>
        </w:rPr>
        <w:t>”</w:t>
      </w:r>
      <w:r w:rsidRPr="0039097A">
        <w:rPr>
          <w:rFonts w:ascii="Verdana" w:hAnsi="Verdana"/>
          <w:sz w:val="20"/>
          <w:szCs w:val="20"/>
        </w:rPr>
        <w:t xml:space="preserve"> en el Informe de Fondo, y que el testigo </w:t>
      </w:r>
      <w:proofErr w:type="spellStart"/>
      <w:r w:rsidRPr="0039097A">
        <w:rPr>
          <w:rFonts w:ascii="Verdana" w:hAnsi="Verdana"/>
          <w:sz w:val="20"/>
          <w:szCs w:val="20"/>
        </w:rPr>
        <w:t>Perciballe</w:t>
      </w:r>
      <w:proofErr w:type="spellEnd"/>
      <w:r w:rsidRPr="0039097A">
        <w:rPr>
          <w:rFonts w:ascii="Verdana" w:hAnsi="Verdana"/>
          <w:sz w:val="20"/>
          <w:szCs w:val="20"/>
        </w:rPr>
        <w:t xml:space="preserve"> “hizo una clara referencia al porqué de esta perspectiva no se adoptó en estas investigaciones”.</w:t>
      </w:r>
    </w:p>
    <w:p w14:paraId="1D76BE81" w14:textId="65B9E8F7" w:rsidR="002A53BF" w:rsidRDefault="002A53BF" w:rsidP="005A5029">
      <w:pPr>
        <w:pStyle w:val="Prrafodelista"/>
        <w:spacing w:after="0" w:line="240" w:lineRule="exact"/>
      </w:pPr>
    </w:p>
    <w:p w14:paraId="282B45A4" w14:textId="7EB34288" w:rsidR="00A0786D" w:rsidRDefault="00A0786D" w:rsidP="005A5029">
      <w:pPr>
        <w:pStyle w:val="Prrafodelista"/>
        <w:spacing w:after="0" w:line="240" w:lineRule="exact"/>
      </w:pPr>
    </w:p>
    <w:p w14:paraId="3E0C52EB" w14:textId="77777777" w:rsidR="00A0786D" w:rsidRPr="0039097A" w:rsidRDefault="00A0786D" w:rsidP="005A5029">
      <w:pPr>
        <w:pStyle w:val="Prrafodelista"/>
        <w:spacing w:after="0" w:line="240" w:lineRule="exact"/>
      </w:pPr>
    </w:p>
    <w:p w14:paraId="6F771395" w14:textId="77777777" w:rsidR="002A53BF" w:rsidRPr="0039097A" w:rsidRDefault="002A53BF" w:rsidP="005A5029">
      <w:pPr>
        <w:pStyle w:val="Prrafodelista"/>
        <w:numPr>
          <w:ilvl w:val="0"/>
          <w:numId w:val="27"/>
        </w:numPr>
        <w:spacing w:after="0" w:line="240" w:lineRule="exact"/>
        <w:ind w:left="284" w:firstLine="0"/>
        <w:outlineLvl w:val="1"/>
        <w:rPr>
          <w:rFonts w:ascii="Verdana" w:hAnsi="Verdana"/>
          <w:b/>
          <w:i/>
          <w:sz w:val="20"/>
          <w:szCs w:val="20"/>
        </w:rPr>
      </w:pPr>
      <w:bookmarkStart w:id="53" w:name="_Toc83568832"/>
      <w:bookmarkStart w:id="54" w:name="_Toc85550416"/>
      <w:r w:rsidRPr="0039097A">
        <w:rPr>
          <w:rFonts w:ascii="Verdana" w:hAnsi="Verdana"/>
          <w:b/>
          <w:i/>
          <w:sz w:val="20"/>
          <w:szCs w:val="20"/>
        </w:rPr>
        <w:lastRenderedPageBreak/>
        <w:t>Consideraciones de la Corte</w:t>
      </w:r>
      <w:bookmarkEnd w:id="53"/>
      <w:bookmarkEnd w:id="54"/>
    </w:p>
    <w:p w14:paraId="46372839" w14:textId="77777777" w:rsidR="002A53BF" w:rsidRPr="0039097A" w:rsidRDefault="002A53BF" w:rsidP="005A5029">
      <w:pPr>
        <w:spacing w:after="0" w:line="240" w:lineRule="exact"/>
      </w:pPr>
    </w:p>
    <w:p w14:paraId="4D0EFE87" w14:textId="77777777"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 xml:space="preserve">En lo que sigue, la Corte expondrá: 1) consideraciones generales sobre la obligación de investigar; 2) el </w:t>
      </w:r>
      <w:r>
        <w:rPr>
          <w:rFonts w:ascii="Verdana" w:hAnsi="Verdana"/>
          <w:sz w:val="20"/>
          <w:szCs w:val="20"/>
        </w:rPr>
        <w:t xml:space="preserve">examen de las actuaciones seguidas en </w:t>
      </w:r>
      <w:r w:rsidRPr="0039097A">
        <w:rPr>
          <w:rFonts w:ascii="Verdana" w:hAnsi="Verdana"/>
          <w:sz w:val="20"/>
          <w:szCs w:val="20"/>
        </w:rPr>
        <w:t xml:space="preserve">el caso, y 3) su conclusión. </w:t>
      </w:r>
    </w:p>
    <w:p w14:paraId="5347697E" w14:textId="77777777" w:rsidR="002A53BF" w:rsidRPr="0039097A" w:rsidRDefault="002A53BF" w:rsidP="005A5029">
      <w:pPr>
        <w:pStyle w:val="Prrafodelista"/>
        <w:spacing w:after="0" w:line="240" w:lineRule="exact"/>
        <w:ind w:left="0"/>
        <w:jc w:val="both"/>
        <w:rPr>
          <w:rFonts w:ascii="Verdana" w:hAnsi="Verdana"/>
          <w:sz w:val="20"/>
          <w:szCs w:val="20"/>
        </w:rPr>
      </w:pPr>
    </w:p>
    <w:p w14:paraId="75A6E88D" w14:textId="77777777" w:rsidR="002A53BF" w:rsidRPr="0039097A" w:rsidRDefault="002A53BF" w:rsidP="005A5029">
      <w:pPr>
        <w:pStyle w:val="Prrafodelista"/>
        <w:spacing w:after="0" w:line="240" w:lineRule="exact"/>
        <w:ind w:left="567"/>
        <w:jc w:val="both"/>
        <w:outlineLvl w:val="2"/>
        <w:rPr>
          <w:rFonts w:ascii="Verdana" w:hAnsi="Verdana"/>
          <w:i/>
          <w:sz w:val="20"/>
          <w:szCs w:val="20"/>
          <w:u w:val="single"/>
        </w:rPr>
      </w:pPr>
      <w:bookmarkStart w:id="55" w:name="_Toc83568833"/>
      <w:bookmarkStart w:id="56" w:name="_Toc85550417"/>
      <w:r w:rsidRPr="0039097A">
        <w:rPr>
          <w:rFonts w:ascii="Verdana" w:hAnsi="Verdana"/>
          <w:i/>
          <w:sz w:val="20"/>
          <w:szCs w:val="20"/>
        </w:rPr>
        <w:t xml:space="preserve">B.1 </w:t>
      </w:r>
      <w:r w:rsidRPr="0039097A">
        <w:rPr>
          <w:rFonts w:ascii="Verdana" w:hAnsi="Verdana"/>
          <w:i/>
          <w:sz w:val="20"/>
          <w:szCs w:val="20"/>
          <w:u w:val="single"/>
        </w:rPr>
        <w:t>Consideraciones generales sobre el deber de investigar</w:t>
      </w:r>
      <w:bookmarkEnd w:id="55"/>
      <w:bookmarkEnd w:id="56"/>
    </w:p>
    <w:p w14:paraId="1F346B00" w14:textId="77777777" w:rsidR="002A53BF" w:rsidRPr="0039097A" w:rsidRDefault="002A53BF" w:rsidP="005A5029">
      <w:pPr>
        <w:pStyle w:val="Prrafodelista"/>
        <w:spacing w:after="0" w:line="240" w:lineRule="exact"/>
        <w:ind w:left="0"/>
        <w:jc w:val="both"/>
        <w:rPr>
          <w:rFonts w:ascii="Verdana" w:hAnsi="Verdana"/>
          <w:sz w:val="20"/>
          <w:szCs w:val="20"/>
          <w:u w:val="single"/>
        </w:rPr>
      </w:pPr>
    </w:p>
    <w:p w14:paraId="38F9A98E" w14:textId="77777777" w:rsidR="002A53BF" w:rsidRPr="0039097A" w:rsidRDefault="002A53BF" w:rsidP="005A5029">
      <w:pPr>
        <w:pStyle w:val="Prrafodelista"/>
        <w:numPr>
          <w:ilvl w:val="0"/>
          <w:numId w:val="49"/>
        </w:numPr>
        <w:spacing w:after="0" w:line="240" w:lineRule="exact"/>
        <w:ind w:left="0" w:firstLine="0"/>
        <w:jc w:val="both"/>
      </w:pPr>
      <w:r w:rsidRPr="0039097A">
        <w:rPr>
          <w:rFonts w:ascii="Verdana" w:hAnsi="Verdana"/>
          <w:sz w:val="20"/>
          <w:szCs w:val="20"/>
        </w:rPr>
        <w:t>La Corte ha señalado que de conformidad con l</w:t>
      </w:r>
      <w:r>
        <w:rPr>
          <w:rFonts w:ascii="Verdana" w:hAnsi="Verdana"/>
          <w:sz w:val="20"/>
          <w:szCs w:val="20"/>
        </w:rPr>
        <w:t>os artículos 8.1 y 25</w:t>
      </w:r>
      <w:r w:rsidRPr="0039097A">
        <w:rPr>
          <w:rFonts w:ascii="Verdana" w:hAnsi="Verdana"/>
          <w:sz w:val="20"/>
          <w:szCs w:val="20"/>
        </w:rPr>
        <w:t xml:space="preserve"> Convención Americana, los Estados </w:t>
      </w:r>
      <w:r>
        <w:rPr>
          <w:rFonts w:ascii="Verdana" w:hAnsi="Verdana"/>
          <w:sz w:val="20"/>
          <w:szCs w:val="20"/>
        </w:rPr>
        <w:t>deben “</w:t>
      </w:r>
      <w:r w:rsidRPr="0039097A">
        <w:rPr>
          <w:rFonts w:ascii="Verdana" w:hAnsi="Verdana"/>
          <w:sz w:val="20"/>
          <w:szCs w:val="20"/>
        </w:rPr>
        <w:t>suministrar recursos judiciales efectivos a las víctimas de violaciones a los derechos humanos</w:t>
      </w:r>
      <w:r>
        <w:rPr>
          <w:rFonts w:ascii="Verdana" w:hAnsi="Verdana"/>
          <w:sz w:val="20"/>
          <w:szCs w:val="20"/>
        </w:rPr>
        <w:t>”, lo que “</w:t>
      </w:r>
      <w:r w:rsidRPr="0039097A">
        <w:rPr>
          <w:rFonts w:ascii="Verdana" w:hAnsi="Verdana"/>
          <w:sz w:val="20"/>
          <w:szCs w:val="20"/>
        </w:rPr>
        <w:t>deben ser sustanciados de conformidad con las reglas del debido proceso lega</w:t>
      </w:r>
      <w:r>
        <w:rPr>
          <w:rFonts w:ascii="Verdana" w:hAnsi="Verdana"/>
          <w:sz w:val="20"/>
          <w:szCs w:val="20"/>
        </w:rPr>
        <w:t>l”,</w:t>
      </w:r>
      <w:r w:rsidRPr="0039097A">
        <w:rPr>
          <w:rFonts w:ascii="Verdana" w:hAnsi="Verdana"/>
          <w:sz w:val="20"/>
          <w:szCs w:val="20"/>
        </w:rPr>
        <w:t xml:space="preserve"> </w:t>
      </w:r>
      <w:r>
        <w:rPr>
          <w:rFonts w:ascii="Verdana" w:hAnsi="Verdana"/>
          <w:sz w:val="20"/>
          <w:szCs w:val="20"/>
        </w:rPr>
        <w:t xml:space="preserve">en el marco </w:t>
      </w:r>
      <w:r w:rsidRPr="0039097A">
        <w:rPr>
          <w:rFonts w:ascii="Verdana" w:hAnsi="Verdana"/>
          <w:sz w:val="20"/>
          <w:szCs w:val="20"/>
        </w:rPr>
        <w:t>de la obligación general</w:t>
      </w:r>
      <w:r>
        <w:rPr>
          <w:rFonts w:ascii="Verdana" w:hAnsi="Verdana"/>
          <w:sz w:val="20"/>
          <w:szCs w:val="20"/>
        </w:rPr>
        <w:t xml:space="preserve"> </w:t>
      </w:r>
      <w:r w:rsidRPr="0039097A">
        <w:rPr>
          <w:rFonts w:ascii="Verdana" w:hAnsi="Verdana"/>
          <w:sz w:val="20"/>
          <w:szCs w:val="20"/>
        </w:rPr>
        <w:t xml:space="preserve">de garantizar el libre y pleno ejercicio de los derechos </w:t>
      </w:r>
      <w:r>
        <w:rPr>
          <w:rFonts w:ascii="Verdana" w:hAnsi="Verdana"/>
          <w:sz w:val="20"/>
          <w:szCs w:val="20"/>
        </w:rPr>
        <w:t>convencionales, receptada en el artículo 1.1 del tratado</w:t>
      </w:r>
      <w:r w:rsidRPr="0039097A">
        <w:rPr>
          <w:rStyle w:val="Refdenotaalpie"/>
          <w:rFonts w:ascii="Verdana" w:hAnsi="Verdana"/>
          <w:sz w:val="20"/>
          <w:szCs w:val="20"/>
          <w:lang w:val="es-AR"/>
        </w:rPr>
        <w:footnoteReference w:id="164"/>
      </w:r>
      <w:r>
        <w:rPr>
          <w:rFonts w:ascii="Verdana" w:hAnsi="Verdana"/>
          <w:sz w:val="20"/>
          <w:szCs w:val="20"/>
          <w:lang w:val="es-AR"/>
        </w:rPr>
        <w:t>.</w:t>
      </w:r>
      <w:r w:rsidRPr="0039097A">
        <w:rPr>
          <w:rFonts w:ascii="Verdana" w:hAnsi="Verdana"/>
          <w:sz w:val="20"/>
          <w:szCs w:val="20"/>
        </w:rPr>
        <w:t xml:space="preserve">. </w:t>
      </w:r>
    </w:p>
    <w:p w14:paraId="5CEA7C29" w14:textId="77777777" w:rsidR="002A53BF" w:rsidRPr="0039097A" w:rsidRDefault="002A53BF" w:rsidP="005A5029">
      <w:pPr>
        <w:pStyle w:val="Prrafodelista"/>
        <w:spacing w:after="0" w:line="240" w:lineRule="exact"/>
        <w:ind w:left="0"/>
        <w:jc w:val="both"/>
      </w:pPr>
    </w:p>
    <w:p w14:paraId="2AAA06FD" w14:textId="77777777" w:rsidR="002A53BF" w:rsidRDefault="002A53BF" w:rsidP="005A5029">
      <w:pPr>
        <w:pStyle w:val="Prrafodelista"/>
        <w:numPr>
          <w:ilvl w:val="0"/>
          <w:numId w:val="49"/>
        </w:numPr>
        <w:spacing w:after="0" w:line="240" w:lineRule="exact"/>
        <w:ind w:left="0" w:firstLine="0"/>
        <w:jc w:val="both"/>
        <w:rPr>
          <w:rFonts w:ascii="Verdana" w:hAnsi="Verdana"/>
          <w:sz w:val="20"/>
          <w:szCs w:val="20"/>
        </w:rPr>
      </w:pPr>
      <w:r w:rsidRPr="001844F1">
        <w:rPr>
          <w:rFonts w:ascii="Verdana" w:eastAsia="Calibri" w:hAnsi="Verdana"/>
          <w:sz w:val="20"/>
          <w:szCs w:val="20"/>
        </w:rPr>
        <w:t xml:space="preserve">En ese marco, </w:t>
      </w:r>
      <w:r w:rsidRPr="00685170">
        <w:rPr>
          <w:rFonts w:ascii="Verdana" w:hAnsi="Verdana"/>
          <w:sz w:val="20"/>
          <w:szCs w:val="20"/>
        </w:rPr>
        <w:t xml:space="preserve">el derecho de acceso a la justicia debe asegurar, en tiempo razonable, el derecho de las presuntas víctimas de violaciones a derechos humanos, o de sus familiares a que </w:t>
      </w:r>
      <w:r w:rsidRPr="001844F1">
        <w:rPr>
          <w:rFonts w:ascii="Verdana" w:hAnsi="Verdana"/>
          <w:sz w:val="20"/>
          <w:szCs w:val="20"/>
        </w:rPr>
        <w:t>“</w:t>
      </w:r>
      <w:r w:rsidRPr="00685170">
        <w:rPr>
          <w:rFonts w:ascii="Verdana" w:hAnsi="Verdana"/>
          <w:sz w:val="20"/>
          <w:szCs w:val="20"/>
        </w:rPr>
        <w:t>se haga todo lo necesario para conocer la verdad de lo sucedido e investigar, juzgar y, en su caso, sancionar a los eventuales responsables</w:t>
      </w:r>
      <w:r w:rsidRPr="001844F1">
        <w:rPr>
          <w:rFonts w:ascii="Verdana" w:hAnsi="Verdana"/>
          <w:sz w:val="20"/>
          <w:szCs w:val="20"/>
        </w:rPr>
        <w:t>”</w:t>
      </w:r>
      <w:r>
        <w:rPr>
          <w:rStyle w:val="Refdenotaalpie"/>
          <w:rFonts w:ascii="Verdana" w:hAnsi="Verdana"/>
          <w:sz w:val="20"/>
          <w:szCs w:val="20"/>
        </w:rPr>
        <w:footnoteReference w:id="165"/>
      </w:r>
      <w:r w:rsidRPr="001844F1">
        <w:rPr>
          <w:rFonts w:ascii="Verdana" w:hAnsi="Verdana"/>
          <w:sz w:val="20"/>
          <w:szCs w:val="20"/>
        </w:rPr>
        <w:t>. E</w:t>
      </w:r>
      <w:r w:rsidRPr="001844F1">
        <w:rPr>
          <w:rFonts w:ascii="Verdana" w:eastAsia="Calibri" w:hAnsi="Verdana"/>
          <w:sz w:val="20"/>
          <w:szCs w:val="20"/>
        </w:rPr>
        <w:t xml:space="preserve">sta obligación adquiere importancia </w:t>
      </w:r>
      <w:proofErr w:type="gramStart"/>
      <w:r w:rsidRPr="001844F1">
        <w:rPr>
          <w:rFonts w:ascii="Verdana" w:eastAsia="Calibri" w:hAnsi="Verdana"/>
          <w:sz w:val="20"/>
          <w:szCs w:val="20"/>
        </w:rPr>
        <w:t>de acuerdo a</w:t>
      </w:r>
      <w:proofErr w:type="gramEnd"/>
      <w:r w:rsidRPr="001844F1">
        <w:rPr>
          <w:rFonts w:ascii="Verdana" w:eastAsia="Calibri" w:hAnsi="Verdana"/>
          <w:sz w:val="20"/>
          <w:szCs w:val="20"/>
        </w:rPr>
        <w:t xml:space="preserve"> la naturaleza de los derechos lesionados y la gravedad de los delitos cometidos</w:t>
      </w:r>
      <w:r w:rsidRPr="00BA5AE2">
        <w:rPr>
          <w:rFonts w:ascii="Verdana" w:eastAsia="Batang" w:hAnsi="Verdana"/>
          <w:sz w:val="20"/>
          <w:szCs w:val="20"/>
          <w:vertAlign w:val="superscript"/>
          <w:lang w:val="en-US" w:eastAsia="x-none"/>
        </w:rPr>
        <w:footnoteReference w:id="166"/>
      </w:r>
      <w:r w:rsidRPr="001844F1">
        <w:rPr>
          <w:rFonts w:ascii="Verdana" w:eastAsia="Calibri" w:hAnsi="Verdana"/>
          <w:sz w:val="20"/>
          <w:szCs w:val="20"/>
        </w:rPr>
        <w:t>. En ese sentido, la Corte ha indicado el deber estatal de investigar atentados contra la integridad personal</w:t>
      </w:r>
      <w:r w:rsidRPr="00BA5AE2">
        <w:rPr>
          <w:rFonts w:ascii="Verdana" w:eastAsia="Calibri" w:hAnsi="Verdana"/>
          <w:sz w:val="20"/>
          <w:szCs w:val="20"/>
          <w:vertAlign w:val="superscript"/>
          <w:lang w:val="en-US" w:eastAsia="x-none"/>
        </w:rPr>
        <w:footnoteReference w:id="167"/>
      </w:r>
      <w:r w:rsidRPr="001844F1">
        <w:rPr>
          <w:rFonts w:ascii="Verdana" w:eastAsia="Calibri" w:hAnsi="Verdana"/>
          <w:sz w:val="20"/>
          <w:szCs w:val="20"/>
        </w:rPr>
        <w:t>, así como contra la vida</w:t>
      </w:r>
      <w:r w:rsidRPr="00BA5AE2">
        <w:rPr>
          <w:rFonts w:ascii="Verdana" w:eastAsia="Calibri" w:hAnsi="Verdana"/>
          <w:sz w:val="20"/>
          <w:szCs w:val="20"/>
          <w:vertAlign w:val="superscript"/>
          <w:lang w:val="en-US" w:eastAsia="x-none"/>
        </w:rPr>
        <w:footnoteReference w:id="168"/>
      </w:r>
      <w:r w:rsidRPr="001844F1">
        <w:rPr>
          <w:rFonts w:ascii="Verdana" w:eastAsia="Calibri" w:hAnsi="Verdana"/>
          <w:sz w:val="20"/>
          <w:szCs w:val="20"/>
        </w:rPr>
        <w:t>, inclusive ejecuciones extrajudiciales</w:t>
      </w:r>
      <w:r w:rsidRPr="00BA5AE2">
        <w:rPr>
          <w:rFonts w:ascii="Verdana" w:eastAsia="Calibri" w:hAnsi="Verdana"/>
          <w:sz w:val="20"/>
          <w:szCs w:val="20"/>
          <w:vertAlign w:val="superscript"/>
          <w:lang w:val="en-US" w:eastAsia="x-none"/>
        </w:rPr>
        <w:footnoteReference w:id="169"/>
      </w:r>
      <w:r>
        <w:rPr>
          <w:rFonts w:ascii="Verdana" w:eastAsia="Calibri" w:hAnsi="Verdana"/>
          <w:sz w:val="20"/>
          <w:szCs w:val="20"/>
        </w:rPr>
        <w:t xml:space="preserve"> y desapariciones forzadas</w:t>
      </w:r>
      <w:r>
        <w:rPr>
          <w:rStyle w:val="Refdenotaalpie"/>
          <w:rFonts w:ascii="Verdana" w:eastAsia="Calibri" w:hAnsi="Verdana"/>
          <w:sz w:val="20"/>
          <w:szCs w:val="20"/>
        </w:rPr>
        <w:footnoteReference w:id="170"/>
      </w:r>
      <w:r w:rsidRPr="001844F1">
        <w:rPr>
          <w:rFonts w:ascii="Verdana" w:eastAsia="Calibri" w:hAnsi="Verdana"/>
          <w:sz w:val="20"/>
          <w:szCs w:val="20"/>
        </w:rPr>
        <w:t xml:space="preserve">. </w:t>
      </w:r>
      <w:r w:rsidRPr="001844F1">
        <w:rPr>
          <w:rFonts w:ascii="Verdana" w:hAnsi="Verdana"/>
          <w:sz w:val="20"/>
          <w:szCs w:val="20"/>
        </w:rPr>
        <w:t>En casos de desapariciones forzadas, la obligación de investigar se ve reforzada por las obligaciones establecidas en las normas respectivas de la Convención Interamericana sobre Desaparición Forzada</w:t>
      </w:r>
      <w:r w:rsidRPr="00BA5AE2">
        <w:rPr>
          <w:rStyle w:val="Refdenotaalpie"/>
          <w:rFonts w:ascii="Verdana" w:hAnsi="Verdana"/>
          <w:sz w:val="20"/>
          <w:szCs w:val="20"/>
        </w:rPr>
        <w:footnoteReference w:id="171"/>
      </w:r>
      <w:r w:rsidRPr="001844F1">
        <w:rPr>
          <w:rFonts w:ascii="Verdana" w:hAnsi="Verdana"/>
          <w:sz w:val="20"/>
          <w:szCs w:val="20"/>
        </w:rPr>
        <w:t>, entre las que cabe mencionar, por ser relevantes en este caso, las prescritas en los artículos I, apartados b</w:t>
      </w:r>
      <w:r>
        <w:rPr>
          <w:rFonts w:ascii="Verdana" w:hAnsi="Verdana"/>
          <w:sz w:val="20"/>
          <w:szCs w:val="20"/>
        </w:rPr>
        <w:t>)</w:t>
      </w:r>
      <w:r w:rsidRPr="001844F1">
        <w:rPr>
          <w:rFonts w:ascii="Verdana" w:hAnsi="Verdana"/>
          <w:sz w:val="20"/>
          <w:szCs w:val="20"/>
        </w:rPr>
        <w:t xml:space="preserve"> y d</w:t>
      </w:r>
      <w:r>
        <w:rPr>
          <w:rFonts w:ascii="Verdana" w:hAnsi="Verdana"/>
          <w:sz w:val="20"/>
          <w:szCs w:val="20"/>
        </w:rPr>
        <w:t>)</w:t>
      </w:r>
      <w:r w:rsidRPr="001844F1">
        <w:rPr>
          <w:rFonts w:ascii="Verdana" w:hAnsi="Verdana"/>
          <w:sz w:val="20"/>
          <w:szCs w:val="20"/>
        </w:rPr>
        <w:t xml:space="preserve">, referidas a los deberes de sancionar el delito de desaparición forzada o su tentativa y a tomar medias para cumplir los </w:t>
      </w:r>
      <w:r w:rsidRPr="001844F1">
        <w:rPr>
          <w:rFonts w:ascii="Verdana" w:hAnsi="Verdana"/>
          <w:sz w:val="20"/>
          <w:szCs w:val="20"/>
        </w:rPr>
        <w:lastRenderedPageBreak/>
        <w:t>compromisos asumidos en el tratado. Aunque la Comisión señaló la violación del artículo I. c) de la C</w:t>
      </w:r>
      <w:r>
        <w:rPr>
          <w:rFonts w:ascii="Verdana" w:hAnsi="Verdana"/>
          <w:sz w:val="20"/>
          <w:szCs w:val="20"/>
        </w:rPr>
        <w:t>IDFP</w:t>
      </w:r>
      <w:r w:rsidRPr="001844F1">
        <w:rPr>
          <w:rFonts w:ascii="Verdana" w:hAnsi="Verdana"/>
          <w:sz w:val="20"/>
          <w:szCs w:val="20"/>
        </w:rPr>
        <w:t xml:space="preserve">, atinente al deber de cooperación entre los Estados para la prevención, sanción y erradicación de la desaparición forzada de personas, no especificó los motivos de dicha violación, y la Corte no encuentra sustento suficiente para examinar la presunta inobservancia de esa disposición. </w:t>
      </w:r>
    </w:p>
    <w:p w14:paraId="57DAE66F" w14:textId="77777777" w:rsidR="002A53BF" w:rsidRPr="001844F1" w:rsidRDefault="002A53BF" w:rsidP="005A5029">
      <w:pPr>
        <w:pStyle w:val="Prrafodelista"/>
        <w:spacing w:after="0" w:line="240" w:lineRule="exact"/>
        <w:ind w:left="0"/>
        <w:jc w:val="both"/>
        <w:rPr>
          <w:rFonts w:ascii="Verdana" w:eastAsia="SimSun" w:hAnsi="Verdana" w:cs="Arial"/>
          <w:sz w:val="20"/>
          <w:szCs w:val="20"/>
          <w:lang w:eastAsia="es-CR"/>
        </w:rPr>
      </w:pPr>
    </w:p>
    <w:p w14:paraId="03C717F4" w14:textId="77777777"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eastAsia="SimSun" w:hAnsi="Verdana" w:cs="Arial"/>
          <w:sz w:val="20"/>
          <w:szCs w:val="20"/>
          <w:lang w:eastAsia="es-CR"/>
        </w:rPr>
        <w:t>A la luz de</w:t>
      </w:r>
      <w:r>
        <w:rPr>
          <w:rFonts w:ascii="Verdana" w:eastAsia="SimSun" w:hAnsi="Verdana" w:cs="Arial"/>
          <w:sz w:val="20"/>
          <w:szCs w:val="20"/>
          <w:lang w:eastAsia="es-CR"/>
        </w:rPr>
        <w:t xml:space="preserve">l </w:t>
      </w:r>
      <w:r w:rsidRPr="0039097A">
        <w:rPr>
          <w:rFonts w:ascii="Verdana" w:eastAsia="SimSun" w:hAnsi="Verdana" w:cs="Arial"/>
          <w:sz w:val="20"/>
          <w:szCs w:val="20"/>
          <w:lang w:eastAsia="es-CR"/>
        </w:rPr>
        <w:t>deber</w:t>
      </w:r>
      <w:r>
        <w:rPr>
          <w:rFonts w:ascii="Verdana" w:eastAsia="SimSun" w:hAnsi="Verdana" w:cs="Arial"/>
          <w:sz w:val="20"/>
          <w:szCs w:val="20"/>
          <w:lang w:eastAsia="es-CR"/>
        </w:rPr>
        <w:t xml:space="preserve"> de investigar</w:t>
      </w:r>
      <w:r w:rsidRPr="0039097A">
        <w:rPr>
          <w:rFonts w:ascii="Verdana" w:eastAsia="SimSun" w:hAnsi="Verdana" w:cs="Arial"/>
          <w:sz w:val="20"/>
          <w:szCs w:val="20"/>
          <w:lang w:eastAsia="es-CR"/>
        </w:rPr>
        <w:t xml:space="preserve">, una vez que las autoridades estatales tengan conocimiento del hecho, deben iniciar </w:t>
      </w:r>
      <w:r w:rsidRPr="0039097A">
        <w:rPr>
          <w:rFonts w:ascii="Verdana" w:eastAsia="SimSun" w:hAnsi="Verdana" w:cs="Arial"/>
          <w:i/>
          <w:sz w:val="20"/>
          <w:szCs w:val="20"/>
          <w:lang w:eastAsia="es-CR"/>
        </w:rPr>
        <w:t xml:space="preserve">ex </w:t>
      </w:r>
      <w:proofErr w:type="spellStart"/>
      <w:r w:rsidRPr="0039097A">
        <w:rPr>
          <w:rFonts w:ascii="Verdana" w:eastAsia="SimSun" w:hAnsi="Verdana" w:cs="Arial"/>
          <w:i/>
          <w:sz w:val="20"/>
          <w:szCs w:val="20"/>
          <w:lang w:eastAsia="es-CR"/>
        </w:rPr>
        <w:t>officio</w:t>
      </w:r>
      <w:proofErr w:type="spellEnd"/>
      <w:r w:rsidRPr="0039097A">
        <w:rPr>
          <w:rFonts w:ascii="Verdana" w:eastAsia="SimSun" w:hAnsi="Verdana" w:cs="Arial"/>
          <w:sz w:val="20"/>
          <w:szCs w:val="20"/>
          <w:lang w:eastAsia="es-CR"/>
        </w:rPr>
        <w:t xml:space="preserve"> y sin dilación una investigación seria, imparcial y efectiva</w:t>
      </w:r>
      <w:r w:rsidRPr="0039097A">
        <w:rPr>
          <w:vertAlign w:val="superscript"/>
          <w:lang w:eastAsia="es-CR"/>
        </w:rPr>
        <w:footnoteReference w:id="172"/>
      </w:r>
      <w:r w:rsidRPr="0039097A">
        <w:rPr>
          <w:rFonts w:ascii="Verdana" w:eastAsia="SimSun" w:hAnsi="Verdana" w:cs="Arial"/>
          <w:sz w:val="20"/>
          <w:szCs w:val="20"/>
          <w:lang w:eastAsia="es-CR"/>
        </w:rPr>
        <w:t>, que se realice por todos los medios legales disponibles y esté orientada a la determinación de la ve</w:t>
      </w:r>
      <w:r>
        <w:rPr>
          <w:rFonts w:ascii="Verdana" w:eastAsia="SimSun" w:hAnsi="Verdana" w:cs="Arial"/>
          <w:sz w:val="20"/>
          <w:szCs w:val="20"/>
          <w:lang w:eastAsia="es-CR"/>
        </w:rPr>
        <w:t>r</w:t>
      </w:r>
      <w:r w:rsidRPr="0039097A">
        <w:rPr>
          <w:rFonts w:ascii="Verdana" w:eastAsia="SimSun" w:hAnsi="Verdana" w:cs="Arial"/>
          <w:sz w:val="20"/>
          <w:szCs w:val="20"/>
          <w:lang w:eastAsia="es-CR"/>
        </w:rPr>
        <w:t>dad</w:t>
      </w:r>
      <w:r w:rsidRPr="0039097A">
        <w:rPr>
          <w:rStyle w:val="Refdenotaalpie"/>
        </w:rPr>
        <w:footnoteReference w:id="173"/>
      </w:r>
      <w:r w:rsidRPr="0039097A">
        <w:rPr>
          <w:rFonts w:ascii="Verdana" w:eastAsia="SimSun" w:hAnsi="Verdana" w:cs="Arial"/>
          <w:sz w:val="20"/>
          <w:szCs w:val="20"/>
          <w:lang w:eastAsia="es-CR"/>
        </w:rPr>
        <w:t xml:space="preserve">. </w:t>
      </w:r>
    </w:p>
    <w:p w14:paraId="07EEA723" w14:textId="77777777" w:rsidR="002A53BF" w:rsidRPr="0039097A" w:rsidRDefault="002A53BF" w:rsidP="005A5029">
      <w:pPr>
        <w:pStyle w:val="Prrafodelista"/>
        <w:spacing w:line="240" w:lineRule="exact"/>
        <w:rPr>
          <w:sz w:val="20"/>
          <w:szCs w:val="20"/>
          <w:lang w:val="es-CO"/>
        </w:rPr>
      </w:pPr>
    </w:p>
    <w:p w14:paraId="698EA5BB" w14:textId="77777777"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lang w:val="es-CO"/>
        </w:rPr>
        <w:t>Si bien el deber de investigar es una obligación de medios y no de resultado, debe ser asumida por el Estado “como un deber jurídico propio y no como una simple formalidad condenada de antemano a ser infructuosa, o como una mera gestión de intereses particulares, que dependa de la iniciativa procesal de las víctimas, de sus familiares o de la aportación privada de elementos probatorios</w:t>
      </w:r>
      <w:r>
        <w:rPr>
          <w:rFonts w:ascii="Verdana" w:hAnsi="Verdana"/>
          <w:sz w:val="20"/>
          <w:szCs w:val="20"/>
          <w:lang w:val="es-CO"/>
        </w:rPr>
        <w:t>”</w:t>
      </w:r>
      <w:r w:rsidRPr="0039097A">
        <w:rPr>
          <w:rFonts w:ascii="Verdana" w:hAnsi="Verdana"/>
          <w:sz w:val="20"/>
          <w:szCs w:val="20"/>
          <w:vertAlign w:val="superscript"/>
        </w:rPr>
        <w:footnoteReference w:id="174"/>
      </w:r>
      <w:r w:rsidRPr="0039097A">
        <w:rPr>
          <w:rFonts w:ascii="Verdana" w:hAnsi="Verdana"/>
          <w:sz w:val="20"/>
          <w:szCs w:val="20"/>
          <w:lang w:val="es-CO"/>
        </w:rPr>
        <w:t xml:space="preserve">. </w:t>
      </w:r>
      <w:r w:rsidRPr="0039097A">
        <w:rPr>
          <w:rFonts w:ascii="Verdana" w:eastAsia="Batang" w:hAnsi="Verdana" w:cs="Times"/>
          <w:sz w:val="20"/>
          <w:szCs w:val="20"/>
          <w:lang w:eastAsia="es-CR"/>
        </w:rPr>
        <w:t>La debida diligencia en la investigación “exige que se lleve</w:t>
      </w:r>
      <w:r>
        <w:rPr>
          <w:rFonts w:ascii="Verdana" w:eastAsia="Batang" w:hAnsi="Verdana" w:cs="Times"/>
          <w:sz w:val="20"/>
          <w:szCs w:val="20"/>
          <w:lang w:eastAsia="es-CR"/>
        </w:rPr>
        <w:t>[</w:t>
      </w:r>
      <w:r w:rsidRPr="0039097A">
        <w:rPr>
          <w:rFonts w:ascii="Verdana" w:eastAsia="Batang" w:hAnsi="Verdana" w:cs="Times"/>
          <w:sz w:val="20"/>
          <w:szCs w:val="20"/>
          <w:lang w:eastAsia="es-CR"/>
        </w:rPr>
        <w:t>n</w:t>
      </w:r>
      <w:r>
        <w:rPr>
          <w:rFonts w:ascii="Verdana" w:eastAsia="Batang" w:hAnsi="Verdana" w:cs="Times"/>
          <w:sz w:val="20"/>
          <w:szCs w:val="20"/>
          <w:lang w:eastAsia="es-CR"/>
        </w:rPr>
        <w:t>]</w:t>
      </w:r>
      <w:r w:rsidRPr="0039097A">
        <w:rPr>
          <w:rFonts w:ascii="Verdana" w:eastAsia="Batang" w:hAnsi="Verdana" w:cs="Times"/>
          <w:sz w:val="20"/>
          <w:szCs w:val="20"/>
          <w:lang w:eastAsia="es-CR"/>
        </w:rPr>
        <w:t xml:space="preserve"> a cabo todas aquellas actuaciones y averiguaciones necesarias para procurar el resultado que se persigue”</w:t>
      </w:r>
      <w:r w:rsidRPr="0039097A">
        <w:rPr>
          <w:rFonts w:ascii="Verdana" w:hAnsi="Verdana" w:cs="Times New Roman"/>
          <w:sz w:val="20"/>
          <w:szCs w:val="20"/>
          <w:vertAlign w:val="superscript"/>
          <w:lang w:val="en-US"/>
        </w:rPr>
        <w:footnoteReference w:id="175"/>
      </w:r>
      <w:r w:rsidRPr="0039097A">
        <w:rPr>
          <w:rFonts w:ascii="Verdana" w:eastAsia="Batang" w:hAnsi="Verdana" w:cs="Times"/>
          <w:sz w:val="20"/>
          <w:szCs w:val="20"/>
          <w:lang w:eastAsia="es-CR"/>
        </w:rPr>
        <w:t>.</w:t>
      </w:r>
    </w:p>
    <w:p w14:paraId="2078E3BB" w14:textId="77777777" w:rsidR="002A53BF" w:rsidRPr="0039097A" w:rsidRDefault="002A53BF" w:rsidP="005A5029">
      <w:pPr>
        <w:pStyle w:val="Prrafodelista"/>
        <w:spacing w:line="240" w:lineRule="exact"/>
        <w:rPr>
          <w:rFonts w:ascii="Verdana" w:hAnsi="Verdana" w:cs="Arial"/>
          <w:sz w:val="20"/>
          <w:szCs w:val="20"/>
        </w:rPr>
      </w:pPr>
    </w:p>
    <w:p w14:paraId="58C54CE2" w14:textId="77777777"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cs="Arial"/>
          <w:sz w:val="20"/>
          <w:szCs w:val="20"/>
        </w:rPr>
        <w:t xml:space="preserve">Por otra parte, el artículo 8.1 de la Convención requiere que los hechos investigados en un proceso penal sean resueltos en un plazo razonable, toda vez que </w:t>
      </w:r>
      <w:r>
        <w:rPr>
          <w:rFonts w:ascii="Verdana" w:hAnsi="Verdana" w:cs="Arial"/>
          <w:sz w:val="20"/>
          <w:szCs w:val="20"/>
        </w:rPr>
        <w:t>“</w:t>
      </w:r>
      <w:r w:rsidRPr="0039097A">
        <w:rPr>
          <w:rFonts w:ascii="Verdana" w:hAnsi="Verdana" w:cs="Arial"/>
          <w:sz w:val="20"/>
          <w:szCs w:val="20"/>
        </w:rPr>
        <w:t>una demora prolongada</w:t>
      </w:r>
      <w:r>
        <w:rPr>
          <w:rFonts w:ascii="Verdana" w:hAnsi="Verdana" w:cs="Arial"/>
          <w:sz w:val="20"/>
          <w:szCs w:val="20"/>
        </w:rPr>
        <w:t xml:space="preserve"> en el proceso</w:t>
      </w:r>
      <w:r w:rsidRPr="0039097A">
        <w:rPr>
          <w:rFonts w:ascii="Verdana" w:hAnsi="Verdana" w:cs="Arial"/>
          <w:sz w:val="20"/>
          <w:szCs w:val="20"/>
        </w:rPr>
        <w:t xml:space="preserve"> puede llegar a constituir, en ciertos casos, por sí misma, una violación de las garantías judiciales</w:t>
      </w:r>
      <w:r>
        <w:rPr>
          <w:rFonts w:ascii="Verdana" w:hAnsi="Verdana" w:cs="Arial"/>
          <w:sz w:val="20"/>
          <w:szCs w:val="20"/>
        </w:rPr>
        <w:t>”</w:t>
      </w:r>
      <w:r w:rsidRPr="0039097A">
        <w:rPr>
          <w:vertAlign w:val="superscript"/>
        </w:rPr>
        <w:footnoteReference w:id="176"/>
      </w:r>
      <w:r w:rsidRPr="0039097A">
        <w:rPr>
          <w:rFonts w:ascii="Verdana" w:hAnsi="Verdana" w:cs="Arial"/>
          <w:sz w:val="20"/>
          <w:szCs w:val="20"/>
        </w:rPr>
        <w:t xml:space="preserve">. </w:t>
      </w:r>
    </w:p>
    <w:p w14:paraId="24234CAD" w14:textId="77777777" w:rsidR="002A53BF" w:rsidRPr="0039097A" w:rsidRDefault="002A53BF" w:rsidP="005A5029">
      <w:pPr>
        <w:pStyle w:val="Prrafodelista"/>
        <w:spacing w:after="0" w:line="240" w:lineRule="exact"/>
        <w:ind w:left="0"/>
        <w:jc w:val="both"/>
        <w:rPr>
          <w:rFonts w:ascii="Verdana" w:hAnsi="Verdana"/>
          <w:sz w:val="20"/>
          <w:szCs w:val="20"/>
        </w:rPr>
      </w:pPr>
    </w:p>
    <w:p w14:paraId="794142C4" w14:textId="77777777" w:rsidR="002A53BF" w:rsidRPr="0039097A" w:rsidRDefault="002A53BF" w:rsidP="005A5029">
      <w:pPr>
        <w:pStyle w:val="Prrafodelista"/>
        <w:spacing w:after="0" w:line="240" w:lineRule="exact"/>
        <w:ind w:left="567"/>
        <w:jc w:val="both"/>
        <w:outlineLvl w:val="2"/>
        <w:rPr>
          <w:rFonts w:ascii="Verdana" w:hAnsi="Verdana"/>
          <w:i/>
          <w:sz w:val="20"/>
          <w:szCs w:val="20"/>
        </w:rPr>
      </w:pPr>
      <w:bookmarkStart w:id="57" w:name="_Toc83568834"/>
      <w:bookmarkStart w:id="58" w:name="_Toc85550418"/>
      <w:r w:rsidRPr="0039097A">
        <w:rPr>
          <w:rFonts w:ascii="Verdana" w:hAnsi="Verdana"/>
          <w:i/>
          <w:sz w:val="20"/>
          <w:szCs w:val="20"/>
        </w:rPr>
        <w:t xml:space="preserve">B.2. </w:t>
      </w:r>
      <w:r w:rsidRPr="0039097A">
        <w:rPr>
          <w:rFonts w:ascii="Verdana" w:hAnsi="Verdana"/>
          <w:i/>
          <w:sz w:val="20"/>
          <w:szCs w:val="20"/>
          <w:u w:val="single"/>
        </w:rPr>
        <w:t>Examen de las actuaciones seguidas en el caso</w:t>
      </w:r>
      <w:bookmarkEnd w:id="57"/>
      <w:bookmarkEnd w:id="58"/>
    </w:p>
    <w:p w14:paraId="57AB42B3" w14:textId="77777777" w:rsidR="002A53BF" w:rsidRPr="0039097A" w:rsidRDefault="002A53BF" w:rsidP="005A5029">
      <w:pPr>
        <w:pStyle w:val="Prrafodelista"/>
        <w:spacing w:line="240" w:lineRule="exact"/>
        <w:rPr>
          <w:rFonts w:ascii="Verdana" w:hAnsi="Verdana"/>
          <w:sz w:val="20"/>
          <w:szCs w:val="20"/>
        </w:rPr>
      </w:pPr>
    </w:p>
    <w:p w14:paraId="602AC3A3" w14:textId="25D8E5E4"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Con base en las pautas anteriores, y en otras más específicas que se indican más adelante, esta Corte analizará, en el marco de su competencia temporal</w:t>
      </w:r>
      <w:r w:rsidR="007375D3">
        <w:rPr>
          <w:rStyle w:val="Refdenotaalpie"/>
          <w:rFonts w:ascii="Verdana" w:hAnsi="Verdana"/>
          <w:sz w:val="20"/>
          <w:szCs w:val="20"/>
        </w:rPr>
        <w:footnoteReference w:id="177"/>
      </w:r>
      <w:r w:rsidRPr="0039097A">
        <w:rPr>
          <w:rFonts w:ascii="Verdana" w:hAnsi="Verdana"/>
          <w:sz w:val="20"/>
          <w:szCs w:val="20"/>
        </w:rPr>
        <w:t xml:space="preserve">, los hechos pertinentes del caso. Ceñirá su examen a los alegatos de la Comisión y los representantes sobre falencias en la conducta estatal, que se refieren a: </w:t>
      </w:r>
      <w:r>
        <w:rPr>
          <w:rFonts w:ascii="Verdana" w:hAnsi="Verdana"/>
          <w:sz w:val="20"/>
          <w:szCs w:val="20"/>
        </w:rPr>
        <w:t>1</w:t>
      </w:r>
      <w:r w:rsidRPr="0039097A">
        <w:rPr>
          <w:rFonts w:ascii="Verdana" w:hAnsi="Verdana"/>
          <w:sz w:val="20"/>
          <w:szCs w:val="20"/>
        </w:rPr>
        <w:t xml:space="preserve">) la aplicación de la ley de caducidad; </w:t>
      </w:r>
      <w:r>
        <w:rPr>
          <w:rFonts w:ascii="Verdana" w:hAnsi="Verdana"/>
          <w:sz w:val="20"/>
          <w:szCs w:val="20"/>
        </w:rPr>
        <w:t>2</w:t>
      </w:r>
      <w:r w:rsidRPr="0039097A">
        <w:rPr>
          <w:rFonts w:ascii="Verdana" w:hAnsi="Verdana"/>
          <w:sz w:val="20"/>
          <w:szCs w:val="20"/>
        </w:rPr>
        <w:t xml:space="preserve">) la falta de diligencia en las actuaciones; </w:t>
      </w:r>
      <w:r>
        <w:rPr>
          <w:rFonts w:ascii="Verdana" w:hAnsi="Verdana"/>
          <w:sz w:val="20"/>
          <w:szCs w:val="20"/>
        </w:rPr>
        <w:t>3</w:t>
      </w:r>
      <w:r w:rsidRPr="0039097A">
        <w:rPr>
          <w:rFonts w:ascii="Verdana" w:hAnsi="Verdana"/>
          <w:sz w:val="20"/>
          <w:szCs w:val="20"/>
        </w:rPr>
        <w:t>) la inobservancia de un plazo razonable</w:t>
      </w:r>
      <w:r>
        <w:rPr>
          <w:rFonts w:ascii="Verdana" w:hAnsi="Verdana"/>
          <w:sz w:val="20"/>
          <w:szCs w:val="20"/>
        </w:rPr>
        <w:t>, y 4)</w:t>
      </w:r>
      <w:r w:rsidRPr="0039097A">
        <w:rPr>
          <w:rFonts w:ascii="Verdana" w:hAnsi="Verdana"/>
          <w:sz w:val="20"/>
          <w:szCs w:val="20"/>
        </w:rPr>
        <w:t xml:space="preserve"> la vulneración </w:t>
      </w:r>
      <w:r>
        <w:rPr>
          <w:rFonts w:ascii="Verdana" w:hAnsi="Verdana"/>
          <w:sz w:val="20"/>
          <w:szCs w:val="20"/>
        </w:rPr>
        <w:t>de</w:t>
      </w:r>
      <w:r w:rsidRPr="0039097A">
        <w:rPr>
          <w:rFonts w:ascii="Verdana" w:hAnsi="Verdana"/>
          <w:sz w:val="20"/>
          <w:szCs w:val="20"/>
        </w:rPr>
        <w:t>l derecho a la verdad.</w:t>
      </w:r>
    </w:p>
    <w:p w14:paraId="63A032A8" w14:textId="5C54244C" w:rsidR="002A53BF" w:rsidRDefault="002A53BF" w:rsidP="005A5029">
      <w:pPr>
        <w:spacing w:after="0" w:line="240" w:lineRule="exact"/>
        <w:rPr>
          <w:rFonts w:ascii="Verdana" w:hAnsi="Verdana"/>
          <w:sz w:val="20"/>
          <w:szCs w:val="20"/>
        </w:rPr>
      </w:pPr>
    </w:p>
    <w:p w14:paraId="230171AB" w14:textId="77777777" w:rsidR="00A0786D" w:rsidRPr="0039097A" w:rsidRDefault="00A0786D" w:rsidP="005A5029">
      <w:pPr>
        <w:spacing w:after="0" w:line="240" w:lineRule="exact"/>
        <w:rPr>
          <w:rFonts w:ascii="Verdana" w:hAnsi="Verdana"/>
          <w:sz w:val="20"/>
          <w:szCs w:val="20"/>
        </w:rPr>
      </w:pPr>
    </w:p>
    <w:p w14:paraId="13C44D32" w14:textId="77777777" w:rsidR="002A53BF" w:rsidRPr="0039097A" w:rsidRDefault="002A53BF" w:rsidP="005A5029">
      <w:pPr>
        <w:pStyle w:val="Prrafodelista"/>
        <w:spacing w:after="0" w:line="240" w:lineRule="exact"/>
        <w:ind w:left="851"/>
        <w:outlineLvl w:val="3"/>
        <w:rPr>
          <w:rFonts w:ascii="Verdana" w:hAnsi="Verdana"/>
          <w:i/>
          <w:sz w:val="20"/>
          <w:szCs w:val="20"/>
        </w:rPr>
      </w:pPr>
      <w:bookmarkStart w:id="59" w:name="_Toc85550419"/>
      <w:r w:rsidRPr="0039097A">
        <w:rPr>
          <w:rFonts w:ascii="Verdana" w:hAnsi="Verdana"/>
          <w:i/>
          <w:sz w:val="20"/>
          <w:szCs w:val="20"/>
        </w:rPr>
        <w:lastRenderedPageBreak/>
        <w:t>B.2.1 Obstaculización a las acciones de investigación por la aplicación de la Ley de Caducidad.</w:t>
      </w:r>
      <w:bookmarkEnd w:id="59"/>
      <w:r w:rsidRPr="0039097A">
        <w:rPr>
          <w:rFonts w:ascii="Verdana" w:hAnsi="Verdana"/>
          <w:i/>
          <w:sz w:val="20"/>
          <w:szCs w:val="20"/>
        </w:rPr>
        <w:t xml:space="preserve"> </w:t>
      </w:r>
    </w:p>
    <w:p w14:paraId="6CD23BCC" w14:textId="77777777" w:rsidR="002A53BF" w:rsidRPr="0039097A" w:rsidRDefault="002A53BF" w:rsidP="005A5029">
      <w:pPr>
        <w:pStyle w:val="Prrafodelista"/>
        <w:spacing w:line="240" w:lineRule="exact"/>
        <w:ind w:left="851"/>
        <w:outlineLvl w:val="3"/>
        <w:rPr>
          <w:rFonts w:ascii="Verdana" w:hAnsi="Verdana"/>
          <w:i/>
          <w:sz w:val="20"/>
          <w:szCs w:val="20"/>
        </w:rPr>
      </w:pPr>
    </w:p>
    <w:p w14:paraId="584CE9A2" w14:textId="77777777" w:rsidR="002A53BF" w:rsidRPr="00685170" w:rsidRDefault="002A53BF" w:rsidP="005A5029">
      <w:pPr>
        <w:pStyle w:val="Prrafodelista"/>
        <w:numPr>
          <w:ilvl w:val="0"/>
          <w:numId w:val="49"/>
        </w:numPr>
        <w:spacing w:after="0" w:line="240" w:lineRule="exact"/>
        <w:ind w:left="0" w:firstLine="0"/>
        <w:jc w:val="both"/>
        <w:rPr>
          <w:rFonts w:ascii="Verdana" w:hAnsi="Verdana"/>
          <w:sz w:val="20"/>
          <w:szCs w:val="20"/>
        </w:rPr>
      </w:pPr>
      <w:r w:rsidRPr="00685170">
        <w:rPr>
          <w:rFonts w:ascii="Verdana" w:hAnsi="Verdana"/>
          <w:sz w:val="20"/>
          <w:szCs w:val="20"/>
        </w:rPr>
        <w:t xml:space="preserve">El 20 de mayo o en junio de 1985, y el 24 de julio de ese año, fueron denunciadas las desapariciones de Óscar </w:t>
      </w:r>
      <w:proofErr w:type="spellStart"/>
      <w:r w:rsidRPr="00685170">
        <w:rPr>
          <w:rFonts w:ascii="Verdana" w:hAnsi="Verdana"/>
          <w:sz w:val="20"/>
          <w:szCs w:val="20"/>
        </w:rPr>
        <w:t>Tassino</w:t>
      </w:r>
      <w:proofErr w:type="spellEnd"/>
      <w:r w:rsidRPr="00685170">
        <w:rPr>
          <w:rFonts w:ascii="Verdana" w:hAnsi="Verdana"/>
          <w:sz w:val="20"/>
          <w:szCs w:val="20"/>
        </w:rPr>
        <w:t xml:space="preserve"> </w:t>
      </w:r>
      <w:proofErr w:type="spellStart"/>
      <w:r w:rsidRPr="00685170">
        <w:rPr>
          <w:rFonts w:ascii="Verdana" w:hAnsi="Verdana"/>
          <w:sz w:val="20"/>
          <w:szCs w:val="20"/>
        </w:rPr>
        <w:t>Asteazu</w:t>
      </w:r>
      <w:proofErr w:type="spellEnd"/>
      <w:r w:rsidRPr="00685170">
        <w:rPr>
          <w:rFonts w:ascii="Verdana" w:hAnsi="Verdana"/>
          <w:sz w:val="20"/>
          <w:szCs w:val="20"/>
        </w:rPr>
        <w:t xml:space="preserve"> y Luis Eduardo González </w:t>
      </w:r>
      <w:proofErr w:type="spellStart"/>
      <w:r w:rsidRPr="00685170">
        <w:rPr>
          <w:rFonts w:ascii="Verdana" w:hAnsi="Verdana"/>
          <w:sz w:val="20"/>
          <w:szCs w:val="20"/>
        </w:rPr>
        <w:t>González</w:t>
      </w:r>
      <w:proofErr w:type="spellEnd"/>
      <w:r w:rsidRPr="00685170">
        <w:rPr>
          <w:rFonts w:ascii="Verdana" w:hAnsi="Verdana"/>
          <w:sz w:val="20"/>
          <w:szCs w:val="20"/>
        </w:rPr>
        <w:t>, respectivamente (</w:t>
      </w:r>
      <w:r w:rsidRPr="00685170">
        <w:rPr>
          <w:rFonts w:ascii="Verdana" w:hAnsi="Verdana"/>
          <w:i/>
          <w:sz w:val="20"/>
          <w:szCs w:val="20"/>
        </w:rPr>
        <w:t xml:space="preserve">supra </w:t>
      </w:r>
      <w:proofErr w:type="spellStart"/>
      <w:r w:rsidRPr="00685170">
        <w:rPr>
          <w:rFonts w:ascii="Verdana" w:hAnsi="Verdana"/>
          <w:sz w:val="20"/>
          <w:szCs w:val="20"/>
        </w:rPr>
        <w:t>párrs</w:t>
      </w:r>
      <w:proofErr w:type="spellEnd"/>
      <w:r w:rsidRPr="00685170">
        <w:rPr>
          <w:rFonts w:ascii="Verdana" w:hAnsi="Verdana"/>
          <w:sz w:val="20"/>
          <w:szCs w:val="20"/>
        </w:rPr>
        <w:t xml:space="preserve">. 78 y 90). El 15 de octubre de 1986 familiares de Diana </w:t>
      </w:r>
      <w:proofErr w:type="spellStart"/>
      <w:r w:rsidRPr="00685170">
        <w:rPr>
          <w:rFonts w:ascii="Verdana" w:hAnsi="Verdana"/>
          <w:sz w:val="20"/>
          <w:szCs w:val="20"/>
        </w:rPr>
        <w:t>Maidanik</w:t>
      </w:r>
      <w:proofErr w:type="spellEnd"/>
      <w:r w:rsidRPr="00685170">
        <w:rPr>
          <w:rFonts w:ascii="Verdana" w:hAnsi="Verdana"/>
          <w:sz w:val="20"/>
          <w:szCs w:val="20"/>
        </w:rPr>
        <w:t>, Silvia Reyes y Laura Raggio denunciaron sus muertes (</w:t>
      </w:r>
      <w:r w:rsidRPr="00685170">
        <w:rPr>
          <w:rFonts w:ascii="Verdana" w:hAnsi="Verdana"/>
          <w:i/>
          <w:sz w:val="20"/>
          <w:szCs w:val="20"/>
        </w:rPr>
        <w:t>supra</w:t>
      </w:r>
      <w:r w:rsidRPr="00685170">
        <w:rPr>
          <w:rFonts w:ascii="Verdana" w:hAnsi="Verdana"/>
          <w:sz w:val="20"/>
          <w:szCs w:val="20"/>
        </w:rPr>
        <w:t xml:space="preserve"> párr. 61).</w:t>
      </w:r>
    </w:p>
    <w:p w14:paraId="19ABD4AE" w14:textId="77777777" w:rsidR="002A53BF" w:rsidRPr="00685170" w:rsidRDefault="002A53BF" w:rsidP="005A5029">
      <w:pPr>
        <w:pStyle w:val="Prrafodelista"/>
        <w:spacing w:after="0" w:line="240" w:lineRule="exact"/>
        <w:ind w:left="0"/>
        <w:jc w:val="both"/>
        <w:rPr>
          <w:rFonts w:ascii="Verdana" w:hAnsi="Verdana"/>
          <w:sz w:val="20"/>
          <w:szCs w:val="20"/>
        </w:rPr>
      </w:pPr>
    </w:p>
    <w:p w14:paraId="700ACF1B" w14:textId="78B00DEA" w:rsidR="002A53BF" w:rsidRPr="00685170" w:rsidRDefault="002A53BF" w:rsidP="005A5029">
      <w:pPr>
        <w:pStyle w:val="Prrafodelista"/>
        <w:numPr>
          <w:ilvl w:val="0"/>
          <w:numId w:val="49"/>
        </w:numPr>
        <w:spacing w:after="0" w:line="240" w:lineRule="exact"/>
        <w:ind w:left="0" w:firstLine="0"/>
        <w:jc w:val="both"/>
        <w:rPr>
          <w:rFonts w:ascii="Verdana" w:hAnsi="Verdana"/>
          <w:sz w:val="20"/>
          <w:szCs w:val="20"/>
        </w:rPr>
      </w:pPr>
      <w:r w:rsidRPr="00685170">
        <w:rPr>
          <w:rFonts w:ascii="Verdana" w:hAnsi="Verdana"/>
          <w:sz w:val="20"/>
          <w:szCs w:val="20"/>
        </w:rPr>
        <w:t xml:space="preserve">Poco después, el </w:t>
      </w:r>
      <w:r w:rsidRPr="00685170">
        <w:rPr>
          <w:rFonts w:ascii="Verdana" w:hAnsi="Verdana" w:cs="Times New Roman"/>
          <w:sz w:val="20"/>
          <w:szCs w:val="20"/>
        </w:rPr>
        <w:t>22 de diciembre de 1986 se expidió la Ley de Caducidad (</w:t>
      </w:r>
      <w:r w:rsidRPr="00685170">
        <w:rPr>
          <w:rFonts w:ascii="Verdana" w:hAnsi="Verdana" w:cs="Times New Roman"/>
          <w:i/>
          <w:sz w:val="20"/>
          <w:szCs w:val="20"/>
        </w:rPr>
        <w:t>supra</w:t>
      </w:r>
      <w:r w:rsidRPr="00685170">
        <w:rPr>
          <w:rFonts w:ascii="Verdana" w:hAnsi="Verdana" w:cs="Times New Roman"/>
          <w:sz w:val="20"/>
          <w:szCs w:val="20"/>
        </w:rPr>
        <w:t xml:space="preserve"> </w:t>
      </w:r>
      <w:proofErr w:type="spellStart"/>
      <w:r w:rsidRPr="00685170">
        <w:rPr>
          <w:rFonts w:ascii="Verdana" w:hAnsi="Verdana" w:cs="Times New Roman"/>
          <w:sz w:val="20"/>
          <w:szCs w:val="20"/>
        </w:rPr>
        <w:t>párr</w:t>
      </w:r>
      <w:r w:rsidR="00C126A3">
        <w:rPr>
          <w:rFonts w:ascii="Verdana" w:hAnsi="Verdana" w:cs="Times New Roman"/>
          <w:sz w:val="20"/>
          <w:szCs w:val="20"/>
        </w:rPr>
        <w:t>s</w:t>
      </w:r>
      <w:proofErr w:type="spellEnd"/>
      <w:r w:rsidRPr="00685170">
        <w:rPr>
          <w:rFonts w:ascii="Verdana" w:hAnsi="Verdana" w:cs="Times New Roman"/>
          <w:sz w:val="20"/>
          <w:szCs w:val="20"/>
        </w:rPr>
        <w:t>. 40</w:t>
      </w:r>
      <w:r w:rsidR="00C126A3">
        <w:rPr>
          <w:rFonts w:ascii="Verdana" w:hAnsi="Verdana" w:cs="Times New Roman"/>
          <w:sz w:val="20"/>
          <w:szCs w:val="20"/>
        </w:rPr>
        <w:t xml:space="preserve"> y 62</w:t>
      </w:r>
      <w:r w:rsidRPr="00685170">
        <w:rPr>
          <w:rFonts w:ascii="Verdana" w:hAnsi="Verdana" w:cs="Times New Roman"/>
          <w:sz w:val="20"/>
          <w:szCs w:val="20"/>
        </w:rPr>
        <w:t xml:space="preserve">). Pese a acciones judiciales intentadas por familiares de las víctimas contra la constitucionalidad de dicha ley, la aplicación de </w:t>
      </w:r>
      <w:proofErr w:type="gramStart"/>
      <w:r w:rsidRPr="00685170">
        <w:rPr>
          <w:rFonts w:ascii="Verdana" w:hAnsi="Verdana" w:cs="Times New Roman"/>
          <w:sz w:val="20"/>
          <w:szCs w:val="20"/>
        </w:rPr>
        <w:t>la misma</w:t>
      </w:r>
      <w:proofErr w:type="gramEnd"/>
      <w:r w:rsidRPr="00685170">
        <w:rPr>
          <w:rFonts w:ascii="Verdana" w:hAnsi="Verdana" w:cs="Times New Roman"/>
          <w:sz w:val="20"/>
          <w:szCs w:val="20"/>
        </w:rPr>
        <w:t xml:space="preserve"> a las actuaciones relativas a hechos del caso fue convalidada (</w:t>
      </w:r>
      <w:r w:rsidRPr="00685170">
        <w:rPr>
          <w:rFonts w:ascii="Verdana" w:hAnsi="Verdana" w:cs="Times New Roman"/>
          <w:i/>
          <w:sz w:val="20"/>
          <w:szCs w:val="20"/>
        </w:rPr>
        <w:t xml:space="preserve">supra </w:t>
      </w:r>
      <w:proofErr w:type="spellStart"/>
      <w:r w:rsidRPr="00685170">
        <w:rPr>
          <w:rFonts w:ascii="Verdana" w:hAnsi="Verdana" w:cs="Times New Roman"/>
          <w:sz w:val="20"/>
          <w:szCs w:val="20"/>
        </w:rPr>
        <w:t>párrs</w:t>
      </w:r>
      <w:proofErr w:type="spellEnd"/>
      <w:r w:rsidRPr="00685170">
        <w:rPr>
          <w:rFonts w:ascii="Verdana" w:hAnsi="Verdana" w:cs="Times New Roman"/>
          <w:sz w:val="20"/>
          <w:szCs w:val="20"/>
        </w:rPr>
        <w:t>. 62, 80 y 92) Por actuaciones de 20 de octubre y 21 de diciembre de 1988 y 26 de mayo de 1989, se notificó a los órganos judiciales intervinientes la inclusión de los distintos hechos denunciados en la Ley de Caducidad (</w:t>
      </w:r>
      <w:r w:rsidRPr="00685170">
        <w:rPr>
          <w:rFonts w:ascii="Verdana" w:hAnsi="Verdana" w:cs="Times New Roman"/>
          <w:i/>
          <w:sz w:val="20"/>
          <w:szCs w:val="20"/>
        </w:rPr>
        <w:t xml:space="preserve">supra </w:t>
      </w:r>
      <w:proofErr w:type="spellStart"/>
      <w:r w:rsidRPr="00685170">
        <w:rPr>
          <w:rFonts w:ascii="Verdana" w:hAnsi="Verdana" w:cs="Times New Roman"/>
          <w:sz w:val="20"/>
          <w:szCs w:val="20"/>
        </w:rPr>
        <w:t>párrs</w:t>
      </w:r>
      <w:proofErr w:type="spellEnd"/>
      <w:r w:rsidRPr="00685170">
        <w:rPr>
          <w:rFonts w:ascii="Verdana" w:hAnsi="Verdana" w:cs="Times New Roman"/>
          <w:sz w:val="20"/>
          <w:szCs w:val="20"/>
        </w:rPr>
        <w:t xml:space="preserve">. 62, 81 y 93). </w:t>
      </w:r>
    </w:p>
    <w:p w14:paraId="69B82BFA" w14:textId="77777777" w:rsidR="002A53BF" w:rsidRPr="00685170" w:rsidRDefault="002A53BF" w:rsidP="005A5029">
      <w:pPr>
        <w:pStyle w:val="Prrafodelista"/>
        <w:spacing w:line="240" w:lineRule="exact"/>
        <w:rPr>
          <w:rFonts w:ascii="Verdana" w:hAnsi="Verdana" w:cs="Times New Roman"/>
          <w:sz w:val="20"/>
          <w:szCs w:val="20"/>
        </w:rPr>
      </w:pPr>
    </w:p>
    <w:p w14:paraId="597C08AF" w14:textId="77777777" w:rsidR="002A53BF" w:rsidRPr="00685170" w:rsidRDefault="002A53BF" w:rsidP="005A5029">
      <w:pPr>
        <w:pStyle w:val="Prrafodelista"/>
        <w:numPr>
          <w:ilvl w:val="0"/>
          <w:numId w:val="49"/>
        </w:numPr>
        <w:spacing w:after="0" w:line="240" w:lineRule="exact"/>
        <w:ind w:left="0" w:firstLine="0"/>
        <w:jc w:val="both"/>
        <w:rPr>
          <w:rFonts w:ascii="Verdana" w:hAnsi="Verdana"/>
          <w:sz w:val="20"/>
          <w:szCs w:val="20"/>
        </w:rPr>
      </w:pPr>
      <w:r w:rsidRPr="00685170">
        <w:rPr>
          <w:rFonts w:ascii="Verdana" w:hAnsi="Verdana" w:cs="Times New Roman"/>
          <w:sz w:val="20"/>
          <w:szCs w:val="20"/>
        </w:rPr>
        <w:t xml:space="preserve">Entre tales actos y 2006 no constan acciones de investigación tendientes a la determinación de responsabilidades individuales y aplicación de sanciones penales. Por otra parte, aunque en 2006 se reabrió la investigación por la muerte de Silvia Reyes, Diana </w:t>
      </w:r>
      <w:proofErr w:type="spellStart"/>
      <w:r w:rsidRPr="00685170">
        <w:rPr>
          <w:rFonts w:ascii="Verdana" w:hAnsi="Verdana" w:cs="Times New Roman"/>
          <w:sz w:val="20"/>
          <w:szCs w:val="20"/>
        </w:rPr>
        <w:t>Maidanik</w:t>
      </w:r>
      <w:proofErr w:type="spellEnd"/>
      <w:r w:rsidRPr="00685170">
        <w:rPr>
          <w:rFonts w:ascii="Verdana" w:hAnsi="Verdana" w:cs="Times New Roman"/>
          <w:sz w:val="20"/>
          <w:szCs w:val="20"/>
        </w:rPr>
        <w:t xml:space="preserve"> y Laura Raggio, y se efectuaron diligencias de investigación, el 16 de febrero de 2007 se dispuso el archivo de las actuaciones, en virtud de la Ley de Caducidad (</w:t>
      </w:r>
      <w:r w:rsidRPr="00685170">
        <w:rPr>
          <w:rFonts w:ascii="Verdana" w:hAnsi="Verdana" w:cs="Times New Roman"/>
          <w:i/>
          <w:sz w:val="20"/>
          <w:szCs w:val="20"/>
        </w:rPr>
        <w:t>supra</w:t>
      </w:r>
      <w:r w:rsidRPr="00685170">
        <w:rPr>
          <w:rFonts w:ascii="Verdana" w:hAnsi="Verdana" w:cs="Times New Roman"/>
          <w:sz w:val="20"/>
          <w:szCs w:val="20"/>
        </w:rPr>
        <w:t xml:space="preserve"> párr. 65). La investigación recién fue reabierta a fin de octubre de 2011 (</w:t>
      </w:r>
      <w:r w:rsidRPr="00685170">
        <w:rPr>
          <w:rFonts w:ascii="Verdana" w:hAnsi="Verdana" w:cs="Times New Roman"/>
          <w:i/>
          <w:sz w:val="20"/>
          <w:szCs w:val="20"/>
        </w:rPr>
        <w:t>supra</w:t>
      </w:r>
      <w:r w:rsidRPr="00685170">
        <w:rPr>
          <w:rFonts w:ascii="Verdana" w:hAnsi="Verdana" w:cs="Times New Roman"/>
          <w:sz w:val="20"/>
          <w:szCs w:val="20"/>
        </w:rPr>
        <w:t xml:space="preserve"> párr. 66). </w:t>
      </w:r>
    </w:p>
    <w:p w14:paraId="06660CE0" w14:textId="77777777" w:rsidR="002A53BF" w:rsidRPr="00685170" w:rsidRDefault="002A53BF" w:rsidP="005A5029">
      <w:pPr>
        <w:pStyle w:val="Prrafodelista"/>
        <w:spacing w:line="240" w:lineRule="exact"/>
        <w:rPr>
          <w:rFonts w:ascii="Verdana" w:hAnsi="Verdana"/>
          <w:sz w:val="20"/>
          <w:szCs w:val="20"/>
        </w:rPr>
      </w:pPr>
    </w:p>
    <w:p w14:paraId="1408A50D" w14:textId="77777777" w:rsidR="002A53BF" w:rsidRPr="00685170" w:rsidRDefault="002A53BF" w:rsidP="005A5029">
      <w:pPr>
        <w:pStyle w:val="Prrafodelista"/>
        <w:numPr>
          <w:ilvl w:val="0"/>
          <w:numId w:val="49"/>
        </w:numPr>
        <w:spacing w:after="0" w:line="240" w:lineRule="exact"/>
        <w:ind w:left="0" w:firstLine="0"/>
        <w:jc w:val="both"/>
        <w:rPr>
          <w:rFonts w:ascii="Verdana" w:hAnsi="Verdana"/>
          <w:sz w:val="20"/>
          <w:szCs w:val="20"/>
        </w:rPr>
      </w:pPr>
      <w:r w:rsidRPr="00685170">
        <w:rPr>
          <w:rFonts w:ascii="Verdana" w:hAnsi="Verdana"/>
          <w:sz w:val="20"/>
          <w:szCs w:val="20"/>
        </w:rPr>
        <w:t xml:space="preserve">La Ley de Caducidad, entonces, tuvo un impacto directo en todas las actuaciones de investigación atinentes al presente caso, que se vieron interrumpidas varios años. </w:t>
      </w:r>
    </w:p>
    <w:p w14:paraId="2AB095A0" w14:textId="77777777" w:rsidR="002A53BF" w:rsidRPr="00685170" w:rsidRDefault="002A53BF" w:rsidP="005A5029">
      <w:pPr>
        <w:pStyle w:val="Prrafodelista"/>
        <w:spacing w:line="240" w:lineRule="exact"/>
        <w:rPr>
          <w:rFonts w:ascii="Verdana" w:hAnsi="Verdana"/>
          <w:sz w:val="20"/>
          <w:szCs w:val="20"/>
        </w:rPr>
      </w:pPr>
    </w:p>
    <w:p w14:paraId="5368F3EA" w14:textId="77777777" w:rsidR="002A53BF" w:rsidRPr="00685170" w:rsidRDefault="002A53BF" w:rsidP="005A5029">
      <w:pPr>
        <w:pStyle w:val="Prrafodelista"/>
        <w:numPr>
          <w:ilvl w:val="0"/>
          <w:numId w:val="49"/>
        </w:numPr>
        <w:spacing w:after="0" w:line="240" w:lineRule="exact"/>
        <w:ind w:left="0" w:firstLine="0"/>
        <w:jc w:val="both"/>
        <w:rPr>
          <w:rFonts w:ascii="Verdana" w:hAnsi="Verdana"/>
          <w:sz w:val="20"/>
          <w:szCs w:val="20"/>
        </w:rPr>
      </w:pPr>
      <w:r w:rsidRPr="00685170">
        <w:rPr>
          <w:rFonts w:ascii="Verdana" w:hAnsi="Verdana"/>
          <w:sz w:val="20"/>
          <w:szCs w:val="20"/>
        </w:rPr>
        <w:t xml:space="preserve">Respecto a lo anterior, procede recordar que el artículo 2 de la Convención establece la obligación general de cada Estado Parte de adecuar su derecho interno a las disposiciones de aquélla, para garantizar los derechos ahí consagrados, lo que implica que las medidas de derecho interno han de ser efectivas (principio del </w:t>
      </w:r>
      <w:proofErr w:type="spellStart"/>
      <w:r w:rsidRPr="00685170">
        <w:rPr>
          <w:rFonts w:ascii="Verdana" w:hAnsi="Verdana"/>
          <w:i/>
          <w:sz w:val="20"/>
          <w:szCs w:val="20"/>
        </w:rPr>
        <w:t>effet</w:t>
      </w:r>
      <w:proofErr w:type="spellEnd"/>
      <w:r w:rsidRPr="00685170">
        <w:rPr>
          <w:rFonts w:ascii="Verdana" w:hAnsi="Verdana"/>
          <w:i/>
          <w:sz w:val="20"/>
          <w:szCs w:val="20"/>
        </w:rPr>
        <w:t xml:space="preserve"> </w:t>
      </w:r>
      <w:proofErr w:type="spellStart"/>
      <w:r w:rsidRPr="00685170">
        <w:rPr>
          <w:rFonts w:ascii="Verdana" w:hAnsi="Verdana"/>
          <w:i/>
          <w:sz w:val="20"/>
          <w:szCs w:val="20"/>
        </w:rPr>
        <w:t>utile</w:t>
      </w:r>
      <w:proofErr w:type="spellEnd"/>
      <w:r w:rsidRPr="00685170">
        <w:rPr>
          <w:rFonts w:ascii="Verdana" w:hAnsi="Verdana"/>
          <w:sz w:val="20"/>
          <w:szCs w:val="20"/>
        </w:rPr>
        <w:t>)</w:t>
      </w:r>
      <w:r w:rsidRPr="00685170">
        <w:rPr>
          <w:vertAlign w:val="superscript"/>
        </w:rPr>
        <w:footnoteReference w:id="178"/>
      </w:r>
      <w:r w:rsidRPr="00685170">
        <w:rPr>
          <w:rFonts w:ascii="Verdana" w:hAnsi="Verdana"/>
          <w:sz w:val="20"/>
          <w:szCs w:val="20"/>
        </w:rPr>
        <w:t>. En forma concordante, en relación con actos de desaparición forzada de personas, el artículo I. d) de la Convención Interamericana sobre Desaparición Forzada de Personas manda a los Estados a tomar las medidas “legislativas, administrativas, judiciales o de cualquier otra índole necesarias para cumplir” las obligaciones establecidas en ese tratado, dentro de las cuales se encuentra, conforme el apartado b) del mismo artículo, “sancionar” a las personas responsables del “delito de desaparición forzada de personas”.</w:t>
      </w:r>
    </w:p>
    <w:p w14:paraId="7C623B36" w14:textId="77777777" w:rsidR="002A53BF" w:rsidRPr="0039097A" w:rsidRDefault="002A53BF" w:rsidP="005A5029">
      <w:pPr>
        <w:pStyle w:val="Prrafodelista"/>
        <w:spacing w:line="240" w:lineRule="exact"/>
        <w:rPr>
          <w:rFonts w:ascii="Verdana" w:hAnsi="Verdana"/>
          <w:sz w:val="20"/>
          <w:szCs w:val="20"/>
        </w:rPr>
      </w:pPr>
    </w:p>
    <w:p w14:paraId="5F867356" w14:textId="77777777" w:rsidR="002A53BF"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La Corte, ha expresado que “[l]</w:t>
      </w:r>
      <w:r w:rsidRPr="0039097A">
        <w:rPr>
          <w:rFonts w:ascii="Verdana" w:hAnsi="Verdana" w:cs="Arial"/>
          <w:sz w:val="20"/>
          <w:szCs w:val="20"/>
          <w:lang w:val="es-CO"/>
        </w:rPr>
        <w:t xml:space="preserve"> a falta de investigación de […] graves violaciones de derech</w:t>
      </w:r>
      <w:r w:rsidRPr="0066216C">
        <w:rPr>
          <w:rFonts w:ascii="Verdana" w:hAnsi="Verdana" w:cs="Arial"/>
          <w:sz w:val="20"/>
          <w:szCs w:val="20"/>
          <w:lang w:val="es-CO"/>
        </w:rPr>
        <w:t xml:space="preserve">os humanos enmarcadas en patrones sistemáticos, </w:t>
      </w:r>
      <w:r w:rsidRPr="00685170">
        <w:rPr>
          <w:rFonts w:ascii="Verdana" w:hAnsi="Verdana"/>
          <w:sz w:val="20"/>
        </w:rPr>
        <w:t>tiene especial gravedad, pues puede revelar un incumplimiento de las obligaciones internacionales del Estado, establecidas por normas inderogables</w:t>
      </w:r>
      <w:r w:rsidRPr="0039097A">
        <w:rPr>
          <w:rFonts w:ascii="Verdana" w:hAnsi="Verdana" w:cs="Arial"/>
          <w:sz w:val="20"/>
          <w:szCs w:val="20"/>
          <w:lang w:val="es-CO"/>
        </w:rPr>
        <w:t>”</w:t>
      </w:r>
      <w:r w:rsidRPr="0039097A">
        <w:rPr>
          <w:rStyle w:val="Refdenotaalpie"/>
          <w:rFonts w:ascii="Verdana" w:hAnsi="Verdana"/>
          <w:sz w:val="20"/>
          <w:lang w:val="es-ES" w:eastAsia="es-ES"/>
        </w:rPr>
        <w:footnoteReference w:id="179"/>
      </w:r>
      <w:r w:rsidRPr="0039097A">
        <w:rPr>
          <w:rFonts w:ascii="Verdana" w:hAnsi="Verdana" w:cs="Arial"/>
          <w:sz w:val="20"/>
          <w:szCs w:val="20"/>
          <w:lang w:val="es-CO"/>
        </w:rPr>
        <w:t xml:space="preserve">. </w:t>
      </w:r>
      <w:r w:rsidRPr="0039097A">
        <w:rPr>
          <w:rFonts w:ascii="Verdana" w:hAnsi="Verdana"/>
          <w:sz w:val="20"/>
          <w:szCs w:val="20"/>
        </w:rPr>
        <w:t xml:space="preserve">Asimismo, en reiterada jurisprudencia, ha señalado la incompatibilidad de leyes de amnistía u otras figuras análogas con las </w:t>
      </w:r>
      <w:r w:rsidRPr="0039097A">
        <w:rPr>
          <w:rFonts w:ascii="Verdana" w:hAnsi="Verdana"/>
          <w:sz w:val="20"/>
          <w:szCs w:val="20"/>
        </w:rPr>
        <w:lastRenderedPageBreak/>
        <w:t xml:space="preserve">obligaciones de los Estados de </w:t>
      </w:r>
      <w:r w:rsidRPr="0039097A">
        <w:rPr>
          <w:rFonts w:ascii="Verdana" w:hAnsi="Verdana"/>
          <w:sz w:val="20"/>
        </w:rPr>
        <w:t>investigar y, en su caso, sancionar a los responsables de violaciones graves a los derechos humanos</w:t>
      </w:r>
      <w:r w:rsidRPr="0039097A">
        <w:rPr>
          <w:rStyle w:val="Refdenotaalpie"/>
          <w:rFonts w:ascii="Verdana" w:hAnsi="Verdana"/>
          <w:sz w:val="20"/>
          <w:szCs w:val="20"/>
        </w:rPr>
        <w:footnoteReference w:id="180"/>
      </w:r>
      <w:r w:rsidRPr="0039097A">
        <w:rPr>
          <w:rFonts w:ascii="Verdana" w:hAnsi="Verdana"/>
          <w:sz w:val="20"/>
        </w:rPr>
        <w:t>.</w:t>
      </w:r>
    </w:p>
    <w:p w14:paraId="440399A9" w14:textId="77777777" w:rsidR="002A53BF" w:rsidRPr="0039097A" w:rsidRDefault="002A53BF" w:rsidP="005A5029">
      <w:pPr>
        <w:pStyle w:val="Prrafodelista"/>
        <w:spacing w:after="0" w:line="240" w:lineRule="exact"/>
        <w:ind w:left="0"/>
        <w:jc w:val="both"/>
        <w:rPr>
          <w:rFonts w:ascii="Verdana" w:hAnsi="Verdana"/>
          <w:sz w:val="20"/>
          <w:szCs w:val="20"/>
        </w:rPr>
      </w:pPr>
    </w:p>
    <w:p w14:paraId="592AC60E"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685170">
        <w:rPr>
          <w:rFonts w:ascii="Verdana" w:hAnsi="Verdana"/>
          <w:sz w:val="20"/>
          <w:szCs w:val="20"/>
        </w:rPr>
        <w:t xml:space="preserve">Este Tribunal ya he examinado la Ley de Caducidad respecto al caso </w:t>
      </w:r>
      <w:r w:rsidRPr="00685170">
        <w:rPr>
          <w:rFonts w:ascii="Verdana" w:hAnsi="Verdana"/>
          <w:i/>
          <w:sz w:val="20"/>
          <w:szCs w:val="20"/>
        </w:rPr>
        <w:t>Gelman Vs. Uruguay</w:t>
      </w:r>
      <w:r w:rsidRPr="00685170">
        <w:rPr>
          <w:rFonts w:ascii="Verdana" w:hAnsi="Verdana"/>
          <w:sz w:val="20"/>
          <w:szCs w:val="20"/>
        </w:rPr>
        <w:t xml:space="preserve"> (</w:t>
      </w:r>
      <w:r w:rsidRPr="00685170">
        <w:rPr>
          <w:rFonts w:ascii="Verdana" w:hAnsi="Verdana"/>
          <w:i/>
          <w:sz w:val="20"/>
          <w:szCs w:val="20"/>
        </w:rPr>
        <w:t xml:space="preserve">supra </w:t>
      </w:r>
      <w:r w:rsidRPr="00685170">
        <w:rPr>
          <w:rFonts w:ascii="Verdana" w:hAnsi="Verdana"/>
          <w:sz w:val="20"/>
          <w:szCs w:val="20"/>
        </w:rPr>
        <w:t>párr. 42). Además, luego de esa decisión de 2011, el Estado adoptó medidas tendientes a reestablecer la pretensión punitiva del Estado (</w:t>
      </w:r>
      <w:r w:rsidRPr="00685170">
        <w:rPr>
          <w:rFonts w:ascii="Verdana" w:hAnsi="Verdana"/>
          <w:i/>
          <w:sz w:val="20"/>
          <w:szCs w:val="20"/>
        </w:rPr>
        <w:t xml:space="preserve">supra </w:t>
      </w:r>
      <w:proofErr w:type="spellStart"/>
      <w:r w:rsidRPr="00685170">
        <w:rPr>
          <w:rFonts w:ascii="Verdana" w:hAnsi="Verdana"/>
          <w:sz w:val="20"/>
          <w:szCs w:val="20"/>
        </w:rPr>
        <w:t>párrs</w:t>
      </w:r>
      <w:proofErr w:type="spellEnd"/>
      <w:r w:rsidRPr="00685170">
        <w:rPr>
          <w:rFonts w:ascii="Verdana" w:hAnsi="Verdana"/>
          <w:sz w:val="20"/>
          <w:szCs w:val="20"/>
        </w:rPr>
        <w:t>. 43 y 44). Por otra parte, en el presente caso, el Estado no ha hecho una defensa de la compatibilidad con la Convención o con el derecho internacional de la Ley de Caducidad. Por ello, la Corte entiende que no resulta necesario revisar el análisis que ya efectuó sobre dicha ley. Por el contrario, dado que la misma tuvo efectos en el caso que ahora se examina (</w:t>
      </w:r>
      <w:r w:rsidRPr="00685170">
        <w:rPr>
          <w:rFonts w:ascii="Verdana" w:hAnsi="Verdana"/>
          <w:i/>
          <w:sz w:val="20"/>
          <w:szCs w:val="20"/>
        </w:rPr>
        <w:t>supra</w:t>
      </w:r>
      <w:r w:rsidRPr="00685170">
        <w:rPr>
          <w:rFonts w:ascii="Verdana" w:hAnsi="Verdana"/>
          <w:sz w:val="20"/>
          <w:szCs w:val="20"/>
        </w:rPr>
        <w:t xml:space="preserve"> </w:t>
      </w:r>
      <w:proofErr w:type="spellStart"/>
      <w:r w:rsidRPr="00685170">
        <w:rPr>
          <w:rFonts w:ascii="Verdana" w:hAnsi="Verdana"/>
          <w:sz w:val="20"/>
          <w:szCs w:val="20"/>
        </w:rPr>
        <w:t>párrs</w:t>
      </w:r>
      <w:proofErr w:type="spellEnd"/>
      <w:r>
        <w:rPr>
          <w:rFonts w:ascii="Verdana" w:hAnsi="Verdana"/>
          <w:sz w:val="20"/>
          <w:szCs w:val="20"/>
        </w:rPr>
        <w:t>. 143 a 145</w:t>
      </w:r>
      <w:r w:rsidRPr="00685170">
        <w:rPr>
          <w:rFonts w:ascii="Verdana" w:hAnsi="Verdana"/>
          <w:sz w:val="20"/>
          <w:szCs w:val="20"/>
        </w:rPr>
        <w:t>), es preciso tener en cuenta las conclusiones a las que ya arribó la Corte.</w:t>
      </w:r>
    </w:p>
    <w:p w14:paraId="58FCE2DF" w14:textId="77777777" w:rsidR="002A53BF" w:rsidRPr="00685170" w:rsidRDefault="002A53BF" w:rsidP="005A5029">
      <w:pPr>
        <w:pStyle w:val="Prrafodelista"/>
        <w:spacing w:after="0" w:line="240" w:lineRule="exact"/>
        <w:ind w:left="0"/>
        <w:jc w:val="both"/>
        <w:rPr>
          <w:rFonts w:ascii="Verdana" w:hAnsi="Verdana"/>
          <w:sz w:val="20"/>
          <w:szCs w:val="20"/>
        </w:rPr>
      </w:pPr>
    </w:p>
    <w:p w14:paraId="78987267" w14:textId="77777777"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Pr>
          <w:rFonts w:ascii="Verdana" w:hAnsi="Verdana"/>
          <w:sz w:val="20"/>
          <w:szCs w:val="20"/>
        </w:rPr>
        <w:t>Este Tribunal, por tanto</w:t>
      </w:r>
      <w:r w:rsidRPr="00685170">
        <w:rPr>
          <w:rFonts w:ascii="Verdana" w:hAnsi="Verdana"/>
          <w:sz w:val="20"/>
          <w:szCs w:val="20"/>
        </w:rPr>
        <w:t>, reitera que, las disposiciones de la Ley de Caducidad que impiden la investigación y sanción de graves violaciones de derechos humanos carecen de efectos jurídicos (</w:t>
      </w:r>
      <w:r w:rsidRPr="00685170">
        <w:rPr>
          <w:rFonts w:ascii="Verdana" w:hAnsi="Verdana"/>
          <w:i/>
          <w:sz w:val="20"/>
          <w:szCs w:val="20"/>
        </w:rPr>
        <w:t xml:space="preserve">supra </w:t>
      </w:r>
      <w:r w:rsidRPr="00685170">
        <w:rPr>
          <w:rFonts w:ascii="Verdana" w:hAnsi="Verdana"/>
          <w:sz w:val="20"/>
          <w:szCs w:val="20"/>
        </w:rPr>
        <w:t>párr. 42) por su manifiesta incompatibilidad con la Convención</w:t>
      </w:r>
      <w:r w:rsidRPr="00685170">
        <w:rPr>
          <w:rStyle w:val="Refdenotaalpie"/>
          <w:rFonts w:ascii="Verdana" w:hAnsi="Verdana"/>
          <w:sz w:val="20"/>
          <w:szCs w:val="20"/>
        </w:rPr>
        <w:footnoteReference w:id="181"/>
      </w:r>
      <w:r w:rsidRPr="00685170">
        <w:rPr>
          <w:rFonts w:ascii="Verdana" w:hAnsi="Verdana"/>
          <w:sz w:val="20"/>
          <w:szCs w:val="20"/>
        </w:rPr>
        <w:t xml:space="preserve">, y que “[a]l aplicar </w:t>
      </w:r>
      <w:r w:rsidRPr="00685170">
        <w:rPr>
          <w:rFonts w:ascii="Verdana" w:hAnsi="Verdana" w:cs="Times-Roman"/>
          <w:sz w:val="20"/>
          <w:szCs w:val="20"/>
          <w:lang w:val="es-CO" w:bidi="en-US"/>
        </w:rPr>
        <w:t>la Ley de Caducidad</w:t>
      </w:r>
      <w:r w:rsidRPr="0039097A">
        <w:rPr>
          <w:rFonts w:ascii="Verdana" w:hAnsi="Verdana" w:cs="Times-Roman"/>
          <w:sz w:val="20"/>
          <w:szCs w:val="20"/>
          <w:lang w:val="es-CO" w:bidi="en-US"/>
        </w:rPr>
        <w:t xml:space="preserve"> (que por sus efectos constituye una ley de amnistía) impidiendo la investigación de los hechos y la identificación, juzgamiento y eventual sanción de los posibles responsables […] se incumple la obligación de adecuar el derecho interno del Estado, consagrada en el artículo 2 de la Convención Americana”</w:t>
      </w:r>
      <w:r w:rsidRPr="0039097A">
        <w:rPr>
          <w:rStyle w:val="Refdenotaalpie"/>
          <w:rFonts w:ascii="Verdana" w:hAnsi="Verdana" w:cs="Times-Roman"/>
          <w:sz w:val="20"/>
          <w:szCs w:val="20"/>
          <w:lang w:val="es-CO" w:bidi="en-US"/>
        </w:rPr>
        <w:footnoteReference w:id="182"/>
      </w:r>
      <w:r w:rsidRPr="0039097A">
        <w:rPr>
          <w:rFonts w:ascii="Verdana" w:hAnsi="Verdana"/>
          <w:sz w:val="20"/>
          <w:szCs w:val="20"/>
          <w:lang w:val="es-CO"/>
        </w:rPr>
        <w:t>. Esto vale para “</w:t>
      </w:r>
      <w:r w:rsidRPr="0039097A">
        <w:rPr>
          <w:rFonts w:ascii="Verdana" w:hAnsi="Verdana" w:cs="Times-Roman"/>
          <w:sz w:val="20"/>
          <w:szCs w:val="20"/>
          <w:lang w:val="es-CO" w:bidi="en-US"/>
        </w:rPr>
        <w:t xml:space="preserve">violaciones continuadas y permanentes como las desapariciones forzadas”, como se señaló en ese caso, como también para otras graves violaciones a derechos humanos, como ejecuciones extrajudiciales. En relación con actos de desaparición forzada la Ley de Caducidad implica, además de la </w:t>
      </w:r>
      <w:r w:rsidRPr="00685170">
        <w:rPr>
          <w:rFonts w:ascii="Verdana" w:hAnsi="Verdana" w:cs="Times-Roman"/>
          <w:sz w:val="20"/>
          <w:szCs w:val="20"/>
          <w:lang w:val="es-CO" w:bidi="en-US"/>
        </w:rPr>
        <w:t>inobservancia del artículo 2 señalado, el incumplimiento, a partir del 2 de mayo de 1996 (</w:t>
      </w:r>
      <w:r w:rsidRPr="00685170">
        <w:rPr>
          <w:rFonts w:ascii="Verdana" w:hAnsi="Verdana" w:cs="Times-Roman"/>
          <w:i/>
          <w:sz w:val="20"/>
          <w:szCs w:val="20"/>
          <w:lang w:val="es-CO" w:bidi="en-US"/>
        </w:rPr>
        <w:t xml:space="preserve">supra </w:t>
      </w:r>
      <w:r w:rsidRPr="00685170">
        <w:rPr>
          <w:rFonts w:ascii="Verdana" w:hAnsi="Verdana" w:cs="Times-Roman"/>
          <w:sz w:val="20"/>
          <w:szCs w:val="20"/>
          <w:lang w:val="es-CO" w:bidi="en-US"/>
        </w:rPr>
        <w:t>párr. 12), del artículo I. d) de la Convención Interamericana sobre Desaparición Forzada de Personas</w:t>
      </w:r>
      <w:r w:rsidRPr="00685170">
        <w:rPr>
          <w:rFonts w:cs="Times-Roman"/>
          <w:sz w:val="20"/>
          <w:szCs w:val="20"/>
          <w:lang w:val="es-CO" w:bidi="en-US"/>
        </w:rPr>
        <w:t>.</w:t>
      </w:r>
      <w:r w:rsidRPr="0039097A">
        <w:rPr>
          <w:rFonts w:cs="Times-Roman"/>
          <w:sz w:val="20"/>
          <w:szCs w:val="20"/>
          <w:lang w:val="es-CO" w:bidi="en-US"/>
        </w:rPr>
        <w:t xml:space="preserve"> </w:t>
      </w:r>
    </w:p>
    <w:p w14:paraId="0B69E11E" w14:textId="77777777" w:rsidR="002A53BF" w:rsidRPr="0039097A" w:rsidRDefault="002A53BF" w:rsidP="005A5029">
      <w:pPr>
        <w:pStyle w:val="Prrafodelista"/>
        <w:spacing w:line="240" w:lineRule="exact"/>
        <w:rPr>
          <w:rFonts w:ascii="Verdana" w:hAnsi="Verdana"/>
          <w:sz w:val="20"/>
          <w:szCs w:val="20"/>
          <w:lang w:val="es-CO"/>
        </w:rPr>
      </w:pPr>
    </w:p>
    <w:p w14:paraId="77EDED93" w14:textId="3008E19D"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 xml:space="preserve">Durante el tiempo en que las actuaciones judiciales internas permanecieron interrumpidas por la aplicación de la Ley de Caducidad, el Estado incumplió, en perjuicio de las víctimas </w:t>
      </w:r>
      <w:r w:rsidRPr="00275FA4">
        <w:rPr>
          <w:rFonts w:ascii="Verdana" w:hAnsi="Verdana"/>
          <w:sz w:val="20"/>
          <w:szCs w:val="20"/>
        </w:rPr>
        <w:t>del caso (</w:t>
      </w:r>
      <w:r w:rsidRPr="00275FA4">
        <w:rPr>
          <w:rFonts w:ascii="Verdana" w:hAnsi="Verdana"/>
          <w:i/>
          <w:sz w:val="20"/>
          <w:szCs w:val="20"/>
        </w:rPr>
        <w:t>infra</w:t>
      </w:r>
      <w:r w:rsidR="00275FA4" w:rsidRPr="00275FA4">
        <w:rPr>
          <w:rFonts w:ascii="Verdana" w:hAnsi="Verdana"/>
          <w:sz w:val="20"/>
          <w:szCs w:val="20"/>
        </w:rPr>
        <w:t xml:space="preserve"> párr. 195</w:t>
      </w:r>
      <w:r w:rsidRPr="00275FA4">
        <w:rPr>
          <w:rFonts w:ascii="Verdana" w:hAnsi="Verdana"/>
          <w:sz w:val="20"/>
          <w:szCs w:val="20"/>
        </w:rPr>
        <w:t>), su</w:t>
      </w:r>
      <w:r w:rsidRPr="00685170">
        <w:rPr>
          <w:rFonts w:ascii="Verdana" w:hAnsi="Verdana"/>
          <w:sz w:val="20"/>
          <w:szCs w:val="20"/>
        </w:rPr>
        <w:t xml:space="preserve"> deber de investigar en relación no solo con las obligaciones establecidas en el artículo 1</w:t>
      </w:r>
      <w:r w:rsidRPr="0039097A">
        <w:rPr>
          <w:rFonts w:ascii="Verdana" w:hAnsi="Verdana"/>
          <w:sz w:val="20"/>
          <w:szCs w:val="20"/>
        </w:rPr>
        <w:t>.1 de la Convención Americana, sino también con la obligación que surge de su artículo 2 y, en lo pertinente, del artículo I.</w:t>
      </w:r>
      <w:r>
        <w:rPr>
          <w:rFonts w:ascii="Verdana" w:hAnsi="Verdana"/>
          <w:sz w:val="20"/>
          <w:szCs w:val="20"/>
        </w:rPr>
        <w:t xml:space="preserve"> </w:t>
      </w:r>
      <w:r w:rsidRPr="0039097A">
        <w:rPr>
          <w:rFonts w:ascii="Verdana" w:hAnsi="Verdana"/>
          <w:sz w:val="20"/>
          <w:szCs w:val="20"/>
        </w:rPr>
        <w:t>d</w:t>
      </w:r>
      <w:r>
        <w:rPr>
          <w:rFonts w:ascii="Verdana" w:hAnsi="Verdana"/>
          <w:sz w:val="20"/>
          <w:szCs w:val="20"/>
        </w:rPr>
        <w:t>)</w:t>
      </w:r>
      <w:r w:rsidRPr="0039097A">
        <w:rPr>
          <w:rFonts w:ascii="Verdana" w:hAnsi="Verdana"/>
          <w:sz w:val="20"/>
          <w:szCs w:val="20"/>
        </w:rPr>
        <w:t xml:space="preserve"> </w:t>
      </w:r>
      <w:r w:rsidRPr="0039097A">
        <w:rPr>
          <w:rFonts w:ascii="Verdana" w:hAnsi="Verdana" w:cs="Times-Roman"/>
          <w:sz w:val="20"/>
          <w:szCs w:val="20"/>
          <w:lang w:val="es-CO" w:bidi="en-US"/>
        </w:rPr>
        <w:t>de la Convención Interamericana sobre Desaparición Forzada de Personas</w:t>
      </w:r>
      <w:r w:rsidRPr="0039097A">
        <w:rPr>
          <w:rFonts w:cs="Times-Roman"/>
          <w:sz w:val="20"/>
          <w:szCs w:val="20"/>
          <w:lang w:val="es-CO" w:bidi="en-US"/>
        </w:rPr>
        <w:t xml:space="preserve">. </w:t>
      </w:r>
    </w:p>
    <w:p w14:paraId="7DC00AA6" w14:textId="77777777" w:rsidR="002A53BF" w:rsidRPr="0039097A" w:rsidRDefault="002A53BF" w:rsidP="005A5029">
      <w:pPr>
        <w:pStyle w:val="Prrafodelista"/>
        <w:spacing w:line="240" w:lineRule="exact"/>
        <w:rPr>
          <w:rFonts w:ascii="Verdana" w:hAnsi="Verdana"/>
          <w:sz w:val="20"/>
          <w:szCs w:val="20"/>
        </w:rPr>
      </w:pPr>
    </w:p>
    <w:p w14:paraId="4B657206" w14:textId="77777777" w:rsidR="002A53BF" w:rsidRPr="0039097A" w:rsidRDefault="002A53BF" w:rsidP="005A5029">
      <w:pPr>
        <w:pStyle w:val="Prrafodelista"/>
        <w:spacing w:line="240" w:lineRule="exact"/>
        <w:ind w:left="851"/>
        <w:outlineLvl w:val="3"/>
        <w:rPr>
          <w:rFonts w:ascii="Verdana" w:hAnsi="Verdana"/>
          <w:i/>
          <w:sz w:val="20"/>
          <w:szCs w:val="20"/>
        </w:rPr>
      </w:pPr>
      <w:bookmarkStart w:id="60" w:name="_Toc85550420"/>
      <w:r w:rsidRPr="0039097A">
        <w:rPr>
          <w:rFonts w:ascii="Verdana" w:hAnsi="Verdana"/>
          <w:i/>
          <w:sz w:val="20"/>
          <w:szCs w:val="20"/>
        </w:rPr>
        <w:t>B.2.2 Debida diligencia en las actuaciones</w:t>
      </w:r>
      <w:bookmarkEnd w:id="60"/>
      <w:r w:rsidRPr="0039097A">
        <w:rPr>
          <w:rFonts w:ascii="Verdana" w:hAnsi="Verdana"/>
          <w:i/>
          <w:sz w:val="20"/>
          <w:szCs w:val="20"/>
        </w:rPr>
        <w:t xml:space="preserve"> </w:t>
      </w:r>
    </w:p>
    <w:p w14:paraId="0DD4236E" w14:textId="77777777" w:rsidR="002A53BF" w:rsidRPr="0039097A" w:rsidRDefault="002A53BF" w:rsidP="005A5029">
      <w:pPr>
        <w:pStyle w:val="Prrafodelista"/>
        <w:spacing w:after="0" w:line="240" w:lineRule="exact"/>
        <w:ind w:left="0"/>
        <w:jc w:val="both"/>
        <w:rPr>
          <w:rFonts w:ascii="Verdana" w:hAnsi="Verdana"/>
          <w:sz w:val="20"/>
          <w:szCs w:val="20"/>
        </w:rPr>
      </w:pPr>
    </w:p>
    <w:p w14:paraId="1E5FDEDF" w14:textId="77777777" w:rsidR="002A53BF" w:rsidRDefault="002A53BF" w:rsidP="005A5029">
      <w:pPr>
        <w:pStyle w:val="Prrafodelista"/>
        <w:spacing w:after="0" w:line="240" w:lineRule="exact"/>
        <w:ind w:left="1134"/>
        <w:jc w:val="both"/>
        <w:outlineLvl w:val="4"/>
        <w:rPr>
          <w:rFonts w:ascii="Verdana" w:hAnsi="Verdana"/>
          <w:i/>
          <w:sz w:val="20"/>
          <w:szCs w:val="20"/>
        </w:rPr>
      </w:pPr>
      <w:r>
        <w:rPr>
          <w:rFonts w:ascii="Verdana" w:hAnsi="Verdana"/>
          <w:sz w:val="20"/>
          <w:szCs w:val="20"/>
        </w:rPr>
        <w:t xml:space="preserve"> </w:t>
      </w:r>
      <w:bookmarkStart w:id="61" w:name="_Toc85550421"/>
      <w:r>
        <w:rPr>
          <w:rFonts w:ascii="Verdana" w:hAnsi="Verdana"/>
          <w:i/>
          <w:sz w:val="20"/>
          <w:szCs w:val="20"/>
        </w:rPr>
        <w:t>B.2.2.1 Respecto a la determinación del paradero de personas desaparecidas</w:t>
      </w:r>
      <w:bookmarkEnd w:id="61"/>
    </w:p>
    <w:p w14:paraId="5EF5D56B" w14:textId="77777777" w:rsidR="002A53BF" w:rsidRDefault="002A53BF" w:rsidP="005A5029">
      <w:pPr>
        <w:pStyle w:val="Prrafodelista"/>
        <w:spacing w:after="0" w:line="240" w:lineRule="exact"/>
        <w:ind w:left="1134"/>
        <w:jc w:val="both"/>
        <w:rPr>
          <w:rFonts w:ascii="Verdana" w:hAnsi="Verdana"/>
          <w:sz w:val="20"/>
          <w:szCs w:val="20"/>
        </w:rPr>
      </w:pPr>
    </w:p>
    <w:p w14:paraId="180963DB" w14:textId="77777777" w:rsidR="002A53BF" w:rsidRPr="00685170"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La Corte advierte</w:t>
      </w:r>
      <w:r>
        <w:rPr>
          <w:rFonts w:ascii="Verdana" w:hAnsi="Verdana"/>
          <w:sz w:val="20"/>
          <w:szCs w:val="20"/>
        </w:rPr>
        <w:t xml:space="preserve">, en primer lugar, que en </w:t>
      </w:r>
      <w:r w:rsidRPr="0039097A">
        <w:rPr>
          <w:rFonts w:ascii="Verdana" w:hAnsi="Verdana"/>
          <w:sz w:val="20"/>
          <w:szCs w:val="20"/>
        </w:rPr>
        <w:t>casos de personas desaparecidas la respuesta estatal resulta esencial para la protección de la vida e integridad de la persona afectada. Es imprescindible la actuación pronta e inmediata de las autoridades,</w:t>
      </w:r>
      <w:r>
        <w:rPr>
          <w:rFonts w:ascii="Verdana" w:hAnsi="Verdana"/>
          <w:sz w:val="20"/>
          <w:szCs w:val="20"/>
        </w:rPr>
        <w:t xml:space="preserve"> a partir </w:t>
      </w:r>
      <w:r w:rsidRPr="00685170">
        <w:rPr>
          <w:rFonts w:ascii="Verdana" w:hAnsi="Verdana"/>
          <w:sz w:val="20"/>
          <w:szCs w:val="20"/>
        </w:rPr>
        <w:lastRenderedPageBreak/>
        <w:t>del conocimiento de la desaparición, ordenando y llevando a cabo medidas oportunas y necesarias dirigidas a la determinación del paradero de la persona o el lugar donde pueda encontrarse privada de libertad. La investigación, por la vía judicial o administrativa, debe llevarse a cabo con la debida diligencia, en forma seria de modo que se realicen todos los esfuerzos, de manera sistemática y rigurosa</w:t>
      </w:r>
      <w:r w:rsidRPr="00685170">
        <w:rPr>
          <w:rStyle w:val="Refdenotaalpie"/>
          <w:rFonts w:ascii="Verdana" w:hAnsi="Verdana"/>
          <w:sz w:val="20"/>
          <w:szCs w:val="20"/>
        </w:rPr>
        <w:footnoteReference w:id="183"/>
      </w:r>
      <w:r w:rsidRPr="00685170">
        <w:rPr>
          <w:rFonts w:ascii="Verdana" w:hAnsi="Verdana"/>
          <w:sz w:val="20"/>
          <w:szCs w:val="20"/>
        </w:rPr>
        <w:t>.</w:t>
      </w:r>
    </w:p>
    <w:p w14:paraId="3B48974F" w14:textId="77777777" w:rsidR="002A53BF" w:rsidRDefault="002A53BF" w:rsidP="005A5029">
      <w:pPr>
        <w:pStyle w:val="Prrafodelista"/>
        <w:spacing w:after="0" w:line="240" w:lineRule="exact"/>
        <w:ind w:left="0"/>
        <w:jc w:val="both"/>
        <w:rPr>
          <w:rFonts w:ascii="Verdana" w:hAnsi="Verdana"/>
          <w:sz w:val="20"/>
          <w:szCs w:val="20"/>
        </w:rPr>
      </w:pPr>
    </w:p>
    <w:p w14:paraId="6AE187DD" w14:textId="77777777" w:rsidR="002A53BF"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 xml:space="preserve">Pese a lo anterior, no surge </w:t>
      </w:r>
      <w:r w:rsidRPr="00F137AF">
        <w:rPr>
          <w:rFonts w:ascii="Verdana" w:hAnsi="Verdana"/>
          <w:sz w:val="20"/>
          <w:szCs w:val="20"/>
        </w:rPr>
        <w:t>de los hechos que el Estado hubiera realizado acciones de búsqueda en forma inmediata luego de recibir, en</w:t>
      </w:r>
      <w:r>
        <w:rPr>
          <w:rFonts w:ascii="Verdana" w:hAnsi="Verdana"/>
          <w:sz w:val="20"/>
          <w:szCs w:val="20"/>
        </w:rPr>
        <w:t xml:space="preserve">tre mayo y </w:t>
      </w:r>
      <w:r w:rsidRPr="00F137AF">
        <w:rPr>
          <w:rFonts w:ascii="Verdana" w:hAnsi="Verdana"/>
          <w:sz w:val="20"/>
          <w:szCs w:val="20"/>
        </w:rPr>
        <w:t xml:space="preserve">julio de 1985, </w:t>
      </w:r>
      <w:r w:rsidRPr="00685170">
        <w:rPr>
          <w:rFonts w:ascii="Verdana" w:hAnsi="Verdana"/>
          <w:sz w:val="20"/>
          <w:szCs w:val="20"/>
        </w:rPr>
        <w:t xml:space="preserve">denuncias sobre las desapariciones de Óscar </w:t>
      </w:r>
      <w:proofErr w:type="spellStart"/>
      <w:r w:rsidRPr="00685170">
        <w:rPr>
          <w:rFonts w:ascii="Verdana" w:hAnsi="Verdana"/>
          <w:sz w:val="20"/>
          <w:szCs w:val="20"/>
        </w:rPr>
        <w:t>Tassino</w:t>
      </w:r>
      <w:proofErr w:type="spellEnd"/>
      <w:r w:rsidRPr="00685170">
        <w:rPr>
          <w:rFonts w:ascii="Verdana" w:hAnsi="Verdana"/>
          <w:sz w:val="20"/>
          <w:szCs w:val="20"/>
        </w:rPr>
        <w:t xml:space="preserve"> </w:t>
      </w:r>
      <w:proofErr w:type="spellStart"/>
      <w:r w:rsidRPr="00685170">
        <w:rPr>
          <w:rFonts w:ascii="Verdana" w:hAnsi="Verdana"/>
          <w:sz w:val="20"/>
          <w:szCs w:val="20"/>
        </w:rPr>
        <w:t>Asteazu</w:t>
      </w:r>
      <w:proofErr w:type="spellEnd"/>
      <w:r w:rsidRPr="00685170">
        <w:rPr>
          <w:rFonts w:ascii="Verdana" w:hAnsi="Verdana"/>
          <w:sz w:val="20"/>
          <w:szCs w:val="20"/>
        </w:rPr>
        <w:t xml:space="preserve"> y Luis Eduardo González </w:t>
      </w:r>
      <w:proofErr w:type="spellStart"/>
      <w:r w:rsidRPr="00685170">
        <w:rPr>
          <w:rFonts w:ascii="Verdana" w:hAnsi="Verdana"/>
          <w:sz w:val="20"/>
          <w:szCs w:val="20"/>
        </w:rPr>
        <w:t>González</w:t>
      </w:r>
      <w:proofErr w:type="spellEnd"/>
      <w:r w:rsidRPr="00685170">
        <w:rPr>
          <w:rFonts w:ascii="Verdana" w:hAnsi="Verdana"/>
          <w:sz w:val="20"/>
          <w:szCs w:val="20"/>
        </w:rPr>
        <w:t xml:space="preserve"> (</w:t>
      </w:r>
      <w:r w:rsidRPr="00685170">
        <w:rPr>
          <w:rFonts w:ascii="Verdana" w:hAnsi="Verdana"/>
          <w:i/>
          <w:sz w:val="20"/>
          <w:szCs w:val="20"/>
        </w:rPr>
        <w:t>supra</w:t>
      </w:r>
      <w:r w:rsidRPr="00685170">
        <w:rPr>
          <w:rFonts w:ascii="Verdana" w:hAnsi="Verdana"/>
          <w:sz w:val="20"/>
          <w:szCs w:val="20"/>
        </w:rPr>
        <w:t xml:space="preserve">, </w:t>
      </w:r>
      <w:proofErr w:type="spellStart"/>
      <w:r w:rsidRPr="00685170">
        <w:rPr>
          <w:rFonts w:ascii="Verdana" w:hAnsi="Verdana"/>
          <w:sz w:val="20"/>
          <w:szCs w:val="20"/>
        </w:rPr>
        <w:t>párrs</w:t>
      </w:r>
      <w:proofErr w:type="spellEnd"/>
      <w:r w:rsidRPr="00685170">
        <w:rPr>
          <w:rFonts w:ascii="Verdana" w:hAnsi="Verdana"/>
          <w:sz w:val="20"/>
          <w:szCs w:val="20"/>
        </w:rPr>
        <w:t>. 78, 90</w:t>
      </w:r>
      <w:r>
        <w:rPr>
          <w:rFonts w:ascii="Verdana" w:hAnsi="Verdana"/>
          <w:sz w:val="20"/>
          <w:szCs w:val="20"/>
        </w:rPr>
        <w:t xml:space="preserve"> y 142</w:t>
      </w:r>
      <w:r w:rsidRPr="00685170">
        <w:rPr>
          <w:rFonts w:ascii="Verdana" w:hAnsi="Verdana"/>
          <w:sz w:val="20"/>
          <w:szCs w:val="20"/>
        </w:rPr>
        <w:t>). Los primeros actos estatales que recogen y asientan información sobre el posible destino de las víctimas datan de 2005, y de los dichos del propio Estado surge que dicha información no es conclusiva. Uruguay, en efecto, ha manifestado que hay “versiones diferentes”, y que la búsqueda continua (</w:t>
      </w:r>
      <w:r w:rsidRPr="00685170">
        <w:rPr>
          <w:rFonts w:ascii="Verdana" w:hAnsi="Verdana"/>
          <w:i/>
          <w:sz w:val="20"/>
          <w:szCs w:val="20"/>
        </w:rPr>
        <w:t xml:space="preserve">supra </w:t>
      </w:r>
      <w:r>
        <w:rPr>
          <w:rFonts w:ascii="Verdana" w:hAnsi="Verdana"/>
          <w:sz w:val="20"/>
          <w:szCs w:val="20"/>
        </w:rPr>
        <w:t>párr.134</w:t>
      </w:r>
      <w:r w:rsidRPr="00685170">
        <w:rPr>
          <w:rFonts w:ascii="Verdana" w:hAnsi="Verdana"/>
          <w:sz w:val="20"/>
          <w:szCs w:val="20"/>
        </w:rPr>
        <w:t>). En definitiva</w:t>
      </w:r>
      <w:r w:rsidRPr="0039097A">
        <w:rPr>
          <w:rFonts w:ascii="Verdana" w:hAnsi="Verdana"/>
          <w:sz w:val="20"/>
          <w:szCs w:val="20"/>
        </w:rPr>
        <w:t>, luego de más de 44 años de sus desapariciones, todavía no hay certeza sobre el paradero de las dos personas nombradas o de sus restos mortales, y no constan acciones efectivas tendientes a ello. El Estado, en este aspecto, no ha observado una conducta diligente.</w:t>
      </w:r>
    </w:p>
    <w:p w14:paraId="69262524" w14:textId="77777777" w:rsidR="002A53BF" w:rsidRDefault="002A53BF" w:rsidP="005A5029">
      <w:pPr>
        <w:pStyle w:val="Prrafodelista"/>
        <w:spacing w:after="0" w:line="240" w:lineRule="exact"/>
        <w:ind w:left="0"/>
        <w:jc w:val="both"/>
        <w:rPr>
          <w:rFonts w:ascii="Verdana" w:hAnsi="Verdana"/>
          <w:sz w:val="20"/>
          <w:szCs w:val="20"/>
        </w:rPr>
      </w:pPr>
    </w:p>
    <w:p w14:paraId="776BB9A8" w14:textId="77777777" w:rsidR="002A53BF" w:rsidRDefault="002A53BF" w:rsidP="005A5029">
      <w:pPr>
        <w:pStyle w:val="Prrafodelista"/>
        <w:spacing w:after="0" w:line="240" w:lineRule="exact"/>
        <w:ind w:left="1134"/>
        <w:jc w:val="both"/>
        <w:outlineLvl w:val="4"/>
        <w:rPr>
          <w:rFonts w:ascii="Verdana" w:hAnsi="Verdana"/>
          <w:sz w:val="20"/>
          <w:szCs w:val="20"/>
        </w:rPr>
      </w:pPr>
      <w:bookmarkStart w:id="62" w:name="_Toc85550422"/>
      <w:r>
        <w:rPr>
          <w:rFonts w:ascii="Verdana" w:hAnsi="Verdana"/>
          <w:i/>
          <w:sz w:val="20"/>
          <w:szCs w:val="20"/>
        </w:rPr>
        <w:t>B.2.2.2 Respecto a la determinación de responsabilidades penales</w:t>
      </w:r>
      <w:bookmarkEnd w:id="62"/>
    </w:p>
    <w:p w14:paraId="7ABE4B3A" w14:textId="77777777" w:rsidR="002A53BF" w:rsidRPr="0039097A" w:rsidRDefault="002A53BF" w:rsidP="005A5029">
      <w:pPr>
        <w:pStyle w:val="Prrafodelista"/>
        <w:spacing w:after="0" w:line="240" w:lineRule="exact"/>
        <w:ind w:left="0"/>
        <w:jc w:val="both"/>
        <w:rPr>
          <w:rFonts w:ascii="Verdana" w:hAnsi="Verdana"/>
          <w:sz w:val="20"/>
          <w:szCs w:val="20"/>
        </w:rPr>
      </w:pPr>
    </w:p>
    <w:p w14:paraId="7158F12B" w14:textId="77777777" w:rsidR="002A53BF" w:rsidRPr="00DD0365" w:rsidRDefault="002A53BF" w:rsidP="005A5029">
      <w:pPr>
        <w:pStyle w:val="Prrafodelista"/>
        <w:numPr>
          <w:ilvl w:val="0"/>
          <w:numId w:val="49"/>
        </w:numPr>
        <w:spacing w:after="0" w:line="240" w:lineRule="exact"/>
        <w:ind w:left="0" w:firstLine="0"/>
        <w:jc w:val="both"/>
        <w:rPr>
          <w:rFonts w:ascii="Verdana" w:hAnsi="Verdana"/>
          <w:sz w:val="20"/>
          <w:szCs w:val="20"/>
        </w:rPr>
      </w:pPr>
      <w:r>
        <w:rPr>
          <w:rFonts w:ascii="Verdana" w:hAnsi="Verdana"/>
          <w:sz w:val="20"/>
          <w:szCs w:val="20"/>
        </w:rPr>
        <w:t xml:space="preserve">En relación </w:t>
      </w:r>
      <w:r w:rsidRPr="00685170">
        <w:rPr>
          <w:rFonts w:ascii="Verdana" w:hAnsi="Verdana"/>
          <w:sz w:val="20"/>
          <w:szCs w:val="20"/>
        </w:rPr>
        <w:t>con las actuaciones tendientes a determinar responsabilidades penales, con anterioridad a 2006 el principal obstáculo al avance en las investigaciones judiciales se debió a la aplicación de la Ley de Caducidad, cuestión que ya ha sido examinada (</w:t>
      </w:r>
      <w:r w:rsidRPr="00685170">
        <w:rPr>
          <w:rFonts w:ascii="Verdana" w:hAnsi="Verdana"/>
          <w:i/>
          <w:sz w:val="20"/>
          <w:szCs w:val="20"/>
        </w:rPr>
        <w:t>supra</w:t>
      </w:r>
      <w:r>
        <w:rPr>
          <w:rFonts w:ascii="Verdana" w:hAnsi="Verdana"/>
          <w:sz w:val="20"/>
          <w:szCs w:val="20"/>
        </w:rPr>
        <w:t xml:space="preserve"> </w:t>
      </w:r>
      <w:proofErr w:type="spellStart"/>
      <w:r>
        <w:rPr>
          <w:rFonts w:ascii="Verdana" w:hAnsi="Verdana"/>
          <w:sz w:val="20"/>
          <w:szCs w:val="20"/>
        </w:rPr>
        <w:t>párrs</w:t>
      </w:r>
      <w:proofErr w:type="spellEnd"/>
      <w:r>
        <w:rPr>
          <w:rFonts w:ascii="Verdana" w:hAnsi="Verdana"/>
          <w:sz w:val="20"/>
          <w:szCs w:val="20"/>
        </w:rPr>
        <w:t>. 142</w:t>
      </w:r>
      <w:r w:rsidRPr="00685170">
        <w:rPr>
          <w:rFonts w:ascii="Verdana" w:hAnsi="Verdana"/>
          <w:sz w:val="20"/>
          <w:szCs w:val="20"/>
        </w:rPr>
        <w:t xml:space="preserve"> a 15</w:t>
      </w:r>
      <w:r>
        <w:rPr>
          <w:rFonts w:ascii="Verdana" w:hAnsi="Verdana"/>
          <w:sz w:val="20"/>
          <w:szCs w:val="20"/>
        </w:rPr>
        <w:t>0</w:t>
      </w:r>
      <w:r w:rsidRPr="00685170">
        <w:rPr>
          <w:rFonts w:ascii="Verdana" w:hAnsi="Verdana"/>
          <w:sz w:val="20"/>
          <w:szCs w:val="20"/>
        </w:rPr>
        <w:t>). Por ello, la Corte entiende que resulta innecesario ahondar en el examen de aspectos puntuales</w:t>
      </w:r>
      <w:r w:rsidRPr="00DD0365">
        <w:rPr>
          <w:rFonts w:ascii="Verdana" w:hAnsi="Verdana"/>
          <w:sz w:val="20"/>
          <w:szCs w:val="20"/>
        </w:rPr>
        <w:t xml:space="preserve"> de las actuaciones con anterioridad a ese año. En ese marco, este Tribunal, en particular, hace notar que no resulta necesario analizar alegadas violaciones relacionadas con la intervención del fuero militar o conflictos de competencia entre el fuero ordinario y el fuero militar, resueltos a favor del </w:t>
      </w:r>
      <w:r w:rsidRPr="00685170">
        <w:rPr>
          <w:rFonts w:ascii="Verdana" w:hAnsi="Verdana"/>
          <w:sz w:val="20"/>
          <w:szCs w:val="20"/>
        </w:rPr>
        <w:t>primero (</w:t>
      </w:r>
      <w:r w:rsidRPr="00685170">
        <w:rPr>
          <w:rFonts w:ascii="Verdana" w:hAnsi="Verdana"/>
          <w:i/>
          <w:sz w:val="20"/>
          <w:szCs w:val="20"/>
        </w:rPr>
        <w:t xml:space="preserve">supra </w:t>
      </w:r>
      <w:r>
        <w:rPr>
          <w:rFonts w:ascii="Verdana" w:hAnsi="Verdana"/>
          <w:sz w:val="20"/>
          <w:szCs w:val="20"/>
        </w:rPr>
        <w:t>párr. 128</w:t>
      </w:r>
      <w:r w:rsidRPr="00685170">
        <w:rPr>
          <w:rFonts w:ascii="Verdana" w:hAnsi="Verdana"/>
          <w:sz w:val="20"/>
          <w:szCs w:val="20"/>
        </w:rPr>
        <w:t>).</w:t>
      </w:r>
      <w:r w:rsidRPr="00DD0365">
        <w:rPr>
          <w:rFonts w:ascii="Verdana" w:hAnsi="Verdana"/>
          <w:sz w:val="20"/>
          <w:szCs w:val="20"/>
        </w:rPr>
        <w:t xml:space="preserve"> </w:t>
      </w:r>
    </w:p>
    <w:p w14:paraId="7C28FD9F" w14:textId="77777777" w:rsidR="002A53BF" w:rsidRPr="0039097A" w:rsidRDefault="002A53BF" w:rsidP="005A5029">
      <w:pPr>
        <w:pStyle w:val="Prrafodelista"/>
        <w:spacing w:after="0" w:line="240" w:lineRule="exact"/>
        <w:ind w:left="0"/>
        <w:jc w:val="both"/>
        <w:rPr>
          <w:rFonts w:ascii="Verdana" w:hAnsi="Verdana"/>
          <w:sz w:val="20"/>
          <w:szCs w:val="20"/>
        </w:rPr>
      </w:pPr>
    </w:p>
    <w:p w14:paraId="4B96B878" w14:textId="4D214F64" w:rsidR="002A53BF" w:rsidRPr="00F137AF" w:rsidRDefault="002A53BF" w:rsidP="005A5029">
      <w:pPr>
        <w:pStyle w:val="Prrafodelista"/>
        <w:numPr>
          <w:ilvl w:val="0"/>
          <w:numId w:val="49"/>
        </w:numPr>
        <w:spacing w:after="0" w:line="240" w:lineRule="exact"/>
        <w:ind w:left="0" w:firstLine="0"/>
        <w:jc w:val="both"/>
        <w:rPr>
          <w:rFonts w:ascii="Verdana" w:hAnsi="Verdana"/>
          <w:sz w:val="20"/>
          <w:szCs w:val="20"/>
        </w:rPr>
      </w:pPr>
      <w:r w:rsidRPr="00F137AF">
        <w:rPr>
          <w:rFonts w:ascii="Verdana" w:hAnsi="Verdana"/>
          <w:sz w:val="20"/>
          <w:szCs w:val="20"/>
        </w:rPr>
        <w:t xml:space="preserve">En relación con lo sucedido a partir de 2006, la Corte advierte que, respecto a las investigaciones de las desapariciones forzadas de los señores González Gonzalez y </w:t>
      </w:r>
      <w:proofErr w:type="spellStart"/>
      <w:r w:rsidRPr="00F137AF">
        <w:rPr>
          <w:rFonts w:ascii="Verdana" w:hAnsi="Verdana"/>
          <w:sz w:val="20"/>
          <w:szCs w:val="20"/>
        </w:rPr>
        <w:t>Tassino</w:t>
      </w:r>
      <w:proofErr w:type="spellEnd"/>
      <w:r w:rsidRPr="00F137AF">
        <w:rPr>
          <w:rFonts w:ascii="Verdana" w:hAnsi="Verdana"/>
          <w:sz w:val="20"/>
          <w:szCs w:val="20"/>
        </w:rPr>
        <w:t xml:space="preserve"> </w:t>
      </w:r>
      <w:proofErr w:type="spellStart"/>
      <w:r w:rsidRPr="00F137AF">
        <w:rPr>
          <w:rFonts w:ascii="Verdana" w:hAnsi="Verdana"/>
          <w:sz w:val="20"/>
          <w:szCs w:val="20"/>
        </w:rPr>
        <w:t>Asteazu</w:t>
      </w:r>
      <w:proofErr w:type="spellEnd"/>
      <w:r w:rsidRPr="00F137AF">
        <w:rPr>
          <w:rFonts w:ascii="Verdana" w:hAnsi="Verdana"/>
          <w:sz w:val="20"/>
          <w:szCs w:val="20"/>
        </w:rPr>
        <w:t>, los argumentos de la Comisión y los representantes refieren a aspectos que se relacionan con la razonabilidad de la duración de los procesos y el derecho a conocer la verdad</w:t>
      </w:r>
      <w:r>
        <w:rPr>
          <w:rFonts w:ascii="Verdana" w:hAnsi="Verdana"/>
          <w:sz w:val="20"/>
          <w:szCs w:val="20"/>
        </w:rPr>
        <w:t xml:space="preserve">, cuestiones que se analizan más </w:t>
      </w:r>
      <w:r w:rsidRPr="00275FA4">
        <w:rPr>
          <w:rFonts w:ascii="Verdana" w:hAnsi="Verdana"/>
          <w:sz w:val="20"/>
          <w:szCs w:val="20"/>
        </w:rPr>
        <w:t>adelante (</w:t>
      </w:r>
      <w:r w:rsidRPr="00275FA4">
        <w:rPr>
          <w:rFonts w:ascii="Verdana" w:hAnsi="Verdana"/>
          <w:i/>
          <w:sz w:val="20"/>
          <w:szCs w:val="20"/>
        </w:rPr>
        <w:t xml:space="preserve">infra </w:t>
      </w:r>
      <w:proofErr w:type="spellStart"/>
      <w:r w:rsidR="00275FA4" w:rsidRPr="00275FA4">
        <w:rPr>
          <w:rFonts w:ascii="Verdana" w:hAnsi="Verdana"/>
          <w:sz w:val="20"/>
          <w:szCs w:val="20"/>
        </w:rPr>
        <w:t>párrs</w:t>
      </w:r>
      <w:proofErr w:type="spellEnd"/>
      <w:r w:rsidR="00275FA4" w:rsidRPr="00275FA4">
        <w:rPr>
          <w:rFonts w:ascii="Verdana" w:hAnsi="Verdana"/>
          <w:sz w:val="20"/>
          <w:szCs w:val="20"/>
        </w:rPr>
        <w:t>. 172 a 180</w:t>
      </w:r>
      <w:r w:rsidRPr="00275FA4">
        <w:rPr>
          <w:rFonts w:ascii="Verdana" w:hAnsi="Verdana"/>
          <w:sz w:val="20"/>
          <w:szCs w:val="20"/>
        </w:rPr>
        <w:t>) En</w:t>
      </w:r>
      <w:r>
        <w:rPr>
          <w:rFonts w:ascii="Verdana" w:hAnsi="Verdana"/>
          <w:sz w:val="20"/>
          <w:szCs w:val="20"/>
        </w:rPr>
        <w:t xml:space="preserve"> relación con </w:t>
      </w:r>
      <w:r w:rsidRPr="00F137AF">
        <w:rPr>
          <w:rFonts w:ascii="Verdana" w:hAnsi="Verdana"/>
          <w:sz w:val="20"/>
          <w:szCs w:val="20"/>
        </w:rPr>
        <w:t xml:space="preserve">la indagación </w:t>
      </w:r>
      <w:r>
        <w:rPr>
          <w:rFonts w:ascii="Verdana" w:hAnsi="Verdana"/>
          <w:sz w:val="20"/>
          <w:szCs w:val="20"/>
        </w:rPr>
        <w:t>sobre</w:t>
      </w:r>
      <w:r w:rsidRPr="00F137AF">
        <w:rPr>
          <w:rFonts w:ascii="Verdana" w:hAnsi="Verdana"/>
          <w:sz w:val="20"/>
          <w:szCs w:val="20"/>
        </w:rPr>
        <w:t xml:space="preserve"> las muertes </w:t>
      </w:r>
      <w:r>
        <w:rPr>
          <w:rFonts w:ascii="Verdana" w:hAnsi="Verdana"/>
          <w:sz w:val="20"/>
          <w:szCs w:val="20"/>
        </w:rPr>
        <w:t xml:space="preserve">violentas </w:t>
      </w:r>
      <w:r w:rsidRPr="00F137AF">
        <w:rPr>
          <w:rFonts w:ascii="Verdana" w:hAnsi="Verdana"/>
          <w:sz w:val="20"/>
          <w:szCs w:val="20"/>
        </w:rPr>
        <w:t xml:space="preserve">de Diana </w:t>
      </w:r>
      <w:proofErr w:type="spellStart"/>
      <w:r w:rsidRPr="00F137AF">
        <w:rPr>
          <w:rFonts w:ascii="Verdana" w:hAnsi="Verdana"/>
          <w:sz w:val="20"/>
          <w:szCs w:val="20"/>
        </w:rPr>
        <w:t>Maidanik</w:t>
      </w:r>
      <w:proofErr w:type="spellEnd"/>
      <w:r w:rsidRPr="00F137AF">
        <w:rPr>
          <w:rFonts w:ascii="Verdana" w:hAnsi="Verdana"/>
          <w:sz w:val="20"/>
          <w:szCs w:val="20"/>
        </w:rPr>
        <w:t xml:space="preserve">, Silvia Reyes y Laura Raggio, es posible </w:t>
      </w:r>
      <w:r>
        <w:rPr>
          <w:rFonts w:ascii="Verdana" w:hAnsi="Verdana"/>
          <w:sz w:val="20"/>
          <w:szCs w:val="20"/>
        </w:rPr>
        <w:t>examinar</w:t>
      </w:r>
      <w:r w:rsidRPr="00F137AF">
        <w:rPr>
          <w:rFonts w:ascii="Verdana" w:hAnsi="Verdana"/>
          <w:sz w:val="20"/>
          <w:szCs w:val="20"/>
        </w:rPr>
        <w:t xml:space="preserve"> dos cuestiones adicionales: la falta de perspectiva de género y la demora en la tramitación de los recursos. </w:t>
      </w:r>
      <w:r>
        <w:rPr>
          <w:rFonts w:ascii="Verdana" w:hAnsi="Verdana"/>
          <w:sz w:val="20"/>
          <w:szCs w:val="20"/>
        </w:rPr>
        <w:t>Ello se hace seguidamente.</w:t>
      </w:r>
    </w:p>
    <w:p w14:paraId="702FA93C" w14:textId="77777777" w:rsidR="002A53BF" w:rsidRPr="00F137AF" w:rsidRDefault="002A53BF" w:rsidP="005A5029">
      <w:pPr>
        <w:pStyle w:val="Prrafodelista"/>
        <w:spacing w:after="0" w:line="240" w:lineRule="exact"/>
        <w:ind w:left="0"/>
        <w:jc w:val="both"/>
        <w:rPr>
          <w:rFonts w:ascii="Verdana" w:hAnsi="Verdana"/>
          <w:sz w:val="20"/>
          <w:szCs w:val="20"/>
        </w:rPr>
      </w:pPr>
    </w:p>
    <w:p w14:paraId="6F7C543C" w14:textId="49C5A04F" w:rsidR="002A53BF" w:rsidRPr="00F137AF" w:rsidRDefault="002A53BF" w:rsidP="005A5029">
      <w:pPr>
        <w:pStyle w:val="Prrafodelista"/>
        <w:numPr>
          <w:ilvl w:val="0"/>
          <w:numId w:val="49"/>
        </w:numPr>
        <w:spacing w:after="0" w:line="240" w:lineRule="exact"/>
        <w:ind w:left="0" w:firstLine="0"/>
        <w:jc w:val="both"/>
        <w:rPr>
          <w:rFonts w:ascii="Verdana" w:hAnsi="Verdana"/>
          <w:sz w:val="20"/>
          <w:szCs w:val="20"/>
        </w:rPr>
      </w:pPr>
      <w:r w:rsidRPr="00F137AF">
        <w:rPr>
          <w:rFonts w:ascii="Verdana" w:hAnsi="Verdana"/>
          <w:i/>
          <w:sz w:val="20"/>
          <w:szCs w:val="20"/>
        </w:rPr>
        <w:t xml:space="preserve">Falta de perspectiva de género. - </w:t>
      </w:r>
      <w:r w:rsidRPr="00F137AF">
        <w:rPr>
          <w:rFonts w:ascii="Verdana" w:hAnsi="Verdana"/>
          <w:sz w:val="20"/>
          <w:szCs w:val="20"/>
        </w:rPr>
        <w:t xml:space="preserve">Respecto a la primera cuestión, la aducida falta de perspectiva de género en los procesos internos, aunque no fue alegado por las partes en sus escritos iniciales, la Corte tendrá </w:t>
      </w:r>
      <w:r>
        <w:rPr>
          <w:rFonts w:ascii="Verdana" w:hAnsi="Verdana"/>
          <w:sz w:val="20"/>
          <w:szCs w:val="20"/>
        </w:rPr>
        <w:t>en cons</w:t>
      </w:r>
      <w:r w:rsidRPr="00685170">
        <w:rPr>
          <w:rFonts w:ascii="Verdana" w:hAnsi="Verdana"/>
          <w:sz w:val="20"/>
          <w:szCs w:val="20"/>
        </w:rPr>
        <w:t>ideración la Convención de Belém do Pará, tratado en vigor para Uruguay desde mayo de 1996 (</w:t>
      </w:r>
      <w:r w:rsidRPr="00685170">
        <w:rPr>
          <w:rFonts w:ascii="Verdana" w:hAnsi="Verdana"/>
          <w:i/>
          <w:sz w:val="20"/>
          <w:szCs w:val="20"/>
        </w:rPr>
        <w:t>supra</w:t>
      </w:r>
      <w:r w:rsidRPr="00685170">
        <w:rPr>
          <w:rFonts w:ascii="Verdana" w:hAnsi="Verdana"/>
          <w:sz w:val="20"/>
          <w:szCs w:val="20"/>
        </w:rPr>
        <w:t xml:space="preserve"> párr. </w:t>
      </w:r>
      <w:r w:rsidRPr="00275FA4">
        <w:rPr>
          <w:rFonts w:ascii="Verdana" w:hAnsi="Verdana"/>
          <w:sz w:val="20"/>
          <w:szCs w:val="20"/>
        </w:rPr>
        <w:t xml:space="preserve">12). Lo hará con base en el principio </w:t>
      </w:r>
      <w:proofErr w:type="spellStart"/>
      <w:r w:rsidRPr="00275FA4">
        <w:rPr>
          <w:rFonts w:ascii="Verdana" w:hAnsi="Verdana"/>
          <w:i/>
          <w:sz w:val="20"/>
          <w:szCs w:val="20"/>
        </w:rPr>
        <w:t>iura</w:t>
      </w:r>
      <w:proofErr w:type="spellEnd"/>
      <w:r w:rsidRPr="00275FA4">
        <w:rPr>
          <w:rFonts w:ascii="Verdana" w:hAnsi="Verdana"/>
          <w:i/>
          <w:sz w:val="20"/>
          <w:szCs w:val="20"/>
        </w:rPr>
        <w:t xml:space="preserve"> </w:t>
      </w:r>
      <w:proofErr w:type="spellStart"/>
      <w:r w:rsidRPr="00275FA4">
        <w:rPr>
          <w:rFonts w:ascii="Verdana" w:hAnsi="Verdana"/>
          <w:i/>
          <w:sz w:val="20"/>
          <w:szCs w:val="20"/>
        </w:rPr>
        <w:t>novit</w:t>
      </w:r>
      <w:proofErr w:type="spellEnd"/>
      <w:r w:rsidRPr="00275FA4">
        <w:rPr>
          <w:rFonts w:ascii="Verdana" w:hAnsi="Verdana"/>
          <w:i/>
          <w:sz w:val="20"/>
          <w:szCs w:val="20"/>
        </w:rPr>
        <w:t xml:space="preserve"> curia (supra </w:t>
      </w:r>
      <w:r w:rsidR="004A654C">
        <w:rPr>
          <w:rFonts w:ascii="Verdana" w:hAnsi="Verdana"/>
          <w:sz w:val="20"/>
          <w:szCs w:val="20"/>
        </w:rPr>
        <w:t>nota a pie de página 132</w:t>
      </w:r>
      <w:r w:rsidRPr="00275FA4">
        <w:rPr>
          <w:rFonts w:ascii="Verdana" w:hAnsi="Verdana"/>
          <w:sz w:val="20"/>
          <w:szCs w:val="20"/>
        </w:rPr>
        <w:t>),</w:t>
      </w:r>
      <w:r w:rsidRPr="00F137AF">
        <w:rPr>
          <w:rFonts w:ascii="Verdana" w:hAnsi="Verdana"/>
          <w:sz w:val="20"/>
          <w:szCs w:val="20"/>
        </w:rPr>
        <w:t xml:space="preserve"> y considerando que el derecho de defensa del Estado no se ve afectado, ya que </w:t>
      </w:r>
      <w:r>
        <w:rPr>
          <w:rFonts w:ascii="Verdana" w:hAnsi="Verdana"/>
          <w:sz w:val="20"/>
          <w:szCs w:val="20"/>
        </w:rPr>
        <w:t>pudo</w:t>
      </w:r>
      <w:r w:rsidRPr="00F137AF">
        <w:rPr>
          <w:rFonts w:ascii="Verdana" w:hAnsi="Verdana"/>
          <w:sz w:val="20"/>
          <w:szCs w:val="20"/>
        </w:rPr>
        <w:t xml:space="preserve"> referirse a los </w:t>
      </w:r>
      <w:r w:rsidRPr="00F137AF">
        <w:rPr>
          <w:rFonts w:ascii="Verdana" w:hAnsi="Verdana"/>
          <w:sz w:val="20"/>
          <w:szCs w:val="20"/>
        </w:rPr>
        <w:lastRenderedPageBreak/>
        <w:t xml:space="preserve">hechos que sustentarían la violación a ese instrumento, y ha hecho manifestaciones sobre la cuestión en la audiencia pública y en sus alegatos finales escritos. </w:t>
      </w:r>
    </w:p>
    <w:p w14:paraId="0FB8824D" w14:textId="77777777" w:rsidR="002A53BF" w:rsidRPr="00DE69BB" w:rsidRDefault="002A53BF" w:rsidP="005A5029">
      <w:pPr>
        <w:pStyle w:val="Prrafodelista"/>
        <w:spacing w:after="0" w:line="240" w:lineRule="exact"/>
        <w:ind w:left="0"/>
        <w:jc w:val="both"/>
        <w:rPr>
          <w:rFonts w:ascii="Verdana" w:hAnsi="Verdana"/>
          <w:sz w:val="20"/>
          <w:szCs w:val="20"/>
          <w:highlight w:val="lightGray"/>
        </w:rPr>
      </w:pPr>
    </w:p>
    <w:p w14:paraId="346B8B3B" w14:textId="77777777" w:rsidR="002A53BF" w:rsidRPr="00DE69BB"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eastAsia="Times New Roman" w:hAnsi="Verdana"/>
          <w:sz w:val="20"/>
          <w:szCs w:val="20"/>
          <w:lang w:eastAsia="es-ES" w:bidi="es-ES"/>
        </w:rPr>
        <w:t>La Corte ha indicado que el artículo 7.b</w:t>
      </w:r>
      <w:r>
        <w:rPr>
          <w:rFonts w:ascii="Verdana" w:eastAsia="Times New Roman" w:hAnsi="Verdana"/>
          <w:sz w:val="20"/>
          <w:szCs w:val="20"/>
          <w:lang w:eastAsia="es-ES" w:bidi="es-ES"/>
        </w:rPr>
        <w:t xml:space="preserve"> de</w:t>
      </w:r>
      <w:r w:rsidRPr="0039097A">
        <w:rPr>
          <w:rFonts w:ascii="Verdana" w:eastAsia="Times New Roman" w:hAnsi="Verdana"/>
          <w:sz w:val="20"/>
          <w:szCs w:val="20"/>
          <w:lang w:eastAsia="es-ES" w:bidi="es-ES"/>
        </w:rPr>
        <w:t xml:space="preserve"> </w:t>
      </w:r>
      <w:r>
        <w:rPr>
          <w:rFonts w:ascii="Verdana" w:eastAsia="Times New Roman" w:hAnsi="Verdana"/>
          <w:sz w:val="20"/>
          <w:szCs w:val="20"/>
          <w:lang w:eastAsia="es-ES" w:bidi="es-ES"/>
        </w:rPr>
        <w:t>la Convención de Belém do Pará</w:t>
      </w:r>
      <w:r w:rsidRPr="0039097A">
        <w:rPr>
          <w:rFonts w:ascii="Verdana" w:eastAsia="Times New Roman" w:hAnsi="Verdana"/>
          <w:sz w:val="20"/>
          <w:szCs w:val="20"/>
          <w:lang w:eastAsia="es-ES" w:bidi="es-ES"/>
        </w:rPr>
        <w:t xml:space="preserve"> obliga de manera específica a los </w:t>
      </w:r>
      <w:proofErr w:type="gramStart"/>
      <w:r w:rsidRPr="0039097A">
        <w:rPr>
          <w:rFonts w:ascii="Verdana" w:eastAsia="Times New Roman" w:hAnsi="Verdana"/>
          <w:sz w:val="20"/>
          <w:szCs w:val="20"/>
          <w:lang w:eastAsia="es-ES" w:bidi="es-ES"/>
        </w:rPr>
        <w:t>Estados Partes</w:t>
      </w:r>
      <w:proofErr w:type="gramEnd"/>
      <w:r w:rsidRPr="0039097A">
        <w:rPr>
          <w:rFonts w:ascii="Verdana" w:eastAsia="Times New Roman" w:hAnsi="Verdana"/>
          <w:sz w:val="20"/>
          <w:szCs w:val="20"/>
          <w:lang w:eastAsia="es-ES" w:bidi="es-ES"/>
        </w:rPr>
        <w:t xml:space="preserve"> a utilizar la debida diligencia para prevenir, sancionar y erradicar la violencia contra la mujer</w:t>
      </w:r>
      <w:r w:rsidRPr="0039097A">
        <w:rPr>
          <w:rStyle w:val="Refdenotaalpie"/>
          <w:rFonts w:ascii="Verdana" w:eastAsia="Times New Roman" w:hAnsi="Verdana"/>
          <w:lang w:eastAsia="es-ES" w:bidi="es-ES"/>
        </w:rPr>
        <w:footnoteReference w:id="184"/>
      </w:r>
      <w:r w:rsidRPr="0039097A">
        <w:rPr>
          <w:rFonts w:ascii="Verdana" w:eastAsia="Times New Roman" w:hAnsi="Verdana"/>
          <w:sz w:val="20"/>
          <w:szCs w:val="20"/>
          <w:lang w:eastAsia="es-ES" w:bidi="es-ES"/>
        </w:rPr>
        <w:t xml:space="preserve">. </w:t>
      </w:r>
      <w:r w:rsidRPr="0039097A">
        <w:rPr>
          <w:rFonts w:ascii="Verdana" w:eastAsia="Verdana" w:hAnsi="Verdana"/>
          <w:sz w:val="20"/>
          <w:szCs w:val="20"/>
          <w:lang w:eastAsia="es-ES" w:bidi="es-ES"/>
        </w:rPr>
        <w:t>Ante un acto de violencia contra una mujer, “resulta particularmente importante que las autoridades a cargo de la investigación la lleven adelante con determinación y eficacia, teniendo en cuenta el deber de la sociedad de rechazar la violencia contra las mujeres y las obligaciones del Estado de erradicarla y de brindar confianza a las víctimas en las instituciones estatales para su protección”</w:t>
      </w:r>
      <w:r w:rsidRPr="00FE618E">
        <w:rPr>
          <w:rStyle w:val="Refdenotaalpie"/>
          <w:rFonts w:ascii="Verdana" w:eastAsia="Times New Roman" w:hAnsi="Verdana"/>
          <w:lang w:eastAsia="es-ES" w:bidi="es-ES"/>
        </w:rPr>
        <w:t xml:space="preserve"> </w:t>
      </w:r>
      <w:r w:rsidRPr="0039097A">
        <w:rPr>
          <w:rStyle w:val="Refdenotaalpie"/>
          <w:rFonts w:ascii="Verdana" w:eastAsia="Times New Roman" w:hAnsi="Verdana"/>
          <w:lang w:eastAsia="es-ES" w:bidi="es-ES"/>
        </w:rPr>
        <w:footnoteReference w:id="185"/>
      </w:r>
      <w:r w:rsidRPr="0039097A">
        <w:rPr>
          <w:rFonts w:ascii="Verdana" w:eastAsia="Verdana" w:hAnsi="Verdana"/>
          <w:sz w:val="20"/>
          <w:szCs w:val="20"/>
          <w:lang w:eastAsia="es-ES" w:bidi="es-ES"/>
        </w:rPr>
        <w:t xml:space="preserve">. </w:t>
      </w:r>
    </w:p>
    <w:p w14:paraId="1CC9264F" w14:textId="77777777" w:rsidR="002A53BF" w:rsidRPr="00DE69BB" w:rsidRDefault="002A53BF" w:rsidP="005A5029">
      <w:pPr>
        <w:pStyle w:val="Prrafodelista"/>
        <w:spacing w:line="240" w:lineRule="exact"/>
        <w:rPr>
          <w:rFonts w:ascii="Verdana" w:hAnsi="Verdana"/>
          <w:sz w:val="20"/>
          <w:szCs w:val="20"/>
        </w:rPr>
      </w:pPr>
    </w:p>
    <w:p w14:paraId="6BCF704D" w14:textId="5E1F3000" w:rsidR="002A53BF" w:rsidRPr="00F137AF" w:rsidRDefault="002A53BF" w:rsidP="005A5029">
      <w:pPr>
        <w:pStyle w:val="Prrafodelista"/>
        <w:numPr>
          <w:ilvl w:val="0"/>
          <w:numId w:val="49"/>
        </w:numPr>
        <w:spacing w:after="0" w:line="240" w:lineRule="exact"/>
        <w:ind w:left="0" w:firstLine="0"/>
        <w:jc w:val="both"/>
        <w:rPr>
          <w:rFonts w:ascii="Verdana" w:hAnsi="Verdana"/>
          <w:sz w:val="20"/>
          <w:szCs w:val="20"/>
        </w:rPr>
      </w:pPr>
      <w:r w:rsidRPr="00DE69BB">
        <w:rPr>
          <w:rFonts w:ascii="Verdana" w:hAnsi="Verdana"/>
          <w:sz w:val="20"/>
          <w:szCs w:val="20"/>
        </w:rPr>
        <w:t>La Corte nota lo señalado por el Fiscal Especializado en</w:t>
      </w:r>
      <w:r>
        <w:rPr>
          <w:rFonts w:ascii="Verdana" w:hAnsi="Verdana"/>
          <w:sz w:val="20"/>
          <w:szCs w:val="20"/>
        </w:rPr>
        <w:t xml:space="preserve"> su declaración testimonial oral en</w:t>
      </w:r>
      <w:r w:rsidRPr="00DE69BB">
        <w:rPr>
          <w:rFonts w:ascii="Verdana" w:hAnsi="Verdana"/>
          <w:sz w:val="20"/>
          <w:szCs w:val="20"/>
        </w:rPr>
        <w:t xml:space="preserve"> la audi</w:t>
      </w:r>
      <w:r w:rsidRPr="00685170">
        <w:rPr>
          <w:rFonts w:ascii="Verdana" w:hAnsi="Verdana"/>
          <w:sz w:val="20"/>
          <w:szCs w:val="20"/>
        </w:rPr>
        <w:t>encia pública (</w:t>
      </w:r>
      <w:r w:rsidRPr="00685170">
        <w:rPr>
          <w:rFonts w:ascii="Verdana" w:hAnsi="Verdana"/>
          <w:i/>
          <w:sz w:val="20"/>
          <w:szCs w:val="20"/>
        </w:rPr>
        <w:t xml:space="preserve">supra </w:t>
      </w:r>
      <w:proofErr w:type="spellStart"/>
      <w:r w:rsidRPr="00685170">
        <w:rPr>
          <w:rFonts w:ascii="Verdana" w:hAnsi="Verdana"/>
          <w:sz w:val="20"/>
          <w:szCs w:val="20"/>
        </w:rPr>
        <w:t>párrs</w:t>
      </w:r>
      <w:proofErr w:type="spellEnd"/>
      <w:r w:rsidRPr="00685170">
        <w:rPr>
          <w:rFonts w:ascii="Verdana" w:hAnsi="Verdana"/>
          <w:sz w:val="20"/>
          <w:szCs w:val="20"/>
        </w:rPr>
        <w:t xml:space="preserve">. 8 y 27), quien explicó que la perspectiva de género “no fue analizada” pues “lo que se produjo en esa causa fue llanamente una ejecución de las personas que estaban dentro de la casa sin tener conocimiento los victimarios de que se trataba de mujeres o no”. Pese a lo anterior, constan declaraciones que señalan la posibilidad de que los militares pudieran advertir que en la casa había una mujer embarazada, y que las tres mujeres gritaban que por favor no las mataran, lo que hace </w:t>
      </w:r>
      <w:r w:rsidRPr="00E939ED">
        <w:rPr>
          <w:rFonts w:ascii="Verdana" w:hAnsi="Verdana"/>
          <w:sz w:val="20"/>
          <w:szCs w:val="20"/>
        </w:rPr>
        <w:t>suponer que los victimarios pudieron figurarse que atentarían contra mujeres (</w:t>
      </w:r>
      <w:r w:rsidRPr="00E939ED">
        <w:rPr>
          <w:rFonts w:ascii="Verdana" w:hAnsi="Verdana"/>
          <w:i/>
          <w:sz w:val="20"/>
          <w:szCs w:val="20"/>
        </w:rPr>
        <w:t>supra</w:t>
      </w:r>
      <w:r w:rsidRPr="00E939ED">
        <w:rPr>
          <w:rFonts w:ascii="Verdana" w:hAnsi="Verdana"/>
          <w:sz w:val="20"/>
          <w:szCs w:val="20"/>
        </w:rPr>
        <w:t xml:space="preserve"> párr. 56</w:t>
      </w:r>
      <w:r w:rsidR="00E939ED" w:rsidRPr="00E939ED">
        <w:rPr>
          <w:rFonts w:ascii="Verdana" w:hAnsi="Verdana"/>
          <w:sz w:val="20"/>
          <w:szCs w:val="20"/>
        </w:rPr>
        <w:t xml:space="preserve"> y nota a pie de página 46</w:t>
      </w:r>
      <w:r w:rsidRPr="00E939ED">
        <w:rPr>
          <w:rFonts w:ascii="Verdana" w:hAnsi="Verdana"/>
          <w:sz w:val="20"/>
          <w:szCs w:val="20"/>
        </w:rPr>
        <w:t>).</w:t>
      </w:r>
      <w:r w:rsidRPr="00F137AF">
        <w:rPr>
          <w:rFonts w:ascii="Verdana" w:hAnsi="Verdana"/>
          <w:sz w:val="20"/>
          <w:szCs w:val="20"/>
        </w:rPr>
        <w:t xml:space="preserve"> </w:t>
      </w:r>
      <w:r w:rsidR="00C045BC">
        <w:rPr>
          <w:rFonts w:ascii="Verdana" w:hAnsi="Verdana"/>
          <w:sz w:val="20"/>
          <w:szCs w:val="20"/>
        </w:rPr>
        <w:t>Hubo señalamientos, además de que e</w:t>
      </w:r>
      <w:r w:rsidRPr="00F137AF">
        <w:rPr>
          <w:rFonts w:ascii="Verdana" w:hAnsi="Verdana"/>
          <w:sz w:val="20"/>
          <w:szCs w:val="20"/>
        </w:rPr>
        <w:t xml:space="preserve">l cuerpo de una de ellas fue hallado </w:t>
      </w:r>
      <w:r w:rsidRPr="00E939ED">
        <w:rPr>
          <w:rFonts w:ascii="Verdana" w:hAnsi="Verdana"/>
          <w:sz w:val="20"/>
          <w:szCs w:val="20"/>
        </w:rPr>
        <w:t>desnudo (</w:t>
      </w:r>
      <w:r w:rsidRPr="00E939ED">
        <w:rPr>
          <w:rFonts w:ascii="Verdana" w:hAnsi="Verdana"/>
          <w:i/>
          <w:sz w:val="20"/>
          <w:szCs w:val="20"/>
        </w:rPr>
        <w:t xml:space="preserve">supra </w:t>
      </w:r>
      <w:r w:rsidRPr="00E939ED">
        <w:rPr>
          <w:rFonts w:ascii="Verdana" w:hAnsi="Verdana"/>
          <w:sz w:val="20"/>
          <w:szCs w:val="20"/>
        </w:rPr>
        <w:t>párr. 58),</w:t>
      </w:r>
      <w:r w:rsidRPr="00F137AF">
        <w:rPr>
          <w:rFonts w:ascii="Verdana" w:hAnsi="Verdana"/>
          <w:sz w:val="20"/>
          <w:szCs w:val="20"/>
        </w:rPr>
        <w:t xml:space="preserve"> sin que conste que se haya indagado sobre las circunstancias de por qué se encontraba así. </w:t>
      </w:r>
    </w:p>
    <w:p w14:paraId="10141E61" w14:textId="77777777" w:rsidR="002A53BF" w:rsidRPr="00685170" w:rsidRDefault="002A53BF" w:rsidP="005A5029">
      <w:pPr>
        <w:spacing w:after="0" w:line="240" w:lineRule="exact"/>
        <w:rPr>
          <w:rFonts w:ascii="Verdana" w:hAnsi="Verdana"/>
          <w:sz w:val="20"/>
          <w:szCs w:val="20"/>
        </w:rPr>
      </w:pPr>
    </w:p>
    <w:p w14:paraId="6EDE31FF" w14:textId="77777777" w:rsidR="002A53BF" w:rsidRPr="00DE69BB" w:rsidRDefault="002A53BF" w:rsidP="005A5029">
      <w:pPr>
        <w:pStyle w:val="Prrafodelista"/>
        <w:numPr>
          <w:ilvl w:val="0"/>
          <w:numId w:val="49"/>
        </w:numPr>
        <w:spacing w:after="0" w:line="240" w:lineRule="exact"/>
        <w:ind w:left="0" w:firstLine="0"/>
        <w:jc w:val="both"/>
        <w:rPr>
          <w:rFonts w:ascii="Verdana" w:hAnsi="Verdana"/>
          <w:sz w:val="20"/>
          <w:szCs w:val="20"/>
        </w:rPr>
      </w:pPr>
      <w:r w:rsidRPr="00DE69BB">
        <w:rPr>
          <w:rFonts w:ascii="Verdana" w:hAnsi="Verdana"/>
          <w:sz w:val="20"/>
          <w:szCs w:val="20"/>
        </w:rPr>
        <w:t xml:space="preserve">Dado lo anterior, la Corte entiende que no puede descartarse </w:t>
      </w:r>
      <w:r w:rsidRPr="00DE69BB">
        <w:rPr>
          <w:rFonts w:ascii="Verdana" w:hAnsi="Verdana"/>
          <w:i/>
          <w:sz w:val="20"/>
          <w:szCs w:val="20"/>
        </w:rPr>
        <w:t>a priori</w:t>
      </w:r>
      <w:r w:rsidRPr="00DE69BB">
        <w:rPr>
          <w:rFonts w:ascii="Verdana" w:hAnsi="Verdana"/>
          <w:sz w:val="20"/>
          <w:szCs w:val="20"/>
        </w:rPr>
        <w:t xml:space="preserve"> que en el caso se hubieren presentado actos de violencia de género, y que ello debió ser específicamente investigado. De las aseveraciones del Fiscal Especializado surge con claridad que no se han realizado indagaciones al respecto. Esto configura una conducta omisiva negligente y contraria al deber de sancionar actos de violencia contra las mujeres. Por ello, el Estado incumplió el artículo 7.b de la Convención de Belém do Pará.</w:t>
      </w:r>
    </w:p>
    <w:p w14:paraId="5D30FDC5" w14:textId="77777777" w:rsidR="002A53BF" w:rsidRPr="0039097A" w:rsidRDefault="002A53BF" w:rsidP="005A5029">
      <w:pPr>
        <w:pStyle w:val="Prrafodelista"/>
        <w:spacing w:after="0" w:line="240" w:lineRule="exact"/>
        <w:ind w:left="0"/>
        <w:jc w:val="both"/>
      </w:pPr>
    </w:p>
    <w:p w14:paraId="3B844B67" w14:textId="77777777"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Pr>
          <w:rFonts w:ascii="Verdana" w:hAnsi="Verdana"/>
          <w:i/>
          <w:sz w:val="20"/>
          <w:szCs w:val="20"/>
        </w:rPr>
        <w:t xml:space="preserve">Demoras en la tramitación de recursos. - </w:t>
      </w:r>
      <w:r>
        <w:rPr>
          <w:rFonts w:ascii="Verdana" w:hAnsi="Verdana"/>
          <w:sz w:val="20"/>
          <w:szCs w:val="20"/>
        </w:rPr>
        <w:t xml:space="preserve">Por otro lado, respecto a las demoras en la resolución de </w:t>
      </w:r>
      <w:r w:rsidRPr="0039097A">
        <w:rPr>
          <w:rFonts w:ascii="Verdana" w:hAnsi="Verdana"/>
          <w:sz w:val="20"/>
          <w:szCs w:val="20"/>
        </w:rPr>
        <w:t xml:space="preserve">recursos, este Tribunal recuerda que  </w:t>
      </w:r>
    </w:p>
    <w:p w14:paraId="5D4D8A47" w14:textId="77777777" w:rsidR="002A53BF" w:rsidRPr="0039097A" w:rsidRDefault="002A53BF" w:rsidP="005A5029">
      <w:pPr>
        <w:pStyle w:val="Prrafodelista"/>
        <w:spacing w:after="0" w:line="240" w:lineRule="exact"/>
        <w:ind w:left="0"/>
        <w:jc w:val="both"/>
        <w:rPr>
          <w:rFonts w:ascii="Verdana" w:hAnsi="Verdana"/>
          <w:sz w:val="20"/>
          <w:szCs w:val="20"/>
        </w:rPr>
      </w:pPr>
    </w:p>
    <w:p w14:paraId="02BEBA29" w14:textId="77777777" w:rsidR="002A53BF" w:rsidRPr="0039097A" w:rsidRDefault="002A53BF" w:rsidP="005A5029">
      <w:pPr>
        <w:pStyle w:val="Prrafodelista"/>
        <w:spacing w:after="0" w:line="240" w:lineRule="exact"/>
        <w:ind w:left="284" w:right="333"/>
        <w:jc w:val="both"/>
        <w:rPr>
          <w:rFonts w:ascii="Verdana" w:hAnsi="Verdana"/>
          <w:sz w:val="16"/>
          <w:szCs w:val="16"/>
        </w:rPr>
      </w:pPr>
      <w:r w:rsidRPr="0039097A">
        <w:rPr>
          <w:rFonts w:ascii="Verdana" w:hAnsi="Verdana"/>
          <w:sz w:val="16"/>
          <w:szCs w:val="16"/>
        </w:rPr>
        <w:t>los [órganos judiciales] como rectores del proceso tienen el deber de dirigir y encausar el procedimiento judicial con el fin de no sacrificar la justicia y el debido proceso legal en pro del formalismo y la impunidad. De este modo, si las autoridades permiten y toleran el uso [desproporcionado de acciones o recursos que pueden tener efectos dilatorios], los transforman en un medio para que los que cometen un ilícito penal dilaten y entorpezcan el proceso judicial. Esto conduce a la violación de la obligación internacional del Estado de prevenir y proteger los derechos humanos y menoscaba el derecho de la víctima y de sus familiares a saber la verdad de lo sucedido, a que se identifique y se sancione a todos los responsables y a obtener las consecuentes reparaciones</w:t>
      </w:r>
      <w:r w:rsidRPr="0039097A">
        <w:rPr>
          <w:rStyle w:val="Refdenotaalpie"/>
          <w:rFonts w:ascii="Verdana" w:hAnsi="Verdana"/>
          <w:sz w:val="16"/>
          <w:szCs w:val="16"/>
        </w:rPr>
        <w:footnoteReference w:id="186"/>
      </w:r>
      <w:r w:rsidRPr="0039097A">
        <w:rPr>
          <w:rFonts w:ascii="Verdana" w:hAnsi="Verdana"/>
          <w:sz w:val="16"/>
          <w:szCs w:val="16"/>
        </w:rPr>
        <w:t>.</w:t>
      </w:r>
    </w:p>
    <w:p w14:paraId="69F86DBD" w14:textId="77777777" w:rsidR="002A53BF" w:rsidRPr="0039097A" w:rsidRDefault="002A53BF" w:rsidP="005A5029">
      <w:pPr>
        <w:pStyle w:val="Prrafodelista"/>
        <w:spacing w:line="240" w:lineRule="exact"/>
        <w:rPr>
          <w:rFonts w:ascii="Verdana" w:hAnsi="Verdana"/>
          <w:sz w:val="20"/>
          <w:szCs w:val="20"/>
        </w:rPr>
      </w:pPr>
    </w:p>
    <w:p w14:paraId="7A96EA5D"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lastRenderedPageBreak/>
        <w:t>La investigación judicial sobre las muertes</w:t>
      </w:r>
      <w:r>
        <w:rPr>
          <w:rFonts w:ascii="Verdana" w:hAnsi="Verdana"/>
          <w:sz w:val="20"/>
          <w:szCs w:val="20"/>
        </w:rPr>
        <w:t xml:space="preserve"> violentas</w:t>
      </w:r>
      <w:r w:rsidRPr="00E53751">
        <w:rPr>
          <w:rFonts w:ascii="Verdana" w:hAnsi="Verdana"/>
          <w:sz w:val="20"/>
          <w:szCs w:val="20"/>
        </w:rPr>
        <w:t xml:space="preserve"> de Silvia Reyes, Laura Raggio y Diana </w:t>
      </w:r>
      <w:proofErr w:type="spellStart"/>
      <w:r w:rsidRPr="00E53751">
        <w:rPr>
          <w:rFonts w:ascii="Verdana" w:hAnsi="Verdana"/>
          <w:sz w:val="20"/>
          <w:szCs w:val="20"/>
        </w:rPr>
        <w:t>Maidanik</w:t>
      </w:r>
      <w:proofErr w:type="spellEnd"/>
      <w:r w:rsidRPr="00E53751">
        <w:rPr>
          <w:rFonts w:ascii="Verdana" w:hAnsi="Verdana"/>
          <w:sz w:val="20"/>
          <w:szCs w:val="20"/>
        </w:rPr>
        <w:t>, conforme surge de lo que se expone a continuación, se vio demorada por la presentación reiterada de recursos por parte de la defensa de personas imputadas.</w:t>
      </w:r>
    </w:p>
    <w:p w14:paraId="0AA9E88D" w14:textId="77777777" w:rsidR="002A53BF" w:rsidRPr="00E53751" w:rsidRDefault="002A53BF" w:rsidP="005A5029">
      <w:pPr>
        <w:pStyle w:val="Prrafodelista"/>
        <w:spacing w:after="0" w:line="240" w:lineRule="exact"/>
        <w:ind w:left="0"/>
        <w:jc w:val="both"/>
        <w:rPr>
          <w:rFonts w:ascii="Verdana" w:hAnsi="Verdana"/>
          <w:sz w:val="20"/>
          <w:szCs w:val="20"/>
        </w:rPr>
      </w:pPr>
    </w:p>
    <w:p w14:paraId="334B18F4"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t>Los hechos muestran que luego de que</w:t>
      </w:r>
      <w:r>
        <w:rPr>
          <w:rFonts w:ascii="Verdana" w:hAnsi="Verdana"/>
          <w:sz w:val="20"/>
          <w:szCs w:val="20"/>
        </w:rPr>
        <w:t xml:space="preserve"> </w:t>
      </w:r>
      <w:r w:rsidRPr="00E53751">
        <w:rPr>
          <w:rFonts w:ascii="Verdana" w:hAnsi="Verdana"/>
          <w:sz w:val="20"/>
          <w:szCs w:val="20"/>
        </w:rPr>
        <w:t>se lo citara a declarar</w:t>
      </w:r>
      <w:r>
        <w:rPr>
          <w:rFonts w:ascii="Verdana" w:hAnsi="Verdana"/>
          <w:sz w:val="20"/>
          <w:szCs w:val="20"/>
        </w:rPr>
        <w:t xml:space="preserve"> el 7 de abril de </w:t>
      </w:r>
      <w:r w:rsidRPr="00685170">
        <w:rPr>
          <w:rFonts w:ascii="Verdana" w:hAnsi="Verdana"/>
          <w:sz w:val="20"/>
          <w:szCs w:val="20"/>
        </w:rPr>
        <w:t>2016 (</w:t>
      </w:r>
      <w:r w:rsidRPr="00685170">
        <w:rPr>
          <w:rFonts w:ascii="Verdana" w:hAnsi="Verdana"/>
          <w:i/>
          <w:sz w:val="20"/>
          <w:szCs w:val="20"/>
        </w:rPr>
        <w:t xml:space="preserve">supra </w:t>
      </w:r>
      <w:r w:rsidRPr="00685170">
        <w:rPr>
          <w:rFonts w:ascii="Verdana" w:hAnsi="Verdana"/>
          <w:sz w:val="20"/>
          <w:szCs w:val="20"/>
        </w:rPr>
        <w:t>párr. 68), el</w:t>
      </w:r>
      <w:r>
        <w:rPr>
          <w:rFonts w:ascii="Verdana" w:hAnsi="Verdana"/>
          <w:sz w:val="20"/>
          <w:szCs w:val="20"/>
        </w:rPr>
        <w:t xml:space="preserve"> imputado </w:t>
      </w:r>
      <w:r w:rsidRPr="00E53751">
        <w:rPr>
          <w:rFonts w:ascii="Verdana" w:hAnsi="Verdana"/>
          <w:sz w:val="20"/>
          <w:szCs w:val="20"/>
        </w:rPr>
        <w:t>E.K.</w:t>
      </w:r>
      <w:r>
        <w:rPr>
          <w:rFonts w:ascii="Verdana" w:hAnsi="Verdana"/>
          <w:sz w:val="20"/>
          <w:szCs w:val="20"/>
        </w:rPr>
        <w:t xml:space="preserve"> </w:t>
      </w:r>
      <w:r w:rsidRPr="00E53751">
        <w:rPr>
          <w:rFonts w:ascii="Verdana" w:hAnsi="Verdana"/>
          <w:sz w:val="20"/>
          <w:szCs w:val="20"/>
        </w:rPr>
        <w:t>solicitó que se determin</w:t>
      </w:r>
      <w:r>
        <w:rPr>
          <w:rFonts w:ascii="Verdana" w:hAnsi="Verdana"/>
          <w:sz w:val="20"/>
          <w:szCs w:val="20"/>
        </w:rPr>
        <w:t>ara</w:t>
      </w:r>
      <w:r w:rsidRPr="00E53751">
        <w:rPr>
          <w:rFonts w:ascii="Verdana" w:hAnsi="Verdana"/>
          <w:sz w:val="20"/>
          <w:szCs w:val="20"/>
        </w:rPr>
        <w:t xml:space="preserve"> que operó la prescripción de la acción</w:t>
      </w:r>
      <w:r w:rsidRPr="00E53751">
        <w:rPr>
          <w:rStyle w:val="Refdenotaalpie"/>
          <w:rFonts w:ascii="Verdana" w:hAnsi="Verdana"/>
          <w:sz w:val="20"/>
          <w:szCs w:val="20"/>
        </w:rPr>
        <w:footnoteReference w:id="187"/>
      </w:r>
      <w:r w:rsidRPr="00E53751">
        <w:rPr>
          <w:rFonts w:ascii="Verdana" w:hAnsi="Verdana"/>
          <w:sz w:val="20"/>
          <w:szCs w:val="20"/>
        </w:rPr>
        <w:t>. El 19 de septiembre de 2016 el órgano judicial actuante rechazó el pedido de E.K.</w:t>
      </w:r>
      <w:r>
        <w:rPr>
          <w:rFonts w:ascii="Verdana" w:hAnsi="Verdana"/>
          <w:sz w:val="20"/>
          <w:szCs w:val="20"/>
        </w:rPr>
        <w:t>, y éste e</w:t>
      </w:r>
      <w:r w:rsidRPr="00E53751">
        <w:rPr>
          <w:rFonts w:ascii="Verdana" w:hAnsi="Verdana"/>
          <w:sz w:val="20"/>
          <w:szCs w:val="20"/>
        </w:rPr>
        <w:t>l 11 de octubre siguiente presentó un recurso de reposición y apelación en subsidio</w:t>
      </w:r>
      <w:r w:rsidRPr="00E53751">
        <w:rPr>
          <w:rStyle w:val="Refdenotaalpie"/>
          <w:rFonts w:ascii="Verdana" w:hAnsi="Verdana"/>
          <w:sz w:val="20"/>
          <w:szCs w:val="20"/>
        </w:rPr>
        <w:footnoteReference w:id="188"/>
      </w:r>
      <w:r w:rsidRPr="00E53751">
        <w:rPr>
          <w:rFonts w:ascii="Verdana" w:hAnsi="Verdana"/>
          <w:sz w:val="20"/>
          <w:szCs w:val="20"/>
        </w:rPr>
        <w:t>. El 21 de octubre de 2016 la Jueza interviniente decidió no hacer lugar al recurso de reposición y “[f]</w:t>
      </w:r>
      <w:proofErr w:type="spellStart"/>
      <w:r w:rsidRPr="00E53751">
        <w:rPr>
          <w:rFonts w:ascii="Verdana" w:hAnsi="Verdana"/>
          <w:sz w:val="20"/>
          <w:szCs w:val="20"/>
        </w:rPr>
        <w:t>ranqu</w:t>
      </w:r>
      <w:proofErr w:type="spellEnd"/>
      <w:r w:rsidRPr="00E53751">
        <w:rPr>
          <w:rFonts w:ascii="Verdana" w:hAnsi="Verdana"/>
          <w:sz w:val="20"/>
          <w:szCs w:val="20"/>
        </w:rPr>
        <w:t>[e]a[r]” el recurso de apelación ante el Tribunal de Apelaciones</w:t>
      </w:r>
      <w:r w:rsidRPr="00E53751">
        <w:rPr>
          <w:rStyle w:val="Refdenotaalpie"/>
          <w:rFonts w:ascii="Verdana" w:hAnsi="Verdana"/>
          <w:sz w:val="20"/>
          <w:szCs w:val="20"/>
        </w:rPr>
        <w:footnoteReference w:id="189"/>
      </w:r>
      <w:r w:rsidRPr="00E53751">
        <w:rPr>
          <w:rFonts w:ascii="Verdana" w:hAnsi="Verdana"/>
          <w:sz w:val="20"/>
          <w:szCs w:val="20"/>
        </w:rPr>
        <w:t>. Éste, el 8 de marzo de 2017 confirmó la decisión recurrida y dispuso que las actuaciones volvieran al Juzgado de origen</w:t>
      </w:r>
      <w:r w:rsidRPr="00E53751">
        <w:rPr>
          <w:rStyle w:val="Refdenotaalpie"/>
          <w:rFonts w:ascii="Verdana" w:hAnsi="Verdana"/>
          <w:sz w:val="20"/>
          <w:szCs w:val="20"/>
        </w:rPr>
        <w:footnoteReference w:id="190"/>
      </w:r>
      <w:r w:rsidRPr="00E53751">
        <w:rPr>
          <w:rFonts w:ascii="Verdana" w:hAnsi="Verdana"/>
          <w:sz w:val="20"/>
          <w:szCs w:val="20"/>
        </w:rPr>
        <w:t xml:space="preserve">.  </w:t>
      </w:r>
    </w:p>
    <w:p w14:paraId="6309172A" w14:textId="77777777" w:rsidR="002A53BF" w:rsidRPr="00E53751" w:rsidRDefault="002A53BF" w:rsidP="005A5029">
      <w:pPr>
        <w:pStyle w:val="Prrafodelista"/>
        <w:spacing w:line="240" w:lineRule="exact"/>
        <w:rPr>
          <w:rFonts w:ascii="Verdana" w:hAnsi="Verdana"/>
          <w:sz w:val="20"/>
          <w:szCs w:val="20"/>
        </w:rPr>
      </w:pPr>
    </w:p>
    <w:p w14:paraId="6ECA8DE2"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t xml:space="preserve">Frente a tal decisión, el imputado presentó el 3 de abril de 2017, en forma conjunta, para ser resueltos por la Suprema </w:t>
      </w:r>
      <w:r>
        <w:rPr>
          <w:rFonts w:ascii="Verdana" w:hAnsi="Verdana"/>
          <w:sz w:val="20"/>
          <w:szCs w:val="20"/>
        </w:rPr>
        <w:t xml:space="preserve">Corte </w:t>
      </w:r>
      <w:r w:rsidRPr="00E53751">
        <w:rPr>
          <w:rFonts w:ascii="Verdana" w:hAnsi="Verdana"/>
          <w:sz w:val="20"/>
          <w:szCs w:val="20"/>
        </w:rPr>
        <w:t>de Justicia, un recurso de casación y una excepción de inconstitucionalidad de la ley 18.831</w:t>
      </w:r>
      <w:r w:rsidRPr="00E53751">
        <w:rPr>
          <w:rStyle w:val="Refdenotaalpie"/>
          <w:rFonts w:ascii="Verdana" w:hAnsi="Verdana"/>
          <w:sz w:val="20"/>
          <w:szCs w:val="20"/>
        </w:rPr>
        <w:footnoteReference w:id="191"/>
      </w:r>
      <w:r w:rsidRPr="00E53751">
        <w:rPr>
          <w:rFonts w:ascii="Verdana" w:hAnsi="Verdana"/>
          <w:sz w:val="20"/>
          <w:szCs w:val="20"/>
        </w:rPr>
        <w:t xml:space="preserve">. El 20 de diciembre de 2017 </w:t>
      </w:r>
      <w:r>
        <w:rPr>
          <w:rFonts w:ascii="Verdana" w:hAnsi="Verdana"/>
          <w:sz w:val="20"/>
          <w:szCs w:val="20"/>
        </w:rPr>
        <w:t xml:space="preserve">la Suprema Corte de Justicia </w:t>
      </w:r>
      <w:r w:rsidRPr="00E53751">
        <w:rPr>
          <w:rFonts w:ascii="Verdana" w:hAnsi="Verdana"/>
          <w:sz w:val="20"/>
          <w:szCs w:val="20"/>
        </w:rPr>
        <w:t>hizo lugar parcialmente a la inconstitucionalidad solicitada, indicando que no resultaban aplicables al imputado los artículos 2 y 3 de la Ley 18.831</w:t>
      </w:r>
      <w:r w:rsidRPr="00E53751">
        <w:rPr>
          <w:rStyle w:val="Refdenotaalpie"/>
          <w:rFonts w:ascii="Verdana" w:hAnsi="Verdana"/>
          <w:sz w:val="20"/>
          <w:szCs w:val="20"/>
        </w:rPr>
        <w:footnoteReference w:id="192"/>
      </w:r>
      <w:r w:rsidRPr="00E53751">
        <w:rPr>
          <w:rFonts w:ascii="Verdana" w:hAnsi="Verdana"/>
          <w:sz w:val="20"/>
          <w:szCs w:val="20"/>
        </w:rPr>
        <w:t xml:space="preserve">. El 23 de mayo de 2018 </w:t>
      </w:r>
      <w:r>
        <w:rPr>
          <w:rFonts w:ascii="Verdana" w:hAnsi="Verdana"/>
          <w:sz w:val="20"/>
          <w:szCs w:val="20"/>
        </w:rPr>
        <w:t>el mismo órgano judicial</w:t>
      </w:r>
      <w:r w:rsidRPr="00E53751">
        <w:rPr>
          <w:rFonts w:ascii="Verdana" w:hAnsi="Verdana"/>
          <w:sz w:val="20"/>
          <w:szCs w:val="20"/>
        </w:rPr>
        <w:t xml:space="preserve"> declaró inadmisible el recurso de casación</w:t>
      </w:r>
      <w:r w:rsidRPr="00E53751">
        <w:rPr>
          <w:rStyle w:val="Refdenotaalpie"/>
          <w:rFonts w:ascii="Verdana" w:hAnsi="Verdana"/>
          <w:sz w:val="20"/>
          <w:szCs w:val="20"/>
        </w:rPr>
        <w:footnoteReference w:id="193"/>
      </w:r>
      <w:r w:rsidRPr="00E53751">
        <w:rPr>
          <w:rFonts w:ascii="Verdana" w:hAnsi="Verdana"/>
          <w:sz w:val="20"/>
          <w:szCs w:val="20"/>
        </w:rPr>
        <w:t xml:space="preserve">. </w:t>
      </w:r>
    </w:p>
    <w:p w14:paraId="6BB1F8F5" w14:textId="77777777" w:rsidR="002A53BF" w:rsidRPr="00E53751" w:rsidRDefault="002A53BF" w:rsidP="005A5029">
      <w:pPr>
        <w:pStyle w:val="Prrafodelista"/>
        <w:spacing w:line="240" w:lineRule="exact"/>
        <w:rPr>
          <w:rFonts w:ascii="Verdana" w:hAnsi="Verdana"/>
          <w:sz w:val="20"/>
          <w:szCs w:val="20"/>
        </w:rPr>
      </w:pPr>
    </w:p>
    <w:p w14:paraId="25A8B189"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t>El 12 de noviembre de 2018, E.K. presentó una excepción de inconstitucionalidad contra los artículos 1, 2, y 3 de la Ley 19.550</w:t>
      </w:r>
      <w:r w:rsidRPr="00E53751">
        <w:rPr>
          <w:rStyle w:val="Refdenotaalpie"/>
          <w:rFonts w:ascii="Verdana" w:hAnsi="Verdana"/>
          <w:sz w:val="20"/>
          <w:szCs w:val="20"/>
        </w:rPr>
        <w:footnoteReference w:id="194"/>
      </w:r>
      <w:r w:rsidRPr="00E53751">
        <w:rPr>
          <w:rFonts w:ascii="Verdana" w:hAnsi="Verdana"/>
          <w:sz w:val="20"/>
          <w:szCs w:val="20"/>
        </w:rPr>
        <w:t>. Las actuaciones fueron suspendidas y pasaron a la Suprema Corte</w:t>
      </w:r>
      <w:r>
        <w:rPr>
          <w:rFonts w:ascii="Verdana" w:hAnsi="Verdana"/>
          <w:sz w:val="20"/>
          <w:szCs w:val="20"/>
        </w:rPr>
        <w:t xml:space="preserve"> de Justicia</w:t>
      </w:r>
      <w:r w:rsidRPr="00E53751">
        <w:rPr>
          <w:rStyle w:val="Refdenotaalpie"/>
          <w:rFonts w:ascii="Verdana" w:hAnsi="Verdana"/>
          <w:sz w:val="20"/>
          <w:szCs w:val="20"/>
        </w:rPr>
        <w:footnoteReference w:id="195"/>
      </w:r>
      <w:r w:rsidRPr="00E53751">
        <w:rPr>
          <w:rFonts w:ascii="Verdana" w:hAnsi="Verdana"/>
          <w:sz w:val="20"/>
          <w:szCs w:val="20"/>
        </w:rPr>
        <w:t xml:space="preserve">. Luego de que se diera traslado al Fiscal Penal de 4to </w:t>
      </w:r>
      <w:r>
        <w:rPr>
          <w:rFonts w:ascii="Verdana" w:hAnsi="Verdana"/>
          <w:sz w:val="20"/>
          <w:szCs w:val="20"/>
        </w:rPr>
        <w:t>T</w:t>
      </w:r>
      <w:r w:rsidRPr="00E53751">
        <w:rPr>
          <w:rFonts w:ascii="Verdana" w:hAnsi="Verdana"/>
          <w:sz w:val="20"/>
          <w:szCs w:val="20"/>
        </w:rPr>
        <w:t>urno, al Fiscal de Corte</w:t>
      </w:r>
      <w:r>
        <w:rPr>
          <w:rFonts w:ascii="Verdana" w:hAnsi="Verdana"/>
          <w:sz w:val="20"/>
          <w:szCs w:val="20"/>
        </w:rPr>
        <w:t xml:space="preserve"> y Procurador General de la Nación</w:t>
      </w:r>
      <w:r w:rsidRPr="00E53751">
        <w:rPr>
          <w:rFonts w:ascii="Verdana" w:hAnsi="Verdana"/>
          <w:sz w:val="20"/>
          <w:szCs w:val="20"/>
        </w:rPr>
        <w:t xml:space="preserve"> y al Fiscal </w:t>
      </w:r>
      <w:r w:rsidRPr="00E53751">
        <w:rPr>
          <w:rFonts w:ascii="Verdana" w:hAnsi="Verdana"/>
          <w:sz w:val="20"/>
          <w:szCs w:val="20"/>
        </w:rPr>
        <w:lastRenderedPageBreak/>
        <w:t>Especializad</w:t>
      </w:r>
      <w:r>
        <w:rPr>
          <w:rFonts w:ascii="Verdana" w:hAnsi="Verdana"/>
          <w:sz w:val="20"/>
          <w:szCs w:val="20"/>
        </w:rPr>
        <w:t>o</w:t>
      </w:r>
      <w:r w:rsidRPr="00E53751">
        <w:rPr>
          <w:rFonts w:ascii="Verdana" w:hAnsi="Verdana"/>
          <w:sz w:val="20"/>
          <w:szCs w:val="20"/>
        </w:rPr>
        <w:t>, y de que éstos se expidieran entre el 3 de diciembre de 2018 y el 3 de abril de 2019</w:t>
      </w:r>
      <w:r w:rsidRPr="00E53751">
        <w:rPr>
          <w:rStyle w:val="Refdenotaalpie"/>
          <w:rFonts w:ascii="Verdana" w:hAnsi="Verdana"/>
          <w:sz w:val="20"/>
          <w:szCs w:val="20"/>
        </w:rPr>
        <w:footnoteReference w:id="196"/>
      </w:r>
      <w:r w:rsidRPr="00E53751">
        <w:rPr>
          <w:rFonts w:ascii="Verdana" w:hAnsi="Verdana"/>
          <w:sz w:val="20"/>
          <w:szCs w:val="20"/>
        </w:rPr>
        <w:t>, el 29 de agosto de 2019 la Suprema Corte</w:t>
      </w:r>
      <w:r>
        <w:rPr>
          <w:rFonts w:ascii="Verdana" w:hAnsi="Verdana"/>
          <w:sz w:val="20"/>
          <w:szCs w:val="20"/>
        </w:rPr>
        <w:t xml:space="preserve"> de Justicia</w:t>
      </w:r>
      <w:r w:rsidRPr="00E53751">
        <w:rPr>
          <w:rFonts w:ascii="Verdana" w:hAnsi="Verdana"/>
          <w:sz w:val="20"/>
          <w:szCs w:val="20"/>
        </w:rPr>
        <w:t xml:space="preserve"> desestimó la excepción de inconstitucionalidad</w:t>
      </w:r>
      <w:r w:rsidRPr="00E53751">
        <w:rPr>
          <w:rStyle w:val="Refdenotaalpie"/>
          <w:rFonts w:ascii="Verdana" w:hAnsi="Verdana"/>
          <w:sz w:val="20"/>
          <w:szCs w:val="20"/>
        </w:rPr>
        <w:footnoteReference w:id="197"/>
      </w:r>
      <w:r>
        <w:rPr>
          <w:rFonts w:ascii="Verdana" w:hAnsi="Verdana"/>
          <w:sz w:val="20"/>
          <w:szCs w:val="20"/>
        </w:rPr>
        <w:t xml:space="preserve">. </w:t>
      </w:r>
    </w:p>
    <w:p w14:paraId="53AFA936" w14:textId="77777777" w:rsidR="002A53BF" w:rsidRPr="00E53751" w:rsidRDefault="002A53BF" w:rsidP="005A5029">
      <w:pPr>
        <w:pStyle w:val="Prrafodelista"/>
        <w:spacing w:line="240" w:lineRule="exact"/>
        <w:rPr>
          <w:rFonts w:ascii="Verdana" w:hAnsi="Verdana"/>
          <w:sz w:val="20"/>
          <w:szCs w:val="20"/>
        </w:rPr>
      </w:pPr>
    </w:p>
    <w:p w14:paraId="14FB71A8"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t>El 23 de octubre de 2019 la defensa de E.K. volvió a solicitar la clausura y archivo de las actuaciones por prescripción</w:t>
      </w:r>
      <w:r w:rsidRPr="00E53751">
        <w:rPr>
          <w:rStyle w:val="Refdenotaalpie"/>
          <w:rFonts w:ascii="Verdana" w:hAnsi="Verdana"/>
          <w:sz w:val="20"/>
          <w:szCs w:val="20"/>
        </w:rPr>
        <w:footnoteReference w:id="198"/>
      </w:r>
      <w:r w:rsidRPr="00E53751">
        <w:rPr>
          <w:rFonts w:ascii="Verdana" w:hAnsi="Verdana"/>
          <w:sz w:val="20"/>
          <w:szCs w:val="20"/>
        </w:rPr>
        <w:t>. El Fiscal Especializado, el 29 de octubre de 2019, expresó que consideraba que la solicitud era una maniobra dilatoria, y que debía citarse “en forma urgente” al indagado a prestar declaración</w:t>
      </w:r>
      <w:r w:rsidRPr="00E53751">
        <w:rPr>
          <w:rStyle w:val="Refdenotaalpie"/>
          <w:rFonts w:ascii="Verdana" w:hAnsi="Verdana"/>
          <w:sz w:val="20"/>
          <w:szCs w:val="20"/>
        </w:rPr>
        <w:footnoteReference w:id="199"/>
      </w:r>
      <w:r w:rsidRPr="00E53751">
        <w:rPr>
          <w:rFonts w:ascii="Verdana" w:hAnsi="Verdana"/>
          <w:sz w:val="20"/>
          <w:szCs w:val="20"/>
        </w:rPr>
        <w:t>. El 1 de noviembre de 2019 el órgano judicial rechazó la solicitud de clausura y archivo, y el 6 del mismo mes citó a E.K, para que comparezca el día 19 del mes siguiente</w:t>
      </w:r>
      <w:r w:rsidRPr="00E53751">
        <w:rPr>
          <w:rStyle w:val="Refdenotaalpie"/>
          <w:rFonts w:ascii="Verdana" w:hAnsi="Verdana"/>
          <w:sz w:val="20"/>
          <w:szCs w:val="20"/>
        </w:rPr>
        <w:footnoteReference w:id="200"/>
      </w:r>
      <w:r w:rsidRPr="00E53751">
        <w:rPr>
          <w:rFonts w:ascii="Verdana" w:hAnsi="Verdana"/>
          <w:sz w:val="20"/>
          <w:szCs w:val="20"/>
        </w:rPr>
        <w:t>. El 11 de noviembre de 2019 la defensa de E.K. presentó un recurso de reposición y apelación en subsidio contra la decisión de 1 de noviembre de 2019</w:t>
      </w:r>
      <w:r w:rsidRPr="00E53751">
        <w:rPr>
          <w:rStyle w:val="Refdenotaalpie"/>
          <w:rFonts w:ascii="Verdana" w:hAnsi="Verdana"/>
          <w:sz w:val="20"/>
          <w:szCs w:val="20"/>
        </w:rPr>
        <w:footnoteReference w:id="201"/>
      </w:r>
      <w:r w:rsidRPr="00E53751">
        <w:rPr>
          <w:rFonts w:ascii="Verdana" w:hAnsi="Verdana"/>
          <w:sz w:val="20"/>
          <w:szCs w:val="20"/>
        </w:rPr>
        <w:t>. El 14 de noviembre de 2019 el Fiscal Especializado expresó que existía cosa juzgada sobre la materia presentada por la defensa, y que debía llamarse a declarar a E.K. y “tomar[se] medidas” que se entendieran pertinentes respecto a quien ejercía su defensa técnica</w:t>
      </w:r>
      <w:r w:rsidRPr="00E53751">
        <w:rPr>
          <w:rStyle w:val="Refdenotaalpie"/>
          <w:rFonts w:ascii="Verdana" w:hAnsi="Verdana"/>
          <w:sz w:val="20"/>
          <w:szCs w:val="20"/>
        </w:rPr>
        <w:footnoteReference w:id="202"/>
      </w:r>
      <w:r w:rsidRPr="00E53751">
        <w:rPr>
          <w:rFonts w:ascii="Verdana" w:hAnsi="Verdana"/>
          <w:sz w:val="20"/>
          <w:szCs w:val="20"/>
        </w:rPr>
        <w:t>. El 18 de noviembre de 2019 la Jueza actuante mantuvo la decisión recurrida y dio intervención al Tribunal de Apelaciones en lo Penal</w:t>
      </w:r>
      <w:r w:rsidRPr="00E53751">
        <w:rPr>
          <w:rStyle w:val="Refdenotaalpie"/>
          <w:rFonts w:ascii="Verdana" w:hAnsi="Verdana"/>
          <w:sz w:val="20"/>
          <w:szCs w:val="20"/>
        </w:rPr>
        <w:footnoteReference w:id="203"/>
      </w:r>
      <w:r w:rsidRPr="00E53751">
        <w:rPr>
          <w:rFonts w:ascii="Verdana" w:hAnsi="Verdana"/>
          <w:sz w:val="20"/>
          <w:szCs w:val="20"/>
        </w:rPr>
        <w:t>. El 19 de agosto de 2020 el Tribunal de Apelación confirmó la decisión de 1 de noviembre de 2019</w:t>
      </w:r>
      <w:r w:rsidRPr="00E53751">
        <w:rPr>
          <w:rStyle w:val="Refdenotaalpie"/>
          <w:rFonts w:ascii="Verdana" w:hAnsi="Verdana"/>
          <w:sz w:val="20"/>
          <w:szCs w:val="20"/>
        </w:rPr>
        <w:footnoteReference w:id="204"/>
      </w:r>
      <w:r w:rsidRPr="00E53751">
        <w:rPr>
          <w:rFonts w:ascii="Verdana" w:hAnsi="Verdana"/>
          <w:sz w:val="20"/>
          <w:szCs w:val="20"/>
        </w:rPr>
        <w:t xml:space="preserve">. </w:t>
      </w:r>
    </w:p>
    <w:p w14:paraId="0D44093C" w14:textId="77777777" w:rsidR="002A53BF" w:rsidRPr="00E53751" w:rsidRDefault="002A53BF" w:rsidP="005A5029">
      <w:pPr>
        <w:pStyle w:val="Prrafodelista"/>
        <w:spacing w:after="0" w:line="240" w:lineRule="exact"/>
        <w:ind w:left="0"/>
        <w:jc w:val="both"/>
        <w:rPr>
          <w:rFonts w:ascii="Verdana" w:hAnsi="Verdana"/>
          <w:sz w:val="20"/>
          <w:szCs w:val="20"/>
        </w:rPr>
      </w:pPr>
    </w:p>
    <w:p w14:paraId="0622F60D"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lastRenderedPageBreak/>
        <w:t>El 4 de febrero de 2021 J.R. y J.G solicitaron la suspensión de las actuaciones, y su archivo y clausura por prescripción</w:t>
      </w:r>
      <w:r w:rsidRPr="00E53751">
        <w:rPr>
          <w:rStyle w:val="Refdenotaalpie"/>
          <w:rFonts w:ascii="Verdana" w:hAnsi="Verdana"/>
          <w:sz w:val="20"/>
          <w:szCs w:val="20"/>
        </w:rPr>
        <w:footnoteReference w:id="205"/>
      </w:r>
      <w:r w:rsidRPr="00E53751">
        <w:rPr>
          <w:rFonts w:ascii="Verdana" w:hAnsi="Verdana"/>
          <w:sz w:val="20"/>
          <w:szCs w:val="20"/>
        </w:rPr>
        <w:t>. El 7 de mayo de 2021 la Jueza interviniente resolvió desestimar las solicitudes de prescripción y continuar la “instrucción de los autos principales”</w:t>
      </w:r>
      <w:r w:rsidRPr="00E53751">
        <w:rPr>
          <w:rStyle w:val="Refdenotaalpie"/>
          <w:rFonts w:ascii="Verdana" w:hAnsi="Verdana"/>
          <w:sz w:val="20"/>
          <w:szCs w:val="20"/>
        </w:rPr>
        <w:footnoteReference w:id="206"/>
      </w:r>
      <w:r w:rsidRPr="00E53751">
        <w:rPr>
          <w:rFonts w:ascii="Verdana" w:hAnsi="Verdana"/>
          <w:sz w:val="20"/>
          <w:szCs w:val="20"/>
        </w:rPr>
        <w:t>. No obstante, dado</w:t>
      </w:r>
      <w:r w:rsidRPr="00685170">
        <w:rPr>
          <w:rFonts w:ascii="Verdana" w:hAnsi="Verdana"/>
          <w:sz w:val="20"/>
          <w:szCs w:val="20"/>
        </w:rPr>
        <w:t>s los planteamientos de inconstitucionalidad de J. R., el 14 de julio de 2021 se suspendió el proceso y las actuaciones pasaron a la Suprema Corte de Justicia (</w:t>
      </w:r>
      <w:r w:rsidRPr="00685170">
        <w:rPr>
          <w:rFonts w:ascii="Verdana" w:hAnsi="Verdana"/>
          <w:i/>
          <w:sz w:val="20"/>
          <w:szCs w:val="20"/>
        </w:rPr>
        <w:t>supra</w:t>
      </w:r>
      <w:r w:rsidRPr="00685170">
        <w:rPr>
          <w:rFonts w:ascii="Verdana" w:hAnsi="Verdana"/>
          <w:sz w:val="20"/>
          <w:szCs w:val="20"/>
        </w:rPr>
        <w:t xml:space="preserve"> párr. 72).</w:t>
      </w:r>
      <w:r w:rsidRPr="00E53751">
        <w:rPr>
          <w:rFonts w:ascii="Verdana" w:hAnsi="Verdana"/>
          <w:sz w:val="20"/>
          <w:szCs w:val="20"/>
        </w:rPr>
        <w:t xml:space="preserve"> La Corte Interamericana no tiene constancia de que tales planteos se hayan resuelto. </w:t>
      </w:r>
    </w:p>
    <w:p w14:paraId="06460D7E" w14:textId="77777777" w:rsidR="002A53BF" w:rsidRPr="00E53751" w:rsidRDefault="002A53BF" w:rsidP="005A5029">
      <w:pPr>
        <w:pStyle w:val="Prrafodelista"/>
        <w:spacing w:line="240" w:lineRule="exact"/>
        <w:rPr>
          <w:rFonts w:ascii="Verdana" w:hAnsi="Verdana"/>
          <w:sz w:val="20"/>
          <w:szCs w:val="20"/>
        </w:rPr>
      </w:pPr>
    </w:p>
    <w:p w14:paraId="48805A2A"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t xml:space="preserve">Lo expuesto muestra que, frente a una solicitud de que se determine la aplicación de la prescripción, intentada después del 7 de abril de 2016, la vía recursiva posterior irrogó una demora cercana a los dos años, hasta que la petición fue rechazada en mayo de 2018. No obstante, el mismo imputado volvió a solicitar la aplicación de la prescripción en octubre de 2019, lo que fue resuelto, en forma definitiva, cerca de 10 meses después, en agosto de 2020. Esto muestra una demora </w:t>
      </w:r>
      <w:r>
        <w:rPr>
          <w:rFonts w:ascii="Verdana" w:hAnsi="Verdana"/>
          <w:sz w:val="20"/>
          <w:szCs w:val="20"/>
        </w:rPr>
        <w:t>mayor</w:t>
      </w:r>
      <w:r w:rsidRPr="00E53751">
        <w:rPr>
          <w:rFonts w:ascii="Verdana" w:hAnsi="Verdana"/>
          <w:sz w:val="20"/>
          <w:szCs w:val="20"/>
        </w:rPr>
        <w:t xml:space="preserve"> a tres años en la tramitación de dos requerimientos de prescripción, siendo, además, que el segundo reiteró un requerimiento que, en términos sustanciales, ya había sido rechazado.  </w:t>
      </w:r>
    </w:p>
    <w:p w14:paraId="7F0FCA5B" w14:textId="77777777" w:rsidR="002A53BF" w:rsidRPr="00E53751" w:rsidRDefault="002A53BF" w:rsidP="005A5029">
      <w:pPr>
        <w:pStyle w:val="Prrafodelista"/>
        <w:spacing w:line="240" w:lineRule="exact"/>
        <w:rPr>
          <w:rFonts w:ascii="Verdana" w:hAnsi="Verdana"/>
          <w:sz w:val="20"/>
          <w:szCs w:val="20"/>
        </w:rPr>
      </w:pPr>
    </w:p>
    <w:p w14:paraId="1BD301BE" w14:textId="2D65840F"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t>Por otra parte, en el curso de lo anterior, el mismo imputado presentó una excepción de inconstitucionalidad, cuya tramit</w:t>
      </w:r>
      <w:r w:rsidR="00906176">
        <w:rPr>
          <w:rFonts w:ascii="Verdana" w:hAnsi="Verdana"/>
          <w:sz w:val="20"/>
          <w:szCs w:val="20"/>
        </w:rPr>
        <w:t xml:space="preserve">ación transcurrió </w:t>
      </w:r>
      <w:r w:rsidRPr="00E53751">
        <w:rPr>
          <w:rFonts w:ascii="Verdana" w:hAnsi="Verdana"/>
          <w:sz w:val="20"/>
          <w:szCs w:val="20"/>
        </w:rPr>
        <w:t xml:space="preserve">entre noviembre de 2018 y agosto de 2019, es decir, </w:t>
      </w:r>
      <w:r w:rsidR="00906176">
        <w:rPr>
          <w:rFonts w:ascii="Verdana" w:hAnsi="Verdana"/>
          <w:sz w:val="20"/>
          <w:szCs w:val="20"/>
        </w:rPr>
        <w:t xml:space="preserve">durante </w:t>
      </w:r>
      <w:r w:rsidRPr="00E53751">
        <w:rPr>
          <w:rFonts w:ascii="Verdana" w:hAnsi="Verdana"/>
          <w:sz w:val="20"/>
          <w:szCs w:val="20"/>
        </w:rPr>
        <w:t>m</w:t>
      </w:r>
      <w:r>
        <w:rPr>
          <w:rFonts w:ascii="Verdana" w:hAnsi="Verdana"/>
          <w:sz w:val="20"/>
          <w:szCs w:val="20"/>
        </w:rPr>
        <w:t>á</w:t>
      </w:r>
      <w:r w:rsidRPr="00E53751">
        <w:rPr>
          <w:rFonts w:ascii="Verdana" w:hAnsi="Verdana"/>
          <w:sz w:val="20"/>
          <w:szCs w:val="20"/>
        </w:rPr>
        <w:t xml:space="preserve">s de nueve meses. </w:t>
      </w:r>
    </w:p>
    <w:p w14:paraId="08F69318" w14:textId="77777777" w:rsidR="002A53BF" w:rsidRPr="00E53751" w:rsidRDefault="002A53BF" w:rsidP="005A5029">
      <w:pPr>
        <w:pStyle w:val="Prrafodelista"/>
        <w:spacing w:line="240" w:lineRule="exact"/>
        <w:rPr>
          <w:rFonts w:ascii="Verdana" w:hAnsi="Verdana"/>
          <w:sz w:val="20"/>
          <w:szCs w:val="20"/>
        </w:rPr>
      </w:pPr>
    </w:p>
    <w:p w14:paraId="7675B49D"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t xml:space="preserve">Además, por recursos presentados por el único de los tres imputados que permanecería vivo, desde febrero de 2021 hasta la actualidad (es decir, durante un tiempo cercano a nueve meses), continuaría pendiente la resolución de una excepción de inconstitucionalidad. </w:t>
      </w:r>
      <w:r>
        <w:rPr>
          <w:rFonts w:ascii="Verdana" w:hAnsi="Verdana"/>
          <w:sz w:val="20"/>
          <w:szCs w:val="20"/>
        </w:rPr>
        <w:t>La Corte Interamericana no cuenta con información que indique lo contrario.</w:t>
      </w:r>
    </w:p>
    <w:p w14:paraId="1C9EF462" w14:textId="77777777" w:rsidR="002A53BF" w:rsidRPr="00E53751" w:rsidRDefault="002A53BF" w:rsidP="005A5029">
      <w:pPr>
        <w:pStyle w:val="Prrafodelista"/>
        <w:spacing w:line="240" w:lineRule="exact"/>
        <w:rPr>
          <w:rFonts w:ascii="Verdana" w:hAnsi="Verdana"/>
          <w:sz w:val="20"/>
          <w:szCs w:val="20"/>
        </w:rPr>
      </w:pPr>
    </w:p>
    <w:p w14:paraId="19120522" w14:textId="3C55323A"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t>Frente a lo narrado, debe decirse, en primer término, que la Corte</w:t>
      </w:r>
      <w:r>
        <w:rPr>
          <w:rFonts w:ascii="Verdana" w:hAnsi="Verdana"/>
          <w:sz w:val="20"/>
          <w:szCs w:val="20"/>
        </w:rPr>
        <w:t xml:space="preserve"> Interamericana</w:t>
      </w:r>
      <w:r w:rsidRPr="00E53751">
        <w:rPr>
          <w:rFonts w:ascii="Verdana" w:hAnsi="Verdana"/>
          <w:sz w:val="20"/>
          <w:szCs w:val="20"/>
        </w:rPr>
        <w:t xml:space="preserve"> reconoce que, en el marco de las garantías del debido proceso, </w:t>
      </w:r>
      <w:r w:rsidR="00906176">
        <w:rPr>
          <w:rFonts w:ascii="Verdana" w:hAnsi="Verdana"/>
          <w:sz w:val="20"/>
          <w:szCs w:val="20"/>
        </w:rPr>
        <w:t>señaladas en</w:t>
      </w:r>
      <w:r w:rsidRPr="00E53751">
        <w:rPr>
          <w:rFonts w:ascii="Verdana" w:hAnsi="Verdana"/>
          <w:sz w:val="20"/>
          <w:szCs w:val="20"/>
        </w:rPr>
        <w:t xml:space="preserve"> el artículo 8 de la Convención Americana, las personas imputadas de un delito tienen la posibilidad de hacer uso, en defensa de sus derechos, de las vías recursivas previstas por el ordenamiento legal. </w:t>
      </w:r>
    </w:p>
    <w:p w14:paraId="635B9F4C" w14:textId="77777777" w:rsidR="002A53BF" w:rsidRPr="00E53751" w:rsidRDefault="002A53BF" w:rsidP="005A5029">
      <w:pPr>
        <w:pStyle w:val="Prrafodelista"/>
        <w:spacing w:line="240" w:lineRule="exact"/>
        <w:rPr>
          <w:rFonts w:ascii="Verdana" w:hAnsi="Verdana"/>
          <w:sz w:val="20"/>
          <w:szCs w:val="20"/>
        </w:rPr>
      </w:pPr>
    </w:p>
    <w:p w14:paraId="4CFB1E6B" w14:textId="77777777"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t xml:space="preserve">Ahora bien, las autoridades judiciales, sin perjuicio de su deber de respetar estas garantías de las personas imputadas, deben procurar que las causas </w:t>
      </w:r>
      <w:r>
        <w:rPr>
          <w:rFonts w:ascii="Verdana" w:hAnsi="Verdana"/>
          <w:sz w:val="20"/>
          <w:szCs w:val="20"/>
        </w:rPr>
        <w:t xml:space="preserve">se </w:t>
      </w:r>
      <w:r w:rsidRPr="00E53751">
        <w:rPr>
          <w:rFonts w:ascii="Verdana" w:hAnsi="Verdana"/>
          <w:sz w:val="20"/>
          <w:szCs w:val="20"/>
        </w:rPr>
        <w:t xml:space="preserve">tramiten en un plazo razonable, </w:t>
      </w:r>
      <w:r w:rsidRPr="00F137AF">
        <w:rPr>
          <w:rFonts w:ascii="Verdana" w:hAnsi="Verdana"/>
          <w:sz w:val="20"/>
          <w:szCs w:val="20"/>
        </w:rPr>
        <w:t>teniendo en cuenta, a tal efecto, la celeridad requerida por las características de la causa. Los casos que aquí se examinan tratan de graves violaciones a derechos humanos, ocurridas hace ya más de 4</w:t>
      </w:r>
      <w:r>
        <w:rPr>
          <w:rFonts w:ascii="Verdana" w:hAnsi="Verdana"/>
          <w:sz w:val="20"/>
          <w:szCs w:val="20"/>
        </w:rPr>
        <w:t>4</w:t>
      </w:r>
      <w:r w:rsidRPr="00F137AF">
        <w:rPr>
          <w:rFonts w:ascii="Verdana" w:hAnsi="Verdana"/>
          <w:sz w:val="20"/>
          <w:szCs w:val="20"/>
        </w:rPr>
        <w:t xml:space="preserve"> años. En este marco, resulta necesario, a fin de resguardar la efectividad de los procesos, que</w:t>
      </w:r>
      <w:r w:rsidRPr="00E53751">
        <w:rPr>
          <w:rFonts w:ascii="Verdana" w:hAnsi="Verdana"/>
          <w:sz w:val="20"/>
          <w:szCs w:val="20"/>
        </w:rPr>
        <w:t xml:space="preserve"> los órganos judiciales resuelvan con la máxima premura las incidencias que se planteen. Por otra parte, dichos órganos deben aplicar las medidas que prevea el ordenamiento jurídico para evitar dilaciones indebidas y actos de litigio o defensa efectuados en forma temeraria, maliciosa o de mala fe</w:t>
      </w:r>
      <w:r w:rsidRPr="00E53751">
        <w:rPr>
          <w:rStyle w:val="Refdenotaalpie"/>
          <w:rFonts w:ascii="Verdana" w:hAnsi="Verdana"/>
          <w:sz w:val="20"/>
          <w:szCs w:val="20"/>
        </w:rPr>
        <w:footnoteReference w:id="207"/>
      </w:r>
      <w:r w:rsidRPr="00E53751">
        <w:rPr>
          <w:rFonts w:ascii="Verdana" w:hAnsi="Verdana"/>
          <w:sz w:val="20"/>
          <w:szCs w:val="20"/>
        </w:rPr>
        <w:t xml:space="preserve">. </w:t>
      </w:r>
    </w:p>
    <w:p w14:paraId="58CAD9B8" w14:textId="77777777" w:rsidR="002A53BF" w:rsidRPr="00E53751" w:rsidRDefault="002A53BF" w:rsidP="005A5029">
      <w:pPr>
        <w:pStyle w:val="Prrafodelista"/>
        <w:spacing w:line="240" w:lineRule="exact"/>
        <w:rPr>
          <w:rFonts w:ascii="Verdana" w:hAnsi="Verdana"/>
          <w:sz w:val="20"/>
          <w:szCs w:val="20"/>
        </w:rPr>
      </w:pPr>
    </w:p>
    <w:p w14:paraId="790F426E" w14:textId="566C662C" w:rsidR="002A53BF" w:rsidRPr="00E53751" w:rsidRDefault="002A53BF" w:rsidP="005A5029">
      <w:pPr>
        <w:pStyle w:val="Prrafodelista"/>
        <w:numPr>
          <w:ilvl w:val="0"/>
          <w:numId w:val="49"/>
        </w:numPr>
        <w:spacing w:after="0" w:line="240" w:lineRule="exact"/>
        <w:ind w:left="0" w:firstLine="0"/>
        <w:jc w:val="both"/>
        <w:rPr>
          <w:rFonts w:ascii="Verdana" w:hAnsi="Verdana"/>
          <w:sz w:val="20"/>
          <w:szCs w:val="20"/>
        </w:rPr>
      </w:pPr>
      <w:r w:rsidRPr="00E53751">
        <w:rPr>
          <w:rFonts w:ascii="Verdana" w:hAnsi="Verdana"/>
          <w:sz w:val="20"/>
          <w:szCs w:val="20"/>
        </w:rPr>
        <w:lastRenderedPageBreak/>
        <w:t xml:space="preserve">Teniendo en cuenta lo precedente y los hechos antes expuestos, esta Corte concluye que las autoridades judiciales, en relación con las actuaciones relativas a la investigación y proceso penal sobre las muertes de Diana </w:t>
      </w:r>
      <w:proofErr w:type="spellStart"/>
      <w:r w:rsidRPr="00E53751">
        <w:rPr>
          <w:rFonts w:ascii="Verdana" w:hAnsi="Verdana"/>
          <w:sz w:val="20"/>
          <w:szCs w:val="20"/>
        </w:rPr>
        <w:t>Maidanik</w:t>
      </w:r>
      <w:proofErr w:type="spellEnd"/>
      <w:r w:rsidRPr="00E53751">
        <w:rPr>
          <w:rFonts w:ascii="Verdana" w:hAnsi="Verdana"/>
          <w:sz w:val="20"/>
          <w:szCs w:val="20"/>
        </w:rPr>
        <w:t xml:space="preserve">, </w:t>
      </w:r>
      <w:proofErr w:type="spellStart"/>
      <w:r w:rsidRPr="00E53751">
        <w:rPr>
          <w:rFonts w:ascii="Verdana" w:hAnsi="Verdana"/>
          <w:sz w:val="20"/>
          <w:szCs w:val="20"/>
        </w:rPr>
        <w:t>Silivia</w:t>
      </w:r>
      <w:proofErr w:type="spellEnd"/>
      <w:r w:rsidRPr="00E53751">
        <w:rPr>
          <w:rFonts w:ascii="Verdana" w:hAnsi="Verdana"/>
          <w:sz w:val="20"/>
          <w:szCs w:val="20"/>
        </w:rPr>
        <w:t xml:space="preserve"> Reyes y Laura Raggio, no siguieron una conducta diligente tendiente a evitar esas dilaciones. Ello resultaba particularmente relevante, teniendo en cuenta el tiempo transcurrido desde los hechos, la gravedad de </w:t>
      </w:r>
      <w:proofErr w:type="gramStart"/>
      <w:r w:rsidRPr="00E53751">
        <w:rPr>
          <w:rFonts w:ascii="Verdana" w:hAnsi="Verdana"/>
          <w:sz w:val="20"/>
          <w:szCs w:val="20"/>
        </w:rPr>
        <w:t>los mismos</w:t>
      </w:r>
      <w:proofErr w:type="gramEnd"/>
      <w:r w:rsidRPr="00E53751">
        <w:rPr>
          <w:rFonts w:ascii="Verdana" w:hAnsi="Verdana"/>
          <w:sz w:val="20"/>
          <w:szCs w:val="20"/>
        </w:rPr>
        <w:t xml:space="preserve">, las demoras previas que habían existido durante varios años y la edad avanzada de personas posiblemente responsables, así como de familiares de las víctimas. Lo dicho, a su vez, coadyuvó a la afectación de la razonabilidad del tiempo </w:t>
      </w:r>
      <w:r w:rsidR="003D73BA">
        <w:rPr>
          <w:rFonts w:ascii="Verdana" w:hAnsi="Verdana"/>
          <w:sz w:val="20"/>
          <w:szCs w:val="20"/>
        </w:rPr>
        <w:t>transcurrido</w:t>
      </w:r>
      <w:r w:rsidRPr="00275FA4">
        <w:rPr>
          <w:rFonts w:ascii="Verdana" w:hAnsi="Verdana"/>
          <w:sz w:val="20"/>
          <w:szCs w:val="20"/>
        </w:rPr>
        <w:t xml:space="preserve"> (</w:t>
      </w:r>
      <w:r w:rsidRPr="00275FA4">
        <w:rPr>
          <w:rFonts w:ascii="Verdana" w:hAnsi="Verdana"/>
          <w:i/>
          <w:sz w:val="20"/>
          <w:szCs w:val="20"/>
        </w:rPr>
        <w:t xml:space="preserve">infra </w:t>
      </w:r>
      <w:r w:rsidR="00275FA4" w:rsidRPr="00275FA4">
        <w:rPr>
          <w:rFonts w:ascii="Verdana" w:hAnsi="Verdana"/>
          <w:sz w:val="20"/>
          <w:szCs w:val="20"/>
        </w:rPr>
        <w:t>párr. 173</w:t>
      </w:r>
      <w:r w:rsidRPr="00275FA4">
        <w:rPr>
          <w:rFonts w:ascii="Verdana" w:hAnsi="Verdana"/>
          <w:sz w:val="20"/>
          <w:szCs w:val="20"/>
        </w:rPr>
        <w:t>).</w:t>
      </w:r>
    </w:p>
    <w:p w14:paraId="597466F4" w14:textId="77777777" w:rsidR="002A53BF" w:rsidRPr="0039097A" w:rsidRDefault="002A53BF" w:rsidP="005A5029">
      <w:pPr>
        <w:pStyle w:val="Prrafodelista"/>
        <w:spacing w:after="0" w:line="240" w:lineRule="exact"/>
        <w:ind w:left="0"/>
        <w:jc w:val="both"/>
        <w:rPr>
          <w:rFonts w:ascii="Verdana" w:hAnsi="Verdana"/>
          <w:sz w:val="20"/>
          <w:szCs w:val="20"/>
        </w:rPr>
      </w:pPr>
      <w:r w:rsidRPr="0039097A">
        <w:rPr>
          <w:rFonts w:ascii="Verdana" w:hAnsi="Verdana"/>
          <w:sz w:val="20"/>
          <w:szCs w:val="20"/>
        </w:rPr>
        <w:t xml:space="preserve">  </w:t>
      </w:r>
    </w:p>
    <w:p w14:paraId="619E752E" w14:textId="77777777" w:rsidR="002A53BF" w:rsidRPr="0039097A" w:rsidRDefault="002A53BF" w:rsidP="005A5029">
      <w:pPr>
        <w:pStyle w:val="Prrafodelista"/>
        <w:spacing w:after="0" w:line="240" w:lineRule="exact"/>
        <w:ind w:left="851" w:right="333"/>
        <w:jc w:val="both"/>
        <w:outlineLvl w:val="3"/>
        <w:rPr>
          <w:rFonts w:ascii="Verdana" w:hAnsi="Verdana"/>
          <w:i/>
          <w:sz w:val="20"/>
          <w:szCs w:val="20"/>
        </w:rPr>
      </w:pPr>
      <w:bookmarkStart w:id="63" w:name="_Toc85550423"/>
      <w:r w:rsidRPr="0039097A">
        <w:rPr>
          <w:rFonts w:ascii="Verdana" w:hAnsi="Verdana"/>
          <w:i/>
          <w:sz w:val="20"/>
          <w:szCs w:val="20"/>
        </w:rPr>
        <w:t>B.2.3 Inobservancia de un plazo razonable</w:t>
      </w:r>
      <w:bookmarkEnd w:id="63"/>
    </w:p>
    <w:p w14:paraId="17025E0C" w14:textId="77777777" w:rsidR="002A53BF" w:rsidRPr="0039097A" w:rsidRDefault="002A53BF" w:rsidP="005A5029">
      <w:pPr>
        <w:pStyle w:val="Prrafodelista"/>
        <w:spacing w:after="0" w:line="240" w:lineRule="exact"/>
        <w:ind w:left="0"/>
        <w:jc w:val="both"/>
        <w:rPr>
          <w:rFonts w:ascii="Verdana" w:hAnsi="Verdana"/>
          <w:sz w:val="20"/>
          <w:szCs w:val="20"/>
        </w:rPr>
      </w:pPr>
    </w:p>
    <w:p w14:paraId="50DEC142" w14:textId="77777777"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 xml:space="preserve">El derecho de acceso a la justicia implica que la solución de la controversia se </w:t>
      </w:r>
      <w:r w:rsidRPr="0039097A">
        <w:rPr>
          <w:rFonts w:ascii="Verdana" w:eastAsia="Batang" w:hAnsi="Verdana"/>
          <w:bCs/>
          <w:snapToGrid w:val="0"/>
          <w:kern w:val="32"/>
          <w:sz w:val="20"/>
          <w:szCs w:val="20"/>
          <w:lang w:eastAsia="es-ES"/>
        </w:rPr>
        <w:t>produzca</w:t>
      </w:r>
      <w:r w:rsidRPr="0039097A">
        <w:rPr>
          <w:rFonts w:ascii="Verdana" w:hAnsi="Verdana"/>
          <w:sz w:val="20"/>
          <w:szCs w:val="20"/>
        </w:rPr>
        <w:t xml:space="preserve"> en tiempo razonable, ya que una demora prolongada </w:t>
      </w:r>
      <w:r w:rsidRPr="0039097A">
        <w:rPr>
          <w:rFonts w:ascii="Verdana" w:eastAsia="Batang" w:hAnsi="Verdana" w:cs="Times"/>
          <w:sz w:val="20"/>
          <w:szCs w:val="20"/>
        </w:rPr>
        <w:t>puede</w:t>
      </w:r>
      <w:r w:rsidRPr="0039097A">
        <w:rPr>
          <w:rFonts w:ascii="Verdana" w:hAnsi="Verdana"/>
          <w:sz w:val="20"/>
          <w:szCs w:val="20"/>
        </w:rPr>
        <w:t xml:space="preserve"> llegar a constituir, por sí misma, una violación de las garantías judiciales</w:t>
      </w:r>
      <w:r w:rsidRPr="0039097A">
        <w:rPr>
          <w:rStyle w:val="Refdenotaalpie"/>
          <w:rFonts w:ascii="Verdana" w:hAnsi="Verdana"/>
          <w:sz w:val="20"/>
          <w:szCs w:val="20"/>
        </w:rPr>
        <w:footnoteReference w:id="208"/>
      </w:r>
      <w:r w:rsidRPr="0039097A">
        <w:rPr>
          <w:rFonts w:ascii="Verdana" w:hAnsi="Verdana"/>
          <w:sz w:val="20"/>
          <w:szCs w:val="20"/>
        </w:rPr>
        <w:t xml:space="preserve">. </w:t>
      </w:r>
    </w:p>
    <w:p w14:paraId="0CA8E516" w14:textId="77777777" w:rsidR="002A53BF" w:rsidRPr="0039097A" w:rsidRDefault="002A53BF" w:rsidP="005A5029">
      <w:pPr>
        <w:pStyle w:val="Prrafodelista"/>
        <w:spacing w:after="0" w:line="240" w:lineRule="exact"/>
        <w:ind w:left="0"/>
        <w:jc w:val="both"/>
        <w:rPr>
          <w:rFonts w:ascii="Verdana" w:hAnsi="Verdana"/>
          <w:sz w:val="20"/>
          <w:szCs w:val="20"/>
        </w:rPr>
      </w:pPr>
    </w:p>
    <w:p w14:paraId="466923E1" w14:textId="49009698"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 xml:space="preserve">Han transcurrido más de 44 años desde </w:t>
      </w:r>
      <w:r>
        <w:rPr>
          <w:rFonts w:ascii="Verdana" w:hAnsi="Verdana"/>
          <w:sz w:val="20"/>
          <w:szCs w:val="20"/>
        </w:rPr>
        <w:t xml:space="preserve">que </w:t>
      </w:r>
      <w:r w:rsidR="00906176">
        <w:rPr>
          <w:rFonts w:ascii="Verdana" w:hAnsi="Verdana"/>
          <w:sz w:val="20"/>
          <w:szCs w:val="20"/>
        </w:rPr>
        <w:t>ocurriero</w:t>
      </w:r>
      <w:r w:rsidRPr="0039097A">
        <w:rPr>
          <w:rFonts w:ascii="Verdana" w:hAnsi="Verdana"/>
          <w:sz w:val="20"/>
          <w:szCs w:val="20"/>
        </w:rPr>
        <w:t xml:space="preserve">n las desapariciones forzadas de los señores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w:t>
      </w:r>
      <w:r>
        <w:rPr>
          <w:rFonts w:ascii="Verdana" w:hAnsi="Verdana"/>
          <w:sz w:val="20"/>
          <w:szCs w:val="20"/>
        </w:rPr>
        <w:t>,</w:t>
      </w:r>
      <w:r w:rsidRPr="0039097A">
        <w:rPr>
          <w:rFonts w:ascii="Verdana" w:hAnsi="Verdana"/>
          <w:sz w:val="20"/>
          <w:szCs w:val="20"/>
        </w:rPr>
        <w:t xml:space="preserve"> respecto de la indagación de las muertes de Laura Raggio, Silvia Reyes y Diana </w:t>
      </w:r>
      <w:proofErr w:type="spellStart"/>
      <w:r w:rsidRPr="0039097A">
        <w:rPr>
          <w:rFonts w:ascii="Verdana" w:hAnsi="Verdana"/>
          <w:sz w:val="20"/>
          <w:szCs w:val="20"/>
        </w:rPr>
        <w:t>Maidanik</w:t>
      </w:r>
      <w:proofErr w:type="spellEnd"/>
      <w:r w:rsidRPr="0039097A">
        <w:rPr>
          <w:rFonts w:ascii="Verdana" w:hAnsi="Verdana"/>
          <w:sz w:val="20"/>
          <w:szCs w:val="20"/>
        </w:rPr>
        <w:t>, más de 3</w:t>
      </w:r>
      <w:r>
        <w:rPr>
          <w:rFonts w:ascii="Verdana" w:hAnsi="Verdana"/>
          <w:sz w:val="20"/>
          <w:szCs w:val="20"/>
        </w:rPr>
        <w:t>6</w:t>
      </w:r>
      <w:r w:rsidRPr="0039097A">
        <w:rPr>
          <w:rFonts w:ascii="Verdana" w:hAnsi="Verdana"/>
          <w:sz w:val="20"/>
          <w:szCs w:val="20"/>
        </w:rPr>
        <w:t xml:space="preserve"> años, contados a partir de que Uruguay aceptó la competencia de esta Corte</w:t>
      </w:r>
      <w:r>
        <w:rPr>
          <w:rFonts w:ascii="Verdana" w:hAnsi="Verdana"/>
          <w:sz w:val="20"/>
          <w:szCs w:val="20"/>
        </w:rPr>
        <w:t xml:space="preserve"> (</w:t>
      </w:r>
      <w:r w:rsidRPr="00685170">
        <w:rPr>
          <w:rFonts w:ascii="Verdana" w:hAnsi="Verdana"/>
          <w:i/>
          <w:sz w:val="20"/>
          <w:szCs w:val="20"/>
        </w:rPr>
        <w:t>supra</w:t>
      </w:r>
      <w:r>
        <w:rPr>
          <w:rFonts w:ascii="Verdana" w:hAnsi="Verdana"/>
          <w:sz w:val="20"/>
          <w:szCs w:val="20"/>
        </w:rPr>
        <w:t>, párr. 12)</w:t>
      </w:r>
      <w:r w:rsidRPr="0039097A">
        <w:rPr>
          <w:rFonts w:ascii="Verdana" w:hAnsi="Verdana"/>
          <w:sz w:val="20"/>
          <w:szCs w:val="20"/>
        </w:rPr>
        <w:t>. Esos tiempos sobrepasan parámetros de razonabilidad</w:t>
      </w:r>
      <w:r w:rsidRPr="0039097A">
        <w:rPr>
          <w:rStyle w:val="Refdenotaalpie"/>
          <w:rFonts w:ascii="Verdana" w:hAnsi="Verdana"/>
          <w:sz w:val="20"/>
          <w:szCs w:val="20"/>
        </w:rPr>
        <w:footnoteReference w:id="209"/>
      </w:r>
      <w:r w:rsidRPr="0039097A">
        <w:rPr>
          <w:rFonts w:ascii="Verdana" w:hAnsi="Verdana"/>
          <w:sz w:val="20"/>
          <w:szCs w:val="20"/>
        </w:rPr>
        <w:t xml:space="preserve">. Las demoras más prolongadas, en forma evidente, se produjeron, durante varios años, con anterioridad a 2006, y por aplicación de la Ley de Caducidad. La falta de diligencia para evitar dilaciones producidas por la presentación abusiva de recursos judiciales, en la investigación sobre las muertes de Diana </w:t>
      </w:r>
      <w:proofErr w:type="spellStart"/>
      <w:r w:rsidRPr="0039097A">
        <w:rPr>
          <w:rFonts w:ascii="Verdana" w:hAnsi="Verdana"/>
          <w:sz w:val="20"/>
          <w:szCs w:val="20"/>
        </w:rPr>
        <w:t>Maidanik</w:t>
      </w:r>
      <w:proofErr w:type="spellEnd"/>
      <w:r w:rsidRPr="0039097A">
        <w:rPr>
          <w:rFonts w:ascii="Verdana" w:hAnsi="Verdana"/>
          <w:sz w:val="20"/>
          <w:szCs w:val="20"/>
        </w:rPr>
        <w:t xml:space="preserve">, Silvia Reyes y Laura Raggio, también fue un factor relevante en la demora. </w:t>
      </w:r>
    </w:p>
    <w:p w14:paraId="4A9252FE" w14:textId="77777777" w:rsidR="002A53BF" w:rsidRPr="0039097A" w:rsidRDefault="002A53BF" w:rsidP="005A5029">
      <w:pPr>
        <w:pStyle w:val="Prrafodelista"/>
        <w:spacing w:after="0" w:line="240" w:lineRule="exact"/>
        <w:ind w:left="0"/>
        <w:jc w:val="both"/>
        <w:rPr>
          <w:rFonts w:ascii="Verdana" w:hAnsi="Verdana"/>
          <w:sz w:val="20"/>
          <w:szCs w:val="20"/>
        </w:rPr>
      </w:pPr>
    </w:p>
    <w:p w14:paraId="6A86B575" w14:textId="77777777" w:rsidR="002A53BF" w:rsidRPr="0039097A" w:rsidRDefault="002A53BF"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La Corte, teniendo en cuenta lo ya dicho, entiende que no es necesario examinar otras etapas o aspectos de las actuaciones, como tampoco ahondar en el escrutinio de los factores que generaron las demoras</w:t>
      </w:r>
      <w:r w:rsidRPr="0039097A">
        <w:rPr>
          <w:rStyle w:val="Refdenotaalpie"/>
          <w:rFonts w:ascii="Verdana" w:hAnsi="Verdana"/>
          <w:sz w:val="20"/>
          <w:szCs w:val="20"/>
        </w:rPr>
        <w:footnoteReference w:id="210"/>
      </w:r>
      <w:r w:rsidRPr="0039097A">
        <w:rPr>
          <w:rFonts w:ascii="Verdana" w:hAnsi="Verdana"/>
          <w:sz w:val="20"/>
          <w:szCs w:val="20"/>
        </w:rPr>
        <w:t xml:space="preserve">, ya que resulta claro que las más extensas y relevantes tuvieron por base una conducta estatal injustificada. Después de los numerosos años transcurridos, todavía los familiares de las víctimas no conocen el paradero de los señores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y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w:t>
      </w:r>
      <w:r>
        <w:rPr>
          <w:rFonts w:ascii="Verdana" w:hAnsi="Verdana"/>
          <w:sz w:val="20"/>
          <w:szCs w:val="20"/>
        </w:rPr>
        <w:t>u</w:t>
      </w:r>
      <w:proofErr w:type="spellEnd"/>
      <w:r>
        <w:rPr>
          <w:rFonts w:ascii="Verdana" w:hAnsi="Verdana"/>
          <w:sz w:val="20"/>
          <w:szCs w:val="20"/>
        </w:rPr>
        <w:t>.</w:t>
      </w:r>
      <w:r w:rsidRPr="0039097A">
        <w:rPr>
          <w:rFonts w:ascii="Verdana" w:hAnsi="Verdana"/>
          <w:sz w:val="20"/>
          <w:szCs w:val="20"/>
        </w:rPr>
        <w:t xml:space="preserve"> </w:t>
      </w:r>
      <w:r>
        <w:rPr>
          <w:rFonts w:ascii="Verdana" w:hAnsi="Verdana"/>
          <w:sz w:val="20"/>
          <w:szCs w:val="20"/>
        </w:rPr>
        <w:t>S</w:t>
      </w:r>
      <w:r w:rsidRPr="0039097A">
        <w:rPr>
          <w:rFonts w:ascii="Verdana" w:hAnsi="Verdana"/>
          <w:sz w:val="20"/>
          <w:szCs w:val="20"/>
        </w:rPr>
        <w:t xml:space="preserve">us desapariciones forzadas, así como las ejecuciones extrajudiciales de Diana </w:t>
      </w:r>
      <w:proofErr w:type="spellStart"/>
      <w:r w:rsidRPr="0039097A">
        <w:rPr>
          <w:rFonts w:ascii="Verdana" w:hAnsi="Verdana"/>
          <w:sz w:val="20"/>
          <w:szCs w:val="20"/>
        </w:rPr>
        <w:t>Maidanik</w:t>
      </w:r>
      <w:proofErr w:type="spellEnd"/>
      <w:r w:rsidRPr="0039097A">
        <w:rPr>
          <w:rFonts w:ascii="Verdana" w:hAnsi="Verdana"/>
          <w:sz w:val="20"/>
          <w:szCs w:val="20"/>
        </w:rPr>
        <w:t>, Silvia Reyes y Laura Raggio</w:t>
      </w:r>
      <w:r>
        <w:rPr>
          <w:rFonts w:ascii="Verdana" w:hAnsi="Verdana"/>
          <w:sz w:val="20"/>
          <w:szCs w:val="20"/>
        </w:rPr>
        <w:t>,</w:t>
      </w:r>
      <w:r w:rsidRPr="0039097A">
        <w:rPr>
          <w:rFonts w:ascii="Verdana" w:hAnsi="Verdana"/>
          <w:sz w:val="20"/>
          <w:szCs w:val="20"/>
        </w:rPr>
        <w:t xml:space="preserve"> no han sido esclarecidas</w:t>
      </w:r>
      <w:r>
        <w:rPr>
          <w:rFonts w:ascii="Verdana" w:hAnsi="Verdana"/>
          <w:sz w:val="20"/>
          <w:szCs w:val="20"/>
        </w:rPr>
        <w:t>,</w:t>
      </w:r>
      <w:r w:rsidRPr="0039097A">
        <w:rPr>
          <w:rFonts w:ascii="Verdana" w:hAnsi="Verdana"/>
          <w:sz w:val="20"/>
          <w:szCs w:val="20"/>
        </w:rPr>
        <w:t xml:space="preserve"> ni determinadas las responsabilidades correspondientes. </w:t>
      </w:r>
    </w:p>
    <w:p w14:paraId="4CEC4BE1" w14:textId="77777777" w:rsidR="002A53BF" w:rsidRPr="0039097A" w:rsidRDefault="002A53BF" w:rsidP="005A5029">
      <w:pPr>
        <w:pStyle w:val="Prrafodelista"/>
        <w:spacing w:line="240" w:lineRule="exact"/>
        <w:rPr>
          <w:rFonts w:ascii="Verdana" w:hAnsi="Verdana"/>
          <w:sz w:val="20"/>
          <w:szCs w:val="20"/>
        </w:rPr>
      </w:pPr>
    </w:p>
    <w:p w14:paraId="2027D2AD" w14:textId="67528334" w:rsidR="002A53BF" w:rsidRDefault="002A53BF" w:rsidP="005A5029">
      <w:pPr>
        <w:pStyle w:val="Prrafodelista"/>
        <w:numPr>
          <w:ilvl w:val="0"/>
          <w:numId w:val="49"/>
        </w:numPr>
        <w:spacing w:after="0" w:line="240" w:lineRule="exact"/>
        <w:ind w:left="0" w:firstLine="0"/>
        <w:jc w:val="both"/>
        <w:rPr>
          <w:rFonts w:ascii="Verdana" w:hAnsi="Verdana"/>
          <w:sz w:val="20"/>
          <w:szCs w:val="20"/>
        </w:rPr>
      </w:pPr>
      <w:r w:rsidRPr="000F5A15">
        <w:rPr>
          <w:rFonts w:ascii="Verdana" w:hAnsi="Verdana"/>
          <w:sz w:val="20"/>
          <w:szCs w:val="20"/>
        </w:rPr>
        <w:lastRenderedPageBreak/>
        <w:t xml:space="preserve">Uruguay, por tanto, incumplió el artículo 8.1 de la Convención, al no realizar las investigaciones en un plazo razonable. </w:t>
      </w:r>
    </w:p>
    <w:p w14:paraId="4D461B27" w14:textId="77777777" w:rsidR="00342F65" w:rsidRPr="00342F65" w:rsidRDefault="00342F65" w:rsidP="005A5029">
      <w:pPr>
        <w:pStyle w:val="Prrafodelista"/>
        <w:spacing w:line="240" w:lineRule="exact"/>
        <w:rPr>
          <w:rFonts w:ascii="Verdana" w:hAnsi="Verdana"/>
          <w:sz w:val="20"/>
          <w:szCs w:val="20"/>
        </w:rPr>
      </w:pPr>
    </w:p>
    <w:p w14:paraId="6AF6BEE8" w14:textId="77777777" w:rsidR="00342F65" w:rsidRPr="00F137AF" w:rsidRDefault="00342F65" w:rsidP="005A5029">
      <w:pPr>
        <w:pStyle w:val="Prrafodelista"/>
        <w:spacing w:line="240" w:lineRule="exact"/>
        <w:rPr>
          <w:rFonts w:ascii="Verdana" w:hAnsi="Verdana"/>
          <w:sz w:val="20"/>
          <w:szCs w:val="20"/>
        </w:rPr>
      </w:pPr>
      <w:r w:rsidRPr="00F137AF">
        <w:rPr>
          <w:rFonts w:ascii="Verdana" w:hAnsi="Verdana"/>
          <w:i/>
          <w:sz w:val="20"/>
          <w:szCs w:val="20"/>
        </w:rPr>
        <w:t>B.2.4 Incumplimiento del derecho a la verdad</w:t>
      </w:r>
    </w:p>
    <w:p w14:paraId="1706B91A" w14:textId="77777777" w:rsidR="00342F65" w:rsidRPr="00F137AF" w:rsidRDefault="00342F65" w:rsidP="005A5029">
      <w:pPr>
        <w:pStyle w:val="Prrafodelista"/>
        <w:spacing w:line="240" w:lineRule="exact"/>
        <w:rPr>
          <w:rFonts w:ascii="Verdana" w:hAnsi="Verdana"/>
          <w:sz w:val="20"/>
          <w:szCs w:val="20"/>
        </w:rPr>
      </w:pPr>
    </w:p>
    <w:p w14:paraId="77F7E6CB" w14:textId="77777777" w:rsidR="00342F65" w:rsidRPr="00F137AF" w:rsidRDefault="00342F65" w:rsidP="005A5029">
      <w:pPr>
        <w:pStyle w:val="Prrafodelista"/>
        <w:numPr>
          <w:ilvl w:val="0"/>
          <w:numId w:val="49"/>
        </w:numPr>
        <w:spacing w:after="0" w:line="240" w:lineRule="exact"/>
        <w:ind w:left="0" w:firstLine="0"/>
        <w:jc w:val="both"/>
        <w:rPr>
          <w:rFonts w:ascii="Verdana" w:hAnsi="Verdana"/>
          <w:sz w:val="20"/>
          <w:szCs w:val="20"/>
        </w:rPr>
      </w:pPr>
      <w:r w:rsidRPr="00F137AF">
        <w:rPr>
          <w:rFonts w:ascii="Verdana" w:hAnsi="Verdana"/>
          <w:sz w:val="20"/>
          <w:szCs w:val="20"/>
        </w:rPr>
        <w:t>Conforme ha señalado este Tribunal, “</w:t>
      </w:r>
      <w:r w:rsidRPr="00F137AF">
        <w:rPr>
          <w:rFonts w:ascii="Verdana" w:eastAsia="Calibri" w:hAnsi="Verdana" w:cs="Times New Roman"/>
          <w:color w:val="000000"/>
          <w:sz w:val="20"/>
          <w:szCs w:val="20"/>
          <w:lang w:val="es-ES"/>
        </w:rPr>
        <w:t xml:space="preserve">toda persona, incluyendo los familiares de las víctimas de graves violaciones a derechos humanos, tiene el derecho a conocer la verdad. En </w:t>
      </w:r>
      <w:r w:rsidRPr="00F137AF">
        <w:rPr>
          <w:rFonts w:ascii="Verdana" w:eastAsia="Calibri" w:hAnsi="Verdana" w:cs="Verdana"/>
          <w:color w:val="000000"/>
          <w:sz w:val="20"/>
          <w:szCs w:val="20"/>
          <w:lang w:val="es-ES"/>
        </w:rPr>
        <w:t>consecuencia</w:t>
      </w:r>
      <w:r w:rsidRPr="00F137AF">
        <w:rPr>
          <w:rFonts w:ascii="Verdana" w:eastAsia="Calibri" w:hAnsi="Verdana" w:cs="Times New Roman"/>
          <w:color w:val="000000"/>
          <w:sz w:val="20"/>
          <w:szCs w:val="20"/>
          <w:lang w:val="es-ES"/>
        </w:rPr>
        <w:t xml:space="preserve">, los </w:t>
      </w:r>
      <w:r w:rsidRPr="00F137AF">
        <w:rPr>
          <w:rFonts w:ascii="Verdana" w:eastAsia="Calibri" w:hAnsi="Verdana" w:cs="Verdana"/>
          <w:color w:val="000000"/>
          <w:sz w:val="20"/>
          <w:szCs w:val="20"/>
          <w:lang w:val="es-ES"/>
        </w:rPr>
        <w:t>familiares</w:t>
      </w:r>
      <w:r w:rsidRPr="00F137AF">
        <w:rPr>
          <w:rFonts w:ascii="Verdana" w:eastAsia="Calibri" w:hAnsi="Verdana" w:cs="Times New Roman"/>
          <w:color w:val="000000"/>
          <w:sz w:val="20"/>
          <w:szCs w:val="20"/>
          <w:lang w:val="es-ES"/>
        </w:rPr>
        <w:t xml:space="preserve"> de las víctimas y la sociedad deben ser </w:t>
      </w:r>
      <w:r w:rsidRPr="00F137AF">
        <w:rPr>
          <w:rFonts w:ascii="Verdana" w:eastAsia="Calibri" w:hAnsi="Verdana" w:cs="Times New Roman"/>
          <w:sz w:val="20"/>
          <w:szCs w:val="20"/>
          <w:lang w:val="es-ES"/>
        </w:rPr>
        <w:t>informados</w:t>
      </w:r>
      <w:r w:rsidRPr="00F137AF">
        <w:rPr>
          <w:rFonts w:ascii="Verdana" w:eastAsia="Calibri" w:hAnsi="Verdana" w:cs="Times New Roman"/>
          <w:color w:val="000000"/>
          <w:sz w:val="20"/>
          <w:szCs w:val="20"/>
          <w:lang w:val="es-ES"/>
        </w:rPr>
        <w:t xml:space="preserve"> de </w:t>
      </w:r>
      <w:r w:rsidRPr="00F137AF">
        <w:rPr>
          <w:rFonts w:ascii="Verdana" w:eastAsia="Calibri" w:hAnsi="Verdana" w:cs="Times New Roman"/>
          <w:bCs/>
          <w:snapToGrid w:val="0"/>
          <w:color w:val="000000"/>
          <w:kern w:val="32"/>
          <w:sz w:val="20"/>
          <w:szCs w:val="20"/>
          <w:lang w:val="es-ES" w:eastAsia="es-ES"/>
        </w:rPr>
        <w:t>todo</w:t>
      </w:r>
      <w:r w:rsidRPr="00F137AF">
        <w:rPr>
          <w:rFonts w:ascii="Verdana" w:eastAsia="Calibri" w:hAnsi="Verdana" w:cs="Times New Roman"/>
          <w:color w:val="000000"/>
          <w:sz w:val="20"/>
          <w:szCs w:val="20"/>
          <w:lang w:val="es-ES"/>
        </w:rPr>
        <w:t xml:space="preserve"> lo sucedido con relación a </w:t>
      </w:r>
      <w:r w:rsidRPr="00F137AF">
        <w:rPr>
          <w:rFonts w:ascii="Verdana" w:eastAsia="Calibri" w:hAnsi="Verdana" w:cs="Verdana"/>
          <w:color w:val="000000"/>
          <w:sz w:val="20"/>
          <w:szCs w:val="20"/>
          <w:lang w:val="es-ES"/>
        </w:rPr>
        <w:t>dichas</w:t>
      </w:r>
      <w:r w:rsidRPr="00F137AF">
        <w:rPr>
          <w:rFonts w:ascii="Verdana" w:eastAsia="Calibri" w:hAnsi="Verdana" w:cs="Times New Roman"/>
          <w:color w:val="000000"/>
          <w:sz w:val="20"/>
          <w:szCs w:val="20"/>
          <w:lang w:val="es-ES"/>
        </w:rPr>
        <w:t xml:space="preserve"> violaciones”</w:t>
      </w:r>
      <w:r w:rsidRPr="00F137AF">
        <w:rPr>
          <w:rFonts w:ascii="Verdana" w:eastAsia="Calibri" w:hAnsi="Verdana" w:cs="Times New Roman"/>
          <w:color w:val="000000"/>
          <w:sz w:val="20"/>
          <w:szCs w:val="20"/>
          <w:vertAlign w:val="superscript"/>
          <w:lang w:val="es-ES"/>
        </w:rPr>
        <w:footnoteReference w:id="211"/>
      </w:r>
      <w:r w:rsidRPr="00F137AF">
        <w:rPr>
          <w:rFonts w:ascii="Verdana" w:eastAsia="Calibri" w:hAnsi="Verdana" w:cs="Times New Roman"/>
          <w:color w:val="000000"/>
          <w:sz w:val="20"/>
          <w:szCs w:val="20"/>
          <w:lang w:val="es-ES"/>
        </w:rPr>
        <w:t xml:space="preserve">. </w:t>
      </w:r>
      <w:r>
        <w:rPr>
          <w:rFonts w:ascii="Verdana" w:eastAsia="Calibri" w:hAnsi="Verdana" w:cs="Times New Roman"/>
          <w:color w:val="000000"/>
          <w:sz w:val="20"/>
          <w:szCs w:val="20"/>
          <w:lang w:val="es-ES"/>
        </w:rPr>
        <w:t xml:space="preserve">El derecho </w:t>
      </w:r>
      <w:r>
        <w:rPr>
          <w:rFonts w:ascii="Verdana" w:hAnsi="Verdana"/>
          <w:sz w:val="20"/>
          <w:szCs w:val="20"/>
        </w:rPr>
        <w:t xml:space="preserve">a la verdad tiene autonomía y una naturaleza amplia. </w:t>
      </w:r>
      <w:r w:rsidRPr="00F137AF">
        <w:rPr>
          <w:rFonts w:ascii="Verdana" w:eastAsia="Calibri" w:hAnsi="Verdana" w:cs="Times New Roman"/>
          <w:color w:val="000000"/>
          <w:sz w:val="20"/>
          <w:szCs w:val="20"/>
          <w:lang w:val="es-ES"/>
        </w:rPr>
        <w:t>Dependiendo del contexto y circunstancias del caso, la vulneración de este derecho puede relacionarse con diversos derechos receptados expresamente en la Convención Americana</w:t>
      </w:r>
      <w:r w:rsidRPr="00F137AF">
        <w:rPr>
          <w:rStyle w:val="Refdenotaalpie"/>
          <w:rFonts w:ascii="Verdana" w:hAnsi="Verdana"/>
          <w:sz w:val="20"/>
          <w:szCs w:val="20"/>
          <w:lang w:val="es-ES"/>
        </w:rPr>
        <w:footnoteReference w:id="212"/>
      </w:r>
      <w:r w:rsidRPr="00F137AF">
        <w:rPr>
          <w:rFonts w:ascii="Verdana" w:eastAsia="Calibri" w:hAnsi="Verdana" w:cs="Times New Roman"/>
          <w:color w:val="000000"/>
          <w:sz w:val="20"/>
          <w:szCs w:val="20"/>
          <w:lang w:val="es-ES"/>
        </w:rPr>
        <w:t>, como es el caso de los derechos a las garantías judiciales y a la protección judicial, reconocidos por los artículos 8 y 25 del tratado</w:t>
      </w:r>
      <w:r w:rsidRPr="00F137AF">
        <w:rPr>
          <w:rStyle w:val="Refdenotaalpie"/>
          <w:rFonts w:ascii="Verdana" w:hAnsi="Verdana"/>
          <w:sz w:val="20"/>
          <w:szCs w:val="20"/>
          <w:lang w:val="es-ES"/>
        </w:rPr>
        <w:footnoteReference w:id="213"/>
      </w:r>
      <w:r w:rsidRPr="00F137AF">
        <w:rPr>
          <w:rFonts w:ascii="Verdana" w:eastAsia="Calibri" w:hAnsi="Verdana" w:cs="Times New Roman"/>
          <w:color w:val="000000"/>
          <w:sz w:val="20"/>
          <w:szCs w:val="20"/>
          <w:lang w:val="es-ES"/>
        </w:rPr>
        <w:t>, o el derecho de acceso a información, tutelado por su artículo 13. En el presente caso, esta Corte no encuentra sustento para examinar la última disposición citada</w:t>
      </w:r>
      <w:r w:rsidRPr="00F137AF">
        <w:rPr>
          <w:rStyle w:val="Refdenotaalpie"/>
          <w:rFonts w:ascii="Verdana" w:hAnsi="Verdana"/>
          <w:sz w:val="20"/>
          <w:szCs w:val="20"/>
          <w:lang w:val="es-ES"/>
        </w:rPr>
        <w:footnoteReference w:id="214"/>
      </w:r>
      <w:r w:rsidRPr="00F137AF">
        <w:rPr>
          <w:rFonts w:ascii="Verdana" w:eastAsia="Calibri" w:hAnsi="Verdana" w:cs="Times New Roman"/>
          <w:color w:val="000000"/>
          <w:sz w:val="20"/>
          <w:szCs w:val="20"/>
          <w:lang w:val="es-ES"/>
        </w:rPr>
        <w:t xml:space="preserve">. </w:t>
      </w:r>
    </w:p>
    <w:p w14:paraId="7C5DFD77" w14:textId="77777777" w:rsidR="00342F65" w:rsidRPr="00F137AF" w:rsidRDefault="00342F65" w:rsidP="005A5029">
      <w:pPr>
        <w:pStyle w:val="Prrafodelista"/>
        <w:spacing w:line="240" w:lineRule="exact"/>
        <w:ind w:left="0"/>
        <w:rPr>
          <w:rFonts w:ascii="Verdana" w:hAnsi="Verdana"/>
          <w:sz w:val="20"/>
          <w:szCs w:val="20"/>
          <w:lang w:val="es-ES"/>
        </w:rPr>
      </w:pPr>
    </w:p>
    <w:p w14:paraId="3CD1CB05" w14:textId="77777777" w:rsidR="00342F65" w:rsidRPr="00F137AF" w:rsidRDefault="00342F65" w:rsidP="005A5029">
      <w:pPr>
        <w:pStyle w:val="Prrafodelista"/>
        <w:numPr>
          <w:ilvl w:val="0"/>
          <w:numId w:val="49"/>
        </w:numPr>
        <w:spacing w:after="0" w:line="240" w:lineRule="exact"/>
        <w:ind w:left="0" w:firstLine="0"/>
        <w:jc w:val="both"/>
        <w:rPr>
          <w:rFonts w:ascii="Verdana" w:hAnsi="Verdana"/>
          <w:sz w:val="20"/>
          <w:szCs w:val="20"/>
          <w:lang w:val="es-ES"/>
        </w:rPr>
      </w:pPr>
      <w:r w:rsidRPr="00F137AF">
        <w:rPr>
          <w:rFonts w:ascii="Verdana" w:hAnsi="Verdana"/>
          <w:sz w:val="20"/>
          <w:szCs w:val="20"/>
          <w:lang w:val="es-ES"/>
        </w:rPr>
        <w:t>Como ha señalado el Alto Comisionado de las Naciones Unidas para los Derechos Humanos, “[e]</w:t>
      </w:r>
      <w:r w:rsidRPr="00F137AF">
        <w:rPr>
          <w:rFonts w:ascii="Verdana" w:hAnsi="Verdana"/>
          <w:sz w:val="20"/>
          <w:szCs w:val="20"/>
        </w:rPr>
        <w:t>l derecho a la verdad entraña tener un conocimiento pleno y completo de los actos que se produjeron, las personas que participaron en ellos y las circunstancias específicas, en particular de las violaciones perpetradas y su motivación”</w:t>
      </w:r>
      <w:r w:rsidRPr="00F137AF">
        <w:rPr>
          <w:rStyle w:val="Refdenotaalpie"/>
          <w:rFonts w:ascii="Verdana" w:hAnsi="Verdana"/>
          <w:sz w:val="20"/>
          <w:szCs w:val="20"/>
        </w:rPr>
        <w:footnoteReference w:id="215"/>
      </w:r>
      <w:r w:rsidRPr="00F137AF">
        <w:rPr>
          <w:rFonts w:ascii="Verdana" w:hAnsi="Verdana"/>
          <w:sz w:val="20"/>
          <w:szCs w:val="20"/>
        </w:rPr>
        <w:t xml:space="preserve">. En ese sentido, resulta relevante que, según los casos, las indagaciones dirigidas a determinar lo sucedido se realicen, por ejemplo, considerando una perspectiva de género, o las motivaciones políticas que pudieron tener las violaciones a derechos humanos. </w:t>
      </w:r>
      <w:r w:rsidRPr="00F137AF">
        <w:rPr>
          <w:rFonts w:ascii="Verdana" w:hAnsi="Verdana" w:cs="Verdana"/>
          <w:sz w:val="20"/>
          <w:szCs w:val="20"/>
          <w:lang w:bidi="en-US"/>
        </w:rPr>
        <w:t xml:space="preserve">Por otra parte, </w:t>
      </w:r>
      <w:r w:rsidRPr="00F137AF">
        <w:rPr>
          <w:rFonts w:ascii="Verdana" w:hAnsi="Verdana"/>
          <w:sz w:val="20"/>
          <w:szCs w:val="20"/>
        </w:rPr>
        <w:t>en casos de desaparición forzada, es parte del derecho a la verdad el</w:t>
      </w:r>
      <w:r w:rsidRPr="00F137AF">
        <w:rPr>
          <w:rFonts w:ascii="Verdana" w:hAnsi="Verdana" w:cs="Verdana"/>
          <w:sz w:val="20"/>
          <w:szCs w:val="20"/>
          <w:lang w:bidi="en-US"/>
        </w:rPr>
        <w:t xml:space="preserve"> “derecho de los familiares de la víctima de conocer cuál fue el destino de ésta y, en su caso, dónde se encuentran sus restos”</w:t>
      </w:r>
      <w:r w:rsidRPr="00F137AF">
        <w:rPr>
          <w:rStyle w:val="Refdenotaalpie"/>
          <w:rFonts w:ascii="Verdana" w:hAnsi="Verdana" w:cs="Verdana"/>
          <w:sz w:val="20"/>
          <w:szCs w:val="20"/>
          <w:lang w:bidi="en-US"/>
        </w:rPr>
        <w:footnoteReference w:id="216"/>
      </w:r>
      <w:r w:rsidRPr="00F137AF">
        <w:rPr>
          <w:rFonts w:ascii="Verdana" w:hAnsi="Verdana" w:cs="Verdana"/>
          <w:sz w:val="20"/>
          <w:szCs w:val="20"/>
          <w:lang w:bidi="en-US"/>
        </w:rPr>
        <w:t>.</w:t>
      </w:r>
    </w:p>
    <w:p w14:paraId="57666458" w14:textId="77777777" w:rsidR="00342F65" w:rsidRPr="00F137AF" w:rsidRDefault="00342F65" w:rsidP="005A5029">
      <w:pPr>
        <w:pStyle w:val="Prrafodelista"/>
        <w:spacing w:after="0" w:line="240" w:lineRule="exact"/>
        <w:ind w:left="0"/>
        <w:jc w:val="both"/>
        <w:rPr>
          <w:rFonts w:ascii="Verdana" w:hAnsi="Verdana"/>
          <w:sz w:val="20"/>
          <w:szCs w:val="20"/>
          <w:lang w:val="es-ES"/>
        </w:rPr>
      </w:pPr>
    </w:p>
    <w:p w14:paraId="0E246288" w14:textId="77777777" w:rsidR="00342F65" w:rsidRPr="00F137AF" w:rsidRDefault="00342F65" w:rsidP="005A5029">
      <w:pPr>
        <w:pStyle w:val="Prrafodelista"/>
        <w:numPr>
          <w:ilvl w:val="0"/>
          <w:numId w:val="49"/>
        </w:numPr>
        <w:spacing w:after="0" w:line="240" w:lineRule="exact"/>
        <w:ind w:left="0" w:firstLine="0"/>
        <w:jc w:val="both"/>
        <w:rPr>
          <w:rFonts w:ascii="Verdana" w:hAnsi="Verdana"/>
          <w:sz w:val="20"/>
          <w:szCs w:val="20"/>
          <w:lang w:val="es-ES"/>
        </w:rPr>
      </w:pPr>
      <w:r w:rsidRPr="00F137AF">
        <w:rPr>
          <w:rFonts w:ascii="Verdana" w:hAnsi="Verdana"/>
          <w:sz w:val="20"/>
          <w:szCs w:val="20"/>
          <w:lang w:val="es-ES"/>
        </w:rPr>
        <w:t xml:space="preserve">La Corte nota que Uruguay ha llevado a cabo diversas políticas para satisfacer el derecho a la verdad de las víctimas de este caso y de a la sociedad en general. Valora en forma positiva, en ese sentido, </w:t>
      </w:r>
      <w:r w:rsidRPr="00F137AF">
        <w:rPr>
          <w:rFonts w:ascii="Verdana" w:hAnsi="Verdana"/>
          <w:sz w:val="20"/>
          <w:szCs w:val="20"/>
        </w:rPr>
        <w:t>la creación de una Comisión Investigadora Parlamentaria, de la Comisión para la Paz, y de la Comisión Investigadora del Ej</w:t>
      </w:r>
      <w:r>
        <w:rPr>
          <w:rFonts w:ascii="Verdana" w:hAnsi="Verdana"/>
          <w:sz w:val="20"/>
          <w:szCs w:val="20"/>
        </w:rPr>
        <w:t>é</w:t>
      </w:r>
      <w:r w:rsidRPr="00F137AF">
        <w:rPr>
          <w:rFonts w:ascii="Verdana" w:hAnsi="Verdana"/>
          <w:sz w:val="20"/>
          <w:szCs w:val="20"/>
        </w:rPr>
        <w:t xml:space="preserve">rcito </w:t>
      </w:r>
      <w:r>
        <w:rPr>
          <w:rFonts w:ascii="Verdana" w:hAnsi="Verdana"/>
          <w:sz w:val="20"/>
          <w:szCs w:val="20"/>
        </w:rPr>
        <w:t>N</w:t>
      </w:r>
      <w:r w:rsidRPr="00F137AF">
        <w:rPr>
          <w:rFonts w:ascii="Verdana" w:hAnsi="Verdana"/>
          <w:sz w:val="20"/>
          <w:szCs w:val="20"/>
        </w:rPr>
        <w:t xml:space="preserve">acional, y de la actividad e informes producidos por dichas entidades, así como por la Institución Nacional de Derechos Humanos. Valora también la creación de una Fiscalía Especializada en Crímenes de Lesa Humanidad. Lo anterior denota un compromiso del </w:t>
      </w:r>
      <w:r w:rsidRPr="00F137AF">
        <w:rPr>
          <w:rFonts w:ascii="Verdana" w:hAnsi="Verdana"/>
          <w:sz w:val="20"/>
          <w:szCs w:val="20"/>
        </w:rPr>
        <w:lastRenderedPageBreak/>
        <w:t xml:space="preserve">Estado, en ámbitos vinculados tanto al Poder Ejecutivo como a los Poderes Legislativo y Judicial, respecto a la indagación y conocimiento de la verdad de lo ocurrido durante el periodo del régimen de facto. Este tipo de acciones contribuyen al esclarecimiento de los hechos, la preservación de la memoria histórica y la determinación de responsabilidades. </w:t>
      </w:r>
    </w:p>
    <w:p w14:paraId="24E4B7BA" w14:textId="77777777" w:rsidR="00342F65" w:rsidRPr="00F137AF" w:rsidRDefault="00342F65" w:rsidP="005A5029">
      <w:pPr>
        <w:pStyle w:val="Prrafodelista"/>
        <w:spacing w:line="240" w:lineRule="exact"/>
        <w:ind w:left="0"/>
        <w:rPr>
          <w:rFonts w:ascii="Verdana" w:hAnsi="Verdana"/>
          <w:sz w:val="20"/>
          <w:szCs w:val="20"/>
          <w:lang w:val="es-ES"/>
        </w:rPr>
      </w:pPr>
    </w:p>
    <w:p w14:paraId="75691683" w14:textId="77777777" w:rsidR="00342F65" w:rsidRPr="00F137AF" w:rsidRDefault="00342F65" w:rsidP="005A5029">
      <w:pPr>
        <w:pStyle w:val="Prrafodelista"/>
        <w:numPr>
          <w:ilvl w:val="0"/>
          <w:numId w:val="49"/>
        </w:numPr>
        <w:spacing w:after="0" w:line="240" w:lineRule="exact"/>
        <w:ind w:left="0" w:firstLine="0"/>
        <w:jc w:val="both"/>
        <w:rPr>
          <w:rFonts w:ascii="Verdana" w:hAnsi="Verdana"/>
          <w:sz w:val="20"/>
          <w:szCs w:val="20"/>
          <w:lang w:val="es-ES"/>
        </w:rPr>
      </w:pPr>
      <w:r w:rsidRPr="00F137AF">
        <w:rPr>
          <w:rFonts w:ascii="Verdana" w:hAnsi="Verdana"/>
          <w:sz w:val="20"/>
          <w:szCs w:val="20"/>
          <w:lang w:val="es-ES"/>
        </w:rPr>
        <w:t>Sin perjuicio de lo expresado, de conformidad con la jurisprudencia constante de este Tribunal</w:t>
      </w:r>
      <w:r w:rsidRPr="00F137AF">
        <w:rPr>
          <w:rFonts w:ascii="Verdana" w:hAnsi="Verdana"/>
          <w:sz w:val="20"/>
          <w:szCs w:val="20"/>
          <w:vertAlign w:val="superscript"/>
          <w:lang w:val="es-ES"/>
        </w:rPr>
        <w:footnoteReference w:id="217"/>
      </w:r>
      <w:r w:rsidRPr="00F137AF">
        <w:rPr>
          <w:rFonts w:ascii="Verdana" w:hAnsi="Verdana"/>
          <w:sz w:val="20"/>
          <w:szCs w:val="20"/>
          <w:lang w:val="es-ES"/>
        </w:rPr>
        <w:t>, la “verdad histórica” que pueda resultar de este tipo de políticas no sustituye ni satisface la obligación del Estado de establecer la verdad y asegurar la determinación judicial de responsabilidades individuales a través de los procesos judiciales penales</w:t>
      </w:r>
      <w:r w:rsidRPr="00F137AF">
        <w:rPr>
          <w:rFonts w:ascii="Verdana" w:hAnsi="Verdana"/>
          <w:sz w:val="20"/>
          <w:szCs w:val="20"/>
          <w:vertAlign w:val="superscript"/>
          <w:lang w:val="es-ES"/>
        </w:rPr>
        <w:footnoteReference w:id="218"/>
      </w:r>
      <w:r w:rsidRPr="00F137AF">
        <w:rPr>
          <w:rFonts w:ascii="Verdana" w:hAnsi="Verdana"/>
          <w:sz w:val="20"/>
          <w:szCs w:val="20"/>
          <w:lang w:val="es-ES"/>
        </w:rPr>
        <w:t>.</w:t>
      </w:r>
    </w:p>
    <w:p w14:paraId="5B91856B" w14:textId="77777777" w:rsidR="00342F65" w:rsidRPr="00F137AF" w:rsidRDefault="00342F65" w:rsidP="005A5029">
      <w:pPr>
        <w:pStyle w:val="Prrafodelista"/>
        <w:spacing w:after="0" w:line="240" w:lineRule="exact"/>
        <w:ind w:left="0"/>
        <w:jc w:val="both"/>
        <w:rPr>
          <w:rFonts w:ascii="Verdana" w:hAnsi="Verdana"/>
          <w:sz w:val="20"/>
          <w:szCs w:val="20"/>
          <w:lang w:val="es-ES"/>
        </w:rPr>
      </w:pPr>
    </w:p>
    <w:p w14:paraId="78B82E03" w14:textId="77777777" w:rsidR="00342F65" w:rsidRPr="00F137AF" w:rsidRDefault="00342F65" w:rsidP="005A5029">
      <w:pPr>
        <w:pStyle w:val="Prrafodelista"/>
        <w:numPr>
          <w:ilvl w:val="0"/>
          <w:numId w:val="49"/>
        </w:numPr>
        <w:spacing w:after="0" w:line="240" w:lineRule="exact"/>
        <w:ind w:left="0" w:firstLine="0"/>
        <w:jc w:val="both"/>
        <w:rPr>
          <w:rFonts w:ascii="Verdana" w:hAnsi="Verdana"/>
          <w:sz w:val="20"/>
          <w:szCs w:val="20"/>
          <w:lang w:val="es-ES"/>
        </w:rPr>
      </w:pPr>
      <w:r w:rsidRPr="00F137AF">
        <w:rPr>
          <w:rFonts w:ascii="Verdana" w:hAnsi="Verdana"/>
          <w:sz w:val="20"/>
          <w:szCs w:val="20"/>
          <w:lang w:val="es-ES"/>
        </w:rPr>
        <w:t xml:space="preserve">Al respecto, el Estado no ha esclarecido judicialmente los hechos violatorios ni deducido las responsabilidades individuales, a través de la investigación y juzgamiento de las ejecuciones extrajudiciales de Diana </w:t>
      </w:r>
      <w:proofErr w:type="spellStart"/>
      <w:r w:rsidRPr="00F137AF">
        <w:rPr>
          <w:rFonts w:ascii="Verdana" w:hAnsi="Verdana"/>
          <w:sz w:val="20"/>
          <w:szCs w:val="20"/>
          <w:lang w:val="es-ES"/>
        </w:rPr>
        <w:t>Maidanik</w:t>
      </w:r>
      <w:proofErr w:type="spellEnd"/>
      <w:r w:rsidRPr="00F137AF">
        <w:rPr>
          <w:rFonts w:ascii="Verdana" w:hAnsi="Verdana"/>
          <w:sz w:val="20"/>
          <w:szCs w:val="20"/>
          <w:lang w:val="es-ES"/>
        </w:rPr>
        <w:t xml:space="preserve">, Silvia Reyes y Laura Raggio y de las desapariciones forzadas de Luis Eduardo González </w:t>
      </w:r>
      <w:proofErr w:type="spellStart"/>
      <w:r w:rsidRPr="00F137AF">
        <w:rPr>
          <w:rFonts w:ascii="Verdana" w:hAnsi="Verdana"/>
          <w:sz w:val="20"/>
          <w:szCs w:val="20"/>
          <w:lang w:val="es-ES"/>
        </w:rPr>
        <w:t>González</w:t>
      </w:r>
      <w:proofErr w:type="spellEnd"/>
      <w:r w:rsidRPr="00F137AF">
        <w:rPr>
          <w:rFonts w:ascii="Verdana" w:hAnsi="Verdana"/>
          <w:sz w:val="20"/>
          <w:szCs w:val="20"/>
          <w:lang w:val="es-ES"/>
        </w:rPr>
        <w:t xml:space="preserve"> y Óscar </w:t>
      </w:r>
      <w:proofErr w:type="spellStart"/>
      <w:r w:rsidRPr="00F137AF">
        <w:rPr>
          <w:rFonts w:ascii="Verdana" w:hAnsi="Verdana"/>
          <w:sz w:val="20"/>
          <w:szCs w:val="20"/>
          <w:lang w:val="es-ES"/>
        </w:rPr>
        <w:t>Tassino</w:t>
      </w:r>
      <w:proofErr w:type="spellEnd"/>
      <w:r w:rsidRPr="00F137AF">
        <w:rPr>
          <w:rFonts w:ascii="Verdana" w:hAnsi="Verdana"/>
          <w:sz w:val="20"/>
          <w:szCs w:val="20"/>
          <w:lang w:val="es-ES"/>
        </w:rPr>
        <w:t xml:space="preserve"> </w:t>
      </w:r>
      <w:proofErr w:type="spellStart"/>
      <w:r w:rsidRPr="00F137AF">
        <w:rPr>
          <w:rFonts w:ascii="Verdana" w:hAnsi="Verdana"/>
          <w:sz w:val="20"/>
          <w:szCs w:val="20"/>
          <w:lang w:val="es-ES"/>
        </w:rPr>
        <w:t>Asteazu</w:t>
      </w:r>
      <w:proofErr w:type="spellEnd"/>
      <w:r w:rsidRPr="00F137AF">
        <w:rPr>
          <w:rFonts w:ascii="Verdana" w:hAnsi="Verdana"/>
          <w:sz w:val="20"/>
          <w:szCs w:val="20"/>
          <w:lang w:val="es-ES"/>
        </w:rPr>
        <w:t>. Ya se ha determinado que las actuaciones judiciales de investigación, que no han concluido, se vieron menoscabadas por la aplicación de una ley contraria a las obligaciones internacionales del Estado, la Ley de Caducidad, tuvieron fallas a la diligencia debida e inobservaron un plazo razonable. Cabe concluir, entonces, que Uruguay ha violado el derecho a conocer la verdad en perjuicio de los familiares de las cinco personas nombradas</w:t>
      </w:r>
      <w:r>
        <w:rPr>
          <w:rFonts w:ascii="Verdana" w:hAnsi="Verdana"/>
          <w:sz w:val="20"/>
          <w:szCs w:val="20"/>
          <w:lang w:val="es-ES"/>
        </w:rPr>
        <w:t>. Dicha violación, en el caso, se enmarca en el derecho de acceso a la justicia. Uruguay</w:t>
      </w:r>
      <w:r w:rsidRPr="00F137AF">
        <w:rPr>
          <w:rFonts w:ascii="Verdana" w:hAnsi="Verdana"/>
          <w:sz w:val="20"/>
          <w:szCs w:val="20"/>
          <w:lang w:val="es-ES"/>
        </w:rPr>
        <w:t xml:space="preserve"> incumpli</w:t>
      </w:r>
      <w:r>
        <w:rPr>
          <w:rFonts w:ascii="Verdana" w:hAnsi="Verdana"/>
          <w:sz w:val="20"/>
          <w:szCs w:val="20"/>
          <w:lang w:val="es-ES"/>
        </w:rPr>
        <w:t>ó</w:t>
      </w:r>
      <w:r w:rsidRPr="00F137AF">
        <w:rPr>
          <w:rFonts w:ascii="Verdana" w:hAnsi="Verdana"/>
          <w:sz w:val="20"/>
          <w:szCs w:val="20"/>
          <w:lang w:val="es-ES"/>
        </w:rPr>
        <w:t xml:space="preserve">, al respecto, los artículos 8.1 y 25.1 de la Convención Americana, en relación con el artículo 1.1 del mismo tratado. </w:t>
      </w:r>
    </w:p>
    <w:p w14:paraId="4CCA289E" w14:textId="77777777" w:rsidR="00342F65" w:rsidRPr="00DE69BB" w:rsidRDefault="00342F65" w:rsidP="005A5029">
      <w:pPr>
        <w:pStyle w:val="Prrafodelista"/>
        <w:spacing w:after="0" w:line="240" w:lineRule="exact"/>
        <w:ind w:left="0"/>
        <w:jc w:val="both"/>
        <w:rPr>
          <w:rFonts w:ascii="Verdana" w:hAnsi="Verdana"/>
          <w:sz w:val="20"/>
          <w:szCs w:val="20"/>
        </w:rPr>
      </w:pPr>
    </w:p>
    <w:p w14:paraId="0285153C" w14:textId="77777777" w:rsidR="00342F65" w:rsidRPr="0039097A" w:rsidRDefault="00342F65" w:rsidP="005A5029">
      <w:pPr>
        <w:pStyle w:val="Prrafodelista"/>
        <w:spacing w:after="0" w:line="240" w:lineRule="exact"/>
        <w:ind w:left="567"/>
        <w:jc w:val="both"/>
        <w:outlineLvl w:val="2"/>
        <w:rPr>
          <w:rFonts w:ascii="Verdana" w:hAnsi="Verdana"/>
          <w:sz w:val="20"/>
          <w:szCs w:val="20"/>
        </w:rPr>
      </w:pPr>
      <w:bookmarkStart w:id="64" w:name="_Toc85550424"/>
      <w:r w:rsidRPr="0039097A">
        <w:rPr>
          <w:rFonts w:ascii="Verdana" w:hAnsi="Verdana"/>
          <w:i/>
          <w:sz w:val="20"/>
          <w:szCs w:val="20"/>
        </w:rPr>
        <w:t xml:space="preserve">B.3 </w:t>
      </w:r>
      <w:r w:rsidRPr="0039097A">
        <w:rPr>
          <w:rFonts w:ascii="Verdana" w:hAnsi="Verdana"/>
          <w:i/>
          <w:sz w:val="20"/>
          <w:szCs w:val="20"/>
          <w:u w:val="single"/>
        </w:rPr>
        <w:t>Conclusión</w:t>
      </w:r>
      <w:bookmarkEnd w:id="64"/>
    </w:p>
    <w:p w14:paraId="468C5E7C" w14:textId="77777777" w:rsidR="00342F65" w:rsidRPr="0039097A" w:rsidRDefault="00342F65" w:rsidP="005A5029">
      <w:pPr>
        <w:pStyle w:val="Prrafodelista"/>
        <w:spacing w:after="0" w:line="240" w:lineRule="exact"/>
        <w:ind w:left="0"/>
        <w:jc w:val="both"/>
        <w:rPr>
          <w:rFonts w:ascii="Verdana" w:hAnsi="Verdana"/>
          <w:sz w:val="20"/>
          <w:szCs w:val="20"/>
        </w:rPr>
      </w:pPr>
    </w:p>
    <w:p w14:paraId="1211A407" w14:textId="77777777" w:rsidR="00342F65" w:rsidRPr="0039097A" w:rsidRDefault="00342F65" w:rsidP="005A5029">
      <w:pPr>
        <w:pStyle w:val="Prrafodelista"/>
        <w:numPr>
          <w:ilvl w:val="0"/>
          <w:numId w:val="49"/>
        </w:numPr>
        <w:spacing w:after="0" w:line="240" w:lineRule="exact"/>
        <w:ind w:left="0" w:firstLine="0"/>
        <w:jc w:val="both"/>
        <w:rPr>
          <w:rFonts w:ascii="Verdana" w:hAnsi="Verdana"/>
          <w:sz w:val="20"/>
          <w:szCs w:val="20"/>
        </w:rPr>
      </w:pPr>
      <w:r>
        <w:rPr>
          <w:rFonts w:ascii="Verdana" w:hAnsi="Verdana"/>
          <w:sz w:val="20"/>
          <w:szCs w:val="20"/>
        </w:rPr>
        <w:t>Con base en lo antes expuesto, este Tribunal concluye que</w:t>
      </w:r>
      <w:r w:rsidRPr="0039097A">
        <w:rPr>
          <w:rFonts w:ascii="Verdana" w:hAnsi="Verdana"/>
          <w:sz w:val="20"/>
          <w:szCs w:val="20"/>
        </w:rPr>
        <w:t xml:space="preserve">, en perjuicio de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Óscar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sus familiares, Amalia González de González, Elena Zaffaroni Rocco, </w:t>
      </w:r>
      <w:proofErr w:type="spellStart"/>
      <w:r w:rsidRPr="0039097A">
        <w:rPr>
          <w:rFonts w:ascii="Verdana" w:hAnsi="Verdana"/>
          <w:sz w:val="20"/>
          <w:szCs w:val="20"/>
        </w:rPr>
        <w:t>Disnarda</w:t>
      </w:r>
      <w:proofErr w:type="spellEnd"/>
      <w:r w:rsidRPr="0039097A">
        <w:rPr>
          <w:rFonts w:ascii="Verdana" w:hAnsi="Verdana"/>
          <w:sz w:val="20"/>
          <w:szCs w:val="20"/>
        </w:rPr>
        <w:t xml:space="preserve"> </w:t>
      </w:r>
      <w:r>
        <w:rPr>
          <w:rFonts w:ascii="Verdana" w:hAnsi="Verdana"/>
          <w:sz w:val="20"/>
          <w:szCs w:val="20"/>
        </w:rPr>
        <w:t xml:space="preserve">Ema </w:t>
      </w:r>
      <w:r w:rsidRPr="0039097A">
        <w:rPr>
          <w:rFonts w:ascii="Verdana" w:hAnsi="Verdana"/>
          <w:sz w:val="20"/>
          <w:szCs w:val="20"/>
        </w:rPr>
        <w:t>Flores</w:t>
      </w:r>
      <w:r>
        <w:rPr>
          <w:rFonts w:ascii="Verdana" w:hAnsi="Verdana"/>
          <w:sz w:val="20"/>
          <w:szCs w:val="20"/>
        </w:rPr>
        <w:t xml:space="preserve"> Soler</w:t>
      </w:r>
      <w:r w:rsidRPr="0039097A">
        <w:rPr>
          <w:rFonts w:ascii="Verdana" w:hAnsi="Verdana"/>
          <w:sz w:val="20"/>
          <w:szCs w:val="20"/>
        </w:rPr>
        <w:t xml:space="preserve"> de </w:t>
      </w:r>
      <w:proofErr w:type="spellStart"/>
      <w:r w:rsidRPr="0039097A">
        <w:rPr>
          <w:rFonts w:ascii="Verdana" w:hAnsi="Verdana"/>
          <w:sz w:val="20"/>
          <w:szCs w:val="20"/>
        </w:rPr>
        <w:t>Tassino</w:t>
      </w:r>
      <w:proofErr w:type="spellEnd"/>
      <w:r w:rsidRPr="0039097A">
        <w:rPr>
          <w:rFonts w:ascii="Verdana" w:hAnsi="Verdana"/>
          <w:sz w:val="20"/>
          <w:szCs w:val="20"/>
        </w:rPr>
        <w:t xml:space="preserve">, Karina Teresa </w:t>
      </w:r>
      <w:proofErr w:type="spellStart"/>
      <w:r w:rsidRPr="0039097A">
        <w:rPr>
          <w:rFonts w:ascii="Verdana" w:hAnsi="Verdana"/>
          <w:sz w:val="20"/>
          <w:szCs w:val="20"/>
        </w:rPr>
        <w:t>Tassino</w:t>
      </w:r>
      <w:proofErr w:type="spellEnd"/>
      <w:r w:rsidRPr="0039097A">
        <w:rPr>
          <w:rFonts w:ascii="Verdana" w:hAnsi="Verdana"/>
          <w:sz w:val="20"/>
          <w:szCs w:val="20"/>
        </w:rPr>
        <w:t xml:space="preserve">, Javier </w:t>
      </w:r>
      <w:proofErr w:type="spellStart"/>
      <w:r w:rsidRPr="0039097A">
        <w:rPr>
          <w:rFonts w:ascii="Verdana" w:hAnsi="Verdana"/>
          <w:sz w:val="20"/>
          <w:szCs w:val="20"/>
        </w:rPr>
        <w:t>Tassino</w:t>
      </w:r>
      <w:proofErr w:type="spellEnd"/>
      <w:r w:rsidRPr="0039097A">
        <w:rPr>
          <w:rFonts w:ascii="Verdana" w:hAnsi="Verdana"/>
          <w:sz w:val="20"/>
          <w:szCs w:val="20"/>
        </w:rPr>
        <w:t xml:space="preserve"> y Álvaro Luis </w:t>
      </w:r>
      <w:proofErr w:type="spellStart"/>
      <w:r w:rsidRPr="0039097A">
        <w:rPr>
          <w:rFonts w:ascii="Verdana" w:hAnsi="Verdana"/>
          <w:sz w:val="20"/>
          <w:szCs w:val="20"/>
        </w:rPr>
        <w:t>Tassino</w:t>
      </w:r>
      <w:proofErr w:type="spellEnd"/>
      <w:r w:rsidRPr="0039097A">
        <w:rPr>
          <w:rFonts w:ascii="Verdana" w:hAnsi="Verdana"/>
          <w:sz w:val="20"/>
          <w:szCs w:val="20"/>
        </w:rPr>
        <w:t xml:space="preserve">, el Estado violó los artículos 8.1 y 25.1 de la Convención Americana, en relación con sus artículos 1.1 y 2 y con </w:t>
      </w:r>
      <w:r>
        <w:rPr>
          <w:rFonts w:ascii="Verdana" w:hAnsi="Verdana"/>
          <w:sz w:val="20"/>
          <w:szCs w:val="20"/>
        </w:rPr>
        <w:t>los</w:t>
      </w:r>
      <w:r w:rsidRPr="0039097A">
        <w:rPr>
          <w:rFonts w:ascii="Verdana" w:hAnsi="Verdana"/>
          <w:sz w:val="20"/>
          <w:szCs w:val="20"/>
        </w:rPr>
        <w:t xml:space="preserve"> artículo</w:t>
      </w:r>
      <w:r>
        <w:rPr>
          <w:rFonts w:ascii="Verdana" w:hAnsi="Verdana"/>
          <w:sz w:val="20"/>
          <w:szCs w:val="20"/>
        </w:rPr>
        <w:t>s I. b) y</w:t>
      </w:r>
      <w:r w:rsidRPr="0039097A">
        <w:rPr>
          <w:rFonts w:ascii="Verdana" w:hAnsi="Verdana"/>
          <w:sz w:val="20"/>
          <w:szCs w:val="20"/>
        </w:rPr>
        <w:t xml:space="preserve"> I.</w:t>
      </w:r>
      <w:r>
        <w:rPr>
          <w:rFonts w:ascii="Verdana" w:hAnsi="Verdana"/>
          <w:sz w:val="20"/>
          <w:szCs w:val="20"/>
        </w:rPr>
        <w:t xml:space="preserve"> </w:t>
      </w:r>
      <w:r w:rsidRPr="0039097A">
        <w:rPr>
          <w:rFonts w:ascii="Verdana" w:hAnsi="Verdana"/>
          <w:sz w:val="20"/>
          <w:szCs w:val="20"/>
        </w:rPr>
        <w:t>d</w:t>
      </w:r>
      <w:r>
        <w:rPr>
          <w:rFonts w:ascii="Verdana" w:hAnsi="Verdana"/>
          <w:sz w:val="20"/>
          <w:szCs w:val="20"/>
        </w:rPr>
        <w:t>)</w:t>
      </w:r>
      <w:r w:rsidRPr="0039097A">
        <w:rPr>
          <w:rFonts w:ascii="Verdana" w:hAnsi="Verdana"/>
          <w:sz w:val="20"/>
          <w:szCs w:val="20"/>
        </w:rPr>
        <w:t xml:space="preserve"> de la Convención Interamericana sobre Desaparición Forzada de Personas.</w:t>
      </w:r>
    </w:p>
    <w:p w14:paraId="49CE5704" w14:textId="77777777" w:rsidR="00342F65" w:rsidRPr="00D16961" w:rsidRDefault="00342F65" w:rsidP="005A5029">
      <w:pPr>
        <w:spacing w:after="0" w:line="240" w:lineRule="exact"/>
        <w:rPr>
          <w:rFonts w:ascii="Verdana" w:hAnsi="Verdana"/>
          <w:sz w:val="20"/>
          <w:szCs w:val="20"/>
        </w:rPr>
      </w:pPr>
    </w:p>
    <w:p w14:paraId="0BED1052" w14:textId="18849644" w:rsidR="00342F65" w:rsidRPr="0039097A" w:rsidRDefault="00342F65"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 xml:space="preserve">En relación con Flora </w:t>
      </w:r>
      <w:proofErr w:type="spellStart"/>
      <w:r w:rsidRPr="0039097A">
        <w:rPr>
          <w:rFonts w:ascii="Verdana" w:hAnsi="Verdana"/>
          <w:sz w:val="20"/>
          <w:szCs w:val="20"/>
        </w:rPr>
        <w:t>Potasnik</w:t>
      </w:r>
      <w:proofErr w:type="spellEnd"/>
      <w:r w:rsidRPr="0039097A">
        <w:rPr>
          <w:rFonts w:ascii="Verdana" w:hAnsi="Verdana"/>
          <w:sz w:val="20"/>
          <w:szCs w:val="20"/>
        </w:rPr>
        <w:t xml:space="preserve">, Mónica Raquel </w:t>
      </w:r>
      <w:proofErr w:type="spellStart"/>
      <w:r w:rsidRPr="0039097A">
        <w:rPr>
          <w:rFonts w:ascii="Verdana" w:hAnsi="Verdana"/>
          <w:sz w:val="20"/>
          <w:szCs w:val="20"/>
        </w:rPr>
        <w:t>Wodzislawski</w:t>
      </w:r>
      <w:proofErr w:type="spellEnd"/>
      <w:r w:rsidRPr="0039097A">
        <w:rPr>
          <w:rFonts w:ascii="Verdana" w:hAnsi="Verdana"/>
          <w:sz w:val="20"/>
          <w:szCs w:val="20"/>
        </w:rPr>
        <w:t xml:space="preserve">, Marta </w:t>
      </w:r>
      <w:proofErr w:type="spellStart"/>
      <w:r w:rsidRPr="0039097A">
        <w:rPr>
          <w:rFonts w:ascii="Verdana" w:hAnsi="Verdana"/>
          <w:sz w:val="20"/>
          <w:szCs w:val="20"/>
        </w:rPr>
        <w:t>Odizzio</w:t>
      </w:r>
      <w:proofErr w:type="spellEnd"/>
      <w:r w:rsidRPr="0039097A">
        <w:rPr>
          <w:rFonts w:ascii="Verdana" w:hAnsi="Verdana"/>
          <w:sz w:val="20"/>
          <w:szCs w:val="20"/>
        </w:rPr>
        <w:t xml:space="preserve"> de Raggio, Horacio Enrique Raggio </w:t>
      </w:r>
      <w:proofErr w:type="spellStart"/>
      <w:r w:rsidRPr="0039097A">
        <w:rPr>
          <w:rFonts w:ascii="Verdana" w:hAnsi="Verdana"/>
          <w:sz w:val="20"/>
          <w:szCs w:val="20"/>
        </w:rPr>
        <w:t>Odizzio</w:t>
      </w:r>
      <w:proofErr w:type="spellEnd"/>
      <w:r w:rsidRPr="0039097A">
        <w:rPr>
          <w:rFonts w:ascii="Verdana" w:hAnsi="Verdana"/>
          <w:sz w:val="20"/>
          <w:szCs w:val="20"/>
        </w:rPr>
        <w:t xml:space="preserve">, Daniel Raggio </w:t>
      </w:r>
      <w:proofErr w:type="spellStart"/>
      <w:r w:rsidRPr="0039097A">
        <w:rPr>
          <w:rFonts w:ascii="Verdana" w:hAnsi="Verdana"/>
          <w:sz w:val="20"/>
          <w:szCs w:val="20"/>
        </w:rPr>
        <w:t>Odi</w:t>
      </w:r>
      <w:r w:rsidR="002965C5">
        <w:rPr>
          <w:rFonts w:ascii="Verdana" w:hAnsi="Verdana"/>
          <w:sz w:val="20"/>
          <w:szCs w:val="20"/>
        </w:rPr>
        <w:t>zzio</w:t>
      </w:r>
      <w:proofErr w:type="spellEnd"/>
      <w:r w:rsidR="002965C5">
        <w:rPr>
          <w:rFonts w:ascii="Verdana" w:hAnsi="Verdana"/>
          <w:sz w:val="20"/>
          <w:szCs w:val="20"/>
        </w:rPr>
        <w:t xml:space="preserve">, Arturo Ricardo Reyes </w:t>
      </w:r>
      <w:proofErr w:type="spellStart"/>
      <w:r w:rsidR="002965C5">
        <w:rPr>
          <w:rFonts w:ascii="Verdana" w:hAnsi="Verdana"/>
          <w:sz w:val="20"/>
          <w:szCs w:val="20"/>
        </w:rPr>
        <w:t>Gaetá</w:t>
      </w:r>
      <w:r w:rsidRPr="0039097A">
        <w:rPr>
          <w:rFonts w:ascii="Verdana" w:hAnsi="Verdana"/>
          <w:sz w:val="20"/>
          <w:szCs w:val="20"/>
        </w:rPr>
        <w:t>n</w:t>
      </w:r>
      <w:proofErr w:type="spellEnd"/>
      <w:r w:rsidRPr="0039097A">
        <w:rPr>
          <w:rFonts w:ascii="Verdana" w:hAnsi="Verdana"/>
          <w:sz w:val="20"/>
          <w:szCs w:val="20"/>
        </w:rPr>
        <w:t xml:space="preserve">, Celia Natividad </w:t>
      </w:r>
      <w:proofErr w:type="spellStart"/>
      <w:r w:rsidRPr="0039097A">
        <w:rPr>
          <w:rFonts w:ascii="Verdana" w:hAnsi="Verdana"/>
          <w:sz w:val="20"/>
          <w:szCs w:val="20"/>
        </w:rPr>
        <w:t>Sedarri</w:t>
      </w:r>
      <w:proofErr w:type="spellEnd"/>
      <w:r w:rsidRPr="0039097A">
        <w:rPr>
          <w:rFonts w:ascii="Verdana" w:hAnsi="Verdana"/>
          <w:sz w:val="20"/>
          <w:szCs w:val="20"/>
        </w:rPr>
        <w:t xml:space="preserve"> Aparicio, Estela Reyes </w:t>
      </w:r>
      <w:proofErr w:type="spellStart"/>
      <w:r w:rsidRPr="0039097A">
        <w:rPr>
          <w:rFonts w:ascii="Verdana" w:hAnsi="Verdana"/>
          <w:sz w:val="20"/>
          <w:szCs w:val="20"/>
        </w:rPr>
        <w:t>Sedarri</w:t>
      </w:r>
      <w:proofErr w:type="spellEnd"/>
      <w:r w:rsidRPr="0039097A">
        <w:rPr>
          <w:rFonts w:ascii="Verdana" w:hAnsi="Verdana"/>
          <w:sz w:val="20"/>
          <w:szCs w:val="20"/>
        </w:rPr>
        <w:t xml:space="preserve">, </w:t>
      </w:r>
      <w:r>
        <w:rPr>
          <w:rFonts w:ascii="Verdana" w:hAnsi="Verdana"/>
          <w:sz w:val="20"/>
          <w:szCs w:val="20"/>
        </w:rPr>
        <w:t xml:space="preserve">Washington Javier Barrios Fernández, Washington Barrios, Hilda </w:t>
      </w:r>
      <w:r w:rsidRPr="0039097A">
        <w:rPr>
          <w:rFonts w:ascii="Verdana" w:hAnsi="Verdana"/>
          <w:sz w:val="20"/>
          <w:szCs w:val="20"/>
        </w:rPr>
        <w:t>María Fern</w:t>
      </w:r>
      <w:r w:rsidR="00CC137B">
        <w:rPr>
          <w:rFonts w:ascii="Verdana" w:hAnsi="Verdana"/>
          <w:sz w:val="20"/>
          <w:szCs w:val="20"/>
        </w:rPr>
        <w:t xml:space="preserve">ández </w:t>
      </w:r>
      <w:r w:rsidRPr="0039097A">
        <w:rPr>
          <w:rFonts w:ascii="Verdana" w:hAnsi="Verdana"/>
          <w:sz w:val="20"/>
          <w:szCs w:val="20"/>
        </w:rPr>
        <w:t xml:space="preserve">Rodríguez y Jaqueline Barrios Fernández, familiares de Diana </w:t>
      </w:r>
      <w:proofErr w:type="spellStart"/>
      <w:r w:rsidRPr="0039097A">
        <w:rPr>
          <w:rFonts w:ascii="Verdana" w:hAnsi="Verdana"/>
          <w:sz w:val="20"/>
          <w:szCs w:val="20"/>
        </w:rPr>
        <w:t>Maidanik</w:t>
      </w:r>
      <w:proofErr w:type="spellEnd"/>
      <w:r w:rsidRPr="0039097A">
        <w:rPr>
          <w:rFonts w:ascii="Verdana" w:hAnsi="Verdana"/>
          <w:sz w:val="20"/>
          <w:szCs w:val="20"/>
        </w:rPr>
        <w:t>, Laura Raggio y Silvia Reyes, Uruguay violó los artículos 8.1 y 25.1 de la Convención Americana, en rel</w:t>
      </w:r>
      <w:r>
        <w:rPr>
          <w:rFonts w:ascii="Verdana" w:hAnsi="Verdana"/>
          <w:sz w:val="20"/>
          <w:szCs w:val="20"/>
        </w:rPr>
        <w:t xml:space="preserve">ación con sus artículos 1.1 y 2 y </w:t>
      </w:r>
      <w:r w:rsidRPr="0039097A">
        <w:rPr>
          <w:rFonts w:ascii="Verdana" w:hAnsi="Verdana"/>
          <w:sz w:val="20"/>
          <w:szCs w:val="20"/>
        </w:rPr>
        <w:t xml:space="preserve">el artículo 7.b de la Convención de Belém do Pará. </w:t>
      </w:r>
    </w:p>
    <w:p w14:paraId="2097C16E" w14:textId="700E696F" w:rsidR="00342F65" w:rsidRDefault="00342F65" w:rsidP="005A5029">
      <w:pPr>
        <w:spacing w:after="0" w:line="240" w:lineRule="exact"/>
        <w:ind w:left="360"/>
      </w:pPr>
    </w:p>
    <w:p w14:paraId="73EFB4DE" w14:textId="626E4E24" w:rsidR="00A0786D" w:rsidRDefault="00A0786D" w:rsidP="005A5029">
      <w:pPr>
        <w:spacing w:after="0" w:line="240" w:lineRule="exact"/>
        <w:ind w:left="360"/>
      </w:pPr>
    </w:p>
    <w:p w14:paraId="3CB8A780" w14:textId="77777777" w:rsidR="00A0786D" w:rsidRPr="0039097A" w:rsidRDefault="00A0786D" w:rsidP="005A5029">
      <w:pPr>
        <w:spacing w:after="0" w:line="240" w:lineRule="exact"/>
        <w:ind w:left="360"/>
      </w:pPr>
    </w:p>
    <w:p w14:paraId="78E44FCE" w14:textId="77777777" w:rsidR="00342F65" w:rsidRPr="0039097A" w:rsidRDefault="00342F65" w:rsidP="005A5029">
      <w:pPr>
        <w:pStyle w:val="Prrafodelista"/>
        <w:spacing w:after="0" w:line="240" w:lineRule="exact"/>
        <w:jc w:val="center"/>
        <w:outlineLvl w:val="0"/>
        <w:rPr>
          <w:rFonts w:ascii="Verdana" w:hAnsi="Verdana"/>
          <w:b/>
          <w:sz w:val="20"/>
          <w:szCs w:val="20"/>
        </w:rPr>
      </w:pPr>
      <w:bookmarkStart w:id="65" w:name="_Toc83568835"/>
      <w:bookmarkStart w:id="66" w:name="_Toc85550425"/>
      <w:r w:rsidRPr="0039097A">
        <w:rPr>
          <w:rFonts w:ascii="Verdana" w:hAnsi="Verdana"/>
          <w:b/>
          <w:sz w:val="20"/>
          <w:szCs w:val="20"/>
        </w:rPr>
        <w:lastRenderedPageBreak/>
        <w:t>VII.</w:t>
      </w:r>
      <w:bookmarkEnd w:id="65"/>
      <w:r>
        <w:rPr>
          <w:rFonts w:ascii="Verdana" w:hAnsi="Verdana"/>
          <w:b/>
          <w:sz w:val="20"/>
          <w:szCs w:val="20"/>
        </w:rPr>
        <w:t>3</w:t>
      </w:r>
      <w:bookmarkEnd w:id="66"/>
    </w:p>
    <w:p w14:paraId="69D6908A" w14:textId="64F717A3" w:rsidR="00342F65" w:rsidRPr="0039097A" w:rsidRDefault="00342F65" w:rsidP="005A5029">
      <w:pPr>
        <w:pStyle w:val="Prrafodelista"/>
        <w:spacing w:after="0" w:line="240" w:lineRule="exact"/>
        <w:jc w:val="center"/>
        <w:outlineLvl w:val="0"/>
        <w:rPr>
          <w:rFonts w:ascii="Verdana" w:hAnsi="Verdana"/>
          <w:b/>
          <w:sz w:val="20"/>
          <w:szCs w:val="20"/>
        </w:rPr>
      </w:pPr>
      <w:bookmarkStart w:id="67" w:name="_Toc83568836"/>
      <w:bookmarkStart w:id="68" w:name="_Toc85550426"/>
      <w:r w:rsidRPr="0039097A">
        <w:rPr>
          <w:rFonts w:ascii="Verdana" w:hAnsi="Verdana"/>
          <w:b/>
          <w:sz w:val="20"/>
          <w:szCs w:val="20"/>
        </w:rPr>
        <w:t xml:space="preserve">DERECHO A LA INTEGRIDAD PERSONAL DE FAMILIARES DE PERSONAS VÍCTIMAS DE DESAPARICIÓN </w:t>
      </w:r>
      <w:r w:rsidRPr="00F13426">
        <w:rPr>
          <w:rFonts w:ascii="Verdana" w:hAnsi="Verdana"/>
          <w:b/>
          <w:sz w:val="20"/>
          <w:szCs w:val="20"/>
        </w:rPr>
        <w:t>FORZADA Y</w:t>
      </w:r>
      <w:r w:rsidR="0033102F" w:rsidRPr="00F13426">
        <w:rPr>
          <w:rFonts w:ascii="Verdana" w:hAnsi="Verdana"/>
          <w:b/>
          <w:sz w:val="20"/>
          <w:szCs w:val="20"/>
        </w:rPr>
        <w:t xml:space="preserve"> DE</w:t>
      </w:r>
      <w:r w:rsidRPr="00F13426">
        <w:rPr>
          <w:rFonts w:ascii="Verdana" w:hAnsi="Verdana"/>
          <w:b/>
          <w:sz w:val="20"/>
          <w:szCs w:val="20"/>
        </w:rPr>
        <w:t xml:space="preserve"> EJECUCIÓN</w:t>
      </w:r>
      <w:r w:rsidRPr="0039097A">
        <w:rPr>
          <w:rFonts w:ascii="Verdana" w:hAnsi="Verdana"/>
          <w:b/>
          <w:sz w:val="20"/>
          <w:szCs w:val="20"/>
        </w:rPr>
        <w:t xml:space="preserve"> EXTRAJUDICIAL</w:t>
      </w:r>
      <w:bookmarkEnd w:id="67"/>
      <w:bookmarkEnd w:id="68"/>
      <w:r w:rsidRPr="0039097A">
        <w:rPr>
          <w:rFonts w:ascii="Verdana" w:hAnsi="Verdana"/>
          <w:b/>
          <w:sz w:val="20"/>
          <w:szCs w:val="20"/>
        </w:rPr>
        <w:t xml:space="preserve"> </w:t>
      </w:r>
    </w:p>
    <w:p w14:paraId="6773DDF7" w14:textId="77777777" w:rsidR="00342F65" w:rsidRPr="0039097A" w:rsidRDefault="00342F65" w:rsidP="005A5029">
      <w:pPr>
        <w:spacing w:after="0" w:line="240" w:lineRule="exact"/>
        <w:ind w:left="360"/>
        <w:jc w:val="both"/>
        <w:rPr>
          <w:sz w:val="20"/>
          <w:szCs w:val="20"/>
        </w:rPr>
      </w:pPr>
    </w:p>
    <w:p w14:paraId="631732C8" w14:textId="77777777" w:rsidR="00342F65" w:rsidRPr="0039097A" w:rsidRDefault="00342F65" w:rsidP="00A0786D">
      <w:pPr>
        <w:pStyle w:val="Prrafodelista"/>
        <w:numPr>
          <w:ilvl w:val="0"/>
          <w:numId w:val="31"/>
        </w:numPr>
        <w:spacing w:after="0" w:line="240" w:lineRule="exact"/>
        <w:ind w:left="284" w:firstLine="0"/>
        <w:jc w:val="both"/>
        <w:outlineLvl w:val="1"/>
        <w:rPr>
          <w:rFonts w:ascii="Verdana" w:hAnsi="Verdana"/>
          <w:b/>
          <w:i/>
          <w:sz w:val="20"/>
          <w:szCs w:val="20"/>
        </w:rPr>
      </w:pPr>
      <w:bookmarkStart w:id="69" w:name="_Toc85550427"/>
      <w:r w:rsidRPr="0039097A">
        <w:rPr>
          <w:rFonts w:ascii="Verdana" w:hAnsi="Verdana"/>
          <w:b/>
          <w:i/>
          <w:sz w:val="20"/>
          <w:szCs w:val="20"/>
        </w:rPr>
        <w:t>Argumentos de la Comisión y los representantes</w:t>
      </w:r>
      <w:bookmarkEnd w:id="69"/>
    </w:p>
    <w:p w14:paraId="0C040BA2" w14:textId="77777777" w:rsidR="00342F65" w:rsidRPr="0039097A" w:rsidRDefault="00342F65" w:rsidP="005A5029">
      <w:pPr>
        <w:spacing w:after="0" w:line="240" w:lineRule="exact"/>
        <w:ind w:left="360"/>
        <w:jc w:val="both"/>
        <w:rPr>
          <w:sz w:val="20"/>
          <w:szCs w:val="20"/>
        </w:rPr>
      </w:pPr>
    </w:p>
    <w:p w14:paraId="123F0BB0" w14:textId="77777777" w:rsidR="00342F65" w:rsidRPr="0039097A" w:rsidRDefault="00342F65" w:rsidP="005A5029">
      <w:pPr>
        <w:pStyle w:val="Prrafodelista"/>
        <w:numPr>
          <w:ilvl w:val="0"/>
          <w:numId w:val="49"/>
        </w:numPr>
        <w:spacing w:after="0" w:line="240" w:lineRule="exact"/>
        <w:ind w:left="0" w:firstLine="0"/>
        <w:jc w:val="both"/>
        <w:rPr>
          <w:sz w:val="20"/>
          <w:szCs w:val="20"/>
        </w:rPr>
      </w:pPr>
      <w:r w:rsidRPr="0039097A">
        <w:rPr>
          <w:rFonts w:ascii="Verdana" w:hAnsi="Verdana"/>
          <w:sz w:val="20"/>
          <w:szCs w:val="20"/>
        </w:rPr>
        <w:t xml:space="preserve">La </w:t>
      </w:r>
      <w:r w:rsidRPr="0039097A">
        <w:rPr>
          <w:rFonts w:ascii="Verdana" w:hAnsi="Verdana"/>
          <w:b/>
          <w:i/>
          <w:sz w:val="20"/>
          <w:szCs w:val="20"/>
        </w:rPr>
        <w:t>Comisión</w:t>
      </w:r>
      <w:r w:rsidRPr="0039097A">
        <w:rPr>
          <w:rFonts w:ascii="Verdana" w:hAnsi="Verdana"/>
          <w:sz w:val="20"/>
          <w:szCs w:val="20"/>
        </w:rPr>
        <w:t xml:space="preserve"> adujo que los hechos de ejecuciones extrajudiciales y desapariciones generaron sentimientos de dolor, angustia e incertidumbre en los familiares de las víctimas de tales actos, que se profundizaron por la falta de esclarecimiento de los hechos. La Comisión determinó vulnerado el derecho a la integridad personal de los familiares de las personas víctimas de ejecución extrajudicial y desaparición forzada, determinando que el Estado vulneró el artículo 5.1 de la Convención.</w:t>
      </w:r>
    </w:p>
    <w:p w14:paraId="17B01D81" w14:textId="77777777" w:rsidR="00342F65" w:rsidRPr="0039097A" w:rsidRDefault="00342F65" w:rsidP="005A5029">
      <w:pPr>
        <w:pStyle w:val="Prrafodelista"/>
        <w:spacing w:after="0" w:line="240" w:lineRule="exact"/>
        <w:ind w:left="0"/>
        <w:jc w:val="both"/>
        <w:rPr>
          <w:sz w:val="20"/>
          <w:szCs w:val="20"/>
        </w:rPr>
      </w:pPr>
    </w:p>
    <w:p w14:paraId="5A68AB0A" w14:textId="77777777" w:rsidR="00342F65" w:rsidRPr="0039097A" w:rsidRDefault="00342F65" w:rsidP="005A5029">
      <w:pPr>
        <w:pStyle w:val="Prrafodelista"/>
        <w:numPr>
          <w:ilvl w:val="0"/>
          <w:numId w:val="49"/>
        </w:numPr>
        <w:spacing w:after="0" w:line="240" w:lineRule="exact"/>
        <w:ind w:left="0" w:firstLine="0"/>
        <w:jc w:val="both"/>
        <w:rPr>
          <w:rFonts w:ascii="Verdana" w:hAnsi="Verdana"/>
          <w:sz w:val="20"/>
          <w:szCs w:val="20"/>
        </w:rPr>
      </w:pPr>
      <w:r w:rsidRPr="0039097A">
        <w:rPr>
          <w:rFonts w:ascii="Verdana" w:hAnsi="Verdana"/>
          <w:sz w:val="20"/>
          <w:szCs w:val="20"/>
        </w:rPr>
        <w:t xml:space="preserve">Los </w:t>
      </w:r>
      <w:r w:rsidRPr="0039097A">
        <w:rPr>
          <w:rFonts w:ascii="Verdana" w:hAnsi="Verdana"/>
          <w:b/>
          <w:i/>
          <w:sz w:val="20"/>
          <w:szCs w:val="20"/>
        </w:rPr>
        <w:t>representantes</w:t>
      </w:r>
      <w:r w:rsidRPr="0039097A">
        <w:rPr>
          <w:rFonts w:ascii="Verdana" w:hAnsi="Verdana"/>
          <w:sz w:val="20"/>
          <w:szCs w:val="20"/>
        </w:rPr>
        <w:t xml:space="preserve"> también adujeron que el derecho a la integridad personal de familiares de las personas desaparecidas y ejecutadas extrajudicialmente es vio lesionado</w:t>
      </w:r>
      <w:r w:rsidRPr="0039097A">
        <w:rPr>
          <w:rStyle w:val="Refdenotaalpie"/>
          <w:rFonts w:ascii="Verdana" w:hAnsi="Verdana"/>
          <w:sz w:val="20"/>
          <w:szCs w:val="20"/>
        </w:rPr>
        <w:footnoteReference w:id="219"/>
      </w:r>
      <w:r w:rsidRPr="0039097A">
        <w:rPr>
          <w:rFonts w:ascii="Verdana" w:hAnsi="Verdana"/>
          <w:sz w:val="20"/>
          <w:szCs w:val="20"/>
        </w:rPr>
        <w:t xml:space="preserve">. </w:t>
      </w:r>
    </w:p>
    <w:p w14:paraId="7C767BEA" w14:textId="77777777" w:rsidR="00342F65" w:rsidRPr="0039097A" w:rsidRDefault="00342F65" w:rsidP="005A5029">
      <w:pPr>
        <w:pStyle w:val="Prrafodelista"/>
        <w:spacing w:line="240" w:lineRule="exact"/>
      </w:pPr>
    </w:p>
    <w:p w14:paraId="687CC5AE" w14:textId="77777777" w:rsidR="00342F65" w:rsidRPr="0039097A" w:rsidRDefault="00342F65" w:rsidP="00A0786D">
      <w:pPr>
        <w:pStyle w:val="Prrafodelista"/>
        <w:numPr>
          <w:ilvl w:val="0"/>
          <w:numId w:val="31"/>
        </w:numPr>
        <w:spacing w:after="0" w:line="240" w:lineRule="exact"/>
        <w:ind w:left="284" w:firstLine="0"/>
        <w:jc w:val="both"/>
        <w:outlineLvl w:val="1"/>
        <w:rPr>
          <w:rFonts w:ascii="Verdana" w:hAnsi="Verdana"/>
          <w:b/>
          <w:i/>
          <w:sz w:val="20"/>
          <w:szCs w:val="20"/>
        </w:rPr>
      </w:pPr>
      <w:bookmarkStart w:id="70" w:name="_Toc85550428"/>
      <w:r w:rsidRPr="0039097A">
        <w:rPr>
          <w:rFonts w:ascii="Verdana" w:hAnsi="Verdana"/>
          <w:b/>
          <w:i/>
          <w:sz w:val="20"/>
          <w:szCs w:val="20"/>
        </w:rPr>
        <w:t>Consideraciones de la Corte</w:t>
      </w:r>
      <w:bookmarkEnd w:id="70"/>
    </w:p>
    <w:p w14:paraId="15B87FDA" w14:textId="77777777" w:rsidR="00342F65" w:rsidRPr="0039097A" w:rsidRDefault="00342F65" w:rsidP="005A5029">
      <w:pPr>
        <w:pStyle w:val="Prrafodelista"/>
        <w:spacing w:after="0" w:line="240" w:lineRule="exact"/>
        <w:jc w:val="both"/>
        <w:outlineLvl w:val="1"/>
        <w:rPr>
          <w:rFonts w:ascii="Verdana" w:hAnsi="Verdana"/>
          <w:b/>
          <w:i/>
          <w:sz w:val="20"/>
          <w:szCs w:val="20"/>
        </w:rPr>
      </w:pPr>
    </w:p>
    <w:p w14:paraId="620D874A" w14:textId="77777777" w:rsidR="00342F65" w:rsidRPr="0039097A" w:rsidRDefault="00342F65" w:rsidP="005A5029">
      <w:pPr>
        <w:pStyle w:val="Prrafodelista"/>
        <w:numPr>
          <w:ilvl w:val="0"/>
          <w:numId w:val="49"/>
        </w:numPr>
        <w:spacing w:before="120" w:after="120" w:line="240" w:lineRule="exact"/>
        <w:ind w:left="0" w:firstLine="0"/>
        <w:jc w:val="both"/>
        <w:rPr>
          <w:rFonts w:ascii="Verdana" w:hAnsi="Verdana"/>
          <w:sz w:val="20"/>
          <w:szCs w:val="20"/>
        </w:rPr>
      </w:pPr>
      <w:r w:rsidRPr="0039097A">
        <w:rPr>
          <w:rFonts w:ascii="Verdana" w:hAnsi="Verdana"/>
          <w:sz w:val="20"/>
          <w:szCs w:val="20"/>
        </w:rPr>
        <w:t>En reiteradas ocasiones esta Corte ha advertido que los familiares de víctimas de ciertas violaciones de derechos humanos pueden ser considerados, a su vez, como víctimas, dado el sufrimiento padecido como producto de las violaciones cometidas contra sus seres queridos o a causa de las posteriores actuaciones u omisiones de las autoridades estatales frente a los hechos</w:t>
      </w:r>
      <w:r w:rsidRPr="0039097A">
        <w:rPr>
          <w:rStyle w:val="Refdenotaalpie"/>
          <w:rFonts w:ascii="Verdana" w:eastAsia="Verdana" w:hAnsi="Verdana"/>
          <w:sz w:val="20"/>
          <w:szCs w:val="20"/>
        </w:rPr>
        <w:footnoteReference w:id="220"/>
      </w:r>
      <w:r w:rsidRPr="0039097A">
        <w:rPr>
          <w:rFonts w:ascii="Verdana" w:hAnsi="Verdana"/>
          <w:sz w:val="20"/>
          <w:szCs w:val="20"/>
        </w:rPr>
        <w:t xml:space="preserve">. </w:t>
      </w:r>
      <w:r>
        <w:rPr>
          <w:rFonts w:ascii="Verdana" w:hAnsi="Verdana"/>
          <w:sz w:val="20"/>
          <w:szCs w:val="20"/>
        </w:rPr>
        <w:t>De esta forma</w:t>
      </w:r>
      <w:r w:rsidRPr="0039097A">
        <w:rPr>
          <w:rFonts w:ascii="Verdana" w:hAnsi="Verdana"/>
          <w:sz w:val="20"/>
          <w:szCs w:val="20"/>
        </w:rPr>
        <w:t xml:space="preserve">, corresponde presumir la violación del derecho a la integridad personal, aplicando una presunción </w:t>
      </w:r>
      <w:r w:rsidRPr="0039097A">
        <w:rPr>
          <w:rFonts w:ascii="Verdana" w:hAnsi="Verdana"/>
          <w:i/>
          <w:sz w:val="20"/>
          <w:szCs w:val="20"/>
        </w:rPr>
        <w:t>iuris tantum</w:t>
      </w:r>
      <w:r w:rsidRPr="0039097A">
        <w:rPr>
          <w:rFonts w:ascii="Verdana" w:hAnsi="Verdana"/>
          <w:sz w:val="20"/>
          <w:szCs w:val="20"/>
        </w:rPr>
        <w:t>, respecto a familiares tales como de madres y padres, hijas e hijos, esposos y esposas y compañeros y compañeras permanentes de víctimas de ciertas violaciones de derechos humanos, siempre que ello responda a las circunstancias particulares en el caso</w:t>
      </w:r>
      <w:r w:rsidRPr="0039097A">
        <w:rPr>
          <w:rStyle w:val="Refdenotaalpie"/>
          <w:rFonts w:ascii="Verdana" w:eastAsia="Verdana" w:hAnsi="Verdana"/>
          <w:sz w:val="20"/>
          <w:szCs w:val="20"/>
          <w:lang w:eastAsia="x-none"/>
        </w:rPr>
        <w:footnoteReference w:id="221"/>
      </w:r>
      <w:r w:rsidRPr="0039097A">
        <w:rPr>
          <w:rFonts w:ascii="Verdana" w:hAnsi="Verdana"/>
          <w:sz w:val="20"/>
          <w:szCs w:val="20"/>
        </w:rPr>
        <w:t>. En relación con tales familiares, corresponde al Estado desvirtuar dicha presunción</w:t>
      </w:r>
      <w:r w:rsidRPr="0039097A">
        <w:rPr>
          <w:rStyle w:val="Refdenotaalpie"/>
          <w:rFonts w:ascii="Verdana" w:eastAsia="Verdana" w:hAnsi="Verdana"/>
          <w:sz w:val="20"/>
          <w:szCs w:val="20"/>
          <w:lang w:eastAsia="x-none"/>
        </w:rPr>
        <w:footnoteReference w:id="222"/>
      </w:r>
      <w:r w:rsidRPr="0039097A">
        <w:rPr>
          <w:rFonts w:ascii="Verdana" w:hAnsi="Verdana"/>
          <w:sz w:val="20"/>
          <w:szCs w:val="20"/>
        </w:rPr>
        <w:t xml:space="preserve">, la </w:t>
      </w:r>
      <w:r w:rsidRPr="0039097A">
        <w:rPr>
          <w:rFonts w:ascii="Verdana" w:hAnsi="Verdana"/>
          <w:sz w:val="20"/>
          <w:szCs w:val="20"/>
        </w:rPr>
        <w:lastRenderedPageBreak/>
        <w:t>que procede, entre otras circunstancias, en casos de ejecuciones extrajudiciales</w:t>
      </w:r>
      <w:r w:rsidRPr="0039097A">
        <w:rPr>
          <w:rStyle w:val="Refdenotaalpie"/>
          <w:rFonts w:ascii="Verdana" w:eastAsia="Verdana" w:hAnsi="Verdana"/>
          <w:sz w:val="20"/>
          <w:szCs w:val="20"/>
          <w:lang w:eastAsia="x-none"/>
        </w:rPr>
        <w:footnoteReference w:id="223"/>
      </w:r>
      <w:r w:rsidRPr="0039097A">
        <w:rPr>
          <w:rFonts w:ascii="Verdana" w:hAnsi="Verdana"/>
          <w:sz w:val="20"/>
          <w:szCs w:val="20"/>
        </w:rPr>
        <w:t xml:space="preserve"> y desapariciones forzadas</w:t>
      </w:r>
      <w:r w:rsidRPr="0039097A">
        <w:rPr>
          <w:rStyle w:val="Refdenotaalpie"/>
          <w:rFonts w:ascii="Verdana" w:hAnsi="Verdana"/>
          <w:sz w:val="20"/>
          <w:szCs w:val="20"/>
        </w:rPr>
        <w:footnoteReference w:id="224"/>
      </w:r>
      <w:r w:rsidRPr="0039097A">
        <w:rPr>
          <w:rFonts w:ascii="Verdana" w:hAnsi="Verdana"/>
          <w:sz w:val="20"/>
          <w:szCs w:val="20"/>
        </w:rPr>
        <w:t>.</w:t>
      </w:r>
    </w:p>
    <w:p w14:paraId="3C0C0B75" w14:textId="77777777" w:rsidR="00342F65" w:rsidRPr="0039097A" w:rsidRDefault="00342F65" w:rsidP="005A5029">
      <w:pPr>
        <w:pStyle w:val="Prrafodelista"/>
        <w:spacing w:before="120" w:after="120" w:line="240" w:lineRule="exact"/>
        <w:ind w:left="0"/>
        <w:jc w:val="both"/>
        <w:rPr>
          <w:rFonts w:ascii="Verdana" w:hAnsi="Verdana"/>
          <w:sz w:val="20"/>
          <w:szCs w:val="20"/>
        </w:rPr>
      </w:pPr>
    </w:p>
    <w:p w14:paraId="35205EB9" w14:textId="25E4C1B7" w:rsidR="00342F65" w:rsidRDefault="00342F65" w:rsidP="005A5029">
      <w:pPr>
        <w:pStyle w:val="Prrafodelista"/>
        <w:numPr>
          <w:ilvl w:val="0"/>
          <w:numId w:val="49"/>
        </w:numPr>
        <w:spacing w:before="120" w:after="120" w:line="240" w:lineRule="exact"/>
        <w:ind w:left="0" w:firstLine="0"/>
        <w:jc w:val="both"/>
        <w:rPr>
          <w:rFonts w:ascii="Verdana" w:hAnsi="Verdana"/>
          <w:sz w:val="20"/>
          <w:szCs w:val="20"/>
        </w:rPr>
      </w:pPr>
      <w:r w:rsidRPr="00EA0576">
        <w:rPr>
          <w:rFonts w:ascii="Verdana" w:hAnsi="Verdana"/>
          <w:sz w:val="20"/>
          <w:szCs w:val="20"/>
        </w:rPr>
        <w:t xml:space="preserve">En relación con los familiares de Laura Raggio, Diana </w:t>
      </w:r>
      <w:proofErr w:type="spellStart"/>
      <w:r w:rsidRPr="00EA0576">
        <w:rPr>
          <w:rFonts w:ascii="Verdana" w:hAnsi="Verdana"/>
          <w:sz w:val="20"/>
          <w:szCs w:val="20"/>
        </w:rPr>
        <w:t>Maidanik</w:t>
      </w:r>
      <w:proofErr w:type="spellEnd"/>
      <w:r w:rsidRPr="00EA0576">
        <w:rPr>
          <w:rFonts w:ascii="Verdana" w:hAnsi="Verdana"/>
          <w:sz w:val="20"/>
          <w:szCs w:val="20"/>
        </w:rPr>
        <w:t xml:space="preserve"> y Silvia Reyes, aunque la Corte carece de competencia para evaluar la conducta estatal respecto a la circunstancia de sus muertes, resulta evidente que la gravedad del incumplimiento de las acciones de investigación, por </w:t>
      </w:r>
      <w:r>
        <w:rPr>
          <w:rFonts w:ascii="Verdana" w:hAnsi="Verdana"/>
          <w:sz w:val="20"/>
          <w:szCs w:val="20"/>
        </w:rPr>
        <w:t>más</w:t>
      </w:r>
      <w:r w:rsidRPr="00EA0576">
        <w:rPr>
          <w:rFonts w:ascii="Verdana" w:hAnsi="Verdana"/>
          <w:sz w:val="20"/>
          <w:szCs w:val="20"/>
        </w:rPr>
        <w:t xml:space="preserve"> de 3</w:t>
      </w:r>
      <w:r>
        <w:rPr>
          <w:rFonts w:ascii="Verdana" w:hAnsi="Verdana"/>
          <w:sz w:val="20"/>
          <w:szCs w:val="20"/>
        </w:rPr>
        <w:t>6</w:t>
      </w:r>
      <w:r w:rsidRPr="00EA0576">
        <w:rPr>
          <w:rFonts w:ascii="Verdana" w:hAnsi="Verdana"/>
          <w:sz w:val="20"/>
          <w:szCs w:val="20"/>
        </w:rPr>
        <w:t xml:space="preserve"> años, debe entenderse a la luz de ese antecedente. En ese sentido, este Tribunal entiende </w:t>
      </w:r>
      <w:r w:rsidR="003D73BA">
        <w:rPr>
          <w:rFonts w:ascii="Verdana" w:hAnsi="Verdana"/>
          <w:sz w:val="20"/>
          <w:szCs w:val="20"/>
        </w:rPr>
        <w:t>que corresponde presumir que las madres</w:t>
      </w:r>
      <w:r w:rsidR="00BC3F3B">
        <w:rPr>
          <w:rFonts w:ascii="Verdana" w:hAnsi="Verdana"/>
          <w:sz w:val="20"/>
          <w:szCs w:val="20"/>
        </w:rPr>
        <w:t xml:space="preserve">, padres o </w:t>
      </w:r>
      <w:r w:rsidR="00BC3F3B" w:rsidRPr="00BC3F3B">
        <w:rPr>
          <w:rFonts w:ascii="Verdana" w:hAnsi="Verdana"/>
          <w:sz w:val="20"/>
          <w:szCs w:val="20"/>
        </w:rPr>
        <w:t xml:space="preserve">esposos </w:t>
      </w:r>
      <w:r w:rsidRPr="00BC3F3B">
        <w:rPr>
          <w:rFonts w:ascii="Verdana" w:hAnsi="Verdana"/>
          <w:sz w:val="20"/>
          <w:szCs w:val="20"/>
        </w:rPr>
        <w:t>de las tres mujeres nombradas, señalados como víctimas en el presente caso, vieron afectada su integridad</w:t>
      </w:r>
      <w:r w:rsidRPr="00EA0576">
        <w:rPr>
          <w:rFonts w:ascii="Verdana" w:hAnsi="Verdana"/>
          <w:sz w:val="20"/>
          <w:szCs w:val="20"/>
        </w:rPr>
        <w:t xml:space="preserve"> personal</w:t>
      </w:r>
      <w:r>
        <w:rPr>
          <w:rFonts w:ascii="Verdana" w:hAnsi="Verdana"/>
          <w:sz w:val="20"/>
          <w:szCs w:val="20"/>
        </w:rPr>
        <w:t xml:space="preserve"> como consecuencia de la conducta estatal violatoria de derechos humanos examinada en esta Sentencia. </w:t>
      </w:r>
    </w:p>
    <w:p w14:paraId="35DEA32B" w14:textId="77777777" w:rsidR="00342F65" w:rsidRPr="00E53751" w:rsidRDefault="00342F65" w:rsidP="005A5029">
      <w:pPr>
        <w:pStyle w:val="Prrafodelista"/>
        <w:spacing w:line="240" w:lineRule="exact"/>
        <w:ind w:left="0"/>
        <w:rPr>
          <w:rFonts w:ascii="Verdana" w:hAnsi="Verdana"/>
          <w:sz w:val="20"/>
          <w:szCs w:val="20"/>
        </w:rPr>
      </w:pPr>
    </w:p>
    <w:p w14:paraId="392678CC" w14:textId="420F8723" w:rsidR="00342F65" w:rsidRDefault="00342F65" w:rsidP="005A5029">
      <w:pPr>
        <w:pStyle w:val="Prrafodelista"/>
        <w:numPr>
          <w:ilvl w:val="0"/>
          <w:numId w:val="49"/>
        </w:numPr>
        <w:spacing w:before="120" w:after="120" w:line="240" w:lineRule="exact"/>
        <w:ind w:left="0" w:firstLine="0"/>
        <w:jc w:val="both"/>
        <w:rPr>
          <w:rFonts w:ascii="Verdana" w:hAnsi="Verdana"/>
          <w:sz w:val="20"/>
          <w:szCs w:val="20"/>
        </w:rPr>
      </w:pPr>
      <w:r>
        <w:rPr>
          <w:rFonts w:ascii="Verdana" w:hAnsi="Verdana"/>
          <w:sz w:val="20"/>
          <w:szCs w:val="20"/>
        </w:rPr>
        <w:t>Ahora bien, la Corte nota que, además</w:t>
      </w:r>
      <w:r w:rsidR="00BC3F3B">
        <w:rPr>
          <w:rFonts w:ascii="Verdana" w:hAnsi="Verdana"/>
          <w:sz w:val="20"/>
          <w:szCs w:val="20"/>
        </w:rPr>
        <w:t>,</w:t>
      </w:r>
      <w:r>
        <w:rPr>
          <w:rFonts w:ascii="Verdana" w:hAnsi="Verdana"/>
          <w:sz w:val="20"/>
          <w:szCs w:val="20"/>
        </w:rPr>
        <w:t xml:space="preserve"> de padres, hijos y cónyuges, han sido señalados como víctimas otro tipo de familiares de </w:t>
      </w:r>
      <w:r w:rsidRPr="003C6EA3">
        <w:rPr>
          <w:rFonts w:ascii="Verdana" w:hAnsi="Verdana"/>
          <w:sz w:val="20"/>
          <w:szCs w:val="20"/>
        </w:rPr>
        <w:t xml:space="preserve">Diana </w:t>
      </w:r>
      <w:proofErr w:type="spellStart"/>
      <w:r w:rsidRPr="003C6EA3">
        <w:rPr>
          <w:rFonts w:ascii="Verdana" w:hAnsi="Verdana"/>
          <w:sz w:val="20"/>
          <w:szCs w:val="20"/>
        </w:rPr>
        <w:t>Maidanik</w:t>
      </w:r>
      <w:proofErr w:type="spellEnd"/>
      <w:r w:rsidRPr="003C6EA3">
        <w:rPr>
          <w:rFonts w:ascii="Verdana" w:hAnsi="Verdana"/>
          <w:sz w:val="20"/>
          <w:szCs w:val="20"/>
        </w:rPr>
        <w:t xml:space="preserve">, Laura Raggio, Silvia Reyes y </w:t>
      </w:r>
      <w:r>
        <w:rPr>
          <w:rFonts w:ascii="Verdana" w:hAnsi="Verdana"/>
          <w:sz w:val="20"/>
          <w:szCs w:val="20"/>
        </w:rPr>
        <w:t>Ó</w:t>
      </w:r>
      <w:r w:rsidRPr="003C6EA3">
        <w:rPr>
          <w:rFonts w:ascii="Verdana" w:hAnsi="Verdana"/>
          <w:sz w:val="20"/>
          <w:szCs w:val="20"/>
        </w:rPr>
        <w:t xml:space="preserve">scar </w:t>
      </w:r>
      <w:proofErr w:type="spellStart"/>
      <w:r w:rsidRPr="003C6EA3">
        <w:rPr>
          <w:rFonts w:ascii="Verdana" w:hAnsi="Verdana"/>
          <w:sz w:val="20"/>
          <w:szCs w:val="20"/>
        </w:rPr>
        <w:t>Tassino</w:t>
      </w:r>
      <w:proofErr w:type="spellEnd"/>
      <w:r w:rsidRPr="003C6EA3">
        <w:rPr>
          <w:rFonts w:ascii="Verdana" w:hAnsi="Verdana"/>
          <w:sz w:val="20"/>
          <w:szCs w:val="20"/>
        </w:rPr>
        <w:t>. Es el caso de los hermanos de Laura Raggio, Silvia Reyes</w:t>
      </w:r>
      <w:r>
        <w:rPr>
          <w:rFonts w:ascii="Verdana" w:hAnsi="Verdana"/>
          <w:sz w:val="20"/>
          <w:szCs w:val="20"/>
        </w:rPr>
        <w:t xml:space="preserve"> y Óscar </w:t>
      </w:r>
      <w:proofErr w:type="spellStart"/>
      <w:r>
        <w:rPr>
          <w:rFonts w:ascii="Verdana" w:hAnsi="Verdana"/>
          <w:sz w:val="20"/>
          <w:szCs w:val="20"/>
        </w:rPr>
        <w:t>Tassino</w:t>
      </w:r>
      <w:proofErr w:type="spellEnd"/>
      <w:r>
        <w:rPr>
          <w:rFonts w:ascii="Verdana" w:hAnsi="Verdana"/>
          <w:sz w:val="20"/>
          <w:szCs w:val="20"/>
        </w:rPr>
        <w:t xml:space="preserve">, de la prima de Diana </w:t>
      </w:r>
      <w:proofErr w:type="spellStart"/>
      <w:r>
        <w:rPr>
          <w:rFonts w:ascii="Verdana" w:hAnsi="Verdana"/>
          <w:sz w:val="20"/>
          <w:szCs w:val="20"/>
        </w:rPr>
        <w:t>Maidanik</w:t>
      </w:r>
      <w:proofErr w:type="spellEnd"/>
      <w:r>
        <w:rPr>
          <w:rFonts w:ascii="Verdana" w:hAnsi="Verdana"/>
          <w:sz w:val="20"/>
          <w:szCs w:val="20"/>
        </w:rPr>
        <w:t xml:space="preserve"> y los suegros y la cuñada de Silvia Reyes. </w:t>
      </w:r>
    </w:p>
    <w:p w14:paraId="13F4EB3A" w14:textId="77777777" w:rsidR="00342F65" w:rsidRPr="00E53751" w:rsidRDefault="00342F65" w:rsidP="005A5029">
      <w:pPr>
        <w:pStyle w:val="Prrafodelista"/>
        <w:spacing w:line="240" w:lineRule="exact"/>
        <w:ind w:left="0"/>
        <w:rPr>
          <w:rFonts w:ascii="Verdana" w:hAnsi="Verdana"/>
          <w:sz w:val="20"/>
          <w:szCs w:val="20"/>
        </w:rPr>
      </w:pPr>
    </w:p>
    <w:p w14:paraId="35F0BDA1" w14:textId="77777777" w:rsidR="00342F65" w:rsidRPr="00BE2698" w:rsidRDefault="00342F65" w:rsidP="005A5029">
      <w:pPr>
        <w:pStyle w:val="Prrafodelista"/>
        <w:numPr>
          <w:ilvl w:val="0"/>
          <w:numId w:val="49"/>
        </w:numPr>
        <w:spacing w:before="120" w:after="120" w:line="240" w:lineRule="exact"/>
        <w:ind w:left="0" w:firstLine="0"/>
        <w:jc w:val="both"/>
        <w:rPr>
          <w:rFonts w:ascii="Calibri" w:hAnsi="Calibri"/>
        </w:rPr>
      </w:pPr>
      <w:r w:rsidRPr="00196C22">
        <w:rPr>
          <w:rFonts w:ascii="Verdana" w:hAnsi="Verdana"/>
          <w:sz w:val="20"/>
          <w:szCs w:val="20"/>
        </w:rPr>
        <w:t xml:space="preserve">Al respecto, por una parte, constan testimonios que dan cuenta de cómo las violaciones a derechos humanos afectaron a distintas familias en su conjunto. Así, </w:t>
      </w:r>
      <w:proofErr w:type="spellStart"/>
      <w:r w:rsidRPr="00196C22">
        <w:rPr>
          <w:rFonts w:ascii="Verdana" w:hAnsi="Verdana"/>
          <w:sz w:val="20"/>
          <w:szCs w:val="20"/>
        </w:rPr>
        <w:t>Aidee</w:t>
      </w:r>
      <w:proofErr w:type="spellEnd"/>
      <w:r w:rsidRPr="00196C22">
        <w:rPr>
          <w:rFonts w:ascii="Verdana" w:hAnsi="Verdana"/>
          <w:sz w:val="20"/>
          <w:szCs w:val="20"/>
        </w:rPr>
        <w:t xml:space="preserve"> Santo, cuya familia tiene amistad con la familia </w:t>
      </w:r>
      <w:proofErr w:type="spellStart"/>
      <w:r w:rsidRPr="00196C22">
        <w:rPr>
          <w:rFonts w:ascii="Verdana" w:hAnsi="Verdana"/>
          <w:sz w:val="20"/>
          <w:szCs w:val="20"/>
        </w:rPr>
        <w:t>Tassino</w:t>
      </w:r>
      <w:proofErr w:type="spellEnd"/>
      <w:r w:rsidRPr="00196C22">
        <w:rPr>
          <w:rFonts w:ascii="Verdana" w:hAnsi="Verdana"/>
          <w:sz w:val="20"/>
          <w:szCs w:val="20"/>
        </w:rPr>
        <w:t xml:space="preserve">, señaló que a partir de la desaparición forzada de Óscar </w:t>
      </w:r>
      <w:proofErr w:type="spellStart"/>
      <w:r w:rsidRPr="00196C22">
        <w:rPr>
          <w:rFonts w:ascii="Verdana" w:hAnsi="Verdana"/>
          <w:sz w:val="20"/>
          <w:szCs w:val="20"/>
        </w:rPr>
        <w:t>Tassino</w:t>
      </w:r>
      <w:proofErr w:type="spellEnd"/>
      <w:r w:rsidRPr="00196C22">
        <w:rPr>
          <w:rFonts w:ascii="Verdana" w:hAnsi="Verdana"/>
          <w:sz w:val="20"/>
          <w:szCs w:val="20"/>
        </w:rPr>
        <w:t xml:space="preserve"> la vida de su familia “cambió totalmente”, y que la madre de él, así como otros familiares, murieron sin saber qué pasó con Óscar. Agregó que la familia sigue “buscando respuestas”. Silvana </w:t>
      </w:r>
      <w:proofErr w:type="spellStart"/>
      <w:r w:rsidRPr="00196C22">
        <w:rPr>
          <w:rFonts w:ascii="Verdana" w:hAnsi="Verdana"/>
          <w:sz w:val="20"/>
          <w:szCs w:val="20"/>
        </w:rPr>
        <w:t>Bocage</w:t>
      </w:r>
      <w:proofErr w:type="spellEnd"/>
      <w:r w:rsidRPr="00196C22">
        <w:rPr>
          <w:rFonts w:ascii="Verdana" w:hAnsi="Verdana"/>
          <w:sz w:val="20"/>
          <w:szCs w:val="20"/>
        </w:rPr>
        <w:t xml:space="preserve">, también amiga de la familia </w:t>
      </w:r>
      <w:proofErr w:type="spellStart"/>
      <w:r w:rsidRPr="00196C22">
        <w:rPr>
          <w:rFonts w:ascii="Verdana" w:hAnsi="Verdana"/>
          <w:sz w:val="20"/>
          <w:szCs w:val="20"/>
        </w:rPr>
        <w:t>Tassino</w:t>
      </w:r>
      <w:proofErr w:type="spellEnd"/>
      <w:r w:rsidRPr="00196C22">
        <w:rPr>
          <w:rFonts w:ascii="Verdana" w:hAnsi="Verdana"/>
          <w:sz w:val="20"/>
          <w:szCs w:val="20"/>
        </w:rPr>
        <w:t xml:space="preserve">, declaró que toda la familia tuvo “secuelas emocionales” a partir de los hechos. </w:t>
      </w:r>
      <w:r w:rsidRPr="00196C22">
        <w:rPr>
          <w:rFonts w:ascii="Verdana" w:hAnsi="Verdana"/>
          <w:sz w:val="20"/>
          <w:szCs w:val="20"/>
          <w:lang w:val="es-ES"/>
        </w:rPr>
        <w:t xml:space="preserve">Ana </w:t>
      </w:r>
      <w:proofErr w:type="spellStart"/>
      <w:r w:rsidRPr="00196C22">
        <w:rPr>
          <w:rFonts w:ascii="Verdana" w:hAnsi="Verdana"/>
          <w:sz w:val="20"/>
          <w:szCs w:val="20"/>
          <w:lang w:val="es-ES"/>
        </w:rPr>
        <w:t>Guliak</w:t>
      </w:r>
      <w:proofErr w:type="spellEnd"/>
      <w:r w:rsidRPr="00196C22">
        <w:rPr>
          <w:rFonts w:ascii="Verdana" w:hAnsi="Verdana"/>
          <w:sz w:val="20"/>
          <w:szCs w:val="20"/>
          <w:lang w:val="es-ES"/>
        </w:rPr>
        <w:t xml:space="preserve"> </w:t>
      </w:r>
      <w:proofErr w:type="spellStart"/>
      <w:r w:rsidRPr="00196C22">
        <w:rPr>
          <w:rFonts w:ascii="Verdana" w:hAnsi="Verdana"/>
          <w:sz w:val="20"/>
          <w:szCs w:val="20"/>
          <w:lang w:val="es-ES"/>
        </w:rPr>
        <w:t>Potasnik</w:t>
      </w:r>
      <w:proofErr w:type="spellEnd"/>
      <w:r w:rsidRPr="00196C22">
        <w:rPr>
          <w:rFonts w:ascii="Verdana" w:hAnsi="Verdana"/>
          <w:sz w:val="20"/>
          <w:szCs w:val="20"/>
          <w:lang w:val="es-ES"/>
        </w:rPr>
        <w:t xml:space="preserve">, hermana de Diana </w:t>
      </w:r>
      <w:proofErr w:type="spellStart"/>
      <w:r w:rsidRPr="00196C22">
        <w:rPr>
          <w:rFonts w:ascii="Verdana" w:hAnsi="Verdana"/>
          <w:sz w:val="20"/>
          <w:szCs w:val="20"/>
          <w:lang w:val="es-ES"/>
        </w:rPr>
        <w:t>Maidanik</w:t>
      </w:r>
      <w:proofErr w:type="spellEnd"/>
      <w:r w:rsidRPr="00196C22">
        <w:rPr>
          <w:rFonts w:ascii="Verdana" w:hAnsi="Verdana"/>
          <w:sz w:val="20"/>
          <w:szCs w:val="20"/>
          <w:lang w:val="es-ES"/>
        </w:rPr>
        <w:t>, señaló que luego de la muerte de Diana “el miedo y la inseguridad […] traumatizaron a la familia profundamente”. Juan Quiñones, cuñado de Silvia Reyes, indicó que el impacto de los hechos en la familia fue “[t]</w:t>
      </w:r>
      <w:proofErr w:type="spellStart"/>
      <w:r w:rsidRPr="00196C22">
        <w:rPr>
          <w:rFonts w:ascii="Verdana" w:hAnsi="Verdana"/>
          <w:sz w:val="20"/>
          <w:szCs w:val="20"/>
          <w:lang w:val="es-ES"/>
        </w:rPr>
        <w:t>otal</w:t>
      </w:r>
      <w:proofErr w:type="spellEnd"/>
      <w:r w:rsidRPr="00196C22">
        <w:rPr>
          <w:rFonts w:ascii="Verdana" w:hAnsi="Verdana"/>
          <w:sz w:val="20"/>
          <w:szCs w:val="20"/>
          <w:lang w:val="es-ES"/>
        </w:rPr>
        <w:t>, [d]</w:t>
      </w:r>
      <w:proofErr w:type="spellStart"/>
      <w:proofErr w:type="gramStart"/>
      <w:r w:rsidRPr="00196C22">
        <w:rPr>
          <w:rFonts w:ascii="Verdana" w:hAnsi="Verdana"/>
          <w:sz w:val="20"/>
          <w:szCs w:val="20"/>
          <w:lang w:val="es-ES"/>
        </w:rPr>
        <w:t>esolador</w:t>
      </w:r>
      <w:proofErr w:type="spellEnd"/>
      <w:r w:rsidRPr="00196C22">
        <w:rPr>
          <w:rFonts w:ascii="Verdana" w:hAnsi="Verdana"/>
          <w:sz w:val="20"/>
          <w:szCs w:val="20"/>
          <w:lang w:val="es-ES"/>
        </w:rPr>
        <w:t>[</w:t>
      </w:r>
      <w:proofErr w:type="gramEnd"/>
      <w:r w:rsidRPr="00196C22">
        <w:rPr>
          <w:rFonts w:ascii="Verdana" w:hAnsi="Verdana"/>
          <w:sz w:val="20"/>
          <w:szCs w:val="20"/>
          <w:lang w:val="es-ES"/>
        </w:rPr>
        <w:t xml:space="preserve">;] un destrozo material y humano que hasta el día de hoy pagan las consecuencias los sobrevivientes”. Asimismo, señaló que “ha[n] sufrido y sigue[n] sufriendo hasta ahora una soledad tremenda ante la magnitud de lo que </w:t>
      </w:r>
      <w:proofErr w:type="spellStart"/>
      <w:r w:rsidRPr="00196C22">
        <w:rPr>
          <w:rFonts w:ascii="Verdana" w:hAnsi="Verdana"/>
          <w:sz w:val="20"/>
          <w:szCs w:val="20"/>
          <w:lang w:val="es-ES"/>
        </w:rPr>
        <w:t>tuv</w:t>
      </w:r>
      <w:proofErr w:type="spellEnd"/>
      <w:r w:rsidRPr="00196C22">
        <w:rPr>
          <w:rFonts w:ascii="Verdana" w:hAnsi="Verdana"/>
          <w:sz w:val="20"/>
          <w:szCs w:val="20"/>
          <w:lang w:val="es-ES"/>
        </w:rPr>
        <w:t>[</w:t>
      </w:r>
      <w:proofErr w:type="spellStart"/>
      <w:r w:rsidRPr="00196C22">
        <w:rPr>
          <w:rFonts w:ascii="Verdana" w:hAnsi="Verdana"/>
          <w:sz w:val="20"/>
          <w:szCs w:val="20"/>
          <w:lang w:val="es-ES"/>
        </w:rPr>
        <w:t>ieron</w:t>
      </w:r>
      <w:proofErr w:type="spellEnd"/>
      <w:r w:rsidRPr="00196C22">
        <w:rPr>
          <w:rFonts w:ascii="Verdana" w:hAnsi="Verdana"/>
          <w:sz w:val="20"/>
          <w:szCs w:val="20"/>
          <w:lang w:val="es-ES"/>
        </w:rPr>
        <w:t xml:space="preserve">] que vivir”. Además, indicó que Estela Reyes “estaba muy afectada por todo lo vivido”, “[s]obre todo [por] la forma trágica en la que [perdió]a su hermana”. El testigo </w:t>
      </w:r>
      <w:proofErr w:type="spellStart"/>
      <w:r w:rsidRPr="00196C22">
        <w:rPr>
          <w:rFonts w:ascii="Verdana" w:hAnsi="Verdana"/>
          <w:sz w:val="20"/>
          <w:szCs w:val="20"/>
          <w:lang w:val="es-ES"/>
        </w:rPr>
        <w:t>Wálter</w:t>
      </w:r>
      <w:proofErr w:type="spellEnd"/>
      <w:r w:rsidRPr="00196C22">
        <w:rPr>
          <w:rFonts w:ascii="Verdana" w:hAnsi="Verdana"/>
          <w:sz w:val="20"/>
          <w:szCs w:val="20"/>
          <w:lang w:val="es-ES"/>
        </w:rPr>
        <w:t xml:space="preserve"> Pérez expresó que la familia de Jaqueline Barrios, cuñada de Si</w:t>
      </w:r>
      <w:r>
        <w:rPr>
          <w:rFonts w:ascii="Verdana" w:hAnsi="Verdana"/>
          <w:sz w:val="20"/>
          <w:szCs w:val="20"/>
          <w:lang w:val="es-ES"/>
        </w:rPr>
        <w:t>l</w:t>
      </w:r>
      <w:r w:rsidRPr="00196C22">
        <w:rPr>
          <w:rFonts w:ascii="Verdana" w:hAnsi="Verdana"/>
          <w:sz w:val="20"/>
          <w:szCs w:val="20"/>
          <w:lang w:val="es-ES"/>
        </w:rPr>
        <w:t xml:space="preserve">via Reyes, quedó “destruida y acabada”, así como el deterioro en la salud psíquica y física. </w:t>
      </w:r>
    </w:p>
    <w:p w14:paraId="6FA78DBF" w14:textId="77777777" w:rsidR="00342F65" w:rsidRPr="00196C22" w:rsidRDefault="00342F65" w:rsidP="005A5029">
      <w:pPr>
        <w:pStyle w:val="Prrafodelista"/>
        <w:spacing w:before="120" w:after="120" w:line="240" w:lineRule="exact"/>
        <w:ind w:left="0"/>
        <w:jc w:val="both"/>
        <w:rPr>
          <w:rFonts w:ascii="Calibri" w:hAnsi="Calibri"/>
        </w:rPr>
      </w:pPr>
    </w:p>
    <w:p w14:paraId="09F5C470" w14:textId="305D0255" w:rsidR="00342F65" w:rsidRDefault="00342F65" w:rsidP="005A5029">
      <w:pPr>
        <w:pStyle w:val="Prrafodelista"/>
        <w:numPr>
          <w:ilvl w:val="0"/>
          <w:numId w:val="49"/>
        </w:numPr>
        <w:spacing w:before="120" w:after="120" w:line="240" w:lineRule="exact"/>
        <w:ind w:left="0" w:firstLine="0"/>
        <w:jc w:val="both"/>
        <w:rPr>
          <w:rFonts w:ascii="Verdana" w:hAnsi="Verdana"/>
          <w:sz w:val="20"/>
          <w:szCs w:val="20"/>
        </w:rPr>
      </w:pPr>
      <w:r>
        <w:rPr>
          <w:rFonts w:ascii="Verdana" w:hAnsi="Verdana"/>
          <w:sz w:val="20"/>
          <w:szCs w:val="20"/>
        </w:rPr>
        <w:t xml:space="preserve">La Corte entiende, considerando lo expuesto y la gravedad de los hechos del caso, que es razonable asumir que, en las circunstancias propias del mismo, las distintas personas integrantes de cada una de las </w:t>
      </w:r>
      <w:r w:rsidR="00BC3F3B">
        <w:rPr>
          <w:rFonts w:ascii="Verdana" w:hAnsi="Verdana"/>
          <w:sz w:val="20"/>
          <w:szCs w:val="20"/>
        </w:rPr>
        <w:t>familias involucradas</w:t>
      </w:r>
      <w:r>
        <w:rPr>
          <w:rFonts w:ascii="Verdana" w:hAnsi="Verdana"/>
          <w:sz w:val="20"/>
          <w:szCs w:val="20"/>
        </w:rPr>
        <w:t xml:space="preserve">, que fueron señaladas como </w:t>
      </w:r>
      <w:r w:rsidRPr="00F137AF">
        <w:rPr>
          <w:rFonts w:ascii="Verdana" w:hAnsi="Verdana"/>
          <w:sz w:val="20"/>
          <w:szCs w:val="20"/>
        </w:rPr>
        <w:t xml:space="preserve">víctimas, han tenido un padecimiento en su integridad personal por sufrimientos causados a partir de las conductas estatales violatorias de derechos humanos examinadas en esta Sentencia, es decir, por las desapariciones forzadas de Luis Eduardo González </w:t>
      </w:r>
      <w:proofErr w:type="spellStart"/>
      <w:r w:rsidRPr="00F137AF">
        <w:rPr>
          <w:rFonts w:ascii="Verdana" w:hAnsi="Verdana"/>
          <w:sz w:val="20"/>
          <w:szCs w:val="20"/>
        </w:rPr>
        <w:t>González</w:t>
      </w:r>
      <w:proofErr w:type="spellEnd"/>
      <w:r w:rsidRPr="00F137AF">
        <w:rPr>
          <w:rFonts w:ascii="Verdana" w:hAnsi="Verdana"/>
          <w:sz w:val="20"/>
          <w:szCs w:val="20"/>
        </w:rPr>
        <w:t xml:space="preserve"> y </w:t>
      </w:r>
      <w:r w:rsidR="007F374C">
        <w:rPr>
          <w:rFonts w:ascii="Verdana" w:hAnsi="Verdana"/>
          <w:sz w:val="20"/>
          <w:szCs w:val="20"/>
        </w:rPr>
        <w:t xml:space="preserve">Óscar </w:t>
      </w:r>
      <w:proofErr w:type="spellStart"/>
      <w:r w:rsidR="007F374C">
        <w:rPr>
          <w:rFonts w:ascii="Verdana" w:hAnsi="Verdana"/>
          <w:sz w:val="20"/>
          <w:szCs w:val="20"/>
        </w:rPr>
        <w:t>Tassino</w:t>
      </w:r>
      <w:proofErr w:type="spellEnd"/>
      <w:r w:rsidR="007F374C">
        <w:rPr>
          <w:rFonts w:ascii="Verdana" w:hAnsi="Verdana"/>
          <w:sz w:val="20"/>
          <w:szCs w:val="20"/>
        </w:rPr>
        <w:t xml:space="preserve"> </w:t>
      </w:r>
      <w:proofErr w:type="spellStart"/>
      <w:r w:rsidR="007F374C">
        <w:rPr>
          <w:rFonts w:ascii="Verdana" w:hAnsi="Verdana"/>
          <w:sz w:val="20"/>
          <w:szCs w:val="20"/>
        </w:rPr>
        <w:t>Asteazu</w:t>
      </w:r>
      <w:proofErr w:type="spellEnd"/>
      <w:r w:rsidR="007F374C">
        <w:rPr>
          <w:rFonts w:ascii="Verdana" w:hAnsi="Verdana"/>
          <w:sz w:val="20"/>
          <w:szCs w:val="20"/>
        </w:rPr>
        <w:t xml:space="preserve">, </w:t>
      </w:r>
      <w:r w:rsidRPr="00F137AF">
        <w:rPr>
          <w:rFonts w:ascii="Verdana" w:hAnsi="Verdana"/>
          <w:sz w:val="20"/>
          <w:szCs w:val="20"/>
        </w:rPr>
        <w:t>por la falta de localización de su paradero</w:t>
      </w:r>
      <w:r w:rsidR="007F374C">
        <w:rPr>
          <w:rFonts w:ascii="Verdana" w:hAnsi="Verdana"/>
          <w:sz w:val="20"/>
          <w:szCs w:val="20"/>
        </w:rPr>
        <w:t>,</w:t>
      </w:r>
      <w:r w:rsidRPr="00F137AF">
        <w:rPr>
          <w:rFonts w:ascii="Verdana" w:hAnsi="Verdana"/>
          <w:sz w:val="20"/>
          <w:szCs w:val="20"/>
        </w:rPr>
        <w:t xml:space="preserve"> y </w:t>
      </w:r>
      <w:r w:rsidR="007F374C">
        <w:rPr>
          <w:rFonts w:ascii="Verdana" w:hAnsi="Verdana"/>
          <w:sz w:val="20"/>
          <w:szCs w:val="20"/>
        </w:rPr>
        <w:t>por las acciones judiciales</w:t>
      </w:r>
      <w:r w:rsidRPr="00F137AF">
        <w:rPr>
          <w:rFonts w:ascii="Verdana" w:hAnsi="Verdana"/>
          <w:sz w:val="20"/>
          <w:szCs w:val="20"/>
        </w:rPr>
        <w:t xml:space="preserve"> para determinar responsabil</w:t>
      </w:r>
      <w:r w:rsidR="007F374C">
        <w:rPr>
          <w:rFonts w:ascii="Verdana" w:hAnsi="Verdana"/>
          <w:sz w:val="20"/>
          <w:szCs w:val="20"/>
        </w:rPr>
        <w:t>idades penales por tales hechos y por</w:t>
      </w:r>
      <w:r w:rsidRPr="00F137AF">
        <w:rPr>
          <w:rFonts w:ascii="Verdana" w:hAnsi="Verdana"/>
          <w:sz w:val="20"/>
          <w:szCs w:val="20"/>
        </w:rPr>
        <w:t xml:space="preserve"> las ejecuciones extrajudiciales de Diana </w:t>
      </w:r>
      <w:proofErr w:type="spellStart"/>
      <w:r w:rsidRPr="00F137AF">
        <w:rPr>
          <w:rFonts w:ascii="Verdana" w:hAnsi="Verdana"/>
          <w:sz w:val="20"/>
          <w:szCs w:val="20"/>
        </w:rPr>
        <w:t>Maidanik</w:t>
      </w:r>
      <w:proofErr w:type="spellEnd"/>
      <w:r w:rsidRPr="00F137AF">
        <w:rPr>
          <w:rFonts w:ascii="Verdana" w:hAnsi="Verdana"/>
          <w:sz w:val="20"/>
          <w:szCs w:val="20"/>
        </w:rPr>
        <w:t xml:space="preserve">, Silvia Reyes y Laura Raggio. En ese sentido, debe destacarse </w:t>
      </w:r>
      <w:r>
        <w:rPr>
          <w:rFonts w:ascii="Verdana" w:hAnsi="Verdana"/>
          <w:sz w:val="20"/>
          <w:szCs w:val="20"/>
        </w:rPr>
        <w:t xml:space="preserve">nuevamente </w:t>
      </w:r>
      <w:r w:rsidRPr="00F137AF">
        <w:rPr>
          <w:rFonts w:ascii="Verdana" w:hAnsi="Verdana"/>
          <w:sz w:val="20"/>
          <w:szCs w:val="20"/>
        </w:rPr>
        <w:t xml:space="preserve">que, habiendo transcurrido más de 35 años desde que la Corte ha asumido competencia respecto de Uruguay, y más de 44 o 47, según el caso, desde el inicio de las dos desapariciones forzadas antes aludidas, los hechos continúan impunes. Además, la Corte </w:t>
      </w:r>
      <w:proofErr w:type="gramStart"/>
      <w:r w:rsidRPr="00F137AF">
        <w:rPr>
          <w:rFonts w:ascii="Verdana" w:hAnsi="Verdana"/>
          <w:sz w:val="20"/>
          <w:szCs w:val="20"/>
        </w:rPr>
        <w:t>advierte  que</w:t>
      </w:r>
      <w:proofErr w:type="gramEnd"/>
      <w:r w:rsidRPr="00F137AF">
        <w:rPr>
          <w:rFonts w:ascii="Verdana" w:hAnsi="Verdana"/>
          <w:sz w:val="20"/>
          <w:szCs w:val="20"/>
        </w:rPr>
        <w:t xml:space="preserve"> el Estado no ha controvertido </w:t>
      </w:r>
      <w:r w:rsidRPr="00F137AF">
        <w:rPr>
          <w:rFonts w:ascii="Verdana" w:hAnsi="Verdana"/>
          <w:sz w:val="20"/>
          <w:szCs w:val="20"/>
        </w:rPr>
        <w:lastRenderedPageBreak/>
        <w:t>los alegatos sobre la violación al derecho a la integridad personal respecto de ninguna de las personas indicadas como víctimas en este caso</w:t>
      </w:r>
      <w:r w:rsidRPr="00F137AF">
        <w:rPr>
          <w:rStyle w:val="Refdenotaalpie"/>
          <w:rFonts w:ascii="Verdana" w:hAnsi="Verdana"/>
          <w:sz w:val="20"/>
          <w:szCs w:val="20"/>
        </w:rPr>
        <w:footnoteReference w:id="225"/>
      </w:r>
      <w:r w:rsidRPr="00F137AF">
        <w:rPr>
          <w:rFonts w:ascii="Verdana" w:hAnsi="Verdana"/>
          <w:sz w:val="20"/>
          <w:szCs w:val="20"/>
        </w:rPr>
        <w:t>.</w:t>
      </w:r>
      <w:r>
        <w:rPr>
          <w:rFonts w:ascii="Verdana" w:hAnsi="Verdana"/>
          <w:sz w:val="20"/>
          <w:szCs w:val="20"/>
        </w:rPr>
        <w:t xml:space="preserve"> </w:t>
      </w:r>
    </w:p>
    <w:p w14:paraId="347DAD78" w14:textId="77777777" w:rsidR="00342F65" w:rsidRPr="0039097A" w:rsidRDefault="00342F65" w:rsidP="005A5029">
      <w:pPr>
        <w:pStyle w:val="Prrafodelista"/>
        <w:spacing w:before="120" w:after="120" w:line="240" w:lineRule="exact"/>
        <w:ind w:left="0"/>
        <w:rPr>
          <w:rFonts w:ascii="Verdana" w:hAnsi="Verdana"/>
          <w:sz w:val="20"/>
          <w:szCs w:val="20"/>
        </w:rPr>
      </w:pPr>
    </w:p>
    <w:p w14:paraId="54749196" w14:textId="2909F51F" w:rsidR="00342F65" w:rsidRDefault="00342F65" w:rsidP="005A5029">
      <w:pPr>
        <w:pStyle w:val="Prrafodelista"/>
        <w:numPr>
          <w:ilvl w:val="0"/>
          <w:numId w:val="49"/>
        </w:numPr>
        <w:spacing w:before="120" w:after="120" w:line="240" w:lineRule="exact"/>
        <w:ind w:left="0" w:firstLine="0"/>
        <w:jc w:val="both"/>
        <w:rPr>
          <w:rFonts w:ascii="Verdana" w:hAnsi="Verdana"/>
          <w:sz w:val="20"/>
          <w:szCs w:val="20"/>
        </w:rPr>
      </w:pPr>
      <w:r w:rsidRPr="0039097A">
        <w:rPr>
          <w:rFonts w:ascii="Verdana" w:hAnsi="Verdana"/>
          <w:sz w:val="20"/>
          <w:szCs w:val="20"/>
        </w:rPr>
        <w:t>La Corte, por lo expuesto, concluye que el Estado violó el derecho a la integridad personal, reconocido en el artículo 5.1 de la Convención Americana sobre Derechos Humanos, en relación con el artículo 1.1 del mismo tratado, en perjuicio de</w:t>
      </w:r>
      <w:r>
        <w:rPr>
          <w:rFonts w:ascii="Verdana" w:hAnsi="Verdana"/>
          <w:sz w:val="20"/>
          <w:szCs w:val="20"/>
        </w:rPr>
        <w:t xml:space="preserve"> </w:t>
      </w:r>
      <w:r w:rsidRPr="00E5060D">
        <w:rPr>
          <w:rFonts w:ascii="Verdana" w:hAnsi="Verdana"/>
          <w:sz w:val="20"/>
          <w:szCs w:val="20"/>
        </w:rPr>
        <w:t xml:space="preserve">Flora </w:t>
      </w:r>
      <w:proofErr w:type="spellStart"/>
      <w:r w:rsidRPr="00E5060D">
        <w:rPr>
          <w:rFonts w:ascii="Verdana" w:hAnsi="Verdana"/>
          <w:sz w:val="20"/>
          <w:szCs w:val="20"/>
        </w:rPr>
        <w:t>Potasnik</w:t>
      </w:r>
      <w:proofErr w:type="spellEnd"/>
      <w:r w:rsidRPr="00E5060D">
        <w:rPr>
          <w:rFonts w:ascii="Verdana" w:hAnsi="Verdana"/>
          <w:sz w:val="20"/>
          <w:szCs w:val="20"/>
        </w:rPr>
        <w:t xml:space="preserve">, Mónica Raquel </w:t>
      </w:r>
      <w:proofErr w:type="spellStart"/>
      <w:r w:rsidRPr="00E5060D">
        <w:rPr>
          <w:rFonts w:ascii="Verdana" w:hAnsi="Verdana"/>
          <w:sz w:val="20"/>
          <w:szCs w:val="20"/>
        </w:rPr>
        <w:t>Wodzislawski</w:t>
      </w:r>
      <w:proofErr w:type="spellEnd"/>
      <w:r w:rsidRPr="00E5060D">
        <w:rPr>
          <w:rFonts w:ascii="Verdana" w:hAnsi="Verdana"/>
          <w:sz w:val="20"/>
          <w:szCs w:val="20"/>
        </w:rPr>
        <w:t xml:space="preserve">, Marta </w:t>
      </w:r>
      <w:proofErr w:type="spellStart"/>
      <w:r w:rsidRPr="00E5060D">
        <w:rPr>
          <w:rFonts w:ascii="Verdana" w:hAnsi="Verdana"/>
          <w:sz w:val="20"/>
          <w:szCs w:val="20"/>
        </w:rPr>
        <w:t>Odizzio</w:t>
      </w:r>
      <w:proofErr w:type="spellEnd"/>
      <w:r w:rsidRPr="00E5060D">
        <w:rPr>
          <w:rFonts w:ascii="Verdana" w:hAnsi="Verdana"/>
          <w:sz w:val="20"/>
          <w:szCs w:val="20"/>
        </w:rPr>
        <w:t xml:space="preserve"> de Raggio, Horacio Enrique Raggio </w:t>
      </w:r>
      <w:proofErr w:type="spellStart"/>
      <w:r w:rsidRPr="00E5060D">
        <w:rPr>
          <w:rFonts w:ascii="Verdana" w:hAnsi="Verdana"/>
          <w:sz w:val="20"/>
          <w:szCs w:val="20"/>
        </w:rPr>
        <w:t>Odizzio</w:t>
      </w:r>
      <w:proofErr w:type="spellEnd"/>
      <w:r w:rsidRPr="00E5060D">
        <w:rPr>
          <w:rFonts w:ascii="Verdana" w:hAnsi="Verdana"/>
          <w:sz w:val="20"/>
          <w:szCs w:val="20"/>
        </w:rPr>
        <w:t xml:space="preserve">, Daniel Raggio </w:t>
      </w:r>
      <w:proofErr w:type="spellStart"/>
      <w:r w:rsidRPr="00E5060D">
        <w:rPr>
          <w:rFonts w:ascii="Verdana" w:hAnsi="Verdana"/>
          <w:sz w:val="20"/>
          <w:szCs w:val="20"/>
        </w:rPr>
        <w:t>Odizzio</w:t>
      </w:r>
      <w:proofErr w:type="spellEnd"/>
      <w:r w:rsidRPr="00E5060D">
        <w:rPr>
          <w:rFonts w:ascii="Verdana" w:hAnsi="Verdana"/>
          <w:sz w:val="20"/>
          <w:szCs w:val="20"/>
        </w:rPr>
        <w:t xml:space="preserve">, Arturo Ricardo Reyes </w:t>
      </w:r>
      <w:proofErr w:type="spellStart"/>
      <w:r w:rsidRPr="00E5060D">
        <w:rPr>
          <w:rFonts w:ascii="Verdana" w:hAnsi="Verdana"/>
          <w:sz w:val="20"/>
          <w:szCs w:val="20"/>
        </w:rPr>
        <w:t>Gaetán</w:t>
      </w:r>
      <w:proofErr w:type="spellEnd"/>
      <w:r w:rsidRPr="00E5060D">
        <w:rPr>
          <w:rFonts w:ascii="Verdana" w:hAnsi="Verdana"/>
          <w:sz w:val="20"/>
          <w:szCs w:val="20"/>
        </w:rPr>
        <w:t xml:space="preserve">, Celia Natividad </w:t>
      </w:r>
      <w:proofErr w:type="spellStart"/>
      <w:r w:rsidRPr="00E5060D">
        <w:rPr>
          <w:rFonts w:ascii="Verdana" w:hAnsi="Verdana"/>
          <w:sz w:val="20"/>
          <w:szCs w:val="20"/>
        </w:rPr>
        <w:t>Sedarri</w:t>
      </w:r>
      <w:proofErr w:type="spellEnd"/>
      <w:r w:rsidRPr="00E5060D">
        <w:rPr>
          <w:rFonts w:ascii="Verdana" w:hAnsi="Verdana"/>
          <w:sz w:val="20"/>
          <w:szCs w:val="20"/>
        </w:rPr>
        <w:t xml:space="preserve"> Aparicio, Estela Reyes </w:t>
      </w:r>
      <w:proofErr w:type="spellStart"/>
      <w:r w:rsidRPr="00E5060D">
        <w:rPr>
          <w:rFonts w:ascii="Verdana" w:hAnsi="Verdana"/>
          <w:sz w:val="20"/>
          <w:szCs w:val="20"/>
        </w:rPr>
        <w:t>Sedarri</w:t>
      </w:r>
      <w:proofErr w:type="spellEnd"/>
      <w:r w:rsidRPr="00E5060D">
        <w:rPr>
          <w:rFonts w:ascii="Verdana" w:hAnsi="Verdana"/>
          <w:sz w:val="20"/>
          <w:szCs w:val="20"/>
        </w:rPr>
        <w:t xml:space="preserve">, </w:t>
      </w:r>
      <w:proofErr w:type="spellStart"/>
      <w:r w:rsidRPr="00E5060D">
        <w:rPr>
          <w:rFonts w:ascii="Verdana" w:hAnsi="Verdana"/>
          <w:sz w:val="20"/>
          <w:szCs w:val="20"/>
        </w:rPr>
        <w:t>Whashington</w:t>
      </w:r>
      <w:proofErr w:type="spellEnd"/>
      <w:r w:rsidRPr="00E5060D">
        <w:rPr>
          <w:rFonts w:ascii="Verdana" w:hAnsi="Verdana"/>
          <w:sz w:val="20"/>
          <w:szCs w:val="20"/>
        </w:rPr>
        <w:t xml:space="preserve"> Javier Barrios Fernández, Washington Barrios, Hilda María Fern</w:t>
      </w:r>
      <w:r w:rsidR="00CC137B">
        <w:rPr>
          <w:rFonts w:ascii="Verdana" w:hAnsi="Verdana"/>
          <w:sz w:val="20"/>
          <w:szCs w:val="20"/>
        </w:rPr>
        <w:t>ández</w:t>
      </w:r>
      <w:r w:rsidRPr="00E5060D">
        <w:rPr>
          <w:rFonts w:ascii="Verdana" w:hAnsi="Verdana"/>
          <w:sz w:val="20"/>
          <w:szCs w:val="20"/>
        </w:rPr>
        <w:t xml:space="preserve"> Rodríguez, Jaqueline Barrios Fernández, Amalia González de González, Elena Zaffaroni Rocco, </w:t>
      </w:r>
      <w:proofErr w:type="spellStart"/>
      <w:r w:rsidRPr="00E5060D">
        <w:rPr>
          <w:rFonts w:ascii="Verdana" w:hAnsi="Verdana"/>
          <w:sz w:val="20"/>
          <w:szCs w:val="20"/>
        </w:rPr>
        <w:t>Disnarda</w:t>
      </w:r>
      <w:proofErr w:type="spellEnd"/>
      <w:r w:rsidRPr="00E5060D">
        <w:rPr>
          <w:rFonts w:ascii="Verdana" w:hAnsi="Verdana"/>
          <w:sz w:val="20"/>
          <w:szCs w:val="20"/>
        </w:rPr>
        <w:t xml:space="preserve"> Ema Flores Soler de </w:t>
      </w:r>
      <w:proofErr w:type="spellStart"/>
      <w:r w:rsidRPr="00E5060D">
        <w:rPr>
          <w:rFonts w:ascii="Verdana" w:hAnsi="Verdana"/>
          <w:sz w:val="20"/>
          <w:szCs w:val="20"/>
        </w:rPr>
        <w:t>Tassino</w:t>
      </w:r>
      <w:proofErr w:type="spellEnd"/>
      <w:r w:rsidRPr="00E5060D">
        <w:rPr>
          <w:rFonts w:ascii="Verdana" w:hAnsi="Verdana"/>
          <w:sz w:val="20"/>
          <w:szCs w:val="20"/>
        </w:rPr>
        <w:t xml:space="preserve">, Karina Teresa </w:t>
      </w:r>
      <w:proofErr w:type="spellStart"/>
      <w:r w:rsidRPr="00E5060D">
        <w:rPr>
          <w:rFonts w:ascii="Verdana" w:hAnsi="Verdana"/>
          <w:sz w:val="20"/>
          <w:szCs w:val="20"/>
        </w:rPr>
        <w:t>Tassino</w:t>
      </w:r>
      <w:proofErr w:type="spellEnd"/>
      <w:r w:rsidRPr="00E5060D">
        <w:rPr>
          <w:rFonts w:ascii="Verdana" w:hAnsi="Verdana"/>
          <w:sz w:val="20"/>
          <w:szCs w:val="20"/>
        </w:rPr>
        <w:t xml:space="preserve">, Javier </w:t>
      </w:r>
      <w:proofErr w:type="spellStart"/>
      <w:r w:rsidRPr="00E5060D">
        <w:rPr>
          <w:rFonts w:ascii="Verdana" w:hAnsi="Verdana"/>
          <w:sz w:val="20"/>
          <w:szCs w:val="20"/>
        </w:rPr>
        <w:t>Tassino</w:t>
      </w:r>
      <w:proofErr w:type="spellEnd"/>
      <w:r>
        <w:rPr>
          <w:rFonts w:ascii="Verdana" w:hAnsi="Verdana"/>
          <w:sz w:val="20"/>
          <w:szCs w:val="20"/>
        </w:rPr>
        <w:t xml:space="preserve"> y Álvaro Luis </w:t>
      </w:r>
      <w:proofErr w:type="spellStart"/>
      <w:r>
        <w:rPr>
          <w:rFonts w:ascii="Verdana" w:hAnsi="Verdana"/>
          <w:sz w:val="20"/>
          <w:szCs w:val="20"/>
        </w:rPr>
        <w:t>Tassino</w:t>
      </w:r>
      <w:proofErr w:type="spellEnd"/>
      <w:r>
        <w:rPr>
          <w:rFonts w:ascii="Verdana" w:hAnsi="Verdana"/>
          <w:sz w:val="20"/>
          <w:szCs w:val="20"/>
        </w:rPr>
        <w:t>.</w:t>
      </w:r>
    </w:p>
    <w:p w14:paraId="1701FBCA" w14:textId="77777777" w:rsidR="00342F65" w:rsidRPr="00E5060D" w:rsidRDefault="00342F65" w:rsidP="005A5029">
      <w:pPr>
        <w:pStyle w:val="Prrafodelista"/>
        <w:spacing w:before="120" w:after="120" w:line="240" w:lineRule="exact"/>
        <w:ind w:left="0"/>
        <w:jc w:val="both"/>
        <w:rPr>
          <w:rFonts w:ascii="Verdana" w:hAnsi="Verdana"/>
          <w:sz w:val="20"/>
          <w:szCs w:val="20"/>
        </w:rPr>
      </w:pPr>
    </w:p>
    <w:p w14:paraId="4225351F" w14:textId="77777777" w:rsidR="00342F65" w:rsidRPr="0039097A" w:rsidRDefault="00342F65" w:rsidP="005A5029">
      <w:pPr>
        <w:pStyle w:val="Ttulo1"/>
        <w:spacing w:before="0" w:line="240" w:lineRule="exact"/>
        <w:jc w:val="center"/>
        <w:rPr>
          <w:rFonts w:ascii="Verdana" w:hAnsi="Verdana"/>
          <w:b/>
          <w:color w:val="auto"/>
          <w:sz w:val="20"/>
          <w:szCs w:val="20"/>
        </w:rPr>
      </w:pPr>
      <w:bookmarkStart w:id="71" w:name="_Toc85550429"/>
      <w:r w:rsidRPr="0039097A">
        <w:rPr>
          <w:rFonts w:ascii="Verdana" w:hAnsi="Verdana"/>
          <w:b/>
          <w:color w:val="auto"/>
          <w:sz w:val="20"/>
          <w:szCs w:val="20"/>
        </w:rPr>
        <w:t>VIII</w:t>
      </w:r>
      <w:bookmarkEnd w:id="71"/>
    </w:p>
    <w:p w14:paraId="2873BDB4" w14:textId="77777777" w:rsidR="00342F65" w:rsidRPr="0039097A" w:rsidRDefault="00342F65" w:rsidP="005A5029">
      <w:pPr>
        <w:pStyle w:val="Ttulo1"/>
        <w:spacing w:before="0" w:line="240" w:lineRule="exact"/>
        <w:jc w:val="center"/>
        <w:rPr>
          <w:rFonts w:ascii="Verdana" w:hAnsi="Verdana"/>
          <w:b/>
          <w:color w:val="auto"/>
          <w:sz w:val="20"/>
          <w:szCs w:val="20"/>
        </w:rPr>
      </w:pPr>
      <w:bookmarkStart w:id="72" w:name="_Toc85550430"/>
      <w:r w:rsidRPr="0039097A">
        <w:rPr>
          <w:rFonts w:ascii="Verdana" w:hAnsi="Verdana"/>
          <w:b/>
          <w:color w:val="auto"/>
          <w:sz w:val="20"/>
          <w:szCs w:val="20"/>
        </w:rPr>
        <w:t>REPARACIONES</w:t>
      </w:r>
      <w:bookmarkEnd w:id="72"/>
    </w:p>
    <w:p w14:paraId="7B417B41" w14:textId="77777777" w:rsidR="00342F65" w:rsidRPr="0039097A" w:rsidRDefault="00342F65" w:rsidP="005A5029">
      <w:pPr>
        <w:spacing w:after="0" w:line="240" w:lineRule="exact"/>
        <w:rPr>
          <w:rFonts w:ascii="Verdana" w:hAnsi="Verdana"/>
          <w:b/>
          <w:sz w:val="20"/>
          <w:szCs w:val="20"/>
        </w:rPr>
      </w:pPr>
    </w:p>
    <w:p w14:paraId="1A2256CA" w14:textId="77777777" w:rsidR="00342F65" w:rsidRPr="0039097A" w:rsidRDefault="00342F65" w:rsidP="005A5029">
      <w:pPr>
        <w:numPr>
          <w:ilvl w:val="0"/>
          <w:numId w:val="49"/>
        </w:numPr>
        <w:spacing w:after="0" w:line="240" w:lineRule="exact"/>
        <w:ind w:left="0" w:firstLine="0"/>
        <w:contextualSpacing/>
        <w:jc w:val="both"/>
        <w:rPr>
          <w:rFonts w:ascii="Verdana" w:hAnsi="Verdana"/>
          <w:sz w:val="20"/>
          <w:szCs w:val="20"/>
          <w:lang w:val="es-ES"/>
        </w:rPr>
      </w:pPr>
      <w:r w:rsidRPr="0039097A">
        <w:rPr>
          <w:rFonts w:ascii="Verdana" w:hAnsi="Verdana"/>
          <w:sz w:val="20"/>
          <w:szCs w:val="16"/>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w:t>
      </w:r>
      <w:r w:rsidRPr="0039097A">
        <w:rPr>
          <w:rFonts w:ascii="Verdana" w:hAnsi="Verdana"/>
          <w:spacing w:val="-13"/>
          <w:sz w:val="20"/>
          <w:szCs w:val="16"/>
        </w:rPr>
        <w:t xml:space="preserve"> </w:t>
      </w:r>
      <w:r w:rsidRPr="0039097A">
        <w:rPr>
          <w:rFonts w:ascii="Verdana" w:hAnsi="Verdana"/>
          <w:sz w:val="20"/>
          <w:szCs w:val="16"/>
        </w:rPr>
        <w:t>que</w:t>
      </w:r>
      <w:r w:rsidRPr="0039097A">
        <w:rPr>
          <w:rFonts w:ascii="Verdana" w:hAnsi="Verdana"/>
          <w:spacing w:val="-12"/>
          <w:sz w:val="20"/>
          <w:szCs w:val="16"/>
        </w:rPr>
        <w:t xml:space="preserve"> </w:t>
      </w:r>
      <w:r w:rsidRPr="0039097A">
        <w:rPr>
          <w:rFonts w:ascii="Verdana" w:hAnsi="Verdana"/>
          <w:sz w:val="20"/>
          <w:szCs w:val="16"/>
        </w:rPr>
        <w:t>constituye</w:t>
      </w:r>
      <w:r w:rsidRPr="0039097A">
        <w:rPr>
          <w:rFonts w:ascii="Verdana" w:hAnsi="Verdana"/>
          <w:spacing w:val="-14"/>
          <w:sz w:val="20"/>
          <w:szCs w:val="16"/>
        </w:rPr>
        <w:t xml:space="preserve"> </w:t>
      </w:r>
      <w:r w:rsidRPr="0039097A">
        <w:rPr>
          <w:rFonts w:ascii="Verdana" w:hAnsi="Verdana"/>
          <w:sz w:val="20"/>
          <w:szCs w:val="16"/>
        </w:rPr>
        <w:t>uno</w:t>
      </w:r>
      <w:r w:rsidRPr="0039097A">
        <w:rPr>
          <w:rFonts w:ascii="Verdana" w:hAnsi="Verdana"/>
          <w:spacing w:val="-12"/>
          <w:sz w:val="20"/>
          <w:szCs w:val="16"/>
        </w:rPr>
        <w:t xml:space="preserve"> </w:t>
      </w:r>
      <w:r w:rsidRPr="0039097A">
        <w:rPr>
          <w:rFonts w:ascii="Verdana" w:hAnsi="Verdana"/>
          <w:sz w:val="20"/>
          <w:szCs w:val="16"/>
        </w:rPr>
        <w:t>de</w:t>
      </w:r>
      <w:r w:rsidRPr="0039097A">
        <w:rPr>
          <w:rFonts w:ascii="Verdana" w:hAnsi="Verdana"/>
          <w:spacing w:val="-14"/>
          <w:sz w:val="20"/>
          <w:szCs w:val="16"/>
        </w:rPr>
        <w:t xml:space="preserve"> </w:t>
      </w:r>
      <w:r w:rsidRPr="0039097A">
        <w:rPr>
          <w:rFonts w:ascii="Verdana" w:hAnsi="Verdana"/>
          <w:sz w:val="20"/>
          <w:szCs w:val="16"/>
        </w:rPr>
        <w:t>los</w:t>
      </w:r>
      <w:r w:rsidRPr="0039097A">
        <w:rPr>
          <w:rFonts w:ascii="Verdana" w:hAnsi="Verdana"/>
          <w:spacing w:val="-12"/>
          <w:sz w:val="20"/>
          <w:szCs w:val="16"/>
        </w:rPr>
        <w:t xml:space="preserve"> </w:t>
      </w:r>
      <w:r w:rsidRPr="0039097A">
        <w:rPr>
          <w:rFonts w:ascii="Verdana" w:hAnsi="Verdana"/>
          <w:sz w:val="20"/>
          <w:szCs w:val="16"/>
        </w:rPr>
        <w:t>principios</w:t>
      </w:r>
      <w:r w:rsidRPr="0039097A">
        <w:rPr>
          <w:rFonts w:ascii="Verdana" w:hAnsi="Verdana"/>
          <w:spacing w:val="-12"/>
          <w:sz w:val="20"/>
          <w:szCs w:val="16"/>
        </w:rPr>
        <w:t xml:space="preserve"> </w:t>
      </w:r>
      <w:r w:rsidRPr="0039097A">
        <w:rPr>
          <w:rFonts w:ascii="Verdana" w:hAnsi="Verdana"/>
          <w:sz w:val="20"/>
          <w:szCs w:val="16"/>
        </w:rPr>
        <w:t>fundamentales</w:t>
      </w:r>
      <w:r w:rsidRPr="0039097A">
        <w:rPr>
          <w:rFonts w:ascii="Verdana" w:hAnsi="Verdana"/>
          <w:spacing w:val="-11"/>
          <w:sz w:val="20"/>
          <w:szCs w:val="16"/>
        </w:rPr>
        <w:t xml:space="preserve"> </w:t>
      </w:r>
      <w:r w:rsidRPr="0039097A">
        <w:rPr>
          <w:rFonts w:ascii="Verdana" w:hAnsi="Verdana"/>
          <w:sz w:val="20"/>
          <w:szCs w:val="16"/>
        </w:rPr>
        <w:t>del</w:t>
      </w:r>
      <w:r w:rsidRPr="0039097A">
        <w:rPr>
          <w:rFonts w:ascii="Verdana" w:hAnsi="Verdana"/>
          <w:spacing w:val="-11"/>
          <w:sz w:val="20"/>
          <w:szCs w:val="16"/>
        </w:rPr>
        <w:t xml:space="preserve"> </w:t>
      </w:r>
      <w:r w:rsidRPr="0039097A">
        <w:rPr>
          <w:rFonts w:ascii="Verdana" w:hAnsi="Verdana"/>
          <w:sz w:val="20"/>
          <w:szCs w:val="16"/>
        </w:rPr>
        <w:t>Derecho</w:t>
      </w:r>
      <w:r w:rsidRPr="0039097A">
        <w:rPr>
          <w:rFonts w:ascii="Verdana" w:hAnsi="Verdana"/>
          <w:spacing w:val="-12"/>
          <w:sz w:val="20"/>
          <w:szCs w:val="16"/>
        </w:rPr>
        <w:t xml:space="preserve"> </w:t>
      </w:r>
      <w:r w:rsidRPr="0039097A">
        <w:rPr>
          <w:rFonts w:ascii="Verdana" w:hAnsi="Verdana"/>
          <w:sz w:val="20"/>
          <w:szCs w:val="16"/>
        </w:rPr>
        <w:t>Internacional contemporáneo sobre responsabilidad de un</w:t>
      </w:r>
      <w:r w:rsidRPr="0039097A">
        <w:rPr>
          <w:rFonts w:ascii="Verdana" w:hAnsi="Verdana"/>
          <w:spacing w:val="-4"/>
          <w:sz w:val="20"/>
          <w:szCs w:val="16"/>
        </w:rPr>
        <w:t xml:space="preserve"> </w:t>
      </w:r>
      <w:r w:rsidRPr="0039097A">
        <w:rPr>
          <w:rFonts w:ascii="Verdana" w:hAnsi="Verdana"/>
          <w:sz w:val="20"/>
          <w:szCs w:val="16"/>
        </w:rPr>
        <w:t>Estado</w:t>
      </w:r>
      <w:r w:rsidRPr="0039097A">
        <w:rPr>
          <w:rFonts w:ascii="Verdana" w:hAnsi="Verdana"/>
          <w:sz w:val="20"/>
          <w:szCs w:val="16"/>
          <w:vertAlign w:val="superscript"/>
        </w:rPr>
        <w:footnoteReference w:id="226"/>
      </w:r>
      <w:r w:rsidRPr="0039097A">
        <w:rPr>
          <w:rFonts w:ascii="Verdana" w:hAnsi="Verdana"/>
          <w:sz w:val="20"/>
          <w:szCs w:val="16"/>
        </w:rPr>
        <w:t xml:space="preserve">. </w:t>
      </w:r>
    </w:p>
    <w:p w14:paraId="326845B2" w14:textId="77777777" w:rsidR="00342F65" w:rsidRPr="0039097A" w:rsidRDefault="00342F65" w:rsidP="005A5029">
      <w:pPr>
        <w:spacing w:after="0" w:line="240" w:lineRule="exact"/>
        <w:contextualSpacing/>
        <w:jc w:val="both"/>
        <w:rPr>
          <w:rFonts w:ascii="Verdana" w:hAnsi="Verdana"/>
          <w:sz w:val="20"/>
          <w:szCs w:val="20"/>
          <w:lang w:val="es-ES"/>
        </w:rPr>
      </w:pPr>
    </w:p>
    <w:p w14:paraId="65468DFC" w14:textId="77777777" w:rsidR="00342F65" w:rsidRPr="0039097A" w:rsidRDefault="00342F65" w:rsidP="005A5029">
      <w:pPr>
        <w:numPr>
          <w:ilvl w:val="0"/>
          <w:numId w:val="49"/>
        </w:numPr>
        <w:spacing w:after="0" w:line="240" w:lineRule="exact"/>
        <w:ind w:left="0" w:firstLine="0"/>
        <w:contextualSpacing/>
        <w:jc w:val="both"/>
        <w:rPr>
          <w:rFonts w:ascii="Verdana" w:hAnsi="Verdana"/>
          <w:sz w:val="20"/>
          <w:szCs w:val="20"/>
          <w:lang w:val="es-ES"/>
        </w:rPr>
      </w:pPr>
      <w:r w:rsidRPr="0039097A">
        <w:rPr>
          <w:rFonts w:ascii="Verdana" w:hAnsi="Verdana"/>
          <w:sz w:val="20"/>
          <w:szCs w:val="16"/>
        </w:rPr>
        <w:t>La reparación del daño ocasionado por la infracción de una obligación internacional requiere, siempre que sea posible, la plena restitución (</w:t>
      </w:r>
      <w:proofErr w:type="spellStart"/>
      <w:r w:rsidRPr="0039097A">
        <w:rPr>
          <w:rFonts w:ascii="Verdana" w:hAnsi="Verdana"/>
          <w:i/>
          <w:sz w:val="20"/>
          <w:szCs w:val="16"/>
        </w:rPr>
        <w:t>restitutio</w:t>
      </w:r>
      <w:proofErr w:type="spellEnd"/>
      <w:r w:rsidRPr="0039097A">
        <w:rPr>
          <w:rFonts w:ascii="Verdana" w:hAnsi="Verdana"/>
          <w:i/>
          <w:sz w:val="20"/>
          <w:szCs w:val="16"/>
        </w:rPr>
        <w:t xml:space="preserve"> in </w:t>
      </w:r>
      <w:proofErr w:type="spellStart"/>
      <w:r w:rsidRPr="0039097A">
        <w:rPr>
          <w:rFonts w:ascii="Verdana" w:hAnsi="Verdana"/>
          <w:i/>
          <w:sz w:val="20"/>
          <w:szCs w:val="16"/>
        </w:rPr>
        <w:t>integrum</w:t>
      </w:r>
      <w:proofErr w:type="spellEnd"/>
      <w:r w:rsidRPr="0039097A">
        <w:rPr>
          <w:rFonts w:ascii="Verdana" w:hAnsi="Verdana"/>
          <w:sz w:val="20"/>
          <w:szCs w:val="16"/>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39097A">
        <w:rPr>
          <w:rFonts w:ascii="Verdana" w:hAnsi="Verdana"/>
          <w:sz w:val="20"/>
          <w:szCs w:val="16"/>
          <w:vertAlign w:val="superscript"/>
        </w:rPr>
        <w:footnoteReference w:id="227"/>
      </w:r>
      <w:r w:rsidRPr="0039097A">
        <w:rPr>
          <w:rFonts w:ascii="Verdana" w:hAnsi="Verdana"/>
          <w:sz w:val="20"/>
          <w:szCs w:val="16"/>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w:t>
      </w:r>
      <w:r w:rsidRPr="0039097A">
        <w:rPr>
          <w:rFonts w:ascii="Verdana" w:hAnsi="Verdana"/>
          <w:spacing w:val="-12"/>
          <w:sz w:val="20"/>
          <w:szCs w:val="16"/>
        </w:rPr>
        <w:t xml:space="preserve"> </w:t>
      </w:r>
      <w:r w:rsidRPr="0039097A">
        <w:rPr>
          <w:rFonts w:ascii="Verdana" w:hAnsi="Verdana"/>
          <w:sz w:val="20"/>
          <w:szCs w:val="16"/>
        </w:rPr>
        <w:t>ocasionados</w:t>
      </w:r>
      <w:r w:rsidRPr="0039097A">
        <w:rPr>
          <w:rFonts w:ascii="Verdana" w:hAnsi="Verdana"/>
          <w:sz w:val="20"/>
          <w:szCs w:val="16"/>
          <w:vertAlign w:val="superscript"/>
        </w:rPr>
        <w:footnoteReference w:id="228"/>
      </w:r>
      <w:r w:rsidRPr="0039097A">
        <w:rPr>
          <w:rFonts w:ascii="Verdana" w:hAnsi="Verdana"/>
          <w:sz w:val="20"/>
          <w:szCs w:val="16"/>
        </w:rPr>
        <w:t>.</w:t>
      </w:r>
    </w:p>
    <w:p w14:paraId="5EC1F1F5" w14:textId="77777777" w:rsidR="00342F65" w:rsidRPr="0039097A" w:rsidRDefault="00342F65" w:rsidP="005A5029">
      <w:pPr>
        <w:widowControl w:val="0"/>
        <w:autoSpaceDE w:val="0"/>
        <w:autoSpaceDN w:val="0"/>
        <w:spacing w:before="1" w:after="0" w:line="240" w:lineRule="exact"/>
        <w:rPr>
          <w:rFonts w:ascii="Verdana" w:eastAsia="Verdana" w:hAnsi="Verdana" w:cs="Verdana"/>
          <w:sz w:val="20"/>
          <w:szCs w:val="20"/>
        </w:rPr>
      </w:pPr>
    </w:p>
    <w:p w14:paraId="516C360B" w14:textId="77777777" w:rsidR="00342F65" w:rsidRPr="0039097A" w:rsidRDefault="00342F65" w:rsidP="005A5029">
      <w:pPr>
        <w:numPr>
          <w:ilvl w:val="0"/>
          <w:numId w:val="49"/>
        </w:numPr>
        <w:spacing w:after="0" w:line="240" w:lineRule="exact"/>
        <w:ind w:left="0" w:firstLine="0"/>
        <w:contextualSpacing/>
        <w:jc w:val="both"/>
        <w:rPr>
          <w:rFonts w:ascii="Verdana" w:hAnsi="Verdana"/>
          <w:sz w:val="20"/>
          <w:szCs w:val="16"/>
        </w:rPr>
      </w:pPr>
      <w:r w:rsidRPr="0039097A">
        <w:rPr>
          <w:rFonts w:ascii="Verdana" w:hAnsi="Verdana"/>
          <w:sz w:val="20"/>
          <w:szCs w:val="16"/>
        </w:rPr>
        <w:t>La</w:t>
      </w:r>
      <w:r w:rsidRPr="0039097A">
        <w:rPr>
          <w:rFonts w:ascii="Verdana" w:hAnsi="Verdana"/>
          <w:spacing w:val="-9"/>
          <w:sz w:val="20"/>
          <w:szCs w:val="16"/>
        </w:rPr>
        <w:t xml:space="preserve"> </w:t>
      </w:r>
      <w:r w:rsidRPr="0039097A">
        <w:rPr>
          <w:rFonts w:ascii="Verdana" w:hAnsi="Verdana"/>
          <w:sz w:val="20"/>
          <w:szCs w:val="16"/>
        </w:rPr>
        <w:t>Corte</w:t>
      </w:r>
      <w:r w:rsidRPr="0039097A">
        <w:rPr>
          <w:rFonts w:ascii="Verdana" w:hAnsi="Verdana"/>
          <w:spacing w:val="-9"/>
          <w:sz w:val="20"/>
          <w:szCs w:val="16"/>
        </w:rPr>
        <w:t xml:space="preserve"> </w:t>
      </w:r>
      <w:r w:rsidRPr="0039097A">
        <w:rPr>
          <w:rFonts w:ascii="Verdana" w:hAnsi="Verdana"/>
          <w:sz w:val="20"/>
          <w:szCs w:val="16"/>
        </w:rPr>
        <w:t>ha</w:t>
      </w:r>
      <w:r w:rsidRPr="0039097A">
        <w:rPr>
          <w:rFonts w:ascii="Verdana" w:hAnsi="Verdana"/>
          <w:spacing w:val="-5"/>
          <w:sz w:val="20"/>
          <w:szCs w:val="16"/>
        </w:rPr>
        <w:t xml:space="preserve"> </w:t>
      </w:r>
      <w:r w:rsidRPr="0039097A">
        <w:rPr>
          <w:rFonts w:ascii="Verdana" w:hAnsi="Verdana"/>
          <w:sz w:val="20"/>
          <w:szCs w:val="16"/>
        </w:rPr>
        <w:t>establecido</w:t>
      </w:r>
      <w:r w:rsidRPr="0039097A">
        <w:rPr>
          <w:rFonts w:ascii="Verdana" w:hAnsi="Verdana"/>
          <w:spacing w:val="-7"/>
          <w:sz w:val="20"/>
          <w:szCs w:val="16"/>
        </w:rPr>
        <w:t xml:space="preserve"> </w:t>
      </w:r>
      <w:r w:rsidRPr="0039097A">
        <w:rPr>
          <w:rFonts w:ascii="Verdana" w:hAnsi="Verdana"/>
          <w:sz w:val="20"/>
          <w:szCs w:val="16"/>
        </w:rPr>
        <w:t>que</w:t>
      </w:r>
      <w:r w:rsidRPr="0039097A">
        <w:rPr>
          <w:rFonts w:ascii="Verdana" w:hAnsi="Verdana"/>
          <w:spacing w:val="-9"/>
          <w:sz w:val="20"/>
          <w:szCs w:val="16"/>
        </w:rPr>
        <w:t xml:space="preserve"> </w:t>
      </w:r>
      <w:r w:rsidRPr="0039097A">
        <w:rPr>
          <w:rFonts w:ascii="Verdana" w:hAnsi="Verdana"/>
          <w:sz w:val="20"/>
          <w:szCs w:val="16"/>
        </w:rPr>
        <w:t>las</w:t>
      </w:r>
      <w:r w:rsidRPr="0039097A">
        <w:rPr>
          <w:rFonts w:ascii="Verdana" w:hAnsi="Verdana"/>
          <w:spacing w:val="-9"/>
          <w:sz w:val="20"/>
          <w:szCs w:val="16"/>
        </w:rPr>
        <w:t xml:space="preserve"> </w:t>
      </w:r>
      <w:r w:rsidRPr="0039097A">
        <w:rPr>
          <w:rFonts w:ascii="Verdana" w:hAnsi="Verdana"/>
          <w:sz w:val="20"/>
          <w:szCs w:val="16"/>
        </w:rPr>
        <w:t>reparaciones</w:t>
      </w:r>
      <w:r w:rsidRPr="0039097A">
        <w:rPr>
          <w:rFonts w:ascii="Verdana" w:hAnsi="Verdana"/>
          <w:spacing w:val="-9"/>
          <w:sz w:val="20"/>
          <w:szCs w:val="16"/>
        </w:rPr>
        <w:t xml:space="preserve"> </w:t>
      </w:r>
      <w:r w:rsidRPr="0039097A">
        <w:rPr>
          <w:rFonts w:ascii="Verdana" w:hAnsi="Verdana"/>
          <w:sz w:val="20"/>
          <w:szCs w:val="16"/>
        </w:rPr>
        <w:t>deben</w:t>
      </w:r>
      <w:r w:rsidRPr="0039097A">
        <w:rPr>
          <w:rFonts w:ascii="Verdana" w:hAnsi="Verdana"/>
          <w:spacing w:val="-7"/>
          <w:sz w:val="20"/>
          <w:szCs w:val="16"/>
        </w:rPr>
        <w:t xml:space="preserve"> </w:t>
      </w:r>
      <w:r w:rsidRPr="0039097A">
        <w:rPr>
          <w:rFonts w:ascii="Verdana" w:hAnsi="Verdana"/>
          <w:sz w:val="20"/>
          <w:szCs w:val="16"/>
        </w:rPr>
        <w:t>tener</w:t>
      </w:r>
      <w:r w:rsidRPr="0039097A">
        <w:rPr>
          <w:rFonts w:ascii="Verdana" w:hAnsi="Verdana"/>
          <w:spacing w:val="-9"/>
          <w:sz w:val="20"/>
          <w:szCs w:val="16"/>
        </w:rPr>
        <w:t xml:space="preserve"> </w:t>
      </w:r>
      <w:r w:rsidRPr="0039097A">
        <w:rPr>
          <w:rFonts w:ascii="Verdana" w:hAnsi="Verdana"/>
          <w:sz w:val="20"/>
          <w:szCs w:val="16"/>
        </w:rPr>
        <w:t>un</w:t>
      </w:r>
      <w:r w:rsidRPr="0039097A">
        <w:rPr>
          <w:rFonts w:ascii="Verdana" w:hAnsi="Verdana"/>
          <w:spacing w:val="-8"/>
          <w:sz w:val="20"/>
          <w:szCs w:val="16"/>
        </w:rPr>
        <w:t xml:space="preserve"> </w:t>
      </w:r>
      <w:r w:rsidRPr="0039097A">
        <w:rPr>
          <w:rFonts w:ascii="Verdana" w:hAnsi="Verdana"/>
          <w:sz w:val="20"/>
          <w:szCs w:val="16"/>
        </w:rPr>
        <w:t>nexo</w:t>
      </w:r>
      <w:r w:rsidRPr="0039097A">
        <w:rPr>
          <w:rFonts w:ascii="Verdana" w:hAnsi="Verdana"/>
          <w:spacing w:val="-9"/>
          <w:sz w:val="20"/>
          <w:szCs w:val="16"/>
        </w:rPr>
        <w:t xml:space="preserve"> </w:t>
      </w:r>
      <w:r w:rsidRPr="0039097A">
        <w:rPr>
          <w:rFonts w:ascii="Verdana" w:hAnsi="Verdana"/>
          <w:sz w:val="20"/>
          <w:szCs w:val="16"/>
        </w:rPr>
        <w:t>causal</w:t>
      </w:r>
      <w:r w:rsidRPr="0039097A">
        <w:rPr>
          <w:rFonts w:ascii="Verdana" w:hAnsi="Verdana"/>
          <w:spacing w:val="-7"/>
          <w:sz w:val="20"/>
          <w:szCs w:val="16"/>
        </w:rPr>
        <w:t xml:space="preserve"> </w:t>
      </w:r>
      <w:r w:rsidRPr="0039097A">
        <w:rPr>
          <w:rFonts w:ascii="Verdana" w:hAnsi="Verdana"/>
          <w:sz w:val="20"/>
          <w:szCs w:val="16"/>
        </w:rPr>
        <w:t>con</w:t>
      </w:r>
      <w:r w:rsidRPr="0039097A">
        <w:rPr>
          <w:rFonts w:ascii="Verdana" w:hAnsi="Verdana"/>
          <w:spacing w:val="-7"/>
          <w:sz w:val="20"/>
          <w:szCs w:val="16"/>
        </w:rPr>
        <w:t xml:space="preserve"> </w:t>
      </w:r>
      <w:r w:rsidRPr="0039097A">
        <w:rPr>
          <w:rFonts w:ascii="Verdana" w:hAnsi="Verdana"/>
          <w:sz w:val="20"/>
          <w:szCs w:val="16"/>
        </w:rPr>
        <w:t>los</w:t>
      </w:r>
      <w:r w:rsidRPr="0039097A">
        <w:rPr>
          <w:rFonts w:ascii="Verdana" w:hAnsi="Verdana"/>
          <w:spacing w:val="-9"/>
          <w:sz w:val="20"/>
          <w:szCs w:val="16"/>
        </w:rPr>
        <w:t xml:space="preserve"> </w:t>
      </w:r>
      <w:r w:rsidRPr="0039097A">
        <w:rPr>
          <w:rFonts w:ascii="Verdana" w:hAnsi="Verdana"/>
          <w:sz w:val="20"/>
          <w:szCs w:val="16"/>
        </w:rPr>
        <w:t>hechos del caso, las violaciones declaradas, los daños acreditados, así como las medidas solicitadas para reparar los daños respectivos. Por lo tanto, la Corte deberá observar dicha concurrencia para pronunciarse debidamente y conforme a</w:t>
      </w:r>
      <w:r w:rsidRPr="0039097A">
        <w:rPr>
          <w:rFonts w:ascii="Verdana" w:hAnsi="Verdana"/>
          <w:spacing w:val="-9"/>
          <w:sz w:val="20"/>
          <w:szCs w:val="16"/>
        </w:rPr>
        <w:t xml:space="preserve"> </w:t>
      </w:r>
      <w:r w:rsidRPr="0039097A">
        <w:rPr>
          <w:rFonts w:ascii="Verdana" w:hAnsi="Verdana"/>
          <w:sz w:val="20"/>
          <w:szCs w:val="16"/>
        </w:rPr>
        <w:t>derecho</w:t>
      </w:r>
      <w:r w:rsidRPr="0039097A">
        <w:rPr>
          <w:rFonts w:ascii="Verdana" w:hAnsi="Verdana"/>
          <w:sz w:val="20"/>
          <w:szCs w:val="16"/>
          <w:vertAlign w:val="superscript"/>
        </w:rPr>
        <w:footnoteReference w:id="229"/>
      </w:r>
      <w:r w:rsidRPr="0039097A">
        <w:rPr>
          <w:rFonts w:ascii="Verdana" w:hAnsi="Verdana"/>
          <w:sz w:val="20"/>
          <w:szCs w:val="16"/>
        </w:rPr>
        <w:t>.</w:t>
      </w:r>
    </w:p>
    <w:p w14:paraId="3F622F5E" w14:textId="77777777" w:rsidR="00342F65" w:rsidRPr="0039097A" w:rsidRDefault="00342F65" w:rsidP="005A5029">
      <w:pPr>
        <w:widowControl w:val="0"/>
        <w:autoSpaceDE w:val="0"/>
        <w:autoSpaceDN w:val="0"/>
        <w:spacing w:before="11" w:after="0" w:line="240" w:lineRule="exact"/>
        <w:rPr>
          <w:rFonts w:ascii="Verdana" w:eastAsia="Verdana" w:hAnsi="Verdana" w:cs="Verdana"/>
          <w:sz w:val="19"/>
          <w:szCs w:val="20"/>
        </w:rPr>
      </w:pPr>
    </w:p>
    <w:p w14:paraId="34C00E27" w14:textId="77777777" w:rsidR="00342F65" w:rsidRPr="0039097A" w:rsidRDefault="00342F65" w:rsidP="005A5029">
      <w:pPr>
        <w:numPr>
          <w:ilvl w:val="0"/>
          <w:numId w:val="49"/>
        </w:numPr>
        <w:spacing w:after="0" w:line="240" w:lineRule="exact"/>
        <w:ind w:left="0" w:firstLine="0"/>
        <w:contextualSpacing/>
        <w:jc w:val="both"/>
        <w:rPr>
          <w:rFonts w:ascii="Verdana" w:hAnsi="Verdana"/>
          <w:sz w:val="20"/>
          <w:szCs w:val="16"/>
        </w:rPr>
      </w:pPr>
      <w:r w:rsidRPr="0039097A">
        <w:rPr>
          <w:rFonts w:ascii="Verdana" w:hAnsi="Verdana"/>
          <w:sz w:val="20"/>
          <w:szCs w:val="16"/>
        </w:rPr>
        <w:t>Tomando</w:t>
      </w:r>
      <w:r w:rsidRPr="0039097A">
        <w:rPr>
          <w:rFonts w:ascii="Verdana" w:hAnsi="Verdana"/>
          <w:spacing w:val="-6"/>
          <w:sz w:val="20"/>
          <w:szCs w:val="16"/>
        </w:rPr>
        <w:t xml:space="preserve"> </w:t>
      </w:r>
      <w:r w:rsidRPr="0039097A">
        <w:rPr>
          <w:rFonts w:ascii="Verdana" w:hAnsi="Verdana"/>
          <w:sz w:val="20"/>
          <w:szCs w:val="16"/>
        </w:rPr>
        <w:t>en</w:t>
      </w:r>
      <w:r w:rsidRPr="0039097A">
        <w:rPr>
          <w:rFonts w:ascii="Verdana" w:hAnsi="Verdana"/>
          <w:spacing w:val="-5"/>
          <w:sz w:val="20"/>
          <w:szCs w:val="16"/>
        </w:rPr>
        <w:t xml:space="preserve"> </w:t>
      </w:r>
      <w:r w:rsidRPr="0039097A">
        <w:rPr>
          <w:rFonts w:ascii="Verdana" w:hAnsi="Verdana"/>
          <w:sz w:val="20"/>
          <w:szCs w:val="16"/>
        </w:rPr>
        <w:t>cuenta</w:t>
      </w:r>
      <w:r w:rsidRPr="0039097A">
        <w:rPr>
          <w:rFonts w:ascii="Verdana" w:hAnsi="Verdana"/>
          <w:spacing w:val="-6"/>
          <w:sz w:val="20"/>
          <w:szCs w:val="16"/>
        </w:rPr>
        <w:t xml:space="preserve"> </w:t>
      </w:r>
      <w:r w:rsidRPr="0039097A">
        <w:rPr>
          <w:rFonts w:ascii="Verdana" w:hAnsi="Verdana"/>
          <w:sz w:val="20"/>
          <w:szCs w:val="16"/>
        </w:rPr>
        <w:t>las</w:t>
      </w:r>
      <w:r w:rsidRPr="0039097A">
        <w:rPr>
          <w:rFonts w:ascii="Verdana" w:hAnsi="Verdana"/>
          <w:spacing w:val="-5"/>
          <w:sz w:val="20"/>
          <w:szCs w:val="16"/>
        </w:rPr>
        <w:t xml:space="preserve"> </w:t>
      </w:r>
      <w:r w:rsidRPr="0039097A">
        <w:rPr>
          <w:rFonts w:ascii="Verdana" w:hAnsi="Verdana"/>
          <w:sz w:val="20"/>
          <w:szCs w:val="16"/>
        </w:rPr>
        <w:t>violaciones</w:t>
      </w:r>
      <w:r w:rsidRPr="0039097A">
        <w:rPr>
          <w:rFonts w:ascii="Verdana" w:hAnsi="Verdana"/>
          <w:spacing w:val="-7"/>
          <w:sz w:val="20"/>
          <w:szCs w:val="16"/>
        </w:rPr>
        <w:t xml:space="preserve"> </w:t>
      </w:r>
      <w:r w:rsidRPr="0039097A">
        <w:rPr>
          <w:rFonts w:ascii="Verdana" w:hAnsi="Verdana"/>
          <w:sz w:val="20"/>
          <w:szCs w:val="16"/>
        </w:rPr>
        <w:t>a</w:t>
      </w:r>
      <w:r w:rsidRPr="0039097A">
        <w:rPr>
          <w:rFonts w:ascii="Verdana" w:hAnsi="Verdana"/>
          <w:spacing w:val="-6"/>
          <w:sz w:val="20"/>
          <w:szCs w:val="16"/>
        </w:rPr>
        <w:t xml:space="preserve"> </w:t>
      </w:r>
      <w:r w:rsidRPr="0039097A">
        <w:rPr>
          <w:rFonts w:ascii="Verdana" w:hAnsi="Verdana"/>
          <w:sz w:val="20"/>
          <w:szCs w:val="16"/>
        </w:rPr>
        <w:t>la</w:t>
      </w:r>
      <w:r w:rsidRPr="0039097A">
        <w:rPr>
          <w:rFonts w:ascii="Verdana" w:hAnsi="Verdana"/>
          <w:spacing w:val="-4"/>
          <w:sz w:val="20"/>
          <w:szCs w:val="16"/>
        </w:rPr>
        <w:t xml:space="preserve"> </w:t>
      </w:r>
      <w:r w:rsidRPr="0039097A">
        <w:rPr>
          <w:rFonts w:ascii="Verdana" w:hAnsi="Verdana"/>
          <w:sz w:val="20"/>
          <w:szCs w:val="16"/>
        </w:rPr>
        <w:t>Convención</w:t>
      </w:r>
      <w:r w:rsidRPr="0039097A">
        <w:rPr>
          <w:rFonts w:ascii="Verdana" w:hAnsi="Verdana"/>
          <w:spacing w:val="-5"/>
          <w:sz w:val="20"/>
          <w:szCs w:val="16"/>
        </w:rPr>
        <w:t xml:space="preserve"> </w:t>
      </w:r>
      <w:r w:rsidRPr="0039097A">
        <w:rPr>
          <w:rFonts w:ascii="Verdana" w:hAnsi="Verdana"/>
          <w:sz w:val="20"/>
          <w:szCs w:val="16"/>
        </w:rPr>
        <w:t>Americana</w:t>
      </w:r>
      <w:r w:rsidRPr="0039097A">
        <w:rPr>
          <w:rFonts w:ascii="Verdana" w:hAnsi="Verdana"/>
          <w:spacing w:val="-7"/>
          <w:sz w:val="20"/>
          <w:szCs w:val="16"/>
        </w:rPr>
        <w:t xml:space="preserve"> </w:t>
      </w:r>
      <w:r w:rsidRPr="0039097A">
        <w:rPr>
          <w:rFonts w:ascii="Verdana" w:hAnsi="Verdana"/>
          <w:sz w:val="20"/>
          <w:szCs w:val="16"/>
        </w:rPr>
        <w:t>declaradas</w:t>
      </w:r>
      <w:r w:rsidRPr="0039097A">
        <w:rPr>
          <w:rFonts w:ascii="Verdana" w:hAnsi="Verdana"/>
          <w:spacing w:val="-7"/>
          <w:sz w:val="20"/>
          <w:szCs w:val="16"/>
        </w:rPr>
        <w:t xml:space="preserve"> </w:t>
      </w:r>
      <w:r w:rsidRPr="0039097A">
        <w:rPr>
          <w:rFonts w:ascii="Verdana" w:hAnsi="Verdana"/>
          <w:sz w:val="20"/>
          <w:szCs w:val="16"/>
        </w:rPr>
        <w:t>en</w:t>
      </w:r>
      <w:r w:rsidRPr="0039097A">
        <w:rPr>
          <w:rFonts w:ascii="Verdana" w:hAnsi="Verdana"/>
          <w:spacing w:val="-3"/>
          <w:sz w:val="20"/>
          <w:szCs w:val="16"/>
        </w:rPr>
        <w:t xml:space="preserve"> </w:t>
      </w:r>
      <w:r w:rsidRPr="0039097A">
        <w:rPr>
          <w:rFonts w:ascii="Verdana" w:hAnsi="Verdana"/>
          <w:sz w:val="20"/>
          <w:szCs w:val="16"/>
        </w:rPr>
        <w:t>los</w:t>
      </w:r>
      <w:r w:rsidRPr="0039097A">
        <w:rPr>
          <w:rFonts w:ascii="Verdana" w:hAnsi="Verdana"/>
          <w:spacing w:val="-6"/>
          <w:sz w:val="20"/>
          <w:szCs w:val="16"/>
        </w:rPr>
        <w:t xml:space="preserve"> </w:t>
      </w:r>
      <w:r w:rsidRPr="0039097A">
        <w:rPr>
          <w:rFonts w:ascii="Verdana" w:hAnsi="Verdana"/>
          <w:sz w:val="20"/>
          <w:szCs w:val="16"/>
        </w:rPr>
        <w:t>capítulos anteriores, a la luz de los criterios fijados en la jurisprudencia del Tribunal en relación con la naturaleza y alcances de la obligación de reparar</w:t>
      </w:r>
      <w:r w:rsidRPr="0039097A">
        <w:rPr>
          <w:rFonts w:ascii="Verdana" w:hAnsi="Verdana"/>
          <w:sz w:val="20"/>
          <w:szCs w:val="16"/>
          <w:vertAlign w:val="superscript"/>
        </w:rPr>
        <w:footnoteReference w:id="230"/>
      </w:r>
      <w:r w:rsidRPr="0039097A">
        <w:rPr>
          <w:rFonts w:ascii="Verdana" w:hAnsi="Verdana"/>
          <w:sz w:val="20"/>
          <w:szCs w:val="16"/>
        </w:rPr>
        <w:t>, la Corte analizará las pretensiones presentadas por la Comisión y los representantes, así como los argumentos del Estado al respecto, con el objeto de disponer a continuación las medidas tendientes a reparar dichas</w:t>
      </w:r>
      <w:r w:rsidRPr="0039097A">
        <w:rPr>
          <w:rFonts w:ascii="Verdana" w:hAnsi="Verdana"/>
          <w:spacing w:val="-18"/>
          <w:sz w:val="20"/>
          <w:szCs w:val="16"/>
        </w:rPr>
        <w:t xml:space="preserve"> </w:t>
      </w:r>
      <w:r w:rsidRPr="0039097A">
        <w:rPr>
          <w:rFonts w:ascii="Verdana" w:hAnsi="Verdana"/>
          <w:sz w:val="20"/>
          <w:szCs w:val="16"/>
        </w:rPr>
        <w:t>violaciones.</w:t>
      </w:r>
    </w:p>
    <w:p w14:paraId="46EBC250" w14:textId="77777777" w:rsidR="00342F65" w:rsidRPr="0039097A" w:rsidRDefault="00342F65" w:rsidP="005A5029">
      <w:pPr>
        <w:widowControl w:val="0"/>
        <w:autoSpaceDE w:val="0"/>
        <w:autoSpaceDN w:val="0"/>
        <w:spacing w:before="1" w:after="0" w:line="240" w:lineRule="exact"/>
        <w:rPr>
          <w:rFonts w:ascii="Verdana" w:eastAsia="Verdana" w:hAnsi="Verdana" w:cs="Verdana"/>
          <w:sz w:val="20"/>
          <w:szCs w:val="20"/>
        </w:rPr>
      </w:pPr>
    </w:p>
    <w:p w14:paraId="5D8A503A" w14:textId="77777777" w:rsidR="00342F65" w:rsidRPr="0039097A" w:rsidRDefault="00342F65" w:rsidP="00A0786D">
      <w:pPr>
        <w:numPr>
          <w:ilvl w:val="0"/>
          <w:numId w:val="36"/>
        </w:numPr>
        <w:spacing w:after="0" w:line="240" w:lineRule="exact"/>
        <w:ind w:left="284" w:firstLine="0"/>
        <w:contextualSpacing/>
        <w:outlineLvl w:val="1"/>
        <w:rPr>
          <w:rFonts w:ascii="Verdana" w:hAnsi="Verdana"/>
          <w:b/>
          <w:sz w:val="20"/>
          <w:szCs w:val="16"/>
          <w:lang w:val="es-ES_tradnl"/>
        </w:rPr>
      </w:pPr>
      <w:bookmarkStart w:id="74" w:name="_Toc80002636"/>
      <w:bookmarkStart w:id="75" w:name="_Toc85550431"/>
      <w:r w:rsidRPr="0039097A">
        <w:rPr>
          <w:rFonts w:ascii="Verdana" w:hAnsi="Verdana"/>
          <w:b/>
          <w:i/>
          <w:sz w:val="20"/>
          <w:szCs w:val="16"/>
          <w:lang w:val="es-ES_tradnl"/>
        </w:rPr>
        <w:t>Parte Lesionada</w:t>
      </w:r>
      <w:bookmarkEnd w:id="74"/>
      <w:bookmarkEnd w:id="75"/>
    </w:p>
    <w:p w14:paraId="1E34A0C2" w14:textId="77777777" w:rsidR="00342F65" w:rsidRPr="0039097A" w:rsidRDefault="00342F65" w:rsidP="005A5029">
      <w:pPr>
        <w:widowControl w:val="0"/>
        <w:autoSpaceDE w:val="0"/>
        <w:autoSpaceDN w:val="0"/>
        <w:spacing w:before="11" w:after="0" w:line="240" w:lineRule="exact"/>
        <w:rPr>
          <w:rFonts w:ascii="Verdana" w:eastAsia="Verdana" w:hAnsi="Verdana" w:cs="Verdana"/>
          <w:b/>
          <w:i/>
          <w:sz w:val="19"/>
          <w:szCs w:val="20"/>
          <w:lang w:val="en-US"/>
        </w:rPr>
      </w:pPr>
    </w:p>
    <w:p w14:paraId="6407E43A" w14:textId="17D2AD25" w:rsidR="00342F65" w:rsidRPr="00AB146A" w:rsidRDefault="00342F65" w:rsidP="005A5029">
      <w:pPr>
        <w:numPr>
          <w:ilvl w:val="0"/>
          <w:numId w:val="49"/>
        </w:numPr>
        <w:spacing w:after="0" w:line="240" w:lineRule="exact"/>
        <w:ind w:left="0" w:firstLine="0"/>
        <w:contextualSpacing/>
        <w:jc w:val="both"/>
        <w:rPr>
          <w:rFonts w:ascii="Verdana" w:hAnsi="Verdana"/>
          <w:sz w:val="20"/>
          <w:szCs w:val="20"/>
        </w:rPr>
      </w:pPr>
      <w:r w:rsidRPr="00AB146A">
        <w:rPr>
          <w:rFonts w:ascii="Verdana" w:hAnsi="Verdana"/>
          <w:sz w:val="20"/>
          <w:szCs w:val="20"/>
        </w:rPr>
        <w:t>Este Tribunal considera parte lesionada, en los términos del artículo 63.1 de la Convención, a las personas que han sido declaradas víctimas de la violación de algún derecho reconocido en la misma. En este caso, la Corte co</w:t>
      </w:r>
      <w:r>
        <w:rPr>
          <w:rFonts w:ascii="Verdana" w:hAnsi="Verdana"/>
          <w:sz w:val="20"/>
          <w:szCs w:val="20"/>
        </w:rPr>
        <w:t xml:space="preserve">nsidera como “parte lesionada” a Flora </w:t>
      </w:r>
      <w:proofErr w:type="spellStart"/>
      <w:r>
        <w:rPr>
          <w:rFonts w:ascii="Verdana" w:hAnsi="Verdana"/>
          <w:sz w:val="20"/>
          <w:szCs w:val="20"/>
        </w:rPr>
        <w:t>Potasnik</w:t>
      </w:r>
      <w:proofErr w:type="spellEnd"/>
      <w:r>
        <w:rPr>
          <w:rFonts w:ascii="Verdana" w:hAnsi="Verdana"/>
          <w:sz w:val="20"/>
          <w:szCs w:val="20"/>
        </w:rPr>
        <w:t xml:space="preserve">, </w:t>
      </w:r>
      <w:r w:rsidRPr="00AB146A">
        <w:rPr>
          <w:rFonts w:ascii="Verdana" w:hAnsi="Verdana"/>
          <w:sz w:val="20"/>
          <w:szCs w:val="20"/>
        </w:rPr>
        <w:t xml:space="preserve">Mónica Raquel </w:t>
      </w:r>
      <w:proofErr w:type="spellStart"/>
      <w:r w:rsidRPr="00AB146A">
        <w:rPr>
          <w:rFonts w:ascii="Verdana" w:hAnsi="Verdana"/>
          <w:sz w:val="20"/>
          <w:szCs w:val="20"/>
        </w:rPr>
        <w:t>Wodzislawski</w:t>
      </w:r>
      <w:proofErr w:type="spellEnd"/>
      <w:r>
        <w:rPr>
          <w:rFonts w:ascii="Verdana" w:hAnsi="Verdana"/>
          <w:sz w:val="20"/>
          <w:szCs w:val="20"/>
        </w:rPr>
        <w:t xml:space="preserve">, </w:t>
      </w:r>
      <w:r w:rsidRPr="00AB146A">
        <w:rPr>
          <w:rFonts w:ascii="Verdana" w:hAnsi="Verdana"/>
          <w:sz w:val="20"/>
          <w:szCs w:val="20"/>
        </w:rPr>
        <w:t xml:space="preserve">Marta </w:t>
      </w:r>
      <w:proofErr w:type="spellStart"/>
      <w:r w:rsidRPr="00AB146A">
        <w:rPr>
          <w:rFonts w:ascii="Verdana" w:hAnsi="Verdana"/>
          <w:sz w:val="20"/>
          <w:szCs w:val="20"/>
        </w:rPr>
        <w:t>Odizzio</w:t>
      </w:r>
      <w:proofErr w:type="spellEnd"/>
      <w:r w:rsidRPr="00AB146A">
        <w:rPr>
          <w:rFonts w:ascii="Verdana" w:hAnsi="Verdana"/>
          <w:sz w:val="20"/>
          <w:szCs w:val="20"/>
        </w:rPr>
        <w:t xml:space="preserve"> de Raggio, Horacio Enrique Raggio </w:t>
      </w:r>
      <w:proofErr w:type="spellStart"/>
      <w:r w:rsidRPr="00AB146A">
        <w:rPr>
          <w:rFonts w:ascii="Verdana" w:hAnsi="Verdana"/>
          <w:sz w:val="20"/>
          <w:szCs w:val="20"/>
        </w:rPr>
        <w:t>Odizzio</w:t>
      </w:r>
      <w:proofErr w:type="spellEnd"/>
      <w:r>
        <w:rPr>
          <w:rFonts w:ascii="Verdana" w:hAnsi="Verdana"/>
          <w:sz w:val="20"/>
          <w:szCs w:val="20"/>
        </w:rPr>
        <w:t>,</w:t>
      </w:r>
      <w:r w:rsidRPr="00AB146A">
        <w:rPr>
          <w:rFonts w:ascii="Verdana" w:hAnsi="Verdana"/>
          <w:sz w:val="20"/>
          <w:szCs w:val="20"/>
        </w:rPr>
        <w:t xml:space="preserve"> Daniel Raggio </w:t>
      </w:r>
      <w:proofErr w:type="spellStart"/>
      <w:r w:rsidRPr="00AB146A">
        <w:rPr>
          <w:rFonts w:ascii="Verdana" w:hAnsi="Verdana"/>
          <w:sz w:val="20"/>
          <w:szCs w:val="20"/>
        </w:rPr>
        <w:t>Odizzio</w:t>
      </w:r>
      <w:proofErr w:type="spellEnd"/>
      <w:r>
        <w:rPr>
          <w:rFonts w:ascii="Verdana" w:hAnsi="Verdana"/>
          <w:sz w:val="20"/>
          <w:szCs w:val="20"/>
        </w:rPr>
        <w:t xml:space="preserve">, Arturo Ricardo Reyes </w:t>
      </w:r>
      <w:proofErr w:type="spellStart"/>
      <w:r>
        <w:rPr>
          <w:rFonts w:ascii="Verdana" w:hAnsi="Verdana"/>
          <w:sz w:val="20"/>
          <w:szCs w:val="20"/>
        </w:rPr>
        <w:t>Gaetá</w:t>
      </w:r>
      <w:r w:rsidRPr="00AB146A">
        <w:rPr>
          <w:rFonts w:ascii="Verdana" w:hAnsi="Verdana"/>
          <w:sz w:val="20"/>
          <w:szCs w:val="20"/>
        </w:rPr>
        <w:t>n</w:t>
      </w:r>
      <w:proofErr w:type="spellEnd"/>
      <w:r w:rsidRPr="00AB146A">
        <w:rPr>
          <w:rFonts w:ascii="Verdana" w:hAnsi="Verdana"/>
          <w:sz w:val="20"/>
          <w:szCs w:val="20"/>
        </w:rPr>
        <w:t xml:space="preserve">, Celia Natividad </w:t>
      </w:r>
      <w:proofErr w:type="spellStart"/>
      <w:r w:rsidRPr="00AB146A">
        <w:rPr>
          <w:rFonts w:ascii="Verdana" w:hAnsi="Verdana"/>
          <w:sz w:val="20"/>
          <w:szCs w:val="20"/>
        </w:rPr>
        <w:t>Sedarri</w:t>
      </w:r>
      <w:proofErr w:type="spellEnd"/>
      <w:r w:rsidRPr="00AB146A">
        <w:rPr>
          <w:rFonts w:ascii="Verdana" w:hAnsi="Verdana"/>
          <w:sz w:val="20"/>
          <w:szCs w:val="20"/>
        </w:rPr>
        <w:t xml:space="preserve"> Aparicio, Estela Reyes </w:t>
      </w:r>
      <w:proofErr w:type="spellStart"/>
      <w:r w:rsidRPr="00AB146A">
        <w:rPr>
          <w:rFonts w:ascii="Verdana" w:hAnsi="Verdana"/>
          <w:sz w:val="20"/>
          <w:szCs w:val="20"/>
        </w:rPr>
        <w:t>Sedarri</w:t>
      </w:r>
      <w:proofErr w:type="spellEnd"/>
      <w:r w:rsidRPr="00AB146A">
        <w:rPr>
          <w:rFonts w:ascii="Verdana" w:hAnsi="Verdana"/>
          <w:sz w:val="20"/>
          <w:szCs w:val="20"/>
        </w:rPr>
        <w:t xml:space="preserve">, </w:t>
      </w:r>
      <w:proofErr w:type="spellStart"/>
      <w:r w:rsidRPr="00AB146A">
        <w:rPr>
          <w:rFonts w:ascii="Verdana" w:hAnsi="Verdana"/>
          <w:sz w:val="20"/>
          <w:szCs w:val="20"/>
        </w:rPr>
        <w:t>Whashington</w:t>
      </w:r>
      <w:proofErr w:type="spellEnd"/>
      <w:r w:rsidRPr="00AB146A">
        <w:rPr>
          <w:rFonts w:ascii="Verdana" w:hAnsi="Verdana"/>
          <w:sz w:val="20"/>
          <w:szCs w:val="20"/>
        </w:rPr>
        <w:t xml:space="preserve"> Javier Barrios Fernández, Washington Barrios, Hilda María Fern</w:t>
      </w:r>
      <w:r w:rsidR="00CC137B">
        <w:rPr>
          <w:rFonts w:ascii="Verdana" w:hAnsi="Verdana"/>
          <w:sz w:val="20"/>
          <w:szCs w:val="20"/>
        </w:rPr>
        <w:t>ández</w:t>
      </w:r>
      <w:r w:rsidRPr="00AB146A">
        <w:rPr>
          <w:rFonts w:ascii="Verdana" w:hAnsi="Verdana"/>
          <w:sz w:val="20"/>
          <w:szCs w:val="20"/>
        </w:rPr>
        <w:t xml:space="preserve"> Rodríguez</w:t>
      </w:r>
      <w:r>
        <w:rPr>
          <w:rFonts w:ascii="Verdana" w:hAnsi="Verdana"/>
          <w:sz w:val="20"/>
          <w:szCs w:val="20"/>
        </w:rPr>
        <w:t>,</w:t>
      </w:r>
      <w:r w:rsidRPr="00AB146A">
        <w:rPr>
          <w:rFonts w:ascii="Verdana" w:hAnsi="Verdana"/>
          <w:sz w:val="20"/>
          <w:szCs w:val="20"/>
        </w:rPr>
        <w:t xml:space="preserve"> Jaqueline Barrios Fernández</w:t>
      </w:r>
      <w:r>
        <w:rPr>
          <w:rFonts w:ascii="Verdana" w:hAnsi="Verdana"/>
          <w:sz w:val="20"/>
          <w:szCs w:val="20"/>
        </w:rPr>
        <w:t>,</w:t>
      </w:r>
      <w:r w:rsidRPr="00AB146A">
        <w:rPr>
          <w:rFonts w:ascii="Verdana" w:hAnsi="Verdana"/>
          <w:sz w:val="20"/>
          <w:szCs w:val="20"/>
        </w:rPr>
        <w:t xml:space="preserve"> Luis Eduardo González </w:t>
      </w:r>
      <w:proofErr w:type="spellStart"/>
      <w:r w:rsidRPr="00AB146A">
        <w:rPr>
          <w:rFonts w:ascii="Verdana" w:hAnsi="Verdana"/>
          <w:sz w:val="20"/>
          <w:szCs w:val="20"/>
        </w:rPr>
        <w:t>González</w:t>
      </w:r>
      <w:proofErr w:type="spellEnd"/>
      <w:r>
        <w:rPr>
          <w:rFonts w:ascii="Verdana" w:hAnsi="Verdana"/>
          <w:sz w:val="20"/>
          <w:szCs w:val="20"/>
        </w:rPr>
        <w:t>,</w:t>
      </w:r>
      <w:r w:rsidRPr="00AB146A">
        <w:rPr>
          <w:rFonts w:ascii="Verdana" w:hAnsi="Verdana"/>
          <w:sz w:val="20"/>
          <w:szCs w:val="20"/>
        </w:rPr>
        <w:t xml:space="preserve"> Amalia González de González, Elena Zaffaroni Rocco</w:t>
      </w:r>
      <w:r>
        <w:rPr>
          <w:rFonts w:ascii="Verdana" w:hAnsi="Verdana"/>
          <w:sz w:val="20"/>
          <w:szCs w:val="20"/>
        </w:rPr>
        <w:t>,</w:t>
      </w:r>
      <w:r w:rsidRPr="00AB146A">
        <w:rPr>
          <w:rFonts w:ascii="Verdana" w:hAnsi="Verdana"/>
          <w:sz w:val="20"/>
          <w:szCs w:val="20"/>
        </w:rPr>
        <w:t xml:space="preserve"> Óscar </w:t>
      </w:r>
      <w:proofErr w:type="spellStart"/>
      <w:r w:rsidRPr="00AB146A">
        <w:rPr>
          <w:rFonts w:ascii="Verdana" w:hAnsi="Verdana"/>
          <w:sz w:val="20"/>
          <w:szCs w:val="20"/>
        </w:rPr>
        <w:t>Tassino</w:t>
      </w:r>
      <w:proofErr w:type="spellEnd"/>
      <w:r w:rsidRPr="00AB146A">
        <w:rPr>
          <w:rFonts w:ascii="Verdana" w:hAnsi="Verdana"/>
          <w:sz w:val="20"/>
          <w:szCs w:val="20"/>
        </w:rPr>
        <w:t xml:space="preserve"> </w:t>
      </w:r>
      <w:proofErr w:type="spellStart"/>
      <w:r w:rsidRPr="00AB146A">
        <w:rPr>
          <w:rFonts w:ascii="Verdana" w:hAnsi="Verdana"/>
          <w:sz w:val="20"/>
          <w:szCs w:val="20"/>
        </w:rPr>
        <w:t>Asteazu</w:t>
      </w:r>
      <w:proofErr w:type="spellEnd"/>
      <w:r>
        <w:rPr>
          <w:rFonts w:ascii="Verdana" w:hAnsi="Verdana"/>
          <w:sz w:val="20"/>
          <w:szCs w:val="20"/>
        </w:rPr>
        <w:t xml:space="preserve">, </w:t>
      </w:r>
      <w:proofErr w:type="spellStart"/>
      <w:r w:rsidRPr="00AB146A">
        <w:rPr>
          <w:rFonts w:ascii="Verdana" w:hAnsi="Verdana"/>
          <w:sz w:val="20"/>
          <w:szCs w:val="20"/>
        </w:rPr>
        <w:t>Disnarda</w:t>
      </w:r>
      <w:proofErr w:type="spellEnd"/>
      <w:r w:rsidRPr="00AB146A">
        <w:rPr>
          <w:rFonts w:ascii="Verdana" w:hAnsi="Verdana"/>
          <w:sz w:val="20"/>
          <w:szCs w:val="20"/>
        </w:rPr>
        <w:t xml:space="preserve"> Ema Flores Soler de </w:t>
      </w:r>
      <w:proofErr w:type="spellStart"/>
      <w:r w:rsidRPr="00AB146A">
        <w:rPr>
          <w:rFonts w:ascii="Verdana" w:hAnsi="Verdana"/>
          <w:sz w:val="20"/>
          <w:szCs w:val="20"/>
        </w:rPr>
        <w:t>Tassino</w:t>
      </w:r>
      <w:proofErr w:type="spellEnd"/>
      <w:r w:rsidRPr="00AB146A">
        <w:rPr>
          <w:rFonts w:ascii="Verdana" w:hAnsi="Verdana"/>
          <w:sz w:val="20"/>
          <w:szCs w:val="20"/>
        </w:rPr>
        <w:t xml:space="preserve">, Karina Teresa </w:t>
      </w:r>
      <w:proofErr w:type="spellStart"/>
      <w:r w:rsidRPr="00AB146A">
        <w:rPr>
          <w:rFonts w:ascii="Verdana" w:hAnsi="Verdana"/>
          <w:sz w:val="20"/>
          <w:szCs w:val="20"/>
        </w:rPr>
        <w:t>Tassino</w:t>
      </w:r>
      <w:proofErr w:type="spellEnd"/>
      <w:r w:rsidRPr="00AB146A">
        <w:rPr>
          <w:rFonts w:ascii="Verdana" w:hAnsi="Verdana"/>
          <w:sz w:val="20"/>
          <w:szCs w:val="20"/>
        </w:rPr>
        <w:t xml:space="preserve">, Javier </w:t>
      </w:r>
      <w:proofErr w:type="spellStart"/>
      <w:r w:rsidRPr="00AB146A">
        <w:rPr>
          <w:rFonts w:ascii="Verdana" w:hAnsi="Verdana"/>
          <w:sz w:val="20"/>
          <w:szCs w:val="20"/>
        </w:rPr>
        <w:t>Tassino</w:t>
      </w:r>
      <w:proofErr w:type="spellEnd"/>
      <w:r>
        <w:rPr>
          <w:rFonts w:ascii="Verdana" w:hAnsi="Verdana"/>
          <w:sz w:val="20"/>
          <w:szCs w:val="20"/>
        </w:rPr>
        <w:t xml:space="preserve"> y Álvaro Luis </w:t>
      </w:r>
      <w:proofErr w:type="spellStart"/>
      <w:r>
        <w:rPr>
          <w:rFonts w:ascii="Verdana" w:hAnsi="Verdana"/>
          <w:sz w:val="20"/>
          <w:szCs w:val="20"/>
        </w:rPr>
        <w:t>Tassino</w:t>
      </w:r>
      <w:proofErr w:type="spellEnd"/>
      <w:r>
        <w:rPr>
          <w:rFonts w:ascii="Verdana" w:hAnsi="Verdana"/>
          <w:sz w:val="20"/>
          <w:szCs w:val="20"/>
        </w:rPr>
        <w:t>,</w:t>
      </w:r>
      <w:r w:rsidRPr="00AB146A">
        <w:rPr>
          <w:rFonts w:ascii="Verdana" w:hAnsi="Verdana"/>
          <w:sz w:val="20"/>
          <w:szCs w:val="20"/>
        </w:rPr>
        <w:t xml:space="preserve"> quienes</w:t>
      </w:r>
      <w:r w:rsidRPr="00AB146A">
        <w:rPr>
          <w:rFonts w:ascii="Verdana" w:hAnsi="Verdana"/>
          <w:spacing w:val="-10"/>
          <w:sz w:val="20"/>
          <w:szCs w:val="20"/>
        </w:rPr>
        <w:t xml:space="preserve"> </w:t>
      </w:r>
      <w:r w:rsidRPr="00AB146A">
        <w:rPr>
          <w:rFonts w:ascii="Verdana" w:hAnsi="Verdana"/>
          <w:sz w:val="20"/>
          <w:szCs w:val="20"/>
        </w:rPr>
        <w:t>en</w:t>
      </w:r>
      <w:r w:rsidRPr="00AB146A">
        <w:rPr>
          <w:rFonts w:ascii="Verdana" w:hAnsi="Verdana"/>
          <w:spacing w:val="-10"/>
          <w:sz w:val="20"/>
          <w:szCs w:val="20"/>
        </w:rPr>
        <w:t xml:space="preserve"> </w:t>
      </w:r>
      <w:r w:rsidRPr="00AB146A">
        <w:rPr>
          <w:rFonts w:ascii="Verdana" w:hAnsi="Verdana"/>
          <w:sz w:val="20"/>
          <w:szCs w:val="20"/>
        </w:rPr>
        <w:t>su</w:t>
      </w:r>
      <w:r w:rsidRPr="00AB146A">
        <w:rPr>
          <w:rFonts w:ascii="Verdana" w:hAnsi="Verdana"/>
          <w:spacing w:val="-8"/>
          <w:sz w:val="20"/>
          <w:szCs w:val="20"/>
        </w:rPr>
        <w:t xml:space="preserve"> </w:t>
      </w:r>
      <w:r w:rsidRPr="00AB146A">
        <w:rPr>
          <w:rFonts w:ascii="Verdana" w:hAnsi="Verdana"/>
          <w:sz w:val="20"/>
          <w:szCs w:val="20"/>
        </w:rPr>
        <w:t>carácter</w:t>
      </w:r>
      <w:r w:rsidRPr="00AB146A">
        <w:rPr>
          <w:rFonts w:ascii="Verdana" w:hAnsi="Verdana"/>
          <w:spacing w:val="-12"/>
          <w:sz w:val="20"/>
          <w:szCs w:val="20"/>
        </w:rPr>
        <w:t xml:space="preserve"> </w:t>
      </w:r>
      <w:r w:rsidRPr="00AB146A">
        <w:rPr>
          <w:rFonts w:ascii="Verdana" w:hAnsi="Verdana"/>
          <w:sz w:val="20"/>
          <w:szCs w:val="20"/>
        </w:rPr>
        <w:t>de</w:t>
      </w:r>
      <w:r w:rsidRPr="00AB146A">
        <w:rPr>
          <w:rFonts w:ascii="Verdana" w:hAnsi="Verdana"/>
          <w:spacing w:val="-11"/>
          <w:sz w:val="20"/>
          <w:szCs w:val="20"/>
        </w:rPr>
        <w:t xml:space="preserve"> </w:t>
      </w:r>
      <w:r w:rsidRPr="00AB146A">
        <w:rPr>
          <w:rFonts w:ascii="Verdana" w:hAnsi="Verdana"/>
          <w:sz w:val="20"/>
          <w:szCs w:val="20"/>
        </w:rPr>
        <w:t>víctimas</w:t>
      </w:r>
      <w:r w:rsidRPr="00AB146A">
        <w:rPr>
          <w:rFonts w:ascii="Verdana" w:hAnsi="Verdana"/>
          <w:spacing w:val="-11"/>
          <w:sz w:val="20"/>
          <w:szCs w:val="20"/>
        </w:rPr>
        <w:t xml:space="preserve"> </w:t>
      </w:r>
      <w:r w:rsidRPr="00AB146A">
        <w:rPr>
          <w:rFonts w:ascii="Verdana" w:hAnsi="Verdana"/>
          <w:sz w:val="20"/>
          <w:szCs w:val="20"/>
        </w:rPr>
        <w:t>de</w:t>
      </w:r>
      <w:r w:rsidRPr="00AB146A">
        <w:rPr>
          <w:rFonts w:ascii="Verdana" w:hAnsi="Verdana"/>
          <w:spacing w:val="-12"/>
          <w:sz w:val="20"/>
          <w:szCs w:val="20"/>
        </w:rPr>
        <w:t xml:space="preserve"> </w:t>
      </w:r>
      <w:r w:rsidRPr="00AB146A">
        <w:rPr>
          <w:rFonts w:ascii="Verdana" w:hAnsi="Verdana"/>
          <w:sz w:val="20"/>
          <w:szCs w:val="20"/>
        </w:rPr>
        <w:t>las</w:t>
      </w:r>
      <w:r w:rsidRPr="00AB146A">
        <w:rPr>
          <w:rFonts w:ascii="Verdana" w:hAnsi="Verdana"/>
          <w:spacing w:val="-10"/>
          <w:sz w:val="20"/>
          <w:szCs w:val="20"/>
        </w:rPr>
        <w:t xml:space="preserve"> </w:t>
      </w:r>
      <w:r w:rsidRPr="00AB146A">
        <w:rPr>
          <w:rFonts w:ascii="Verdana" w:hAnsi="Verdana"/>
          <w:sz w:val="20"/>
          <w:szCs w:val="20"/>
        </w:rPr>
        <w:t>violaciones</w:t>
      </w:r>
      <w:r w:rsidRPr="00AB146A">
        <w:rPr>
          <w:rFonts w:ascii="Verdana" w:hAnsi="Verdana"/>
          <w:spacing w:val="-10"/>
          <w:sz w:val="20"/>
          <w:szCs w:val="20"/>
        </w:rPr>
        <w:t xml:space="preserve"> </w:t>
      </w:r>
      <w:r w:rsidRPr="00AB146A">
        <w:rPr>
          <w:rFonts w:ascii="Verdana" w:hAnsi="Verdana"/>
          <w:sz w:val="20"/>
          <w:szCs w:val="20"/>
        </w:rPr>
        <w:t xml:space="preserve">declaradas en el capítulo </w:t>
      </w:r>
      <w:r>
        <w:rPr>
          <w:rFonts w:ascii="Verdana" w:hAnsi="Verdana"/>
          <w:sz w:val="20"/>
          <w:szCs w:val="20"/>
        </w:rPr>
        <w:t>VI</w:t>
      </w:r>
      <w:r w:rsidRPr="00E5060D">
        <w:rPr>
          <w:rFonts w:ascii="Verdana" w:hAnsi="Verdana"/>
          <w:sz w:val="20"/>
          <w:szCs w:val="20"/>
        </w:rPr>
        <w:t xml:space="preserve">I </w:t>
      </w:r>
      <w:r w:rsidRPr="00AB146A">
        <w:rPr>
          <w:rFonts w:ascii="Verdana" w:hAnsi="Verdana"/>
          <w:sz w:val="20"/>
          <w:szCs w:val="20"/>
        </w:rPr>
        <w:t>de la presente Sentencia, serán beneficiarias de las reparaciones que la Corte</w:t>
      </w:r>
      <w:r w:rsidRPr="00AB146A">
        <w:rPr>
          <w:rFonts w:ascii="Verdana" w:hAnsi="Verdana"/>
          <w:spacing w:val="-10"/>
          <w:sz w:val="20"/>
          <w:szCs w:val="20"/>
        </w:rPr>
        <w:t xml:space="preserve"> </w:t>
      </w:r>
      <w:r w:rsidRPr="00AB146A">
        <w:rPr>
          <w:rFonts w:ascii="Verdana" w:hAnsi="Verdana"/>
          <w:sz w:val="20"/>
          <w:szCs w:val="20"/>
        </w:rPr>
        <w:t>ordene.</w:t>
      </w:r>
    </w:p>
    <w:p w14:paraId="1DCB764A" w14:textId="77777777" w:rsidR="00342F65" w:rsidRPr="0039097A" w:rsidRDefault="00342F65" w:rsidP="005A5029">
      <w:pPr>
        <w:spacing w:after="0" w:line="240" w:lineRule="exact"/>
        <w:contextualSpacing/>
        <w:jc w:val="both"/>
        <w:rPr>
          <w:rFonts w:ascii="Verdana" w:hAnsi="Verdana"/>
          <w:sz w:val="20"/>
          <w:szCs w:val="20"/>
        </w:rPr>
      </w:pPr>
    </w:p>
    <w:p w14:paraId="2185B9F8" w14:textId="72201262" w:rsidR="00342F65" w:rsidRPr="0039097A" w:rsidRDefault="00342F65"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La Corte advierte que consta información que indica que han fallecido las siguientes personas: </w:t>
      </w:r>
      <w:r>
        <w:rPr>
          <w:rFonts w:ascii="Verdana" w:hAnsi="Verdana"/>
          <w:sz w:val="20"/>
          <w:szCs w:val="20"/>
        </w:rPr>
        <w:t xml:space="preserve">Amalia González de González, </w:t>
      </w:r>
      <w:r w:rsidRPr="0039097A">
        <w:rPr>
          <w:rFonts w:ascii="Verdana" w:hAnsi="Verdana"/>
          <w:sz w:val="20"/>
          <w:szCs w:val="20"/>
          <w:lang w:val="es-ES_tradnl"/>
        </w:rPr>
        <w:t xml:space="preserve">Marta </w:t>
      </w:r>
      <w:proofErr w:type="spellStart"/>
      <w:r w:rsidRPr="0039097A">
        <w:rPr>
          <w:rFonts w:ascii="Verdana" w:hAnsi="Verdana"/>
          <w:sz w:val="20"/>
          <w:szCs w:val="20"/>
          <w:lang w:val="es-ES_tradnl"/>
        </w:rPr>
        <w:t>Odizzio</w:t>
      </w:r>
      <w:proofErr w:type="spellEnd"/>
      <w:r w:rsidRPr="0039097A">
        <w:rPr>
          <w:rFonts w:ascii="Verdana" w:hAnsi="Verdana"/>
          <w:sz w:val="20"/>
          <w:szCs w:val="20"/>
          <w:lang w:val="es-ES_tradnl"/>
        </w:rPr>
        <w:t xml:space="preserve"> de Raggio, Arturo Ricardo Reyes </w:t>
      </w:r>
      <w:proofErr w:type="spellStart"/>
      <w:r w:rsidRPr="0039097A">
        <w:rPr>
          <w:rFonts w:ascii="Verdana" w:hAnsi="Verdana"/>
          <w:sz w:val="20"/>
          <w:szCs w:val="20"/>
          <w:lang w:val="es-ES_tradnl"/>
        </w:rPr>
        <w:t>Gaet</w:t>
      </w:r>
      <w:r>
        <w:rPr>
          <w:rFonts w:ascii="Verdana" w:hAnsi="Verdana"/>
          <w:sz w:val="20"/>
          <w:szCs w:val="20"/>
          <w:lang w:val="es-ES_tradnl"/>
        </w:rPr>
        <w:t>á</w:t>
      </w:r>
      <w:r w:rsidRPr="0039097A">
        <w:rPr>
          <w:rFonts w:ascii="Verdana" w:hAnsi="Verdana"/>
          <w:sz w:val="20"/>
          <w:szCs w:val="20"/>
          <w:lang w:val="es-ES_tradnl"/>
        </w:rPr>
        <w:t>n</w:t>
      </w:r>
      <w:proofErr w:type="spellEnd"/>
      <w:r w:rsidRPr="0039097A">
        <w:rPr>
          <w:rFonts w:ascii="Verdana" w:hAnsi="Verdana"/>
          <w:sz w:val="20"/>
          <w:szCs w:val="20"/>
          <w:lang w:val="es-ES_tradnl"/>
        </w:rPr>
        <w:t xml:space="preserve">, Celia Natividad </w:t>
      </w:r>
      <w:proofErr w:type="spellStart"/>
      <w:r w:rsidRPr="0039097A">
        <w:rPr>
          <w:rFonts w:ascii="Verdana" w:hAnsi="Verdana"/>
          <w:sz w:val="20"/>
          <w:szCs w:val="20"/>
          <w:lang w:val="es-ES_tradnl"/>
        </w:rPr>
        <w:t>Sedarri</w:t>
      </w:r>
      <w:proofErr w:type="spellEnd"/>
      <w:r w:rsidRPr="0039097A">
        <w:rPr>
          <w:rFonts w:ascii="Verdana" w:hAnsi="Verdana"/>
          <w:sz w:val="20"/>
          <w:szCs w:val="20"/>
          <w:lang w:val="es-ES_tradnl"/>
        </w:rPr>
        <w:t xml:space="preserve"> Aparicio,</w:t>
      </w:r>
      <w:r>
        <w:rPr>
          <w:rFonts w:ascii="Verdana" w:hAnsi="Verdana"/>
          <w:sz w:val="20"/>
          <w:szCs w:val="20"/>
          <w:lang w:val="es-ES_tradnl"/>
        </w:rPr>
        <w:t xml:space="preserve"> </w:t>
      </w:r>
      <w:r w:rsidRPr="0039097A">
        <w:rPr>
          <w:rFonts w:ascii="Verdana" w:hAnsi="Verdana"/>
          <w:sz w:val="20"/>
          <w:szCs w:val="20"/>
          <w:lang w:val="es-ES_tradnl"/>
        </w:rPr>
        <w:t xml:space="preserve">Estela Reyes </w:t>
      </w:r>
      <w:proofErr w:type="spellStart"/>
      <w:r w:rsidRPr="0039097A">
        <w:rPr>
          <w:rFonts w:ascii="Verdana" w:hAnsi="Verdana"/>
          <w:sz w:val="20"/>
          <w:szCs w:val="20"/>
          <w:lang w:val="es-ES_tradnl"/>
        </w:rPr>
        <w:t>Sedarri</w:t>
      </w:r>
      <w:proofErr w:type="spellEnd"/>
      <w:r w:rsidRPr="0039097A">
        <w:rPr>
          <w:rFonts w:ascii="Verdana" w:hAnsi="Verdana"/>
          <w:sz w:val="20"/>
          <w:szCs w:val="20"/>
          <w:lang w:val="es-ES_tradnl"/>
        </w:rPr>
        <w:t>, Washington Barrios,</w:t>
      </w:r>
      <w:r w:rsidR="00CC137B">
        <w:rPr>
          <w:rFonts w:ascii="Verdana" w:hAnsi="Verdana"/>
          <w:sz w:val="20"/>
          <w:szCs w:val="20"/>
          <w:lang w:val="es-ES_tradnl"/>
        </w:rPr>
        <w:t xml:space="preserve"> Hilda</w:t>
      </w:r>
      <w:r w:rsidRPr="0039097A">
        <w:rPr>
          <w:rFonts w:ascii="Verdana" w:hAnsi="Verdana"/>
          <w:sz w:val="20"/>
          <w:szCs w:val="20"/>
          <w:lang w:val="es-ES_tradnl"/>
        </w:rPr>
        <w:t xml:space="preserve"> María Fern</w:t>
      </w:r>
      <w:r w:rsidR="00CC137B">
        <w:rPr>
          <w:rFonts w:ascii="Verdana" w:hAnsi="Verdana"/>
          <w:sz w:val="20"/>
          <w:szCs w:val="20"/>
          <w:lang w:val="es-ES_tradnl"/>
        </w:rPr>
        <w:t>ández</w:t>
      </w:r>
      <w:r w:rsidRPr="0039097A">
        <w:rPr>
          <w:rFonts w:ascii="Verdana" w:hAnsi="Verdana"/>
          <w:sz w:val="20"/>
          <w:szCs w:val="20"/>
          <w:lang w:val="es-ES_tradnl"/>
        </w:rPr>
        <w:t xml:space="preserve"> Rodríguez, </w:t>
      </w:r>
      <w:proofErr w:type="spellStart"/>
      <w:r w:rsidRPr="005145CB">
        <w:rPr>
          <w:rFonts w:ascii="Verdana" w:hAnsi="Verdana"/>
          <w:sz w:val="20"/>
          <w:szCs w:val="20"/>
        </w:rPr>
        <w:t>Disnarda</w:t>
      </w:r>
      <w:proofErr w:type="spellEnd"/>
      <w:r w:rsidRPr="005145CB">
        <w:rPr>
          <w:rFonts w:ascii="Verdana" w:hAnsi="Verdana"/>
          <w:sz w:val="20"/>
          <w:szCs w:val="20"/>
        </w:rPr>
        <w:t xml:space="preserve"> Ema Flores Soler de </w:t>
      </w:r>
      <w:proofErr w:type="spellStart"/>
      <w:r w:rsidRPr="005145CB">
        <w:rPr>
          <w:rFonts w:ascii="Verdana" w:hAnsi="Verdana"/>
          <w:sz w:val="20"/>
          <w:szCs w:val="20"/>
        </w:rPr>
        <w:t>Tassino</w:t>
      </w:r>
      <w:proofErr w:type="spellEnd"/>
      <w:r w:rsidRPr="0039097A">
        <w:rPr>
          <w:rFonts w:ascii="Verdana" w:hAnsi="Verdana"/>
          <w:sz w:val="20"/>
          <w:szCs w:val="20"/>
          <w:lang w:val="es-ES_tradnl"/>
        </w:rPr>
        <w:t xml:space="preserve"> y Álvaro Luis </w:t>
      </w:r>
      <w:proofErr w:type="spellStart"/>
      <w:r w:rsidRPr="0039097A">
        <w:rPr>
          <w:rFonts w:ascii="Verdana" w:hAnsi="Verdana"/>
          <w:sz w:val="20"/>
          <w:szCs w:val="20"/>
          <w:lang w:val="es-ES_tradnl"/>
        </w:rPr>
        <w:t>Tassino</w:t>
      </w:r>
      <w:proofErr w:type="spellEnd"/>
      <w:r w:rsidRPr="0039097A">
        <w:rPr>
          <w:rFonts w:ascii="Verdana" w:hAnsi="Verdana"/>
          <w:sz w:val="20"/>
          <w:szCs w:val="20"/>
          <w:lang w:val="es-ES_tradnl"/>
        </w:rPr>
        <w:t>.</w:t>
      </w:r>
    </w:p>
    <w:p w14:paraId="223C24B4" w14:textId="77777777" w:rsidR="00342F65" w:rsidRPr="0039097A" w:rsidRDefault="00342F65" w:rsidP="005A5029">
      <w:pPr>
        <w:spacing w:after="0" w:line="240" w:lineRule="exact"/>
        <w:contextualSpacing/>
        <w:jc w:val="both"/>
        <w:rPr>
          <w:rFonts w:ascii="Verdana" w:hAnsi="Verdana"/>
          <w:sz w:val="20"/>
          <w:szCs w:val="20"/>
        </w:rPr>
      </w:pPr>
    </w:p>
    <w:p w14:paraId="7858DD69" w14:textId="77777777" w:rsidR="00342F65" w:rsidRPr="0039097A" w:rsidRDefault="00342F65" w:rsidP="005A5029">
      <w:pPr>
        <w:numPr>
          <w:ilvl w:val="0"/>
          <w:numId w:val="36"/>
        </w:numPr>
        <w:spacing w:after="0" w:line="240" w:lineRule="exact"/>
        <w:ind w:left="284" w:firstLine="0"/>
        <w:contextualSpacing/>
        <w:jc w:val="both"/>
        <w:outlineLvl w:val="1"/>
        <w:rPr>
          <w:rFonts w:ascii="Verdana" w:hAnsi="Verdana"/>
          <w:b/>
          <w:i/>
          <w:sz w:val="20"/>
          <w:szCs w:val="20"/>
        </w:rPr>
      </w:pPr>
      <w:bookmarkStart w:id="76" w:name="_Toc85550432"/>
      <w:r w:rsidRPr="0039097A">
        <w:rPr>
          <w:rFonts w:ascii="Verdana" w:hAnsi="Verdana"/>
          <w:b/>
          <w:i/>
          <w:sz w:val="20"/>
          <w:szCs w:val="20"/>
          <w:lang w:val="es-ES"/>
        </w:rPr>
        <w:t>Obligación de investigar los hechos e identificar, juzgar y, en su caso, sancionar a los responsables</w:t>
      </w:r>
      <w:bookmarkEnd w:id="76"/>
      <w:r w:rsidRPr="0039097A">
        <w:rPr>
          <w:rFonts w:ascii="Verdana" w:hAnsi="Verdana"/>
          <w:b/>
          <w:i/>
          <w:sz w:val="20"/>
          <w:szCs w:val="20"/>
          <w:lang w:val="es-ES"/>
        </w:rPr>
        <w:t xml:space="preserve"> </w:t>
      </w:r>
    </w:p>
    <w:p w14:paraId="0433050D" w14:textId="77777777" w:rsidR="00342F65" w:rsidRPr="0039097A" w:rsidRDefault="00342F65" w:rsidP="005A5029">
      <w:pPr>
        <w:spacing w:after="0" w:line="240" w:lineRule="exact"/>
        <w:contextualSpacing/>
        <w:jc w:val="both"/>
        <w:rPr>
          <w:rFonts w:ascii="Verdana" w:hAnsi="Verdana"/>
          <w:sz w:val="20"/>
          <w:szCs w:val="20"/>
        </w:rPr>
      </w:pPr>
    </w:p>
    <w:p w14:paraId="34557999" w14:textId="77777777" w:rsidR="00342F65" w:rsidRPr="0039097A" w:rsidRDefault="00342F65" w:rsidP="00A0786D">
      <w:pPr>
        <w:spacing w:after="0" w:line="240" w:lineRule="exact"/>
        <w:ind w:left="851"/>
        <w:contextualSpacing/>
        <w:jc w:val="both"/>
        <w:outlineLvl w:val="2"/>
        <w:rPr>
          <w:rFonts w:ascii="Verdana" w:hAnsi="Verdana"/>
          <w:i/>
          <w:sz w:val="20"/>
          <w:szCs w:val="20"/>
          <w:lang w:val="es-MX"/>
        </w:rPr>
      </w:pPr>
      <w:bookmarkStart w:id="77" w:name="_Toc85550433"/>
      <w:r w:rsidRPr="0039097A">
        <w:rPr>
          <w:rFonts w:ascii="Verdana" w:hAnsi="Verdana"/>
          <w:i/>
          <w:sz w:val="20"/>
          <w:szCs w:val="20"/>
          <w:lang w:val="es-MX"/>
        </w:rPr>
        <w:t>B.1</w:t>
      </w:r>
      <w:r w:rsidRPr="0039097A">
        <w:rPr>
          <w:rFonts w:ascii="Verdana" w:hAnsi="Verdana"/>
          <w:i/>
          <w:sz w:val="20"/>
          <w:szCs w:val="20"/>
          <w:lang w:val="es-MX"/>
        </w:rPr>
        <w:tab/>
      </w:r>
      <w:r w:rsidRPr="0039097A">
        <w:rPr>
          <w:rFonts w:ascii="Verdana" w:hAnsi="Verdana"/>
          <w:i/>
          <w:sz w:val="20"/>
          <w:szCs w:val="20"/>
          <w:u w:val="single"/>
          <w:lang w:val="es-MX"/>
        </w:rPr>
        <w:t>Investigación, enjuiciamiento y, en su caso, sanción de los responsables</w:t>
      </w:r>
      <w:bookmarkEnd w:id="77"/>
    </w:p>
    <w:p w14:paraId="4E26AD0F" w14:textId="77777777" w:rsidR="00342F65" w:rsidRPr="0039097A" w:rsidRDefault="00342F65" w:rsidP="005A5029">
      <w:pPr>
        <w:spacing w:after="0" w:line="240" w:lineRule="exact"/>
        <w:contextualSpacing/>
        <w:jc w:val="both"/>
        <w:rPr>
          <w:rFonts w:ascii="Verdana" w:hAnsi="Verdana"/>
          <w:sz w:val="20"/>
          <w:szCs w:val="20"/>
        </w:rPr>
      </w:pPr>
    </w:p>
    <w:p w14:paraId="3CCA076B" w14:textId="77777777" w:rsidR="00342F65" w:rsidRPr="0039097A" w:rsidRDefault="00342F65"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La </w:t>
      </w:r>
      <w:r w:rsidRPr="0039097A">
        <w:rPr>
          <w:rFonts w:ascii="Verdana" w:hAnsi="Verdana"/>
          <w:b/>
          <w:i/>
          <w:sz w:val="20"/>
          <w:szCs w:val="20"/>
        </w:rPr>
        <w:t xml:space="preserve">Comisión </w:t>
      </w:r>
      <w:r w:rsidRPr="0039097A">
        <w:rPr>
          <w:rFonts w:ascii="Verdana" w:hAnsi="Verdana"/>
          <w:sz w:val="20"/>
          <w:szCs w:val="20"/>
        </w:rPr>
        <w:t xml:space="preserve">solicitó que se ordene al Estado </w:t>
      </w:r>
      <w:r w:rsidRPr="0039097A">
        <w:rPr>
          <w:rFonts w:ascii="Verdana" w:hAnsi="Verdana"/>
          <w:sz w:val="20"/>
          <w:szCs w:val="20"/>
          <w:lang w:val="es-ES"/>
        </w:rPr>
        <w:t>“[i]</w:t>
      </w:r>
      <w:proofErr w:type="spellStart"/>
      <w:r w:rsidRPr="0039097A">
        <w:rPr>
          <w:rFonts w:ascii="Verdana" w:hAnsi="Verdana"/>
          <w:sz w:val="20"/>
          <w:szCs w:val="20"/>
          <w:lang w:val="es-ES"/>
        </w:rPr>
        <w:t>nvestigar</w:t>
      </w:r>
      <w:proofErr w:type="spellEnd"/>
      <w:r w:rsidRPr="0039097A">
        <w:rPr>
          <w:rFonts w:ascii="Verdana" w:hAnsi="Verdana"/>
          <w:sz w:val="20"/>
          <w:szCs w:val="20"/>
          <w:lang w:val="es-ES"/>
        </w:rPr>
        <w:t xml:space="preserve"> de manera completa, imparcial, diligente, efectiva, y dentro de un plazo </w:t>
      </w:r>
      <w:proofErr w:type="gramStart"/>
      <w:r w:rsidRPr="0039097A">
        <w:rPr>
          <w:rFonts w:ascii="Verdana" w:hAnsi="Verdana"/>
          <w:sz w:val="20"/>
          <w:szCs w:val="20"/>
          <w:lang w:val="es-ES"/>
        </w:rPr>
        <w:t>razonable[</w:t>
      </w:r>
      <w:proofErr w:type="gramEnd"/>
      <w:r w:rsidRPr="0039097A">
        <w:rPr>
          <w:rFonts w:ascii="Verdana" w:hAnsi="Verdana"/>
          <w:sz w:val="20"/>
          <w:szCs w:val="20"/>
          <w:lang w:val="es-ES"/>
        </w:rPr>
        <w:t xml:space="preserve">,] con el objetivo de esclarecer los hechos en forma completa, e identificar todas las posibles responsabilidades materiales e intelectuales e imponer las sanciones que correspondan”. Entendió que, dada la “gravedad de las violaciones declaradas”, el Estado “no podrá oponer la garantía del </w:t>
      </w:r>
      <w:r w:rsidRPr="0039097A">
        <w:rPr>
          <w:rFonts w:ascii="Verdana" w:hAnsi="Verdana"/>
          <w:i/>
          <w:sz w:val="20"/>
          <w:szCs w:val="20"/>
          <w:lang w:val="es-ES"/>
        </w:rPr>
        <w:t xml:space="preserve">non bis in </w:t>
      </w:r>
      <w:proofErr w:type="spellStart"/>
      <w:r w:rsidRPr="0039097A">
        <w:rPr>
          <w:rFonts w:ascii="Verdana" w:hAnsi="Verdana"/>
          <w:i/>
          <w:sz w:val="20"/>
          <w:szCs w:val="20"/>
          <w:lang w:val="es-ES"/>
        </w:rPr>
        <w:t>idem</w:t>
      </w:r>
      <w:proofErr w:type="spellEnd"/>
      <w:r w:rsidRPr="0039097A">
        <w:rPr>
          <w:rFonts w:ascii="Verdana" w:hAnsi="Verdana"/>
          <w:sz w:val="20"/>
          <w:szCs w:val="20"/>
          <w:lang w:val="es-ES"/>
        </w:rPr>
        <w:t>, cosa juzgada o prescripción” para incumplir esta medida. En la audiencia pública expresó que entendía que el Estado debía “</w:t>
      </w:r>
      <w:r w:rsidRPr="0039097A">
        <w:rPr>
          <w:rFonts w:ascii="Verdana" w:hAnsi="Verdana"/>
          <w:sz w:val="20"/>
          <w:szCs w:val="20"/>
          <w:lang w:val="es-ES_tradnl"/>
        </w:rPr>
        <w:t>remover los obstáculos que aún persisten y adoptar las medidas necesarias para evitar que [los] casos queden en impunidad”. Además, la Comisión solicitó que se ordene a Uruguay “el establecimiento y difusión de la verdad histórica de los hechos”.</w:t>
      </w:r>
    </w:p>
    <w:p w14:paraId="2D8B6E16" w14:textId="77777777" w:rsidR="00342F65" w:rsidRPr="0039097A" w:rsidRDefault="00342F65" w:rsidP="005A5029">
      <w:pPr>
        <w:spacing w:after="0" w:line="240" w:lineRule="exact"/>
        <w:contextualSpacing/>
        <w:jc w:val="both"/>
        <w:rPr>
          <w:rFonts w:ascii="Verdana" w:hAnsi="Verdana"/>
          <w:sz w:val="20"/>
          <w:szCs w:val="20"/>
        </w:rPr>
      </w:pPr>
    </w:p>
    <w:p w14:paraId="590B1024" w14:textId="77777777" w:rsidR="00342F65" w:rsidRPr="0039097A" w:rsidRDefault="00342F65"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rPr>
        <w:t xml:space="preserve">Los </w:t>
      </w:r>
      <w:r w:rsidRPr="0039097A">
        <w:rPr>
          <w:rFonts w:ascii="Verdana" w:hAnsi="Verdana"/>
          <w:b/>
          <w:i/>
          <w:sz w:val="20"/>
          <w:szCs w:val="20"/>
        </w:rPr>
        <w:t>representantes</w:t>
      </w:r>
      <w:r w:rsidRPr="0039097A">
        <w:rPr>
          <w:rFonts w:ascii="Verdana" w:hAnsi="Verdana"/>
          <w:sz w:val="20"/>
          <w:szCs w:val="20"/>
        </w:rPr>
        <w:t xml:space="preserve"> adhirieron a la solicitud de la Comisión de que se investiguen los hechos. Agregaron la petición de que </w:t>
      </w:r>
      <w:r w:rsidRPr="0039097A">
        <w:rPr>
          <w:rFonts w:ascii="Verdana" w:hAnsi="Verdana"/>
          <w:sz w:val="20"/>
          <w:szCs w:val="20"/>
          <w:lang w:val="es-ES_tradnl"/>
        </w:rPr>
        <w:t xml:space="preserve">se exhorte a la </w:t>
      </w:r>
      <w:r w:rsidRPr="0039097A">
        <w:rPr>
          <w:rFonts w:ascii="Verdana" w:eastAsia="Verdana" w:hAnsi="Verdana" w:cs="Verdana"/>
          <w:sz w:val="20"/>
          <w:szCs w:val="20"/>
          <w:lang w:val="es-ES_tradnl"/>
        </w:rPr>
        <w:t xml:space="preserve">Corte Suprema de Justicia para que, a través de “decisiones administrativas logísticas y financieras </w:t>
      </w:r>
      <w:proofErr w:type="gramStart"/>
      <w:r w:rsidRPr="0039097A">
        <w:rPr>
          <w:rFonts w:ascii="Verdana" w:eastAsia="Verdana" w:hAnsi="Verdana" w:cs="Verdana"/>
          <w:sz w:val="20"/>
          <w:szCs w:val="20"/>
          <w:lang w:val="es-ES_tradnl"/>
        </w:rPr>
        <w:t>evidencie[</w:t>
      </w:r>
      <w:proofErr w:type="gramEnd"/>
      <w:r w:rsidRPr="0039097A">
        <w:rPr>
          <w:rFonts w:ascii="Verdana" w:eastAsia="Verdana" w:hAnsi="Verdana" w:cs="Verdana"/>
          <w:sz w:val="20"/>
          <w:szCs w:val="20"/>
          <w:lang w:val="es-ES_tradnl"/>
        </w:rPr>
        <w:t xml:space="preserve">…]el compromiso del Estado por esclarecer los hechos sometidos a procesos </w:t>
      </w:r>
      <w:r w:rsidRPr="0039097A">
        <w:rPr>
          <w:rFonts w:ascii="Verdana" w:eastAsia="Verdana" w:hAnsi="Verdana" w:cs="Verdana"/>
          <w:sz w:val="20"/>
          <w:szCs w:val="20"/>
          <w:lang w:val="es-ES_tradnl"/>
        </w:rPr>
        <w:lastRenderedPageBreak/>
        <w:t>judiciales abiertos desde hace más de 30 años incorporando la perspectiva de género necesaria”.</w:t>
      </w:r>
      <w:r w:rsidRPr="0039097A">
        <w:rPr>
          <w:rFonts w:ascii="Verdana" w:eastAsia="Verdana" w:hAnsi="Verdana" w:cs="Verdana"/>
          <w:sz w:val="24"/>
          <w:szCs w:val="24"/>
          <w:lang w:val="es-ES_tradnl"/>
        </w:rPr>
        <w:t xml:space="preserve"> </w:t>
      </w:r>
    </w:p>
    <w:p w14:paraId="1877203A" w14:textId="77777777" w:rsidR="00342F65" w:rsidRPr="0039097A" w:rsidRDefault="00342F65" w:rsidP="005A5029">
      <w:pPr>
        <w:spacing w:after="0" w:line="240" w:lineRule="exact"/>
        <w:contextualSpacing/>
        <w:jc w:val="both"/>
        <w:rPr>
          <w:rFonts w:ascii="Verdana" w:hAnsi="Verdana"/>
          <w:sz w:val="20"/>
          <w:szCs w:val="20"/>
        </w:rPr>
      </w:pPr>
    </w:p>
    <w:p w14:paraId="2D1C212C" w14:textId="77777777" w:rsidR="00342F65" w:rsidRPr="0039097A" w:rsidRDefault="00342F65"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El </w:t>
      </w:r>
      <w:r w:rsidRPr="0039097A">
        <w:rPr>
          <w:rFonts w:ascii="Verdana" w:hAnsi="Verdana"/>
          <w:b/>
          <w:i/>
          <w:sz w:val="20"/>
          <w:szCs w:val="20"/>
        </w:rPr>
        <w:t>Estado</w:t>
      </w:r>
      <w:r w:rsidRPr="0039097A">
        <w:rPr>
          <w:rFonts w:ascii="Verdana" w:hAnsi="Verdana"/>
          <w:sz w:val="20"/>
          <w:szCs w:val="20"/>
        </w:rPr>
        <w:t xml:space="preserve"> expresó que </w:t>
      </w:r>
      <w:r w:rsidRPr="0039097A">
        <w:rPr>
          <w:rFonts w:ascii="Verdana" w:hAnsi="Verdana"/>
          <w:sz w:val="20"/>
          <w:szCs w:val="20"/>
          <w:lang w:val="es-ES_tradnl"/>
        </w:rPr>
        <w:t>“todas las causas relativas a este caso se encuentran abiertas, y aunque en distintas etapas procesales, tienen buenas y concretas perspectivas de dilucidación”.</w:t>
      </w:r>
      <w:r w:rsidRPr="0039097A">
        <w:rPr>
          <w:rFonts w:ascii="Verdana" w:hAnsi="Verdana"/>
          <w:sz w:val="20"/>
          <w:szCs w:val="20"/>
        </w:rPr>
        <w:t xml:space="preserve"> </w:t>
      </w:r>
    </w:p>
    <w:p w14:paraId="2B314F21" w14:textId="77777777" w:rsidR="00342F65" w:rsidRPr="0039097A" w:rsidRDefault="00342F65" w:rsidP="005A5029">
      <w:pPr>
        <w:spacing w:after="0" w:line="240" w:lineRule="exact"/>
        <w:contextualSpacing/>
        <w:rPr>
          <w:rFonts w:ascii="Verdana" w:hAnsi="Verdana"/>
          <w:sz w:val="20"/>
          <w:szCs w:val="20"/>
        </w:rPr>
      </w:pPr>
    </w:p>
    <w:p w14:paraId="1DB57D08" w14:textId="65C95F7A" w:rsidR="00342F65" w:rsidRPr="0039097A" w:rsidRDefault="00342F65" w:rsidP="005A5029">
      <w:pPr>
        <w:numPr>
          <w:ilvl w:val="0"/>
          <w:numId w:val="49"/>
        </w:numPr>
        <w:spacing w:after="0" w:line="240" w:lineRule="exact"/>
        <w:ind w:left="0" w:firstLine="0"/>
        <w:contextualSpacing/>
        <w:jc w:val="both"/>
        <w:rPr>
          <w:rFonts w:ascii="Verdana" w:hAnsi="Verdana"/>
          <w:sz w:val="20"/>
          <w:szCs w:val="20"/>
        </w:rPr>
      </w:pPr>
      <w:r w:rsidRPr="00275FA4">
        <w:rPr>
          <w:rFonts w:ascii="Verdana" w:hAnsi="Verdana"/>
          <w:sz w:val="20"/>
          <w:szCs w:val="20"/>
        </w:rPr>
        <w:t>Uruguay agregó que la Ley de Caducidad no constituye un obstáculo a las actuaciones (</w:t>
      </w:r>
      <w:r w:rsidRPr="00275FA4">
        <w:rPr>
          <w:rFonts w:ascii="Verdana" w:hAnsi="Verdana"/>
          <w:i/>
          <w:sz w:val="20"/>
          <w:szCs w:val="20"/>
        </w:rPr>
        <w:t xml:space="preserve">infra </w:t>
      </w:r>
      <w:r w:rsidR="00275FA4" w:rsidRPr="00275FA4">
        <w:rPr>
          <w:rFonts w:ascii="Verdana" w:hAnsi="Verdana"/>
          <w:sz w:val="20"/>
          <w:szCs w:val="20"/>
        </w:rPr>
        <w:t>párr. 242</w:t>
      </w:r>
      <w:r w:rsidRPr="00275FA4">
        <w:rPr>
          <w:rFonts w:ascii="Verdana" w:hAnsi="Verdana"/>
          <w:sz w:val="20"/>
          <w:szCs w:val="20"/>
        </w:rPr>
        <w:t xml:space="preserve">), y que </w:t>
      </w:r>
      <w:r w:rsidRPr="00275FA4">
        <w:rPr>
          <w:rFonts w:ascii="Verdana" w:hAnsi="Verdana"/>
          <w:sz w:val="20"/>
          <w:szCs w:val="20"/>
          <w:lang w:val="es-ES_tradnl"/>
        </w:rPr>
        <w:t>“[l]as dudas que se pueden plantear en cuanto a la interpretación [de] la prescripción</w:t>
      </w:r>
      <w:r w:rsidRPr="0039097A">
        <w:rPr>
          <w:rFonts w:ascii="Verdana" w:hAnsi="Verdana"/>
          <w:sz w:val="20"/>
          <w:szCs w:val="20"/>
          <w:lang w:val="es-ES_tradnl"/>
        </w:rPr>
        <w:t xml:space="preserve"> por parte de los Tribunales [internos] no […] ha […] tenido incidencias decisivas en alguna causa y menos aún en las que son objeto del proceso”.</w:t>
      </w:r>
      <w:r w:rsidRPr="0039097A">
        <w:rPr>
          <w:rFonts w:ascii="Verdana" w:hAnsi="Verdana"/>
          <w:sz w:val="24"/>
          <w:szCs w:val="24"/>
          <w:lang w:val="es-ES_tradnl"/>
        </w:rPr>
        <w:t xml:space="preserve"> </w:t>
      </w:r>
      <w:r w:rsidRPr="0039097A">
        <w:rPr>
          <w:rFonts w:ascii="Verdana" w:hAnsi="Verdana" w:cs="Times New Roman"/>
          <w:sz w:val="20"/>
          <w:szCs w:val="20"/>
          <w:lang w:val="es-ES_tradnl"/>
        </w:rPr>
        <w:t xml:space="preserve">Afirmó también que “ni la garantía de </w:t>
      </w:r>
      <w:r w:rsidRPr="0039097A">
        <w:rPr>
          <w:rFonts w:ascii="Verdana" w:hAnsi="Verdana" w:cs="Times New Roman"/>
          <w:i/>
          <w:iCs/>
          <w:sz w:val="20"/>
          <w:szCs w:val="20"/>
          <w:lang w:val="es-ES_tradnl"/>
        </w:rPr>
        <w:t>non bis in ídem</w:t>
      </w:r>
      <w:r w:rsidRPr="0039097A">
        <w:rPr>
          <w:rFonts w:ascii="Verdana" w:hAnsi="Verdana" w:cs="Times New Roman"/>
          <w:sz w:val="20"/>
          <w:szCs w:val="20"/>
          <w:lang w:val="es-ES_tradnl"/>
        </w:rPr>
        <w:t>, ni la cosa juzgada […] han sido traídos a colación para oponerse al cumplimiento de la obligación de investigación”.</w:t>
      </w:r>
      <w:r w:rsidRPr="0039097A">
        <w:rPr>
          <w:rFonts w:ascii="Times New Roman" w:hAnsi="Times New Roman" w:cs="Times New Roman"/>
          <w:sz w:val="24"/>
          <w:szCs w:val="24"/>
          <w:lang w:val="es-ES_tradnl"/>
        </w:rPr>
        <w:t xml:space="preserve"> </w:t>
      </w:r>
    </w:p>
    <w:p w14:paraId="568A5FCA" w14:textId="77777777" w:rsidR="00342F65" w:rsidRPr="0039097A" w:rsidRDefault="00342F65" w:rsidP="005A5029">
      <w:pPr>
        <w:spacing w:after="0" w:line="240" w:lineRule="exact"/>
        <w:contextualSpacing/>
        <w:rPr>
          <w:rFonts w:ascii="Verdana" w:hAnsi="Verdana"/>
          <w:sz w:val="20"/>
          <w:szCs w:val="20"/>
        </w:rPr>
      </w:pPr>
    </w:p>
    <w:p w14:paraId="1589B7F4" w14:textId="55132B53" w:rsidR="00342F65" w:rsidRPr="0039097A" w:rsidRDefault="00342F65"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La </w:t>
      </w:r>
      <w:r w:rsidRPr="0039097A">
        <w:rPr>
          <w:rFonts w:ascii="Verdana" w:hAnsi="Verdana"/>
          <w:b/>
          <w:i/>
          <w:sz w:val="20"/>
          <w:szCs w:val="20"/>
        </w:rPr>
        <w:t xml:space="preserve">Corte </w:t>
      </w:r>
      <w:r w:rsidRPr="0039097A">
        <w:rPr>
          <w:rFonts w:ascii="Verdana" w:hAnsi="Verdana"/>
          <w:sz w:val="20"/>
          <w:szCs w:val="20"/>
        </w:rPr>
        <w:t xml:space="preserve">nota los avances señalados por el Estado respecto a las investigaciones sobre los </w:t>
      </w:r>
      <w:r w:rsidRPr="00275FA4">
        <w:rPr>
          <w:rFonts w:ascii="Verdana" w:hAnsi="Verdana"/>
          <w:sz w:val="20"/>
          <w:szCs w:val="20"/>
        </w:rPr>
        <w:t>hechos del caso, como, asimismo, respecto a la privación de efectos de la Ley de Caducidad (</w:t>
      </w:r>
      <w:r w:rsidRPr="00275FA4">
        <w:rPr>
          <w:rFonts w:ascii="Verdana" w:hAnsi="Verdana"/>
          <w:i/>
          <w:sz w:val="20"/>
          <w:szCs w:val="20"/>
        </w:rPr>
        <w:t>infra</w:t>
      </w:r>
      <w:r w:rsidR="00275FA4" w:rsidRPr="00275FA4">
        <w:rPr>
          <w:rFonts w:ascii="Verdana" w:hAnsi="Verdana"/>
          <w:sz w:val="20"/>
          <w:szCs w:val="20"/>
        </w:rPr>
        <w:t xml:space="preserve"> </w:t>
      </w:r>
      <w:proofErr w:type="spellStart"/>
      <w:r w:rsidR="00275FA4" w:rsidRPr="00275FA4">
        <w:rPr>
          <w:rFonts w:ascii="Verdana" w:hAnsi="Verdana"/>
          <w:sz w:val="20"/>
          <w:szCs w:val="20"/>
        </w:rPr>
        <w:t>párrs</w:t>
      </w:r>
      <w:proofErr w:type="spellEnd"/>
      <w:r w:rsidR="00275FA4" w:rsidRPr="00275FA4">
        <w:rPr>
          <w:rFonts w:ascii="Verdana" w:hAnsi="Verdana"/>
          <w:sz w:val="20"/>
          <w:szCs w:val="20"/>
        </w:rPr>
        <w:t>. 241 a 243</w:t>
      </w:r>
      <w:r w:rsidRPr="00275FA4">
        <w:rPr>
          <w:rFonts w:ascii="Verdana" w:hAnsi="Verdana"/>
          <w:sz w:val="20"/>
          <w:szCs w:val="20"/>
        </w:rPr>
        <w:t>). También advierte los señalamientos estatales en cuanto a que disposiciones legales sobre</w:t>
      </w:r>
      <w:r w:rsidRPr="0039097A">
        <w:rPr>
          <w:rFonts w:ascii="Verdana" w:hAnsi="Verdana"/>
          <w:sz w:val="20"/>
          <w:szCs w:val="20"/>
        </w:rPr>
        <w:t xml:space="preserve"> prescripción</w:t>
      </w:r>
      <w:r w:rsidR="005B21F6">
        <w:rPr>
          <w:rFonts w:ascii="Verdana" w:hAnsi="Verdana"/>
          <w:sz w:val="20"/>
          <w:szCs w:val="20"/>
        </w:rPr>
        <w:t xml:space="preserve"> </w:t>
      </w:r>
      <w:r w:rsidRPr="0039097A">
        <w:rPr>
          <w:rFonts w:ascii="Verdana" w:hAnsi="Verdana"/>
          <w:sz w:val="20"/>
          <w:szCs w:val="20"/>
        </w:rPr>
        <w:t xml:space="preserve">no han tenido incidencia en las actuaciones relativas a los hechos del caso.  </w:t>
      </w:r>
    </w:p>
    <w:p w14:paraId="5F62D0DF" w14:textId="77777777" w:rsidR="00342F65" w:rsidRPr="0039097A" w:rsidRDefault="00342F65" w:rsidP="005A5029">
      <w:pPr>
        <w:spacing w:after="0" w:line="240" w:lineRule="exact"/>
        <w:contextualSpacing/>
        <w:rPr>
          <w:rFonts w:ascii="Verdana" w:hAnsi="Verdana"/>
          <w:sz w:val="20"/>
          <w:szCs w:val="20"/>
        </w:rPr>
      </w:pPr>
    </w:p>
    <w:p w14:paraId="6CF3F4EB" w14:textId="6E719668" w:rsidR="00342F65" w:rsidRPr="000F5A15" w:rsidRDefault="00342F65" w:rsidP="005A5029">
      <w:pPr>
        <w:numPr>
          <w:ilvl w:val="0"/>
          <w:numId w:val="49"/>
        </w:numPr>
        <w:spacing w:after="0" w:line="240" w:lineRule="exact"/>
        <w:ind w:left="0" w:firstLine="0"/>
        <w:contextualSpacing/>
        <w:jc w:val="both"/>
        <w:rPr>
          <w:rFonts w:ascii="Verdana" w:hAnsi="Verdana" w:cs="Verdana"/>
          <w:sz w:val="20"/>
          <w:szCs w:val="20"/>
          <w:lang w:val="es-ES_tradnl"/>
        </w:rPr>
      </w:pPr>
      <w:r w:rsidRPr="0039097A">
        <w:rPr>
          <w:rFonts w:ascii="Verdana" w:hAnsi="Verdana"/>
          <w:sz w:val="20"/>
          <w:szCs w:val="20"/>
        </w:rPr>
        <w:t xml:space="preserve">Sin perjuicio de la valoración positiva que merecen los aspectos referidos, este Tribunal ha determinado que el Estado ha incumplido su obligación de investigar en forma diligente, y en un plazo razonable, las ejecuciones extrajudiciales de Diana </w:t>
      </w:r>
      <w:proofErr w:type="spellStart"/>
      <w:r w:rsidRPr="0039097A">
        <w:rPr>
          <w:rFonts w:ascii="Verdana" w:hAnsi="Verdana"/>
          <w:sz w:val="20"/>
          <w:szCs w:val="20"/>
        </w:rPr>
        <w:t>Maidanik</w:t>
      </w:r>
      <w:proofErr w:type="spellEnd"/>
      <w:r w:rsidRPr="0039097A">
        <w:rPr>
          <w:rFonts w:ascii="Verdana" w:hAnsi="Verdana"/>
          <w:sz w:val="20"/>
          <w:szCs w:val="20"/>
        </w:rPr>
        <w:t xml:space="preserve">, Silvia Reyes y Laura Raggio y las desapariciones forzadas de Óscar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Las investigaciones y procesos penales respectivos</w:t>
      </w:r>
      <w:r>
        <w:rPr>
          <w:rFonts w:ascii="Verdana" w:hAnsi="Verdana"/>
          <w:sz w:val="20"/>
          <w:szCs w:val="20"/>
        </w:rPr>
        <w:t xml:space="preserve"> </w:t>
      </w:r>
      <w:r w:rsidRPr="0039097A">
        <w:rPr>
          <w:rFonts w:ascii="Verdana" w:hAnsi="Verdana"/>
          <w:sz w:val="20"/>
          <w:szCs w:val="20"/>
        </w:rPr>
        <w:t xml:space="preserve">continúan en curso, sin que se </w:t>
      </w:r>
      <w:r w:rsidRPr="00F137AF">
        <w:rPr>
          <w:rFonts w:ascii="Verdana" w:hAnsi="Verdana"/>
          <w:sz w:val="20"/>
          <w:szCs w:val="20"/>
        </w:rPr>
        <w:t xml:space="preserve">haya arribado todavía a la determinación efectiva de las responsabilidades sobre las graves violaciones a derechos humanos cometidas y, en su caso, a la aplicación de las sanciones correspondientes. Al respecto, aunque ya se ha avanzado en la identificación de presuntos responsables, no se ha arribado todavía a la determinación de responsabilidades individuales. El testigo </w:t>
      </w:r>
      <w:proofErr w:type="spellStart"/>
      <w:r w:rsidRPr="00F137AF">
        <w:rPr>
          <w:rFonts w:ascii="Verdana" w:hAnsi="Verdana"/>
          <w:sz w:val="20"/>
          <w:szCs w:val="20"/>
        </w:rPr>
        <w:t>Perciballe</w:t>
      </w:r>
      <w:proofErr w:type="spellEnd"/>
      <w:r w:rsidRPr="00F137AF">
        <w:rPr>
          <w:rFonts w:ascii="Verdana" w:hAnsi="Verdana"/>
          <w:sz w:val="20"/>
          <w:szCs w:val="20"/>
        </w:rPr>
        <w:t xml:space="preserve">, Fiscal Especializado, </w:t>
      </w:r>
      <w:r w:rsidR="007F374C">
        <w:rPr>
          <w:rFonts w:ascii="Verdana" w:hAnsi="Verdana"/>
          <w:sz w:val="20"/>
          <w:szCs w:val="20"/>
        </w:rPr>
        <w:t>mencionó que en diversas causas,</w:t>
      </w:r>
      <w:r w:rsidRPr="00F137AF">
        <w:rPr>
          <w:rFonts w:ascii="Verdana" w:hAnsi="Verdana"/>
          <w:sz w:val="20"/>
          <w:szCs w:val="20"/>
        </w:rPr>
        <w:t xml:space="preserve"> “en la etapa preliminar se han planteado […] excepciones” de prescripción e inconstitucionalidad, y que por eso esas causas “han sido [muy] extensas en el tiempo”</w:t>
      </w:r>
      <w:r w:rsidRPr="00F137AF">
        <w:rPr>
          <w:rStyle w:val="Refdenotaalpie"/>
          <w:rFonts w:ascii="Verdana" w:hAnsi="Verdana"/>
          <w:sz w:val="20"/>
          <w:szCs w:val="20"/>
        </w:rPr>
        <w:footnoteReference w:id="231"/>
      </w:r>
      <w:r w:rsidRPr="00F137AF">
        <w:rPr>
          <w:rFonts w:ascii="Verdana" w:hAnsi="Verdana"/>
          <w:sz w:val="20"/>
          <w:szCs w:val="20"/>
        </w:rPr>
        <w:t>.</w:t>
      </w:r>
    </w:p>
    <w:p w14:paraId="6607C984" w14:textId="77777777" w:rsidR="00342F65" w:rsidRPr="0039097A" w:rsidRDefault="00342F65" w:rsidP="005A5029">
      <w:pPr>
        <w:spacing w:after="0" w:line="240" w:lineRule="exact"/>
        <w:contextualSpacing/>
        <w:rPr>
          <w:rFonts w:ascii="Verdana" w:hAnsi="Verdana" w:cs="Verdana"/>
          <w:sz w:val="20"/>
          <w:szCs w:val="20"/>
          <w:lang w:val="es-ES_tradnl"/>
        </w:rPr>
      </w:pPr>
    </w:p>
    <w:p w14:paraId="53CAA764" w14:textId="77777777" w:rsidR="00342F65" w:rsidRPr="0039097A" w:rsidRDefault="00342F65" w:rsidP="005A5029">
      <w:pPr>
        <w:numPr>
          <w:ilvl w:val="0"/>
          <w:numId w:val="49"/>
        </w:numPr>
        <w:spacing w:after="0" w:line="240" w:lineRule="exact"/>
        <w:ind w:left="0" w:firstLine="0"/>
        <w:contextualSpacing/>
        <w:jc w:val="both"/>
        <w:rPr>
          <w:rFonts w:ascii="Verdana" w:hAnsi="Verdana" w:cs="Verdana"/>
          <w:sz w:val="20"/>
          <w:szCs w:val="20"/>
          <w:lang w:val="es-ES_tradnl"/>
        </w:rPr>
      </w:pPr>
      <w:r w:rsidRPr="0039097A">
        <w:rPr>
          <w:rFonts w:ascii="Verdana" w:hAnsi="Verdana" w:cs="Verdana"/>
          <w:sz w:val="20"/>
          <w:szCs w:val="20"/>
          <w:lang w:val="es-ES_tradnl"/>
        </w:rPr>
        <w:t>Por ello, la Corte determina, en vista de los hechos probados y de conformidad con las violaciones declaradas, que el Estado debe continuar la</w:t>
      </w:r>
      <w:r>
        <w:rPr>
          <w:rFonts w:ascii="Verdana" w:hAnsi="Verdana" w:cs="Verdana"/>
          <w:sz w:val="20"/>
          <w:szCs w:val="20"/>
          <w:lang w:val="es-ES_tradnl"/>
        </w:rPr>
        <w:t>s</w:t>
      </w:r>
      <w:r w:rsidRPr="0039097A">
        <w:rPr>
          <w:rFonts w:ascii="Verdana" w:hAnsi="Verdana" w:cs="Verdana"/>
          <w:sz w:val="20"/>
          <w:szCs w:val="20"/>
          <w:lang w:val="es-ES_tradnl"/>
        </w:rPr>
        <w:t xml:space="preserve"> investigaci</w:t>
      </w:r>
      <w:r>
        <w:rPr>
          <w:rFonts w:ascii="Verdana" w:hAnsi="Verdana" w:cs="Verdana"/>
          <w:sz w:val="20"/>
          <w:szCs w:val="20"/>
          <w:lang w:val="es-ES_tradnl"/>
        </w:rPr>
        <w:t>o</w:t>
      </w:r>
      <w:r w:rsidRPr="0039097A">
        <w:rPr>
          <w:rFonts w:ascii="Verdana" w:hAnsi="Verdana" w:cs="Verdana"/>
          <w:sz w:val="20"/>
          <w:szCs w:val="20"/>
          <w:lang w:val="es-ES_tradnl"/>
        </w:rPr>
        <w:t>n</w:t>
      </w:r>
      <w:r>
        <w:rPr>
          <w:rFonts w:ascii="Verdana" w:hAnsi="Verdana" w:cs="Verdana"/>
          <w:sz w:val="20"/>
          <w:szCs w:val="20"/>
          <w:lang w:val="es-ES_tradnl"/>
        </w:rPr>
        <w:t>es</w:t>
      </w:r>
      <w:r w:rsidRPr="0039097A">
        <w:rPr>
          <w:rFonts w:ascii="Verdana" w:hAnsi="Verdana" w:cs="Verdana"/>
          <w:sz w:val="20"/>
          <w:szCs w:val="20"/>
          <w:lang w:val="es-ES_tradnl"/>
        </w:rPr>
        <w:t xml:space="preserve"> de los hechos, a fin de identificar, juzgar y, en su caso, sancionar a los responsables de las ejecuciones extrajudiciales de </w:t>
      </w:r>
      <w:r w:rsidRPr="0039097A">
        <w:rPr>
          <w:rFonts w:ascii="Verdana" w:hAnsi="Verdana"/>
          <w:sz w:val="20"/>
          <w:szCs w:val="20"/>
        </w:rPr>
        <w:t xml:space="preserve">Diana </w:t>
      </w:r>
      <w:proofErr w:type="spellStart"/>
      <w:r w:rsidRPr="0039097A">
        <w:rPr>
          <w:rFonts w:ascii="Verdana" w:hAnsi="Verdana"/>
          <w:sz w:val="20"/>
          <w:szCs w:val="20"/>
        </w:rPr>
        <w:t>Maidanik</w:t>
      </w:r>
      <w:proofErr w:type="spellEnd"/>
      <w:r w:rsidRPr="0039097A">
        <w:rPr>
          <w:rFonts w:ascii="Verdana" w:hAnsi="Verdana"/>
          <w:sz w:val="20"/>
          <w:szCs w:val="20"/>
        </w:rPr>
        <w:t xml:space="preserve">, Silvia Reyes y Laura Raggio, así como de las desapariciones forzadas de Óscar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Luis Eduardo González </w:t>
      </w:r>
      <w:proofErr w:type="spellStart"/>
      <w:r w:rsidRPr="0039097A">
        <w:rPr>
          <w:rFonts w:ascii="Verdana" w:hAnsi="Verdana"/>
          <w:sz w:val="20"/>
          <w:szCs w:val="20"/>
        </w:rPr>
        <w:t>González</w:t>
      </w:r>
      <w:proofErr w:type="spellEnd"/>
      <w:r w:rsidRPr="0039097A">
        <w:rPr>
          <w:rFonts w:ascii="Verdana" w:hAnsi="Verdana" w:cs="Verdana"/>
          <w:sz w:val="20"/>
          <w:szCs w:val="20"/>
          <w:lang w:val="es-ES_tradnl"/>
        </w:rPr>
        <w:t xml:space="preserve"> </w:t>
      </w:r>
    </w:p>
    <w:p w14:paraId="20848A63" w14:textId="77777777" w:rsidR="00342F65" w:rsidRPr="0039097A" w:rsidRDefault="00342F65" w:rsidP="005A5029">
      <w:pPr>
        <w:spacing w:after="0" w:line="240" w:lineRule="exact"/>
        <w:contextualSpacing/>
        <w:jc w:val="both"/>
        <w:rPr>
          <w:rFonts w:ascii="Verdana" w:hAnsi="Verdana" w:cs="Verdana"/>
          <w:sz w:val="20"/>
          <w:szCs w:val="20"/>
          <w:lang w:val="es-ES_tradnl"/>
        </w:rPr>
      </w:pPr>
    </w:p>
    <w:p w14:paraId="17BDB063" w14:textId="77777777" w:rsidR="00342F65" w:rsidRPr="0007035F" w:rsidRDefault="00342F65"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cs="Verdana"/>
          <w:sz w:val="20"/>
          <w:szCs w:val="20"/>
          <w:lang w:val="es-ES_tradnl"/>
        </w:rPr>
        <w:t>Para ello, dado que como ya ha determinado este Tribu</w:t>
      </w:r>
      <w:r>
        <w:rPr>
          <w:rFonts w:ascii="Verdana" w:hAnsi="Verdana" w:cs="Verdana"/>
          <w:sz w:val="20"/>
          <w:szCs w:val="20"/>
          <w:lang w:val="es-ES_tradnl"/>
        </w:rPr>
        <w:t>n</w:t>
      </w:r>
      <w:r w:rsidRPr="0039097A">
        <w:rPr>
          <w:rFonts w:ascii="Verdana" w:hAnsi="Verdana" w:cs="Verdana"/>
          <w:sz w:val="20"/>
          <w:szCs w:val="20"/>
          <w:lang w:val="es-ES_tradnl"/>
        </w:rPr>
        <w:t xml:space="preserve">al, “la Ley de Caducidad carece de efectos por su incompatibilidad con la Convención Americana y la Convención Interamericana sobre Desaparición Forzada de Personas, en cuanto puede impedir la investigación y eventual sanción de los responsables de graves violaciones de derechos humanos”, </w:t>
      </w:r>
      <w:r w:rsidRPr="00F137AF">
        <w:rPr>
          <w:rFonts w:ascii="Verdana" w:hAnsi="Verdana" w:cs="Verdana"/>
          <w:sz w:val="20"/>
          <w:szCs w:val="20"/>
          <w:lang w:val="es-ES_tradnl"/>
        </w:rPr>
        <w:t>el Estado deberá asegurar que aquélla no vuelva a representar un obstáculo para la investigación de los hechos materia del presente caso</w:t>
      </w:r>
      <w:r w:rsidRPr="00F137AF">
        <w:rPr>
          <w:rFonts w:ascii="Verdana" w:hAnsi="Verdana" w:cs="Verdana"/>
          <w:sz w:val="20"/>
          <w:szCs w:val="20"/>
          <w:vertAlign w:val="superscript"/>
          <w:lang w:val="es-ES_tradnl"/>
        </w:rPr>
        <w:footnoteReference w:id="232"/>
      </w:r>
      <w:r w:rsidRPr="00F137AF">
        <w:rPr>
          <w:rFonts w:ascii="Verdana" w:hAnsi="Verdana" w:cs="Verdana"/>
          <w:sz w:val="20"/>
          <w:szCs w:val="20"/>
          <w:lang w:val="es-ES_tradnl"/>
        </w:rPr>
        <w:t>.</w:t>
      </w:r>
      <w:r w:rsidRPr="00F137AF">
        <w:rPr>
          <w:rFonts w:ascii="Verdana" w:hAnsi="Verdana"/>
          <w:sz w:val="20"/>
          <w:szCs w:val="20"/>
        </w:rPr>
        <w:t xml:space="preserve"> </w:t>
      </w:r>
    </w:p>
    <w:p w14:paraId="6324972F" w14:textId="77777777" w:rsidR="00342F65" w:rsidRPr="00F137AF" w:rsidRDefault="00342F65" w:rsidP="005A5029">
      <w:pPr>
        <w:pStyle w:val="Prrafodelista"/>
        <w:spacing w:after="0" w:line="240" w:lineRule="exact"/>
        <w:ind w:left="0"/>
        <w:rPr>
          <w:rFonts w:ascii="Verdana" w:hAnsi="Verdana"/>
          <w:sz w:val="20"/>
          <w:szCs w:val="20"/>
        </w:rPr>
      </w:pPr>
    </w:p>
    <w:p w14:paraId="0DC8E262" w14:textId="77777777" w:rsidR="00342F65" w:rsidRPr="00F137AF" w:rsidRDefault="00342F65"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sz w:val="20"/>
          <w:szCs w:val="20"/>
        </w:rPr>
        <w:t xml:space="preserve">En relación con lo dicho, es preciso recordar que este Tribunal ya ha advertido, en su Resolución de supervisión de cumplimiento de sentencia sobre el caso </w:t>
      </w:r>
      <w:r w:rsidRPr="00BE2698">
        <w:rPr>
          <w:rFonts w:ascii="Verdana" w:hAnsi="Verdana"/>
          <w:i/>
          <w:sz w:val="20"/>
          <w:szCs w:val="20"/>
        </w:rPr>
        <w:t>Gelman Vs Uruguay</w:t>
      </w:r>
      <w:r w:rsidRPr="00F137AF">
        <w:rPr>
          <w:rFonts w:ascii="Verdana" w:hAnsi="Verdana"/>
          <w:sz w:val="20"/>
          <w:szCs w:val="20"/>
        </w:rPr>
        <w:t xml:space="preserve"> de 20 de marzo de 2013, en primer término, que “</w:t>
      </w:r>
      <w:r w:rsidRPr="00F137AF">
        <w:rPr>
          <w:rFonts w:ascii="Verdana" w:hAnsi="Verdana"/>
          <w:bCs/>
          <w:sz w:val="20"/>
          <w:szCs w:val="20"/>
        </w:rPr>
        <w:t>no resulta admisible que se considere prescrita la acción penal de dichos delitos que hasta la fecha se pueden seguir consumando, como lo es la desaparición forzada. Al ser un delito permanente, está fuera de discusión la aplicabilidad del principio de irretroactividad de la ley penal o de la prescripción”</w:t>
      </w:r>
      <w:r w:rsidRPr="00F137AF">
        <w:rPr>
          <w:rStyle w:val="Refdenotaalpie"/>
          <w:rFonts w:ascii="Verdana" w:hAnsi="Verdana"/>
          <w:bCs/>
          <w:sz w:val="20"/>
          <w:szCs w:val="20"/>
        </w:rPr>
        <w:footnoteReference w:id="233"/>
      </w:r>
      <w:r w:rsidRPr="00F137AF">
        <w:rPr>
          <w:rFonts w:ascii="Verdana" w:hAnsi="Verdana"/>
          <w:bCs/>
          <w:sz w:val="20"/>
          <w:szCs w:val="20"/>
        </w:rPr>
        <w:t>.</w:t>
      </w:r>
    </w:p>
    <w:p w14:paraId="6EA18A30" w14:textId="77777777" w:rsidR="00342F65" w:rsidRPr="00F137AF" w:rsidRDefault="00342F65" w:rsidP="005A5029">
      <w:pPr>
        <w:spacing w:after="0" w:line="240" w:lineRule="exact"/>
        <w:contextualSpacing/>
        <w:jc w:val="both"/>
        <w:rPr>
          <w:rFonts w:ascii="Verdana" w:hAnsi="Verdana"/>
          <w:sz w:val="20"/>
          <w:szCs w:val="20"/>
        </w:rPr>
      </w:pPr>
    </w:p>
    <w:p w14:paraId="463F434E" w14:textId="221E8E47" w:rsidR="00342F65" w:rsidRPr="00F137AF" w:rsidRDefault="00342F65"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bCs/>
          <w:sz w:val="20"/>
          <w:szCs w:val="20"/>
        </w:rPr>
        <w:t>En segundo lugar, en relación tanto con actos de desapari</w:t>
      </w:r>
      <w:r w:rsidR="007F374C">
        <w:rPr>
          <w:rFonts w:ascii="Verdana" w:hAnsi="Verdana"/>
          <w:bCs/>
          <w:sz w:val="20"/>
          <w:szCs w:val="20"/>
        </w:rPr>
        <w:t xml:space="preserve">ción forzada como respecto a </w:t>
      </w:r>
      <w:r w:rsidRPr="00F137AF">
        <w:rPr>
          <w:rFonts w:ascii="Verdana" w:hAnsi="Verdana"/>
          <w:bCs/>
          <w:sz w:val="20"/>
          <w:szCs w:val="20"/>
        </w:rPr>
        <w:t>otras graves violaciones a derechos humanos, como ejecuciones extrajudiciales, en la misma oportunidad este Tribunal señaló que</w:t>
      </w:r>
      <w:r w:rsidRPr="00F137AF">
        <w:rPr>
          <w:rFonts w:ascii="Verdana" w:hAnsi="Verdana"/>
          <w:sz w:val="20"/>
          <w:szCs w:val="20"/>
        </w:rPr>
        <w:t xml:space="preserve"> “</w:t>
      </w:r>
      <w:r w:rsidRPr="00F137AF">
        <w:rPr>
          <w:rFonts w:ascii="Verdana" w:hAnsi="Verdana"/>
          <w:sz w:val="20"/>
        </w:rPr>
        <w:t>es incompatible con las obligaciones internacionales de un Estado Parte en la Convención que éste deje de investigar, juzgar y, en su caso, sancionar a los responsables de graves violaciones a los derechos humanos que por su naturaleza sean imprescriptibles, en perjuicio del derecho de las víctimas de acceso a la justicia, amparándose en una situación de impunidad que sus propios poderes y órganos hayan propiciado”</w:t>
      </w:r>
      <w:r w:rsidRPr="00F137AF">
        <w:rPr>
          <w:rStyle w:val="Refdenotaalpie"/>
          <w:rFonts w:ascii="Verdana" w:hAnsi="Verdana"/>
          <w:sz w:val="20"/>
        </w:rPr>
        <w:footnoteReference w:id="234"/>
      </w:r>
      <w:r w:rsidRPr="00F137AF">
        <w:rPr>
          <w:rFonts w:ascii="Verdana" w:hAnsi="Verdana"/>
          <w:sz w:val="20"/>
        </w:rPr>
        <w:t xml:space="preserve">. </w:t>
      </w:r>
    </w:p>
    <w:p w14:paraId="0405E886" w14:textId="77777777" w:rsidR="00342F65" w:rsidRPr="00F137AF" w:rsidRDefault="00342F65" w:rsidP="005A5029">
      <w:pPr>
        <w:spacing w:after="0" w:line="240" w:lineRule="exact"/>
        <w:contextualSpacing/>
        <w:jc w:val="both"/>
        <w:rPr>
          <w:rFonts w:ascii="Verdana" w:hAnsi="Verdana"/>
          <w:sz w:val="20"/>
          <w:szCs w:val="20"/>
        </w:rPr>
      </w:pPr>
    </w:p>
    <w:p w14:paraId="71B60058" w14:textId="700D97AE" w:rsidR="00342F65" w:rsidRPr="00F137AF" w:rsidRDefault="00342F65"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sz w:val="20"/>
        </w:rPr>
        <w:t xml:space="preserve">La Corte agregó, en la misma oportunidad, que </w:t>
      </w:r>
      <w:r w:rsidRPr="00F137AF">
        <w:rPr>
          <w:rFonts w:ascii="Verdana" w:hAnsi="Verdana"/>
          <w:sz w:val="20"/>
          <w:szCs w:val="20"/>
        </w:rPr>
        <w:t>“en casos en que el aparato estatal ha servido de instrumento para la comisión de esos graves crímenes y en que los agentes responsables contaban, al momento de su comisión, con la tolerancia, apoyo y garantías de impunidad que les aseguró y aseguraría el propio Estado</w:t>
      </w:r>
      <w:r w:rsidR="005B21F6">
        <w:rPr>
          <w:rFonts w:ascii="Verdana" w:hAnsi="Verdana"/>
          <w:sz w:val="20"/>
          <w:szCs w:val="20"/>
        </w:rPr>
        <w:t>”</w:t>
      </w:r>
      <w:r w:rsidRPr="00F137AF">
        <w:rPr>
          <w:rFonts w:ascii="Verdana" w:hAnsi="Verdana"/>
          <w:sz w:val="20"/>
          <w:szCs w:val="20"/>
        </w:rPr>
        <w:t xml:space="preserve">, </w:t>
      </w:r>
      <w:r w:rsidRPr="00F137AF">
        <w:rPr>
          <w:rFonts w:ascii="Verdana" w:hAnsi="Verdana"/>
          <w:sz w:val="20"/>
        </w:rPr>
        <w:t xml:space="preserve">no cabe </w:t>
      </w:r>
      <w:r w:rsidRPr="00F137AF">
        <w:rPr>
          <w:rFonts w:ascii="Verdana" w:hAnsi="Verdana"/>
          <w:sz w:val="20"/>
          <w:szCs w:val="20"/>
        </w:rPr>
        <w:t>una</w:t>
      </w:r>
      <w:r w:rsidR="005B21F6">
        <w:rPr>
          <w:rFonts w:ascii="Verdana" w:hAnsi="Verdana"/>
          <w:sz w:val="20"/>
          <w:szCs w:val="20"/>
        </w:rPr>
        <w:t xml:space="preserve"> interpretación estricta de la garantía</w:t>
      </w:r>
      <w:r w:rsidRPr="00F137AF">
        <w:rPr>
          <w:rFonts w:ascii="Verdana" w:hAnsi="Verdana"/>
          <w:sz w:val="20"/>
          <w:szCs w:val="20"/>
        </w:rPr>
        <w:t xml:space="preserve"> procesales de prescripción, sin que ello implique </w:t>
      </w:r>
      <w:r w:rsidR="005B21F6">
        <w:rPr>
          <w:rFonts w:ascii="Verdana" w:hAnsi="Verdana"/>
          <w:sz w:val="20"/>
          <w:szCs w:val="20"/>
        </w:rPr>
        <w:t>“</w:t>
      </w:r>
      <w:r w:rsidRPr="00F137AF">
        <w:rPr>
          <w:rFonts w:ascii="Verdana" w:hAnsi="Verdana"/>
          <w:sz w:val="20"/>
          <w:szCs w:val="20"/>
        </w:rPr>
        <w:t xml:space="preserve">desnaturalizar su sentido mismo y dejar de atender </w:t>
      </w:r>
      <w:r w:rsidRPr="00F137AF">
        <w:rPr>
          <w:rFonts w:ascii="Verdana" w:hAnsi="Verdana"/>
          <w:sz w:val="20"/>
        </w:rPr>
        <w:t>la consecución de las expectativas legítimas de las víctimas a su derecho de acceso a la justicia”</w:t>
      </w:r>
      <w:r w:rsidRPr="00F137AF">
        <w:rPr>
          <w:rStyle w:val="Refdenotaalpie"/>
          <w:rFonts w:ascii="Verdana" w:hAnsi="Verdana"/>
          <w:sz w:val="20"/>
        </w:rPr>
        <w:footnoteReference w:id="235"/>
      </w:r>
      <w:r w:rsidRPr="00F137AF">
        <w:rPr>
          <w:rFonts w:ascii="Verdana" w:hAnsi="Verdana"/>
          <w:sz w:val="20"/>
        </w:rPr>
        <w:t xml:space="preserve">. </w:t>
      </w:r>
    </w:p>
    <w:p w14:paraId="6E381B7D" w14:textId="77777777" w:rsidR="00342F65" w:rsidRPr="00F137AF" w:rsidRDefault="00342F65" w:rsidP="005A5029">
      <w:pPr>
        <w:spacing w:after="0" w:line="240" w:lineRule="exact"/>
        <w:contextualSpacing/>
        <w:rPr>
          <w:rFonts w:ascii="Verdana" w:hAnsi="Verdana" w:cs="Verdana"/>
          <w:sz w:val="20"/>
          <w:szCs w:val="20"/>
        </w:rPr>
      </w:pPr>
    </w:p>
    <w:p w14:paraId="79837D6C" w14:textId="77777777" w:rsidR="00342F65" w:rsidRPr="00F137AF" w:rsidRDefault="00342F65" w:rsidP="005A5029">
      <w:pPr>
        <w:numPr>
          <w:ilvl w:val="0"/>
          <w:numId w:val="49"/>
        </w:numPr>
        <w:spacing w:after="0" w:line="240" w:lineRule="exact"/>
        <w:ind w:left="0" w:firstLine="0"/>
        <w:contextualSpacing/>
        <w:jc w:val="both"/>
        <w:rPr>
          <w:rFonts w:ascii="Verdana" w:hAnsi="Verdana" w:cs="Verdana"/>
          <w:sz w:val="20"/>
          <w:szCs w:val="20"/>
          <w:lang w:val="es-ES_tradnl"/>
        </w:rPr>
      </w:pPr>
      <w:r w:rsidRPr="00F137AF">
        <w:rPr>
          <w:rFonts w:ascii="Verdana" w:hAnsi="Verdana" w:cs="Verdana"/>
          <w:sz w:val="20"/>
          <w:szCs w:val="20"/>
          <w:lang w:val="es-ES_tradnl"/>
        </w:rPr>
        <w:t xml:space="preserve">El Estado debe conducir las investigaciones ordenadas en la presente sentencia de conformidad a las pautas antes mencionadas. </w:t>
      </w:r>
    </w:p>
    <w:p w14:paraId="446F918B" w14:textId="77777777" w:rsidR="00342F65" w:rsidRPr="00DE69BB" w:rsidRDefault="00342F65" w:rsidP="005A5029">
      <w:pPr>
        <w:spacing w:after="0" w:line="240" w:lineRule="exact"/>
        <w:contextualSpacing/>
        <w:jc w:val="both"/>
        <w:rPr>
          <w:rFonts w:ascii="Verdana" w:hAnsi="Verdana" w:cs="Verdana"/>
          <w:sz w:val="20"/>
          <w:szCs w:val="20"/>
          <w:lang w:val="es-ES_tradnl"/>
        </w:rPr>
      </w:pPr>
    </w:p>
    <w:p w14:paraId="072F5E56" w14:textId="77777777" w:rsidR="00342F65" w:rsidRDefault="00342F65" w:rsidP="005A5029">
      <w:pPr>
        <w:numPr>
          <w:ilvl w:val="0"/>
          <w:numId w:val="49"/>
        </w:numPr>
        <w:spacing w:after="0" w:line="240" w:lineRule="exact"/>
        <w:ind w:left="0" w:firstLine="0"/>
        <w:contextualSpacing/>
        <w:jc w:val="both"/>
        <w:rPr>
          <w:rFonts w:ascii="Verdana" w:hAnsi="Verdana" w:cs="Verdana"/>
          <w:sz w:val="20"/>
          <w:szCs w:val="20"/>
          <w:lang w:val="es-ES_tradnl"/>
        </w:rPr>
      </w:pPr>
      <w:r>
        <w:rPr>
          <w:rFonts w:ascii="Verdana" w:hAnsi="Verdana" w:cs="Verdana"/>
          <w:sz w:val="20"/>
          <w:szCs w:val="20"/>
          <w:lang w:val="es-ES_tradnl"/>
        </w:rPr>
        <w:t xml:space="preserve">Asimismo, debe llevar a cabo tales </w:t>
      </w:r>
      <w:r w:rsidRPr="0039097A">
        <w:rPr>
          <w:rFonts w:ascii="Verdana" w:hAnsi="Verdana" w:cs="Verdana"/>
          <w:sz w:val="20"/>
          <w:szCs w:val="20"/>
          <w:lang w:val="es-ES_tradnl"/>
        </w:rPr>
        <w:t xml:space="preserve">investigaciones </w:t>
      </w:r>
      <w:r>
        <w:rPr>
          <w:rFonts w:ascii="Verdana" w:hAnsi="Verdana" w:cs="Verdana"/>
          <w:sz w:val="20"/>
          <w:szCs w:val="20"/>
          <w:lang w:val="es-ES_tradnl"/>
        </w:rPr>
        <w:t>de modo eficaz</w:t>
      </w:r>
      <w:r w:rsidRPr="0039097A">
        <w:rPr>
          <w:rFonts w:ascii="Verdana" w:hAnsi="Verdana" w:cs="Verdana"/>
          <w:sz w:val="20"/>
          <w:szCs w:val="20"/>
          <w:lang w:val="es-ES_tradnl"/>
        </w:rPr>
        <w:t>, con la máxima celeridad posible y en un plazo razonable, disponiendo al respecto las medidas conducentes a tales efectos</w:t>
      </w:r>
      <w:r w:rsidRPr="0039097A">
        <w:rPr>
          <w:rFonts w:ascii="Verdana" w:hAnsi="Verdana"/>
          <w:sz w:val="20"/>
          <w:szCs w:val="20"/>
          <w:vertAlign w:val="superscript"/>
          <w:lang w:val="es-ES_tradnl"/>
        </w:rPr>
        <w:footnoteReference w:id="236"/>
      </w:r>
      <w:r w:rsidRPr="0039097A">
        <w:rPr>
          <w:rFonts w:ascii="Verdana" w:hAnsi="Verdana" w:cs="Verdana"/>
          <w:sz w:val="20"/>
          <w:szCs w:val="20"/>
          <w:lang w:val="es-ES_tradnl"/>
        </w:rPr>
        <w:t>, incluso para evitar y, de ser procedente de conformidad con el derecho interno, sancionar, el uso abusivo de recursos u otras acciones claramente dilatorias por parte de las personas imputadas o su representación legal</w:t>
      </w:r>
      <w:r w:rsidRPr="0039097A">
        <w:rPr>
          <w:rFonts w:ascii="Verdana" w:hAnsi="Verdana" w:cs="Verdana"/>
          <w:sz w:val="20"/>
          <w:szCs w:val="20"/>
          <w:vertAlign w:val="superscript"/>
          <w:lang w:val="es-ES_tradnl"/>
        </w:rPr>
        <w:footnoteReference w:id="237"/>
      </w:r>
      <w:r w:rsidRPr="0039097A">
        <w:rPr>
          <w:rFonts w:ascii="Verdana" w:hAnsi="Verdana" w:cs="Verdana"/>
          <w:sz w:val="20"/>
          <w:szCs w:val="20"/>
          <w:lang w:val="es-ES_tradnl"/>
        </w:rPr>
        <w:t xml:space="preserve">. </w:t>
      </w:r>
    </w:p>
    <w:p w14:paraId="3F42BEBE" w14:textId="77777777" w:rsidR="00342F65" w:rsidRDefault="00342F65" w:rsidP="005A5029">
      <w:pPr>
        <w:pStyle w:val="Prrafodelista"/>
        <w:spacing w:after="0" w:line="240" w:lineRule="exact"/>
        <w:ind w:left="0"/>
        <w:rPr>
          <w:rFonts w:ascii="Verdana" w:hAnsi="Verdana" w:cs="Verdana"/>
          <w:sz w:val="20"/>
          <w:szCs w:val="20"/>
          <w:lang w:val="es-ES_tradnl"/>
        </w:rPr>
      </w:pPr>
    </w:p>
    <w:p w14:paraId="7E9C4D05" w14:textId="77777777" w:rsidR="00342F65" w:rsidRPr="00F137AF" w:rsidRDefault="00342F65" w:rsidP="005A5029">
      <w:pPr>
        <w:numPr>
          <w:ilvl w:val="0"/>
          <w:numId w:val="49"/>
        </w:numPr>
        <w:spacing w:after="0" w:line="240" w:lineRule="exact"/>
        <w:ind w:left="0" w:firstLine="0"/>
        <w:contextualSpacing/>
        <w:jc w:val="both"/>
        <w:rPr>
          <w:rFonts w:ascii="Verdana" w:hAnsi="Verdana" w:cs="Verdana"/>
          <w:sz w:val="20"/>
          <w:szCs w:val="20"/>
          <w:lang w:val="es-ES_tradnl"/>
        </w:rPr>
      </w:pPr>
      <w:r w:rsidRPr="00F137AF">
        <w:rPr>
          <w:rFonts w:ascii="Verdana" w:hAnsi="Verdana" w:cs="Verdana"/>
          <w:sz w:val="20"/>
          <w:szCs w:val="20"/>
          <w:lang w:val="es-ES_tradnl"/>
        </w:rPr>
        <w:t xml:space="preserve">Al respecto, como ya ha señalado este Tribunal respecto de Uruguay, el Estado no debe permitir que el </w:t>
      </w:r>
      <w:r w:rsidRPr="00F137AF">
        <w:rPr>
          <w:rFonts w:ascii="Verdana" w:hAnsi="Verdana"/>
          <w:sz w:val="20"/>
          <w:szCs w:val="20"/>
        </w:rPr>
        <w:t>ejercicio de acciones o recursos tengan efectos dilatorios y entorpecedores en los procesos y constituyan un obstáculo en el acceso a la justicia de las víctimas. Los jueces, como rectores de proceso, deben dirigir y encausar los procedimientos judiciales con el fin de no sacrificar la justicia y el debido proceso en pro del formalismo y de la impunidad, así como tramitar los recursos judiciales de manera tal que se restrinja el uso desproporcionado de acciones que puedan tener efectos dilatorios o entorpecedores</w:t>
      </w:r>
      <w:r w:rsidRPr="00F137AF">
        <w:rPr>
          <w:rStyle w:val="Refdenotaalpie"/>
          <w:rFonts w:ascii="Verdana" w:hAnsi="Verdana"/>
          <w:sz w:val="20"/>
          <w:szCs w:val="20"/>
        </w:rPr>
        <w:footnoteReference w:id="238"/>
      </w:r>
      <w:r w:rsidRPr="00F137AF">
        <w:rPr>
          <w:rFonts w:ascii="Verdana" w:hAnsi="Verdana"/>
          <w:sz w:val="20"/>
          <w:szCs w:val="20"/>
        </w:rPr>
        <w:t>.</w:t>
      </w:r>
      <w:r w:rsidRPr="00F137AF">
        <w:rPr>
          <w:rFonts w:ascii="Verdana" w:hAnsi="Verdana" w:cs="Verdana"/>
          <w:sz w:val="20"/>
          <w:szCs w:val="20"/>
          <w:lang w:val="es-ES_tradnl"/>
        </w:rPr>
        <w:t xml:space="preserve"> Las autoridades, a su vez, deben abstenerse de realizar actos que impliquen la obstrucción de los procesos investigativos</w:t>
      </w:r>
      <w:r w:rsidRPr="00F137AF">
        <w:rPr>
          <w:rFonts w:ascii="Verdana" w:hAnsi="Verdana" w:cs="Verdana"/>
          <w:sz w:val="20"/>
          <w:szCs w:val="20"/>
          <w:vertAlign w:val="superscript"/>
          <w:lang w:val="es-ES_tradnl"/>
        </w:rPr>
        <w:footnoteReference w:id="239"/>
      </w:r>
      <w:r w:rsidRPr="00F137AF">
        <w:rPr>
          <w:rFonts w:ascii="Verdana" w:hAnsi="Verdana" w:cs="Verdana"/>
          <w:sz w:val="20"/>
          <w:szCs w:val="20"/>
          <w:lang w:val="es-ES_tradnl"/>
        </w:rPr>
        <w:t>.</w:t>
      </w:r>
    </w:p>
    <w:p w14:paraId="4D43BC64" w14:textId="77777777" w:rsidR="00342F65" w:rsidRPr="00DE69BB" w:rsidRDefault="00342F65" w:rsidP="005A5029">
      <w:pPr>
        <w:spacing w:after="0" w:line="240" w:lineRule="exact"/>
        <w:contextualSpacing/>
        <w:jc w:val="both"/>
        <w:rPr>
          <w:rFonts w:ascii="Verdana" w:hAnsi="Verdana"/>
          <w:sz w:val="20"/>
          <w:szCs w:val="20"/>
        </w:rPr>
      </w:pPr>
    </w:p>
    <w:p w14:paraId="3A9F20AB" w14:textId="77777777" w:rsidR="00342F65" w:rsidRPr="00F137AF" w:rsidRDefault="00342F65"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cs="Verdana"/>
          <w:sz w:val="20"/>
          <w:szCs w:val="20"/>
          <w:lang w:val="es-ES_tradnl"/>
        </w:rPr>
        <w:t xml:space="preserve">El Estado debe asegurar que las autoridades competentes realicen las investigaciones correspondientes </w:t>
      </w:r>
      <w:r w:rsidRPr="00F137AF">
        <w:rPr>
          <w:rFonts w:ascii="Verdana" w:hAnsi="Verdana" w:cs="Verdana"/>
          <w:i/>
          <w:sz w:val="20"/>
          <w:szCs w:val="20"/>
          <w:lang w:val="es-ES_tradnl"/>
        </w:rPr>
        <w:t xml:space="preserve">ex </w:t>
      </w:r>
      <w:proofErr w:type="spellStart"/>
      <w:r w:rsidRPr="00F137AF">
        <w:rPr>
          <w:rFonts w:ascii="Verdana" w:hAnsi="Verdana" w:cs="Verdana"/>
          <w:i/>
          <w:sz w:val="20"/>
          <w:szCs w:val="20"/>
          <w:lang w:val="es-ES_tradnl"/>
        </w:rPr>
        <w:t>officio</w:t>
      </w:r>
      <w:proofErr w:type="spellEnd"/>
      <w:r w:rsidRPr="00F137AF">
        <w:rPr>
          <w:rFonts w:ascii="Verdana" w:hAnsi="Verdana" w:cs="Verdana"/>
          <w:sz w:val="20"/>
          <w:szCs w:val="20"/>
          <w:lang w:val="es-ES_tradnl"/>
        </w:rPr>
        <w:t>, contando, para ese cometido, con las facultades y recursos necesarios</w:t>
      </w:r>
      <w:r w:rsidRPr="00F137AF">
        <w:rPr>
          <w:rFonts w:ascii="Verdana" w:hAnsi="Verdana"/>
          <w:sz w:val="20"/>
          <w:szCs w:val="20"/>
          <w:vertAlign w:val="superscript"/>
          <w:lang w:val="es-ES_tradnl"/>
        </w:rPr>
        <w:footnoteReference w:id="240"/>
      </w:r>
      <w:r w:rsidRPr="00F137AF">
        <w:rPr>
          <w:rFonts w:ascii="Verdana" w:hAnsi="Verdana"/>
          <w:sz w:val="20"/>
          <w:szCs w:val="20"/>
          <w:lang w:val="es-ES_tradnl"/>
        </w:rPr>
        <w:t>, inclusive logísticos y científicos, para recabar y procesar las pruebas, así como para acceder plenamente a la documentación e información pertinente y para llevar a cabo las actuaciones y averiguaciones esenciales para esclarecer lo sucedido a las personas desaparecidas y a las víctimas de ejecución extrajudicial</w:t>
      </w:r>
      <w:r w:rsidRPr="00F137AF">
        <w:rPr>
          <w:rStyle w:val="Refdenotaalpie"/>
          <w:rFonts w:ascii="Verdana" w:hAnsi="Verdana"/>
          <w:sz w:val="20"/>
          <w:szCs w:val="20"/>
          <w:lang w:val="es-ES_tradnl"/>
        </w:rPr>
        <w:footnoteReference w:id="241"/>
      </w:r>
      <w:r w:rsidRPr="00F137AF">
        <w:rPr>
          <w:rFonts w:ascii="Verdana" w:hAnsi="Verdana"/>
          <w:sz w:val="20"/>
          <w:szCs w:val="20"/>
          <w:lang w:val="es-ES_tradnl"/>
        </w:rPr>
        <w:t xml:space="preserve">. </w:t>
      </w:r>
      <w:r w:rsidRPr="00F137AF">
        <w:rPr>
          <w:rFonts w:ascii="Verdana" w:hAnsi="Verdana"/>
          <w:sz w:val="20"/>
          <w:szCs w:val="20"/>
        </w:rPr>
        <w:t xml:space="preserve">Deben evitarse, al respecto, omisiones en la consideración y valoración de la prueba y el seguimiento de líneas lógicas de investigación. </w:t>
      </w:r>
      <w:r w:rsidRPr="00F137AF">
        <w:rPr>
          <w:rFonts w:ascii="Verdana" w:hAnsi="Verdana"/>
          <w:sz w:val="20"/>
          <w:szCs w:val="20"/>
          <w:lang w:val="es-ES_tradnl"/>
        </w:rPr>
        <w:t>Todas las autoridades estatales están obligadas a colaborar en la recaudación de la prueba, por lo que deberán brindar al juez de la causa toda la información que requiera y abstenerse de actos que impliquen la obstrucción para la marcha del proceso investigativo</w:t>
      </w:r>
      <w:r w:rsidRPr="00F137AF">
        <w:rPr>
          <w:rFonts w:ascii="Verdana" w:hAnsi="Verdana"/>
          <w:sz w:val="20"/>
          <w:szCs w:val="20"/>
          <w:vertAlign w:val="superscript"/>
          <w:lang w:val="es-ES_tradnl"/>
        </w:rPr>
        <w:footnoteReference w:id="242"/>
      </w:r>
      <w:r w:rsidRPr="00F137AF">
        <w:rPr>
          <w:rFonts w:ascii="Verdana" w:hAnsi="Verdana"/>
          <w:sz w:val="20"/>
          <w:szCs w:val="20"/>
          <w:lang w:val="es-ES_tradnl"/>
        </w:rPr>
        <w:t xml:space="preserve">. </w:t>
      </w:r>
    </w:p>
    <w:p w14:paraId="05B51FE2" w14:textId="77777777" w:rsidR="00342F65" w:rsidRPr="00F137AF" w:rsidRDefault="00342F65" w:rsidP="005A5029">
      <w:pPr>
        <w:spacing w:after="0" w:line="240" w:lineRule="exact"/>
        <w:contextualSpacing/>
        <w:jc w:val="both"/>
        <w:rPr>
          <w:rFonts w:ascii="Verdana" w:hAnsi="Verdana"/>
          <w:sz w:val="20"/>
          <w:szCs w:val="20"/>
        </w:rPr>
      </w:pPr>
    </w:p>
    <w:p w14:paraId="1094D9D3" w14:textId="77777777" w:rsidR="00342F65" w:rsidRPr="00F137AF" w:rsidRDefault="00342F65" w:rsidP="005A5029">
      <w:pPr>
        <w:numPr>
          <w:ilvl w:val="0"/>
          <w:numId w:val="49"/>
        </w:numPr>
        <w:spacing w:after="0" w:line="240" w:lineRule="exact"/>
        <w:ind w:left="0" w:firstLine="0"/>
        <w:contextualSpacing/>
        <w:jc w:val="both"/>
        <w:rPr>
          <w:rFonts w:ascii="Verdana" w:hAnsi="Verdana"/>
          <w:sz w:val="20"/>
          <w:szCs w:val="20"/>
          <w:lang w:val="es-ES_tradnl"/>
        </w:rPr>
      </w:pPr>
      <w:r w:rsidRPr="00F137AF">
        <w:rPr>
          <w:rFonts w:ascii="Verdana" w:hAnsi="Verdana"/>
          <w:sz w:val="20"/>
          <w:szCs w:val="20"/>
          <w:lang w:val="es-ES_tradnl"/>
        </w:rPr>
        <w:t xml:space="preserve">El Estado </w:t>
      </w:r>
      <w:r w:rsidRPr="00F137AF">
        <w:rPr>
          <w:rFonts w:ascii="Verdana" w:hAnsi="Verdana"/>
          <w:sz w:val="20"/>
          <w:szCs w:val="20"/>
        </w:rPr>
        <w:t xml:space="preserve">debe, en tanto resulte necesario, adoptar todas las medidas procedentes, de carácter judicial y diplomático, para juzgar y sancionar a todos los responsables de las violaciones cometidas, impulsando por todos los medios a su alcance las solicitudes de extradición que correspondan bajo las normas internas o de derecho internacional pertinentes. Uruguay y el resto de los </w:t>
      </w:r>
      <w:proofErr w:type="gramStart"/>
      <w:r w:rsidRPr="00F137AF">
        <w:rPr>
          <w:rFonts w:ascii="Verdana" w:hAnsi="Verdana"/>
          <w:sz w:val="20"/>
          <w:szCs w:val="20"/>
        </w:rPr>
        <w:t>Estados Partes</w:t>
      </w:r>
      <w:proofErr w:type="gramEnd"/>
      <w:r w:rsidRPr="00F137AF">
        <w:rPr>
          <w:rFonts w:ascii="Verdana" w:hAnsi="Verdana"/>
          <w:sz w:val="20"/>
          <w:szCs w:val="20"/>
        </w:rPr>
        <w:t xml:space="preserve"> en la Convención Americana, deben colaborar entre sí para erradicar la impunidad de las violaciones cometidas en este caso mediante el juzgamiento y sanción de sus responsables</w:t>
      </w:r>
      <w:r w:rsidRPr="00F137AF">
        <w:rPr>
          <w:rStyle w:val="Refdenotaalpie"/>
          <w:rFonts w:ascii="Verdana" w:hAnsi="Verdana"/>
          <w:sz w:val="20"/>
          <w:szCs w:val="20"/>
        </w:rPr>
        <w:footnoteReference w:id="243"/>
      </w:r>
      <w:r w:rsidRPr="00F137AF">
        <w:rPr>
          <w:rFonts w:ascii="Verdana" w:hAnsi="Verdana"/>
          <w:sz w:val="20"/>
          <w:szCs w:val="20"/>
        </w:rPr>
        <w:t>.</w:t>
      </w:r>
    </w:p>
    <w:p w14:paraId="39753A63" w14:textId="77777777" w:rsidR="00342F65" w:rsidRPr="00F137AF" w:rsidRDefault="00342F65" w:rsidP="005A5029">
      <w:pPr>
        <w:spacing w:after="0" w:line="240" w:lineRule="exact"/>
        <w:contextualSpacing/>
        <w:rPr>
          <w:rFonts w:ascii="Verdana" w:hAnsi="Verdana"/>
          <w:sz w:val="20"/>
          <w:szCs w:val="20"/>
          <w:lang w:val="es-ES_tradnl"/>
        </w:rPr>
      </w:pPr>
    </w:p>
    <w:p w14:paraId="614DAD6C" w14:textId="77777777" w:rsidR="00342F65" w:rsidRPr="00F137AF" w:rsidRDefault="00342F65"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sz w:val="20"/>
          <w:szCs w:val="20"/>
          <w:lang w:val="es-ES"/>
        </w:rPr>
        <w:t xml:space="preserve">El Estado, por otra parte, </w:t>
      </w:r>
      <w:r w:rsidRPr="00F137AF">
        <w:rPr>
          <w:rFonts w:ascii="Verdana" w:hAnsi="Verdana"/>
          <w:sz w:val="20"/>
          <w:szCs w:val="20"/>
        </w:rPr>
        <w:t>debe asegurar el pleno acceso y capacidad de actuar de los familiares de las víctimas en todas las etapas de la investigación y el juzgamiento de los responsables</w:t>
      </w:r>
      <w:r w:rsidRPr="00F137AF">
        <w:rPr>
          <w:rFonts w:ascii="Verdana" w:hAnsi="Verdana"/>
          <w:sz w:val="20"/>
          <w:szCs w:val="20"/>
          <w:vertAlign w:val="superscript"/>
          <w:lang w:val="es-ES_tradnl"/>
        </w:rPr>
        <w:footnoteReference w:id="244"/>
      </w:r>
      <w:r w:rsidRPr="00F137AF">
        <w:rPr>
          <w:rFonts w:ascii="Verdana" w:hAnsi="Verdana"/>
          <w:sz w:val="20"/>
          <w:szCs w:val="20"/>
        </w:rPr>
        <w:t xml:space="preserve">. Dichas personas, así como otras que participen en las </w:t>
      </w:r>
      <w:r w:rsidRPr="00F137AF">
        <w:rPr>
          <w:rFonts w:ascii="Verdana" w:hAnsi="Verdana"/>
          <w:sz w:val="20"/>
          <w:szCs w:val="20"/>
        </w:rPr>
        <w:lastRenderedPageBreak/>
        <w:t>investigaciones, tales como testigos y operadores de justicia, deben contar con debidas garantías de seguridad</w:t>
      </w:r>
      <w:r w:rsidRPr="00F137AF">
        <w:rPr>
          <w:rFonts w:ascii="Verdana" w:hAnsi="Verdana"/>
          <w:sz w:val="20"/>
          <w:szCs w:val="20"/>
          <w:vertAlign w:val="superscript"/>
          <w:lang w:val="es-ES_tradnl"/>
        </w:rPr>
        <w:footnoteReference w:id="245"/>
      </w:r>
      <w:r w:rsidRPr="00F137AF">
        <w:rPr>
          <w:rFonts w:ascii="Verdana" w:hAnsi="Verdana"/>
          <w:sz w:val="20"/>
          <w:szCs w:val="20"/>
        </w:rPr>
        <w:t>.</w:t>
      </w:r>
    </w:p>
    <w:p w14:paraId="7C02F0AE" w14:textId="77777777" w:rsidR="00342F65" w:rsidRPr="00F137AF" w:rsidRDefault="00342F65" w:rsidP="005A5029">
      <w:pPr>
        <w:spacing w:after="0" w:line="240" w:lineRule="exact"/>
        <w:contextualSpacing/>
        <w:rPr>
          <w:rFonts w:ascii="Verdana" w:hAnsi="Verdana"/>
          <w:sz w:val="20"/>
          <w:szCs w:val="20"/>
        </w:rPr>
      </w:pPr>
    </w:p>
    <w:p w14:paraId="17D84B5C" w14:textId="77777777" w:rsidR="00342F65" w:rsidRPr="00F137AF" w:rsidRDefault="00342F65"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sz w:val="20"/>
          <w:szCs w:val="20"/>
        </w:rPr>
        <w:t xml:space="preserve">El Estado, en relación con las ejecuciones extrajudiciales de Diana </w:t>
      </w:r>
      <w:proofErr w:type="spellStart"/>
      <w:r w:rsidRPr="00F137AF">
        <w:rPr>
          <w:rFonts w:ascii="Verdana" w:hAnsi="Verdana"/>
          <w:sz w:val="20"/>
          <w:szCs w:val="20"/>
        </w:rPr>
        <w:t>Maidanik</w:t>
      </w:r>
      <w:proofErr w:type="spellEnd"/>
      <w:r w:rsidRPr="00F137AF">
        <w:rPr>
          <w:rFonts w:ascii="Verdana" w:hAnsi="Verdana"/>
          <w:sz w:val="20"/>
          <w:szCs w:val="20"/>
        </w:rPr>
        <w:t xml:space="preserve">, Silvia Reyes y Laura Raggio, debe llevar a cabo las actuaciones observando la perspectiva de género, </w:t>
      </w:r>
      <w:proofErr w:type="gramStart"/>
      <w:r w:rsidRPr="00F137AF">
        <w:rPr>
          <w:rFonts w:ascii="Verdana" w:hAnsi="Verdana"/>
          <w:sz w:val="20"/>
          <w:szCs w:val="20"/>
        </w:rPr>
        <w:t>de acuerdo a</w:t>
      </w:r>
      <w:proofErr w:type="gramEnd"/>
      <w:r w:rsidRPr="00F137AF">
        <w:rPr>
          <w:rFonts w:ascii="Verdana" w:hAnsi="Verdana"/>
          <w:sz w:val="20"/>
          <w:szCs w:val="20"/>
        </w:rPr>
        <w:t xml:space="preserve"> las pautas señaladas en la presente Sentencia (</w:t>
      </w:r>
      <w:r w:rsidRPr="00F137AF">
        <w:rPr>
          <w:rFonts w:ascii="Verdana" w:hAnsi="Verdana"/>
          <w:i/>
          <w:sz w:val="20"/>
          <w:szCs w:val="20"/>
        </w:rPr>
        <w:t xml:space="preserve">supra </w:t>
      </w:r>
      <w:proofErr w:type="spellStart"/>
      <w:r w:rsidRPr="00F137AF">
        <w:rPr>
          <w:rFonts w:ascii="Verdana" w:hAnsi="Verdana"/>
          <w:sz w:val="20"/>
          <w:szCs w:val="20"/>
        </w:rPr>
        <w:t>párr</w:t>
      </w:r>
      <w:r>
        <w:rPr>
          <w:rFonts w:ascii="Verdana" w:hAnsi="Verdana"/>
          <w:sz w:val="20"/>
          <w:szCs w:val="20"/>
        </w:rPr>
        <w:t>s</w:t>
      </w:r>
      <w:proofErr w:type="spellEnd"/>
      <w:r w:rsidRPr="00F137AF">
        <w:rPr>
          <w:rFonts w:ascii="Verdana" w:hAnsi="Verdana"/>
          <w:sz w:val="20"/>
          <w:szCs w:val="20"/>
        </w:rPr>
        <w:t xml:space="preserve">. </w:t>
      </w:r>
      <w:r>
        <w:rPr>
          <w:rFonts w:ascii="Verdana" w:hAnsi="Verdana"/>
          <w:sz w:val="20"/>
          <w:szCs w:val="20"/>
        </w:rPr>
        <w:t>156 a 158</w:t>
      </w:r>
      <w:r w:rsidRPr="00F137AF">
        <w:rPr>
          <w:rFonts w:ascii="Verdana" w:hAnsi="Verdana"/>
          <w:sz w:val="20"/>
          <w:szCs w:val="20"/>
        </w:rPr>
        <w:t xml:space="preserve">). </w:t>
      </w:r>
    </w:p>
    <w:p w14:paraId="5FCFBD8B" w14:textId="77777777" w:rsidR="00342F65" w:rsidRPr="00F137AF" w:rsidRDefault="00342F65" w:rsidP="005A5029">
      <w:pPr>
        <w:spacing w:after="0" w:line="240" w:lineRule="exact"/>
        <w:contextualSpacing/>
        <w:rPr>
          <w:rFonts w:ascii="Verdana" w:hAnsi="Verdana"/>
          <w:sz w:val="20"/>
          <w:szCs w:val="20"/>
        </w:rPr>
      </w:pPr>
    </w:p>
    <w:p w14:paraId="3FA77562" w14:textId="08D39A5E" w:rsidR="00342F65" w:rsidRPr="001B6F20" w:rsidRDefault="00342F65" w:rsidP="005A5029">
      <w:pPr>
        <w:numPr>
          <w:ilvl w:val="0"/>
          <w:numId w:val="49"/>
        </w:numPr>
        <w:spacing w:after="0" w:line="240" w:lineRule="exact"/>
        <w:ind w:left="0" w:firstLine="0"/>
        <w:contextualSpacing/>
        <w:jc w:val="both"/>
      </w:pPr>
      <w:r w:rsidRPr="00F137AF">
        <w:rPr>
          <w:rFonts w:ascii="Verdana" w:hAnsi="Verdana"/>
          <w:sz w:val="20"/>
          <w:szCs w:val="20"/>
        </w:rPr>
        <w:t>Adicionalmente, los resultados de los todos los procesos correspondientes deberán ser públicos, para que la sociedad uruguaya conozca los hechos objeto del presente caso,</w:t>
      </w:r>
      <w:r w:rsidRPr="00F137AF">
        <w:rPr>
          <w:rFonts w:ascii="Verdana" w:hAnsi="Verdana"/>
          <w:sz w:val="20"/>
          <w:szCs w:val="20"/>
          <w:lang w:val="es-ES_tradnl"/>
        </w:rPr>
        <w:t xml:space="preserve"> así como a sus responsables</w:t>
      </w:r>
      <w:r w:rsidRPr="00F137AF">
        <w:rPr>
          <w:rFonts w:ascii="Verdana" w:hAnsi="Verdana"/>
          <w:sz w:val="20"/>
          <w:szCs w:val="20"/>
          <w:vertAlign w:val="superscript"/>
        </w:rPr>
        <w:footnoteReference w:id="246"/>
      </w:r>
      <w:r w:rsidRPr="00F137AF">
        <w:rPr>
          <w:rFonts w:ascii="Verdana" w:hAnsi="Verdana"/>
          <w:sz w:val="20"/>
          <w:szCs w:val="20"/>
        </w:rPr>
        <w:t>.</w:t>
      </w:r>
    </w:p>
    <w:p w14:paraId="2AC093AA" w14:textId="4AF16903" w:rsidR="001B6F20" w:rsidRPr="0039097A" w:rsidRDefault="001B6F20" w:rsidP="005A5029">
      <w:pPr>
        <w:spacing w:after="0" w:line="240" w:lineRule="exact"/>
        <w:contextualSpacing/>
        <w:rPr>
          <w:rFonts w:ascii="Verdana" w:hAnsi="Verdana"/>
          <w:sz w:val="20"/>
          <w:szCs w:val="20"/>
        </w:rPr>
      </w:pPr>
    </w:p>
    <w:p w14:paraId="38EDA8EA" w14:textId="77777777" w:rsidR="001B6F20" w:rsidRPr="00E53751" w:rsidRDefault="001B6F20" w:rsidP="005A5029">
      <w:pPr>
        <w:pStyle w:val="Ttulo3"/>
        <w:spacing w:line="240" w:lineRule="exact"/>
        <w:ind w:left="567"/>
        <w:rPr>
          <w:rFonts w:ascii="Verdana" w:hAnsi="Verdana"/>
          <w:i/>
          <w:sz w:val="20"/>
          <w:szCs w:val="20"/>
          <w:lang w:val="es-ES"/>
        </w:rPr>
      </w:pPr>
      <w:bookmarkStart w:id="78" w:name="_Toc85550434"/>
      <w:r w:rsidRPr="00E53751">
        <w:rPr>
          <w:rFonts w:ascii="Verdana" w:hAnsi="Verdana"/>
          <w:i/>
          <w:color w:val="auto"/>
          <w:sz w:val="20"/>
          <w:szCs w:val="20"/>
          <w:lang w:val="es-ES"/>
        </w:rPr>
        <w:t>B.2</w:t>
      </w:r>
      <w:r w:rsidRPr="00E53751">
        <w:rPr>
          <w:rFonts w:ascii="Verdana" w:hAnsi="Verdana"/>
          <w:i/>
          <w:color w:val="auto"/>
          <w:sz w:val="20"/>
          <w:szCs w:val="20"/>
          <w:lang w:val="es-ES"/>
        </w:rPr>
        <w:tab/>
      </w:r>
      <w:r w:rsidRPr="00E53751">
        <w:rPr>
          <w:rFonts w:ascii="Verdana" w:hAnsi="Verdana"/>
          <w:i/>
          <w:color w:val="auto"/>
          <w:sz w:val="20"/>
          <w:szCs w:val="20"/>
          <w:u w:val="single"/>
          <w:lang w:val="es-ES"/>
        </w:rPr>
        <w:t xml:space="preserve">Determinación del paradero de </w:t>
      </w:r>
      <w:r w:rsidRPr="00E53751">
        <w:rPr>
          <w:rFonts w:ascii="Verdana" w:hAnsi="Verdana"/>
          <w:i/>
          <w:color w:val="auto"/>
          <w:sz w:val="20"/>
          <w:szCs w:val="20"/>
          <w:u w:val="single"/>
          <w:lang w:val="es-ES_tradnl"/>
        </w:rPr>
        <w:t>Lu</w:t>
      </w:r>
      <w:r>
        <w:rPr>
          <w:rFonts w:ascii="Verdana" w:hAnsi="Verdana"/>
          <w:i/>
          <w:color w:val="auto"/>
          <w:sz w:val="20"/>
          <w:szCs w:val="20"/>
          <w:u w:val="single"/>
          <w:lang w:val="es-ES_tradnl"/>
        </w:rPr>
        <w:t xml:space="preserve">is Eduardo González </w:t>
      </w:r>
      <w:proofErr w:type="spellStart"/>
      <w:r>
        <w:rPr>
          <w:rFonts w:ascii="Verdana" w:hAnsi="Verdana"/>
          <w:i/>
          <w:color w:val="auto"/>
          <w:sz w:val="20"/>
          <w:szCs w:val="20"/>
          <w:u w:val="single"/>
          <w:lang w:val="es-ES_tradnl"/>
        </w:rPr>
        <w:t>González</w:t>
      </w:r>
      <w:proofErr w:type="spellEnd"/>
      <w:r>
        <w:rPr>
          <w:rFonts w:ascii="Verdana" w:hAnsi="Verdana"/>
          <w:i/>
          <w:color w:val="auto"/>
          <w:sz w:val="20"/>
          <w:szCs w:val="20"/>
          <w:u w:val="single"/>
          <w:lang w:val="es-ES_tradnl"/>
        </w:rPr>
        <w:t xml:space="preserve"> y Ó</w:t>
      </w:r>
      <w:r w:rsidRPr="00E53751">
        <w:rPr>
          <w:rFonts w:ascii="Verdana" w:hAnsi="Verdana"/>
          <w:i/>
          <w:color w:val="auto"/>
          <w:sz w:val="20"/>
          <w:szCs w:val="20"/>
          <w:u w:val="single"/>
          <w:lang w:val="es-ES_tradnl"/>
        </w:rPr>
        <w:t xml:space="preserve">scar </w:t>
      </w:r>
      <w:proofErr w:type="spellStart"/>
      <w:r w:rsidRPr="00E53751">
        <w:rPr>
          <w:rFonts w:ascii="Verdana" w:hAnsi="Verdana"/>
          <w:i/>
          <w:color w:val="auto"/>
          <w:sz w:val="20"/>
          <w:szCs w:val="20"/>
          <w:u w:val="single"/>
          <w:lang w:val="es-ES_tradnl"/>
        </w:rPr>
        <w:t>Tassino</w:t>
      </w:r>
      <w:proofErr w:type="spellEnd"/>
      <w:r w:rsidRPr="00E53751">
        <w:rPr>
          <w:rFonts w:ascii="Verdana" w:hAnsi="Verdana"/>
          <w:i/>
          <w:color w:val="auto"/>
          <w:sz w:val="20"/>
          <w:szCs w:val="20"/>
          <w:u w:val="single"/>
          <w:lang w:val="es-ES_tradnl"/>
        </w:rPr>
        <w:t xml:space="preserve"> </w:t>
      </w:r>
      <w:proofErr w:type="spellStart"/>
      <w:r w:rsidRPr="00E53751">
        <w:rPr>
          <w:rFonts w:ascii="Verdana" w:hAnsi="Verdana"/>
          <w:i/>
          <w:color w:val="auto"/>
          <w:sz w:val="20"/>
          <w:szCs w:val="20"/>
          <w:u w:val="single"/>
          <w:lang w:val="es-ES_tradnl"/>
        </w:rPr>
        <w:t>Asteazu</w:t>
      </w:r>
      <w:bookmarkEnd w:id="78"/>
      <w:proofErr w:type="spellEnd"/>
    </w:p>
    <w:p w14:paraId="1075EFC7" w14:textId="77777777" w:rsidR="001B6F20" w:rsidRPr="0039097A" w:rsidRDefault="001B6F20" w:rsidP="005A5029">
      <w:pPr>
        <w:spacing w:after="0" w:line="240" w:lineRule="exact"/>
        <w:ind w:left="720"/>
        <w:contextualSpacing/>
        <w:rPr>
          <w:rFonts w:ascii="Verdana" w:hAnsi="Verdana"/>
          <w:sz w:val="20"/>
          <w:szCs w:val="20"/>
        </w:rPr>
      </w:pPr>
    </w:p>
    <w:p w14:paraId="177C65CF"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La </w:t>
      </w:r>
      <w:r w:rsidRPr="0039097A">
        <w:rPr>
          <w:rFonts w:ascii="Verdana" w:hAnsi="Verdana"/>
          <w:b/>
          <w:i/>
          <w:sz w:val="20"/>
          <w:szCs w:val="20"/>
        </w:rPr>
        <w:t>Comisión</w:t>
      </w:r>
      <w:r w:rsidRPr="0039097A">
        <w:rPr>
          <w:rFonts w:ascii="Verdana" w:hAnsi="Verdana"/>
          <w:sz w:val="20"/>
          <w:szCs w:val="20"/>
        </w:rPr>
        <w:t>, e</w:t>
      </w:r>
      <w:r w:rsidRPr="0039097A">
        <w:rPr>
          <w:rFonts w:ascii="Verdana" w:hAnsi="Verdana"/>
          <w:sz w:val="20"/>
          <w:szCs w:val="20"/>
          <w:lang w:val="es-ES_tradnl"/>
        </w:rPr>
        <w:t xml:space="preserve">n cuanto a las víctimas de desapariciones forzadas, solicitó que se ordene a Uruguay “investigar de manera completa, imparcial y efectiva su paradero” y, de ser el caso, “adoptar las medidas necesarias para identificar y entregar a sus familiares sus restos mortales según sus deseos”. Resaltó, al respecto, la importancia de que se elabore un “plan de búsqueda específico de las dos víctimas desaparecidas”. </w:t>
      </w:r>
    </w:p>
    <w:p w14:paraId="1A5A78BD" w14:textId="77777777" w:rsidR="001B6F20" w:rsidRPr="0039097A" w:rsidRDefault="001B6F20" w:rsidP="005A5029">
      <w:pPr>
        <w:spacing w:after="0" w:line="240" w:lineRule="exact"/>
        <w:contextualSpacing/>
        <w:jc w:val="both"/>
        <w:rPr>
          <w:rFonts w:ascii="Verdana" w:hAnsi="Verdana"/>
          <w:sz w:val="20"/>
          <w:szCs w:val="20"/>
        </w:rPr>
      </w:pPr>
    </w:p>
    <w:p w14:paraId="1BD6A987"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Los </w:t>
      </w:r>
      <w:r w:rsidRPr="0039097A">
        <w:rPr>
          <w:rFonts w:ascii="Verdana" w:hAnsi="Verdana"/>
          <w:b/>
          <w:i/>
          <w:sz w:val="20"/>
          <w:szCs w:val="20"/>
        </w:rPr>
        <w:t>representantes</w:t>
      </w:r>
      <w:r w:rsidRPr="0039097A">
        <w:rPr>
          <w:rFonts w:ascii="Verdana" w:hAnsi="Verdana"/>
          <w:sz w:val="20"/>
          <w:szCs w:val="20"/>
        </w:rPr>
        <w:t xml:space="preserve"> concordaron en el requerimiento de la Comisión.</w:t>
      </w:r>
      <w:r w:rsidRPr="0039097A">
        <w:rPr>
          <w:rFonts w:ascii="Verdana" w:hAnsi="Verdana"/>
          <w:b/>
          <w:sz w:val="20"/>
          <w:szCs w:val="20"/>
        </w:rPr>
        <w:t xml:space="preserve"> </w:t>
      </w:r>
      <w:r w:rsidRPr="0039097A">
        <w:rPr>
          <w:rFonts w:ascii="Verdana" w:hAnsi="Verdana"/>
          <w:sz w:val="20"/>
          <w:szCs w:val="20"/>
        </w:rPr>
        <w:t xml:space="preserve">Al respecto, solicitaron que se </w:t>
      </w:r>
      <w:r w:rsidRPr="0039097A">
        <w:rPr>
          <w:rFonts w:ascii="Verdana" w:hAnsi="Verdana"/>
          <w:sz w:val="20"/>
          <w:szCs w:val="20"/>
          <w:lang w:val="es-ES_tradnl"/>
        </w:rPr>
        <w:t>ordene al Estado: “</w:t>
      </w:r>
      <w:r w:rsidRPr="0039097A">
        <w:rPr>
          <w:rFonts w:ascii="Verdana" w:eastAsia="Verdana" w:hAnsi="Verdana" w:cs="Verdana"/>
          <w:sz w:val="20"/>
          <w:szCs w:val="20"/>
          <w:lang w:val="es-ES_tradnl"/>
        </w:rPr>
        <w:t>investigar extremando los esfuerzos […]por la vía judicial y o administrativa adecuada a efectos de determinar el paradero de los desaparecidos a la mayor brevedad”. Peticionaron, además, que “se disponga que la búsqueda se realice de manera sistemática y rigurosa. contando con todos los recursos humanos técnicos y científicos adecuados idóneos y necesarios</w:t>
      </w:r>
      <w:r>
        <w:rPr>
          <w:rFonts w:ascii="Verdana" w:eastAsia="Verdana" w:hAnsi="Verdana" w:cs="Verdana"/>
          <w:b/>
          <w:sz w:val="16"/>
          <w:szCs w:val="16"/>
          <w:lang w:val="es-ES_tradnl"/>
        </w:rPr>
        <w:t>”.</w:t>
      </w:r>
    </w:p>
    <w:p w14:paraId="153262BB" w14:textId="77777777" w:rsidR="001B6F20" w:rsidRPr="0039097A" w:rsidRDefault="001B6F20" w:rsidP="005A5029">
      <w:pPr>
        <w:spacing w:after="0" w:line="240" w:lineRule="exact"/>
        <w:contextualSpacing/>
        <w:jc w:val="both"/>
        <w:rPr>
          <w:rFonts w:ascii="Verdana" w:hAnsi="Verdana"/>
          <w:sz w:val="20"/>
          <w:szCs w:val="20"/>
        </w:rPr>
      </w:pPr>
    </w:p>
    <w:p w14:paraId="49026CBC"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El </w:t>
      </w:r>
      <w:r w:rsidRPr="0039097A">
        <w:rPr>
          <w:rFonts w:ascii="Verdana" w:hAnsi="Verdana"/>
          <w:b/>
          <w:i/>
          <w:sz w:val="20"/>
          <w:szCs w:val="20"/>
        </w:rPr>
        <w:t>Estado</w:t>
      </w:r>
      <w:r w:rsidRPr="0039097A">
        <w:rPr>
          <w:rFonts w:ascii="Verdana" w:hAnsi="Verdana"/>
          <w:sz w:val="20"/>
          <w:szCs w:val="20"/>
          <w:lang w:val="es-ES_tradnl"/>
        </w:rPr>
        <w:t>, en su contestación, sostuvo que “ha mantenido un compromiso y una línea de acción constante” para investigar, “dentro de las posibilidades fácticas reales” el “paradero de víctimas de desaparición forzada, e identificar y entregar a sus familiares los restos mortales de ser el caso”</w:t>
      </w:r>
      <w:r w:rsidRPr="0039097A">
        <w:rPr>
          <w:rFonts w:ascii="Verdana" w:hAnsi="Verdana"/>
          <w:sz w:val="20"/>
          <w:szCs w:val="20"/>
          <w:vertAlign w:val="superscript"/>
          <w:lang w:val="es-ES_tradnl"/>
        </w:rPr>
        <w:footnoteReference w:id="247"/>
      </w:r>
      <w:r w:rsidRPr="0039097A">
        <w:rPr>
          <w:rFonts w:ascii="Verdana" w:hAnsi="Verdana"/>
          <w:sz w:val="20"/>
          <w:szCs w:val="20"/>
          <w:lang w:val="es-ES_tradnl"/>
        </w:rPr>
        <w:t xml:space="preserve">. Uruguay, en sus alegatos finales escritos, afirmó </w:t>
      </w:r>
      <w:r w:rsidRPr="0039097A">
        <w:rPr>
          <w:rFonts w:ascii="Verdana" w:hAnsi="Verdana"/>
          <w:sz w:val="20"/>
          <w:szCs w:val="20"/>
          <w:lang w:val="es-ES_tradnl"/>
        </w:rPr>
        <w:lastRenderedPageBreak/>
        <w:t>que “mantiene y reafirma” dicho compromiso.</w:t>
      </w:r>
      <w:r w:rsidRPr="0039097A">
        <w:rPr>
          <w:rFonts w:ascii="Verdana" w:hAnsi="Verdana"/>
          <w:b/>
          <w:sz w:val="16"/>
          <w:szCs w:val="16"/>
          <w:lang w:val="es-ES_tradnl"/>
        </w:rPr>
        <w:t xml:space="preserve"> </w:t>
      </w:r>
      <w:r w:rsidRPr="0039097A">
        <w:rPr>
          <w:rFonts w:ascii="Verdana" w:hAnsi="Verdana"/>
          <w:sz w:val="20"/>
          <w:szCs w:val="20"/>
          <w:lang w:val="es-ES_tradnl"/>
        </w:rPr>
        <w:t xml:space="preserve">En particular, respecto a la determinación del paradero de Luis Eduardo González </w:t>
      </w:r>
      <w:proofErr w:type="spellStart"/>
      <w:r w:rsidRPr="0039097A">
        <w:rPr>
          <w:rFonts w:ascii="Verdana" w:hAnsi="Verdana"/>
          <w:sz w:val="20"/>
          <w:szCs w:val="20"/>
          <w:lang w:val="es-ES_tradnl"/>
        </w:rPr>
        <w:t>González</w:t>
      </w:r>
      <w:proofErr w:type="spellEnd"/>
      <w:r w:rsidRPr="0039097A">
        <w:rPr>
          <w:rFonts w:ascii="Verdana" w:hAnsi="Verdana"/>
          <w:sz w:val="20"/>
          <w:szCs w:val="20"/>
          <w:lang w:val="es-ES_tradnl"/>
        </w:rPr>
        <w:t xml:space="preserve"> y </w:t>
      </w:r>
      <w:r>
        <w:rPr>
          <w:rFonts w:ascii="Verdana" w:hAnsi="Verdana"/>
          <w:sz w:val="20"/>
          <w:szCs w:val="20"/>
          <w:lang w:val="es-ES_tradnl"/>
        </w:rPr>
        <w:t>Ó</w:t>
      </w:r>
      <w:r w:rsidRPr="0039097A">
        <w:rPr>
          <w:rFonts w:ascii="Verdana" w:hAnsi="Verdana"/>
          <w:sz w:val="20"/>
          <w:szCs w:val="20"/>
          <w:lang w:val="es-ES_tradnl"/>
        </w:rPr>
        <w:t xml:space="preserve">scar </w:t>
      </w:r>
      <w:proofErr w:type="spellStart"/>
      <w:r w:rsidRPr="0039097A">
        <w:rPr>
          <w:rFonts w:ascii="Verdana" w:hAnsi="Verdana"/>
          <w:sz w:val="20"/>
          <w:szCs w:val="20"/>
          <w:lang w:val="es-ES_tradnl"/>
        </w:rPr>
        <w:t>Tassino</w:t>
      </w:r>
      <w:proofErr w:type="spellEnd"/>
      <w:r w:rsidRPr="0039097A">
        <w:rPr>
          <w:rFonts w:ascii="Verdana" w:hAnsi="Verdana"/>
          <w:sz w:val="20"/>
          <w:szCs w:val="20"/>
          <w:lang w:val="es-ES_tradnl"/>
        </w:rPr>
        <w:t xml:space="preserve"> </w:t>
      </w:r>
      <w:proofErr w:type="spellStart"/>
      <w:r w:rsidRPr="0039097A">
        <w:rPr>
          <w:rFonts w:ascii="Verdana" w:hAnsi="Verdana"/>
          <w:sz w:val="20"/>
          <w:szCs w:val="20"/>
          <w:lang w:val="es-ES_tradnl"/>
        </w:rPr>
        <w:t>Asteazu</w:t>
      </w:r>
      <w:proofErr w:type="spellEnd"/>
      <w:r w:rsidRPr="0039097A">
        <w:rPr>
          <w:rFonts w:ascii="Verdana" w:hAnsi="Verdana"/>
          <w:sz w:val="20"/>
          <w:szCs w:val="20"/>
          <w:lang w:val="es-ES_tradnl"/>
        </w:rPr>
        <w:t>, Uruguay señaló que, “aunque pueden existir versiones diferentes al respecto, la búsqueda material continúa”.</w:t>
      </w:r>
    </w:p>
    <w:p w14:paraId="7D12491A" w14:textId="77777777" w:rsidR="001B6F20" w:rsidRPr="0039097A" w:rsidRDefault="001B6F20" w:rsidP="005A5029">
      <w:pPr>
        <w:spacing w:after="0" w:line="240" w:lineRule="exact"/>
        <w:contextualSpacing/>
        <w:rPr>
          <w:rFonts w:ascii="Verdana" w:hAnsi="Verdana"/>
          <w:sz w:val="20"/>
          <w:szCs w:val="20"/>
        </w:rPr>
      </w:pPr>
    </w:p>
    <w:p w14:paraId="418B5E5C" w14:textId="34667525" w:rsidR="001B6F20" w:rsidRPr="00F137AF" w:rsidRDefault="001B6F20"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sz w:val="20"/>
          <w:szCs w:val="20"/>
        </w:rPr>
        <w:t xml:space="preserve">La </w:t>
      </w:r>
      <w:r w:rsidRPr="00F137AF">
        <w:rPr>
          <w:rFonts w:ascii="Verdana" w:hAnsi="Verdana"/>
          <w:b/>
          <w:i/>
          <w:sz w:val="20"/>
          <w:szCs w:val="20"/>
        </w:rPr>
        <w:t>Corte</w:t>
      </w:r>
      <w:r w:rsidRPr="00F137AF">
        <w:rPr>
          <w:rFonts w:ascii="Verdana" w:hAnsi="Verdana"/>
          <w:sz w:val="20"/>
          <w:szCs w:val="20"/>
        </w:rPr>
        <w:t xml:space="preserve"> valora la información estatal sobre acciones de búsqueda (</w:t>
      </w:r>
      <w:r w:rsidRPr="00F137AF">
        <w:rPr>
          <w:rFonts w:ascii="Verdana" w:hAnsi="Verdana"/>
          <w:i/>
          <w:sz w:val="20"/>
          <w:szCs w:val="20"/>
        </w:rPr>
        <w:t xml:space="preserve">supra </w:t>
      </w:r>
      <w:proofErr w:type="spellStart"/>
      <w:r w:rsidRPr="00F137AF">
        <w:rPr>
          <w:rFonts w:ascii="Verdana" w:hAnsi="Verdana"/>
          <w:sz w:val="20"/>
          <w:szCs w:val="20"/>
        </w:rPr>
        <w:t>párrs</w:t>
      </w:r>
      <w:proofErr w:type="spellEnd"/>
      <w:r w:rsidRPr="00F137AF">
        <w:rPr>
          <w:rFonts w:ascii="Verdana" w:hAnsi="Verdana"/>
          <w:sz w:val="20"/>
          <w:szCs w:val="20"/>
        </w:rPr>
        <w:t xml:space="preserve">. </w:t>
      </w:r>
      <w:r>
        <w:rPr>
          <w:rFonts w:ascii="Verdana" w:hAnsi="Verdana"/>
          <w:sz w:val="20"/>
          <w:szCs w:val="20"/>
        </w:rPr>
        <w:t>32 a 39, 82, 83, 94 a 96, 134 y 218</w:t>
      </w:r>
      <w:r w:rsidRPr="00F137AF">
        <w:rPr>
          <w:rFonts w:ascii="Verdana" w:hAnsi="Verdana"/>
          <w:sz w:val="20"/>
          <w:szCs w:val="20"/>
        </w:rPr>
        <w:t>). Advierte, como ya lo ha hecho con anterioridad</w:t>
      </w:r>
      <w:r w:rsidRPr="00F137AF">
        <w:rPr>
          <w:rFonts w:ascii="Verdana" w:hAnsi="Verdana"/>
          <w:sz w:val="20"/>
          <w:szCs w:val="20"/>
          <w:vertAlign w:val="superscript"/>
        </w:rPr>
        <w:footnoteReference w:id="248"/>
      </w:r>
      <w:r w:rsidRPr="00F137AF">
        <w:rPr>
          <w:rFonts w:ascii="Verdana" w:hAnsi="Verdana"/>
          <w:sz w:val="20"/>
          <w:szCs w:val="20"/>
        </w:rPr>
        <w:t xml:space="preserve">, que </w:t>
      </w:r>
      <w:r w:rsidR="007F374C">
        <w:rPr>
          <w:rFonts w:ascii="Verdana" w:hAnsi="Verdana"/>
          <w:sz w:val="20"/>
          <w:szCs w:val="20"/>
        </w:rPr>
        <w:t>l</w:t>
      </w:r>
      <w:r w:rsidRPr="00F137AF">
        <w:rPr>
          <w:rFonts w:ascii="Verdana" w:hAnsi="Verdana"/>
          <w:sz w:val="20"/>
          <w:szCs w:val="20"/>
          <w:lang w:val="es-MX"/>
        </w:rPr>
        <w:t>a aspiración de los familiares de las víctimas de identificar el paradero de los desaparecidos y, en su caso, conocer donde se encuentran sus restos, recibirlos y sepultarlos de acuerdo a sus creencias, cerrando así el proceso de duelo que han estado viviendo a lo largo de los años, constituye una medida de reparación y, por lo tanto, genera el deber correlativo para el Estado de satisfacer esa expectativa, además de proporcionar con ello información valiosa sobre los autores de las violaciones o la institución a la que pertenecían.</w:t>
      </w:r>
    </w:p>
    <w:p w14:paraId="1AAFC943" w14:textId="77777777" w:rsidR="001B6F20" w:rsidRPr="00F137AF" w:rsidRDefault="001B6F20" w:rsidP="005A5029">
      <w:pPr>
        <w:spacing w:after="0" w:line="240" w:lineRule="exact"/>
        <w:contextualSpacing/>
        <w:jc w:val="both"/>
        <w:rPr>
          <w:rFonts w:ascii="Verdana" w:hAnsi="Verdana"/>
          <w:sz w:val="20"/>
          <w:szCs w:val="20"/>
        </w:rPr>
      </w:pPr>
    </w:p>
    <w:p w14:paraId="64C8E102" w14:textId="77777777" w:rsidR="001B6F20" w:rsidRPr="00F137AF" w:rsidRDefault="001B6F20"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sz w:val="20"/>
          <w:szCs w:val="20"/>
          <w:lang w:val="es-MX"/>
        </w:rPr>
        <w:t xml:space="preserve">En consecuencia, como una medida de reparación del derecho a conocer la verdad que tienen las víctimas, el Estado debe </w:t>
      </w:r>
      <w:r w:rsidRPr="00F137AF">
        <w:rPr>
          <w:rFonts w:ascii="Verdana" w:hAnsi="Verdana"/>
          <w:sz w:val="20"/>
          <w:szCs w:val="20"/>
        </w:rPr>
        <w:t xml:space="preserve">efectuar una búsqueda rigurosa por la vía judicial y administrativa pertinente, en la cual realice todos los esfuerzos para determinar, a la mayor brevedad, el paradero de </w:t>
      </w:r>
      <w:r>
        <w:rPr>
          <w:rFonts w:ascii="Verdana" w:hAnsi="Verdana"/>
          <w:sz w:val="20"/>
          <w:szCs w:val="20"/>
        </w:rPr>
        <w:t>Ó</w:t>
      </w:r>
      <w:r w:rsidRPr="00F137AF">
        <w:rPr>
          <w:rFonts w:ascii="Verdana" w:hAnsi="Verdana"/>
          <w:sz w:val="20"/>
          <w:szCs w:val="20"/>
        </w:rPr>
        <w:t xml:space="preserve">scar </w:t>
      </w:r>
      <w:proofErr w:type="spellStart"/>
      <w:r w:rsidRPr="00F137AF">
        <w:rPr>
          <w:rFonts w:ascii="Verdana" w:hAnsi="Verdana"/>
          <w:sz w:val="20"/>
          <w:szCs w:val="20"/>
        </w:rPr>
        <w:t>Tassino</w:t>
      </w:r>
      <w:proofErr w:type="spellEnd"/>
      <w:r w:rsidRPr="00F137AF">
        <w:rPr>
          <w:rFonts w:ascii="Verdana" w:hAnsi="Verdana"/>
          <w:sz w:val="20"/>
          <w:szCs w:val="20"/>
        </w:rPr>
        <w:t xml:space="preserve"> </w:t>
      </w:r>
      <w:proofErr w:type="spellStart"/>
      <w:r w:rsidRPr="00F137AF">
        <w:rPr>
          <w:rFonts w:ascii="Verdana" w:hAnsi="Verdana"/>
          <w:sz w:val="20"/>
          <w:szCs w:val="20"/>
        </w:rPr>
        <w:t>Asteazu</w:t>
      </w:r>
      <w:proofErr w:type="spellEnd"/>
      <w:r w:rsidRPr="00F137AF">
        <w:rPr>
          <w:rFonts w:ascii="Verdana" w:hAnsi="Verdana"/>
          <w:sz w:val="20"/>
          <w:szCs w:val="20"/>
        </w:rPr>
        <w:t xml:space="preserve"> y Luis Eduardo González </w:t>
      </w:r>
      <w:proofErr w:type="spellStart"/>
      <w:r w:rsidRPr="00F137AF">
        <w:rPr>
          <w:rFonts w:ascii="Verdana" w:hAnsi="Verdana"/>
          <w:sz w:val="20"/>
          <w:szCs w:val="20"/>
        </w:rPr>
        <w:t>González</w:t>
      </w:r>
      <w:proofErr w:type="spellEnd"/>
      <w:r w:rsidRPr="00F137AF">
        <w:rPr>
          <w:rFonts w:ascii="Verdana" w:hAnsi="Verdana"/>
          <w:sz w:val="20"/>
          <w:szCs w:val="20"/>
        </w:rPr>
        <w:t>, la cual deberá realizarse de manera sistemática y contando con los recursos humanos, técnicos y científicos adecuados e idóneos. Para las referidas diligencias se debe establecer una estrategia de comunicación con los familiares y acordar un marco de acción coordinada, para procurar su participación, conocimiento y presencia. Si las víctimas o alguna de ellas se encontrare fallecida, los restos mortales deberán ser entregados a sus familiares, previa comprobación fehaciente de identidad, a la mayor brevedad posible y sin costo alguno para ellos. Además, el Estado deberá cubrir los gastos fúnebres, en su caso, de común acuerdo con los familiares</w:t>
      </w:r>
      <w:r w:rsidRPr="00F137AF">
        <w:rPr>
          <w:rFonts w:ascii="Verdana" w:hAnsi="Verdana"/>
          <w:sz w:val="20"/>
          <w:szCs w:val="20"/>
          <w:vertAlign w:val="superscript"/>
          <w:lang w:val="es-MX"/>
        </w:rPr>
        <w:footnoteReference w:id="249"/>
      </w:r>
      <w:r w:rsidRPr="00F137AF">
        <w:rPr>
          <w:rFonts w:ascii="Verdana" w:hAnsi="Verdana"/>
          <w:sz w:val="20"/>
          <w:szCs w:val="20"/>
          <w:lang w:val="es-MX"/>
        </w:rPr>
        <w:t>.</w:t>
      </w:r>
    </w:p>
    <w:p w14:paraId="096D097C" w14:textId="77777777" w:rsidR="001B6F20" w:rsidRPr="0039097A" w:rsidRDefault="001B6F20" w:rsidP="005A5029">
      <w:pPr>
        <w:spacing w:after="0" w:line="240" w:lineRule="exact"/>
        <w:contextualSpacing/>
        <w:rPr>
          <w:rFonts w:ascii="Verdana" w:hAnsi="Verdana"/>
          <w:sz w:val="20"/>
          <w:szCs w:val="20"/>
        </w:rPr>
      </w:pPr>
    </w:p>
    <w:p w14:paraId="371181E9" w14:textId="77777777" w:rsidR="001B6F20" w:rsidRPr="0039097A" w:rsidRDefault="001B6F20" w:rsidP="005A5029">
      <w:pPr>
        <w:numPr>
          <w:ilvl w:val="0"/>
          <w:numId w:val="36"/>
        </w:numPr>
        <w:spacing w:after="0" w:line="240" w:lineRule="exact"/>
        <w:ind w:left="284" w:firstLine="0"/>
        <w:contextualSpacing/>
        <w:outlineLvl w:val="1"/>
        <w:rPr>
          <w:rFonts w:ascii="Verdana" w:hAnsi="Verdana"/>
          <w:b/>
          <w:i/>
          <w:sz w:val="20"/>
          <w:szCs w:val="20"/>
        </w:rPr>
      </w:pPr>
      <w:bookmarkStart w:id="79" w:name="_Toc85550435"/>
      <w:r w:rsidRPr="0039097A">
        <w:rPr>
          <w:rFonts w:ascii="Verdana" w:hAnsi="Verdana"/>
          <w:b/>
          <w:i/>
          <w:sz w:val="20"/>
          <w:szCs w:val="20"/>
        </w:rPr>
        <w:t>Medidas de rehabilitación</w:t>
      </w:r>
      <w:bookmarkEnd w:id="79"/>
    </w:p>
    <w:p w14:paraId="35B19366" w14:textId="77777777" w:rsidR="001B6F20" w:rsidRPr="0039097A" w:rsidRDefault="001B6F20" w:rsidP="005A5029">
      <w:pPr>
        <w:spacing w:after="0" w:line="240" w:lineRule="exact"/>
        <w:ind w:left="284"/>
        <w:outlineLvl w:val="1"/>
        <w:rPr>
          <w:b/>
          <w:i/>
          <w:sz w:val="20"/>
          <w:szCs w:val="20"/>
        </w:rPr>
      </w:pPr>
    </w:p>
    <w:p w14:paraId="78707C07"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La </w:t>
      </w:r>
      <w:r w:rsidRPr="0039097A">
        <w:rPr>
          <w:rFonts w:ascii="Verdana" w:hAnsi="Verdana"/>
          <w:b/>
          <w:i/>
          <w:sz w:val="20"/>
          <w:szCs w:val="20"/>
        </w:rPr>
        <w:t>Comisión</w:t>
      </w:r>
      <w:r w:rsidRPr="0039097A">
        <w:rPr>
          <w:rFonts w:ascii="Verdana" w:hAnsi="Verdana"/>
          <w:sz w:val="20"/>
          <w:szCs w:val="20"/>
        </w:rPr>
        <w:t xml:space="preserve"> requirió que se ordene al Estado </w:t>
      </w:r>
      <w:r w:rsidRPr="0039097A">
        <w:rPr>
          <w:rFonts w:ascii="Verdana" w:hAnsi="Verdana"/>
          <w:sz w:val="20"/>
          <w:szCs w:val="20"/>
          <w:lang w:val="es-ES_tradnl"/>
        </w:rPr>
        <w:t>la “implementación de un programa adecuado de atención a [los] familiares” de las cinco presuntas víctimas desaparecidas y ejecutadas extrajudicialmente</w:t>
      </w:r>
      <w:r w:rsidRPr="0039097A">
        <w:rPr>
          <w:rFonts w:ascii="Verdana" w:hAnsi="Verdana"/>
          <w:sz w:val="16"/>
          <w:szCs w:val="16"/>
          <w:vertAlign w:val="superscript"/>
          <w:lang w:val="es-ES_tradnl"/>
        </w:rPr>
        <w:footnoteReference w:id="250"/>
      </w:r>
      <w:r w:rsidRPr="0039097A">
        <w:rPr>
          <w:rFonts w:ascii="Verdana" w:hAnsi="Verdana"/>
          <w:sz w:val="20"/>
          <w:szCs w:val="20"/>
        </w:rPr>
        <w:t xml:space="preserve">. </w:t>
      </w:r>
    </w:p>
    <w:p w14:paraId="0E531FCB" w14:textId="77777777" w:rsidR="001B6F20" w:rsidRPr="0039097A" w:rsidRDefault="001B6F20" w:rsidP="005A5029">
      <w:pPr>
        <w:spacing w:after="0" w:line="240" w:lineRule="exact"/>
        <w:contextualSpacing/>
        <w:jc w:val="both"/>
        <w:rPr>
          <w:rFonts w:ascii="Verdana" w:hAnsi="Verdana"/>
          <w:sz w:val="20"/>
          <w:szCs w:val="20"/>
        </w:rPr>
      </w:pPr>
    </w:p>
    <w:p w14:paraId="25F75CFB"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Los </w:t>
      </w:r>
      <w:r w:rsidRPr="0039097A">
        <w:rPr>
          <w:rFonts w:ascii="Verdana" w:hAnsi="Verdana"/>
          <w:b/>
          <w:i/>
          <w:sz w:val="20"/>
          <w:szCs w:val="20"/>
        </w:rPr>
        <w:t>representantes</w:t>
      </w:r>
      <w:r w:rsidRPr="0039097A">
        <w:rPr>
          <w:rFonts w:ascii="Verdana" w:hAnsi="Verdana"/>
          <w:sz w:val="20"/>
          <w:szCs w:val="20"/>
        </w:rPr>
        <w:t xml:space="preserve"> adhirieron a la solicitud de la Comisión. </w:t>
      </w:r>
    </w:p>
    <w:p w14:paraId="1DB6BF6F" w14:textId="77777777" w:rsidR="001B6F20" w:rsidRPr="0039097A" w:rsidRDefault="001B6F20" w:rsidP="005A5029">
      <w:pPr>
        <w:spacing w:after="0" w:line="240" w:lineRule="exact"/>
        <w:contextualSpacing/>
        <w:jc w:val="both"/>
        <w:rPr>
          <w:rFonts w:ascii="Verdana" w:hAnsi="Verdana"/>
          <w:sz w:val="20"/>
          <w:szCs w:val="20"/>
        </w:rPr>
      </w:pPr>
    </w:p>
    <w:p w14:paraId="06DACC49"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El </w:t>
      </w:r>
      <w:r w:rsidRPr="0039097A">
        <w:rPr>
          <w:rFonts w:ascii="Verdana" w:hAnsi="Verdana"/>
          <w:b/>
          <w:i/>
          <w:sz w:val="20"/>
          <w:szCs w:val="20"/>
        </w:rPr>
        <w:t>Estado</w:t>
      </w:r>
      <w:r w:rsidRPr="0039097A">
        <w:rPr>
          <w:rFonts w:ascii="Verdana" w:hAnsi="Verdana"/>
          <w:sz w:val="20"/>
          <w:szCs w:val="20"/>
        </w:rPr>
        <w:t xml:space="preserve"> </w:t>
      </w:r>
      <w:r w:rsidRPr="0039097A">
        <w:rPr>
          <w:rFonts w:ascii="Verdana" w:hAnsi="Verdana"/>
          <w:sz w:val="20"/>
          <w:szCs w:val="20"/>
          <w:lang w:val="es-ES_tradnl"/>
        </w:rPr>
        <w:t xml:space="preserve">señaló que, de conformidad con “la Ley </w:t>
      </w:r>
      <w:proofErr w:type="spellStart"/>
      <w:r w:rsidRPr="0039097A">
        <w:rPr>
          <w:rFonts w:ascii="Verdana" w:hAnsi="Verdana"/>
          <w:sz w:val="20"/>
          <w:szCs w:val="20"/>
          <w:lang w:val="es-ES_tradnl"/>
        </w:rPr>
        <w:t>N</w:t>
      </w:r>
      <w:r>
        <w:rPr>
          <w:rFonts w:ascii="Verdana" w:hAnsi="Verdana"/>
          <w:sz w:val="20"/>
          <w:szCs w:val="20"/>
          <w:lang w:val="es-ES_tradnl"/>
        </w:rPr>
        <w:t>°</w:t>
      </w:r>
      <w:proofErr w:type="spellEnd"/>
      <w:r w:rsidRPr="0039097A">
        <w:rPr>
          <w:rFonts w:ascii="Verdana" w:hAnsi="Verdana"/>
          <w:sz w:val="20"/>
          <w:szCs w:val="20"/>
          <w:lang w:val="es-ES_tradnl"/>
        </w:rPr>
        <w:t xml:space="preserve"> 18.033 del 13 de octubre de 2006 y [la] cobertura de salud de víctimas y familiares conforme a las Leyes </w:t>
      </w:r>
      <w:proofErr w:type="spellStart"/>
      <w:r w:rsidRPr="0039097A">
        <w:rPr>
          <w:rFonts w:ascii="Verdana" w:hAnsi="Verdana"/>
          <w:sz w:val="20"/>
          <w:szCs w:val="20"/>
          <w:lang w:val="es-ES_tradnl"/>
        </w:rPr>
        <w:t>N</w:t>
      </w:r>
      <w:r>
        <w:rPr>
          <w:rFonts w:ascii="Verdana" w:hAnsi="Verdana"/>
          <w:sz w:val="20"/>
          <w:szCs w:val="20"/>
          <w:lang w:val="es-ES_tradnl"/>
        </w:rPr>
        <w:t>°</w:t>
      </w:r>
      <w:proofErr w:type="spellEnd"/>
      <w:r w:rsidRPr="0039097A">
        <w:rPr>
          <w:rFonts w:ascii="Verdana" w:hAnsi="Verdana"/>
          <w:sz w:val="20"/>
          <w:szCs w:val="20"/>
          <w:lang w:val="es-ES_tradnl"/>
        </w:rPr>
        <w:t xml:space="preserve"> 18.033 y 18.596 – Decreto </w:t>
      </w:r>
      <w:proofErr w:type="spellStart"/>
      <w:r w:rsidRPr="0039097A">
        <w:rPr>
          <w:rFonts w:ascii="Verdana" w:hAnsi="Verdana"/>
          <w:sz w:val="20"/>
          <w:szCs w:val="20"/>
          <w:lang w:val="es-ES_tradnl"/>
        </w:rPr>
        <w:t>N</w:t>
      </w:r>
      <w:r>
        <w:rPr>
          <w:rFonts w:ascii="Verdana" w:hAnsi="Verdana"/>
          <w:sz w:val="20"/>
          <w:szCs w:val="20"/>
          <w:lang w:val="es-ES_tradnl"/>
        </w:rPr>
        <w:t>°</w:t>
      </w:r>
      <w:proofErr w:type="spellEnd"/>
      <w:r w:rsidRPr="0039097A">
        <w:rPr>
          <w:rFonts w:ascii="Verdana" w:hAnsi="Verdana"/>
          <w:sz w:val="20"/>
          <w:szCs w:val="20"/>
          <w:lang w:val="es-ES_tradnl"/>
        </w:rPr>
        <w:t xml:space="preserve"> 297/010 del 6 de octubre de 2010”, se dispuso la “atención integral de salud” a determinados tipos de víctimas directas de violaciones de derechos humanos durante de dictadura militar</w:t>
      </w:r>
      <w:r w:rsidRPr="0039097A">
        <w:rPr>
          <w:rFonts w:ascii="Verdana" w:hAnsi="Verdana"/>
          <w:sz w:val="16"/>
          <w:szCs w:val="16"/>
          <w:vertAlign w:val="superscript"/>
          <w:lang w:val="es-ES_tradnl"/>
        </w:rPr>
        <w:footnoteReference w:id="251"/>
      </w:r>
      <w:r w:rsidRPr="0039097A">
        <w:rPr>
          <w:rFonts w:ascii="Verdana" w:hAnsi="Verdana"/>
          <w:sz w:val="20"/>
          <w:szCs w:val="20"/>
          <w:lang w:val="es-ES_tradnl"/>
        </w:rPr>
        <w:t>, así como a los “hijos y nietos de todas ellas, sean biológicos o adoptivos”.</w:t>
      </w:r>
    </w:p>
    <w:p w14:paraId="12DBC086" w14:textId="77777777" w:rsidR="001B6F20" w:rsidRPr="0039097A" w:rsidRDefault="001B6F20" w:rsidP="005A5029">
      <w:pPr>
        <w:spacing w:after="0" w:line="240" w:lineRule="exact"/>
        <w:contextualSpacing/>
        <w:rPr>
          <w:rFonts w:ascii="Verdana" w:hAnsi="Verdana"/>
          <w:sz w:val="20"/>
          <w:szCs w:val="20"/>
        </w:rPr>
      </w:pPr>
    </w:p>
    <w:p w14:paraId="13758A68"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La </w:t>
      </w:r>
      <w:r w:rsidRPr="0039097A">
        <w:rPr>
          <w:rFonts w:ascii="Verdana" w:hAnsi="Verdana"/>
          <w:b/>
          <w:i/>
          <w:sz w:val="20"/>
          <w:szCs w:val="20"/>
        </w:rPr>
        <w:t xml:space="preserve">Corte </w:t>
      </w:r>
      <w:r w:rsidRPr="0039097A">
        <w:rPr>
          <w:rFonts w:ascii="Verdana" w:hAnsi="Verdana"/>
          <w:sz w:val="20"/>
          <w:szCs w:val="20"/>
        </w:rPr>
        <w:t xml:space="preserve">ha determinado la afectación a la integridad personal de las víctimas familiares de las tres víctimas ejecutadas y de las dos víctimas de desaparición forzada </w:t>
      </w:r>
      <w:r w:rsidRPr="00617293">
        <w:rPr>
          <w:rFonts w:ascii="Verdana" w:hAnsi="Verdana"/>
          <w:sz w:val="20"/>
          <w:szCs w:val="20"/>
        </w:rPr>
        <w:t>(</w:t>
      </w:r>
      <w:r w:rsidRPr="00617293">
        <w:rPr>
          <w:rFonts w:ascii="Verdana" w:hAnsi="Verdana"/>
          <w:i/>
          <w:sz w:val="20"/>
          <w:szCs w:val="20"/>
        </w:rPr>
        <w:t>supra</w:t>
      </w:r>
      <w:r w:rsidRPr="00617293">
        <w:rPr>
          <w:rFonts w:ascii="Verdana" w:hAnsi="Verdana"/>
          <w:sz w:val="20"/>
          <w:szCs w:val="20"/>
        </w:rPr>
        <w:t xml:space="preserve"> párr. 190).</w:t>
      </w:r>
      <w:r w:rsidRPr="0039097A">
        <w:rPr>
          <w:rFonts w:ascii="Verdana" w:hAnsi="Verdana"/>
          <w:sz w:val="20"/>
          <w:szCs w:val="20"/>
        </w:rPr>
        <w:t xml:space="preserve"> </w:t>
      </w:r>
    </w:p>
    <w:p w14:paraId="1F4B7453" w14:textId="77777777" w:rsidR="001B6F20" w:rsidRPr="0039097A" w:rsidRDefault="001B6F20" w:rsidP="005A5029">
      <w:pPr>
        <w:spacing w:after="0" w:line="240" w:lineRule="exact"/>
        <w:contextualSpacing/>
        <w:rPr>
          <w:rFonts w:ascii="Verdana" w:hAnsi="Verdana"/>
          <w:sz w:val="20"/>
          <w:szCs w:val="20"/>
        </w:rPr>
      </w:pPr>
    </w:p>
    <w:p w14:paraId="2CBA6500"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Por ello, </w:t>
      </w:r>
      <w:r w:rsidRPr="0039097A">
        <w:rPr>
          <w:rFonts w:ascii="Verdana" w:hAnsi="Verdana"/>
          <w:sz w:val="20"/>
          <w:szCs w:val="20"/>
          <w:lang w:val="es-ES_tradnl"/>
        </w:rPr>
        <w:t xml:space="preserve">este Tribunal considera que es preciso disponer una medida de reparación que brinde una atención adecuada a los padecimientos psicológicos y/o psiquiátricos sufridos por las víctimas familiares de </w:t>
      </w:r>
      <w:r>
        <w:rPr>
          <w:rFonts w:ascii="Verdana" w:hAnsi="Verdana"/>
          <w:sz w:val="20"/>
          <w:szCs w:val="20"/>
          <w:lang w:val="es-ES_tradnl"/>
        </w:rPr>
        <w:t xml:space="preserve">Luis Eduardo González </w:t>
      </w:r>
      <w:proofErr w:type="spellStart"/>
      <w:r>
        <w:rPr>
          <w:rFonts w:ascii="Verdana" w:hAnsi="Verdana"/>
          <w:sz w:val="20"/>
          <w:szCs w:val="20"/>
          <w:lang w:val="es-ES_tradnl"/>
        </w:rPr>
        <w:t>González</w:t>
      </w:r>
      <w:proofErr w:type="spellEnd"/>
      <w:r>
        <w:rPr>
          <w:rFonts w:ascii="Verdana" w:hAnsi="Verdana"/>
          <w:sz w:val="20"/>
          <w:szCs w:val="20"/>
          <w:lang w:val="es-ES_tradnl"/>
        </w:rPr>
        <w:t xml:space="preserve">, Óscar </w:t>
      </w:r>
      <w:proofErr w:type="spellStart"/>
      <w:r>
        <w:rPr>
          <w:rFonts w:ascii="Verdana" w:hAnsi="Verdana"/>
          <w:sz w:val="20"/>
          <w:szCs w:val="20"/>
          <w:lang w:val="es-ES_tradnl"/>
        </w:rPr>
        <w:t>Tassino</w:t>
      </w:r>
      <w:proofErr w:type="spellEnd"/>
      <w:r>
        <w:rPr>
          <w:rFonts w:ascii="Verdana" w:hAnsi="Verdana"/>
          <w:sz w:val="20"/>
          <w:szCs w:val="20"/>
          <w:lang w:val="es-ES_tradnl"/>
        </w:rPr>
        <w:t xml:space="preserve">, Diana </w:t>
      </w:r>
      <w:proofErr w:type="spellStart"/>
      <w:r>
        <w:rPr>
          <w:rFonts w:ascii="Verdana" w:hAnsi="Verdana"/>
          <w:sz w:val="20"/>
          <w:szCs w:val="20"/>
          <w:lang w:val="es-ES_tradnl"/>
        </w:rPr>
        <w:t>Maidanik</w:t>
      </w:r>
      <w:proofErr w:type="spellEnd"/>
      <w:r>
        <w:rPr>
          <w:rFonts w:ascii="Verdana" w:hAnsi="Verdana"/>
          <w:sz w:val="20"/>
          <w:szCs w:val="20"/>
          <w:lang w:val="es-ES_tradnl"/>
        </w:rPr>
        <w:t>, Silvia Reyes y Laura Raggio,</w:t>
      </w:r>
      <w:r w:rsidRPr="0039097A">
        <w:rPr>
          <w:rFonts w:ascii="Verdana" w:hAnsi="Verdana"/>
          <w:sz w:val="20"/>
          <w:szCs w:val="20"/>
          <w:lang w:val="es-ES_tradnl"/>
        </w:rPr>
        <w:t xml:space="preserve"> que atienda a sus especificidades y antecedentes.</w:t>
      </w:r>
    </w:p>
    <w:p w14:paraId="05C18A78" w14:textId="77777777" w:rsidR="001B6F20" w:rsidRPr="0039097A" w:rsidRDefault="001B6F20" w:rsidP="005A5029">
      <w:pPr>
        <w:spacing w:after="0" w:line="240" w:lineRule="exact"/>
        <w:contextualSpacing/>
        <w:rPr>
          <w:rFonts w:ascii="Verdana" w:hAnsi="Verdana"/>
          <w:sz w:val="20"/>
          <w:szCs w:val="20"/>
          <w:lang w:val="es-ES_tradnl"/>
        </w:rPr>
      </w:pPr>
    </w:p>
    <w:p w14:paraId="6CE9CC6C" w14:textId="0BF39A58"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lang w:val="es-ES_tradnl"/>
        </w:rPr>
        <w:t xml:space="preserve">En consecuencia, </w:t>
      </w:r>
      <w:r w:rsidRPr="00275FA4">
        <w:rPr>
          <w:rFonts w:ascii="Verdana" w:hAnsi="Verdana"/>
          <w:sz w:val="20"/>
          <w:szCs w:val="20"/>
          <w:lang w:val="es-ES_tradnl"/>
        </w:rPr>
        <w:t>esta Corte ordena al Estado que, conforme las pautas que se indican en los párrafos siguientes (</w:t>
      </w:r>
      <w:r w:rsidRPr="00275FA4">
        <w:rPr>
          <w:rFonts w:ascii="Verdana" w:hAnsi="Verdana"/>
          <w:i/>
          <w:sz w:val="20"/>
          <w:szCs w:val="20"/>
          <w:lang w:val="es-ES_tradnl"/>
        </w:rPr>
        <w:t xml:space="preserve">infra </w:t>
      </w:r>
      <w:proofErr w:type="spellStart"/>
      <w:r w:rsidR="00275FA4" w:rsidRPr="00275FA4">
        <w:rPr>
          <w:rFonts w:ascii="Verdana" w:hAnsi="Verdana"/>
          <w:sz w:val="20"/>
          <w:szCs w:val="20"/>
          <w:lang w:val="es-ES_tradnl"/>
        </w:rPr>
        <w:t>párrs</w:t>
      </w:r>
      <w:proofErr w:type="spellEnd"/>
      <w:r w:rsidR="00275FA4" w:rsidRPr="00275FA4">
        <w:rPr>
          <w:rFonts w:ascii="Verdana" w:hAnsi="Verdana"/>
          <w:sz w:val="20"/>
          <w:szCs w:val="20"/>
          <w:lang w:val="es-ES_tradnl"/>
        </w:rPr>
        <w:t>. 227 a 229</w:t>
      </w:r>
      <w:r w:rsidRPr="00275FA4">
        <w:rPr>
          <w:rFonts w:ascii="Verdana" w:hAnsi="Verdana"/>
          <w:sz w:val="20"/>
          <w:szCs w:val="20"/>
          <w:lang w:val="es-ES_tradnl"/>
        </w:rPr>
        <w:t>), brinde</w:t>
      </w:r>
      <w:r w:rsidRPr="0039097A">
        <w:rPr>
          <w:rFonts w:ascii="Verdana" w:hAnsi="Verdana"/>
          <w:sz w:val="20"/>
          <w:szCs w:val="20"/>
          <w:lang w:val="es-ES_tradnl"/>
        </w:rPr>
        <w:t xml:space="preserve"> a tales personas tratamiento psicológico o psiquiátrico</w:t>
      </w:r>
      <w:r>
        <w:rPr>
          <w:rFonts w:ascii="Verdana" w:hAnsi="Verdana"/>
          <w:sz w:val="20"/>
          <w:szCs w:val="20"/>
          <w:lang w:val="es-ES_tradnl"/>
        </w:rPr>
        <w:t xml:space="preserve">, en tanto estas así lo requieran. </w:t>
      </w:r>
      <w:r w:rsidRPr="0039097A">
        <w:rPr>
          <w:rFonts w:ascii="Verdana" w:hAnsi="Verdana"/>
          <w:sz w:val="20"/>
          <w:szCs w:val="20"/>
          <w:lang w:val="es-ES_tradnl"/>
        </w:rPr>
        <w:t xml:space="preserve"> </w:t>
      </w:r>
    </w:p>
    <w:p w14:paraId="6054393A" w14:textId="77777777" w:rsidR="001B6F20" w:rsidRPr="0039097A" w:rsidRDefault="001B6F20" w:rsidP="005A5029">
      <w:pPr>
        <w:spacing w:after="0" w:line="240" w:lineRule="exact"/>
        <w:contextualSpacing/>
        <w:rPr>
          <w:rFonts w:ascii="Verdana" w:hAnsi="Verdana"/>
          <w:sz w:val="20"/>
          <w:szCs w:val="20"/>
        </w:rPr>
      </w:pPr>
    </w:p>
    <w:p w14:paraId="1A2458CA"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E</w:t>
      </w:r>
      <w:r>
        <w:rPr>
          <w:rFonts w:ascii="Verdana" w:hAnsi="Verdana"/>
          <w:sz w:val="20"/>
          <w:szCs w:val="20"/>
        </w:rPr>
        <w:t xml:space="preserve">l </w:t>
      </w:r>
      <w:r w:rsidRPr="0039097A">
        <w:rPr>
          <w:rFonts w:ascii="Verdana" w:hAnsi="Verdana"/>
          <w:sz w:val="20"/>
          <w:szCs w:val="20"/>
        </w:rPr>
        <w:t>tratamiento deberá prestarse</w:t>
      </w:r>
      <w:r>
        <w:rPr>
          <w:rFonts w:ascii="Verdana" w:hAnsi="Verdana"/>
          <w:sz w:val="20"/>
          <w:szCs w:val="20"/>
        </w:rPr>
        <w:t xml:space="preserve"> a las víctimas</w:t>
      </w:r>
      <w:r w:rsidRPr="0039097A">
        <w:rPr>
          <w:rFonts w:ascii="Verdana" w:hAnsi="Verdana"/>
          <w:sz w:val="20"/>
          <w:szCs w:val="20"/>
        </w:rPr>
        <w:t xml:space="preserve"> en forma gratuita y prioritaria, y deberá incluir la provisión de los </w:t>
      </w:r>
      <w:r w:rsidRPr="0039097A">
        <w:rPr>
          <w:rFonts w:ascii="Verdana" w:hAnsi="Verdana"/>
          <w:sz w:val="20"/>
          <w:szCs w:val="20"/>
          <w:lang w:val="es-ES_tradnl"/>
        </w:rPr>
        <w:t>medicamentos que pudieran ser necesarios y, en su caso, el transporte y otros gastos directamente relacionados y necesarios. El tratamiento, asimismo, deberá prestarse, en la medida de lo posible, en los centros más cercanos a los lugares de residencia de las personas beneficiarias, por el tiempo que sea necesario. Al proveer los tratamientos deben considerarse las circunstancias y necesidades particulares de cada víctima, según lo que se acuerde con ella y después de una evaluación individual</w:t>
      </w:r>
      <w:r w:rsidRPr="0039097A">
        <w:rPr>
          <w:rFonts w:ascii="Verdana" w:eastAsia="MS Mincho" w:hAnsi="Verdana"/>
          <w:sz w:val="20"/>
          <w:szCs w:val="20"/>
          <w:vertAlign w:val="superscript"/>
          <w:lang w:val="es-ES_tradnl"/>
        </w:rPr>
        <w:footnoteReference w:id="252"/>
      </w:r>
      <w:r w:rsidRPr="0039097A">
        <w:rPr>
          <w:rFonts w:ascii="Verdana" w:hAnsi="Verdana"/>
          <w:sz w:val="20"/>
          <w:szCs w:val="20"/>
          <w:lang w:val="es-ES_tradnl"/>
        </w:rPr>
        <w:t xml:space="preserve">. </w:t>
      </w:r>
    </w:p>
    <w:p w14:paraId="7F6EF460" w14:textId="77777777" w:rsidR="001B6F20" w:rsidRPr="0039097A" w:rsidRDefault="001B6F20" w:rsidP="005A5029">
      <w:pPr>
        <w:spacing w:after="0" w:line="240" w:lineRule="exact"/>
        <w:contextualSpacing/>
        <w:rPr>
          <w:rFonts w:ascii="Verdana" w:hAnsi="Verdana"/>
          <w:sz w:val="20"/>
          <w:szCs w:val="20"/>
          <w:lang w:val="es-ES_tradnl"/>
        </w:rPr>
      </w:pPr>
    </w:p>
    <w:p w14:paraId="5EA21384" w14:textId="77777777" w:rsidR="001B6F20" w:rsidRPr="00F137AF" w:rsidRDefault="001B6F20"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sz w:val="20"/>
          <w:szCs w:val="20"/>
          <w:lang w:val="es-ES_tradnl"/>
        </w:rPr>
        <w:lastRenderedPageBreak/>
        <w:t>El Estado, podrá cumplir la medida ordenada mediante instituciones públicas y/o por medio de la aplicación de las acciones previstas en las leyes No. 18.033 y 18.596, y el Decreto No. 297/010, así como de otras disposiciones normativas vige</w:t>
      </w:r>
      <w:r>
        <w:rPr>
          <w:rFonts w:ascii="Verdana" w:hAnsi="Verdana"/>
          <w:sz w:val="20"/>
          <w:szCs w:val="20"/>
          <w:lang w:val="es-ES_tradnl"/>
        </w:rPr>
        <w:t xml:space="preserve">ntes o políticas públicas que </w:t>
      </w:r>
      <w:r w:rsidRPr="00F137AF">
        <w:rPr>
          <w:rFonts w:ascii="Verdana" w:hAnsi="Verdana"/>
          <w:sz w:val="20"/>
          <w:szCs w:val="20"/>
          <w:lang w:val="es-ES_tradnl"/>
        </w:rPr>
        <w:t xml:space="preserve">tuviera, siempre y cuando ello se adecué a las pautas antes referidas. En cualquier caso, la atención psiquiátrica o psicológica a las víctimas no podrá ser obstaculizada o demorada por requisitos o trámites administrativos o burocráticos. En ese sentido, sin perjuicio de la eventual aplicación de disposiciones normativas o políticas estatales para el cumplimiento de la medida de rehabilitación ordenada, la misma es debida a las víctimas por su calidad de tales y en virtud del mandato directo de la presente Sentencia, y ello no puede quedar supeditado, limitado, demorado u obstaculizado por requisitos o trámites previstos en la normativa interna. </w:t>
      </w:r>
    </w:p>
    <w:p w14:paraId="0AD3868C" w14:textId="77777777" w:rsidR="001B6F20" w:rsidRPr="00F137AF" w:rsidRDefault="001B6F20" w:rsidP="005A5029">
      <w:pPr>
        <w:spacing w:after="0" w:line="240" w:lineRule="exact"/>
        <w:contextualSpacing/>
        <w:rPr>
          <w:rFonts w:ascii="Verdana" w:hAnsi="Verdana"/>
          <w:sz w:val="20"/>
          <w:szCs w:val="20"/>
          <w:lang w:val="es-ES_tradnl"/>
        </w:rPr>
      </w:pPr>
    </w:p>
    <w:p w14:paraId="6FDD694C"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F137AF">
        <w:rPr>
          <w:rFonts w:ascii="Verdana" w:hAnsi="Verdana"/>
          <w:sz w:val="20"/>
          <w:szCs w:val="20"/>
          <w:lang w:val="es-ES_tradnl"/>
        </w:rPr>
        <w:t>Las personas beneficiarias disponen de un plazo de seis meses, contado a partir de la notificación de la presente Sentencia, para confirmar al Estado su intención de recibir</w:t>
      </w:r>
      <w:r w:rsidRPr="0039097A">
        <w:rPr>
          <w:rFonts w:ascii="Verdana" w:hAnsi="Verdana"/>
          <w:sz w:val="20"/>
          <w:szCs w:val="20"/>
          <w:lang w:val="es-ES_tradnl"/>
        </w:rPr>
        <w:t xml:space="preserve"> atención psicológica y/o psiquiátrica</w:t>
      </w:r>
      <w:r w:rsidRPr="0039097A">
        <w:rPr>
          <w:rFonts w:ascii="Verdana" w:eastAsia="MS Mincho" w:hAnsi="Verdana"/>
          <w:sz w:val="20"/>
          <w:szCs w:val="20"/>
          <w:vertAlign w:val="superscript"/>
          <w:lang w:val="es-ES_tradnl"/>
        </w:rPr>
        <w:footnoteReference w:id="253"/>
      </w:r>
      <w:r w:rsidRPr="0039097A">
        <w:rPr>
          <w:rFonts w:ascii="Verdana" w:hAnsi="Verdana"/>
          <w:sz w:val="20"/>
          <w:szCs w:val="20"/>
          <w:lang w:val="es-ES_tradnl"/>
        </w:rPr>
        <w:t xml:space="preserve">. A su vez, el Estado dispondrá de un plazo máximo de seis meses, contado a partir de la recepción de dicha solicitud, para </w:t>
      </w:r>
      <w:r>
        <w:rPr>
          <w:rFonts w:ascii="Verdana" w:hAnsi="Verdana"/>
          <w:sz w:val="20"/>
          <w:szCs w:val="20"/>
          <w:lang w:val="es-ES_tradnl"/>
        </w:rPr>
        <w:t xml:space="preserve">comenzar a </w:t>
      </w:r>
      <w:r w:rsidRPr="0039097A">
        <w:rPr>
          <w:rFonts w:ascii="Verdana" w:hAnsi="Verdana"/>
          <w:sz w:val="20"/>
          <w:szCs w:val="20"/>
          <w:lang w:val="es-ES_tradnl"/>
        </w:rPr>
        <w:t>brindar de manera efectiva la atención solicitad</w:t>
      </w:r>
      <w:r>
        <w:rPr>
          <w:rFonts w:ascii="Verdana" w:hAnsi="Verdana"/>
          <w:sz w:val="20"/>
          <w:szCs w:val="20"/>
          <w:lang w:val="es-ES_tradnl"/>
        </w:rPr>
        <w:t xml:space="preserve">a. </w:t>
      </w:r>
      <w:r w:rsidRPr="0039097A">
        <w:rPr>
          <w:rFonts w:ascii="Verdana" w:hAnsi="Verdana"/>
          <w:sz w:val="20"/>
          <w:szCs w:val="20"/>
          <w:lang w:val="es-ES_tradnl"/>
        </w:rPr>
        <w:t>En cualquier caso, sin perjuicio de los plazos establecidos, el Estado debe cumplir la medida ordenada con la máxima celeridad posible. Si las personas beneficiarias no comunicaren en el plazo establecido su intención de recibir atención psicológica y/o psiquiátrica el Estado queda eximido de brindar</w:t>
      </w:r>
      <w:r>
        <w:rPr>
          <w:rFonts w:ascii="Verdana" w:hAnsi="Verdana"/>
          <w:sz w:val="20"/>
          <w:szCs w:val="20"/>
          <w:lang w:val="es-ES_tradnl"/>
        </w:rPr>
        <w:t>la</w:t>
      </w:r>
      <w:r w:rsidRPr="0039097A">
        <w:rPr>
          <w:rFonts w:ascii="Verdana" w:hAnsi="Verdana"/>
          <w:sz w:val="20"/>
          <w:szCs w:val="20"/>
          <w:lang w:val="es-ES_tradnl"/>
        </w:rPr>
        <w:t>.</w:t>
      </w:r>
    </w:p>
    <w:p w14:paraId="1C1D6A8B" w14:textId="77777777" w:rsidR="001B6F20" w:rsidRPr="0039097A" w:rsidRDefault="001B6F20" w:rsidP="005A5029">
      <w:pPr>
        <w:spacing w:after="0" w:line="240" w:lineRule="exact"/>
        <w:outlineLvl w:val="1"/>
        <w:rPr>
          <w:b/>
          <w:i/>
          <w:sz w:val="20"/>
          <w:szCs w:val="20"/>
        </w:rPr>
      </w:pPr>
    </w:p>
    <w:p w14:paraId="2F8D198F" w14:textId="77777777" w:rsidR="001B6F20" w:rsidRPr="0039097A" w:rsidRDefault="001B6F20" w:rsidP="005A5029">
      <w:pPr>
        <w:numPr>
          <w:ilvl w:val="0"/>
          <w:numId w:val="36"/>
        </w:numPr>
        <w:spacing w:after="0" w:line="240" w:lineRule="exact"/>
        <w:ind w:left="284" w:firstLine="0"/>
        <w:contextualSpacing/>
        <w:outlineLvl w:val="1"/>
        <w:rPr>
          <w:rFonts w:ascii="Verdana" w:hAnsi="Verdana"/>
          <w:b/>
          <w:i/>
          <w:sz w:val="20"/>
          <w:szCs w:val="20"/>
        </w:rPr>
      </w:pPr>
      <w:bookmarkStart w:id="80" w:name="_Toc85550436"/>
      <w:r w:rsidRPr="0039097A">
        <w:rPr>
          <w:rFonts w:ascii="Verdana" w:hAnsi="Verdana"/>
          <w:b/>
          <w:i/>
          <w:sz w:val="20"/>
          <w:szCs w:val="20"/>
        </w:rPr>
        <w:t>Medidas de satisfacción</w:t>
      </w:r>
      <w:bookmarkEnd w:id="80"/>
    </w:p>
    <w:p w14:paraId="531A4C3A" w14:textId="77777777" w:rsidR="001B6F20" w:rsidRPr="0039097A" w:rsidRDefault="001B6F20" w:rsidP="005A5029">
      <w:pPr>
        <w:spacing w:after="0" w:line="240" w:lineRule="exact"/>
        <w:ind w:left="284"/>
        <w:contextualSpacing/>
        <w:outlineLvl w:val="1"/>
        <w:rPr>
          <w:rFonts w:ascii="Verdana" w:hAnsi="Verdana"/>
          <w:b/>
          <w:i/>
          <w:sz w:val="20"/>
          <w:szCs w:val="20"/>
        </w:rPr>
      </w:pPr>
    </w:p>
    <w:p w14:paraId="32EB3FA3"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La </w:t>
      </w:r>
      <w:r w:rsidRPr="0039097A">
        <w:rPr>
          <w:rFonts w:ascii="Verdana" w:hAnsi="Verdana"/>
          <w:b/>
          <w:i/>
          <w:sz w:val="20"/>
          <w:szCs w:val="20"/>
        </w:rPr>
        <w:t>Comisión</w:t>
      </w:r>
      <w:r w:rsidRPr="0039097A">
        <w:rPr>
          <w:rFonts w:ascii="Verdana" w:hAnsi="Verdana"/>
          <w:sz w:val="20"/>
          <w:szCs w:val="20"/>
        </w:rPr>
        <w:t xml:space="preserve"> entendió que el Estado debe “[r]</w:t>
      </w:r>
      <w:proofErr w:type="spellStart"/>
      <w:r w:rsidRPr="0039097A">
        <w:rPr>
          <w:rFonts w:ascii="Verdana" w:hAnsi="Verdana"/>
          <w:sz w:val="20"/>
          <w:szCs w:val="20"/>
        </w:rPr>
        <w:t>eparar</w:t>
      </w:r>
      <w:proofErr w:type="spellEnd"/>
      <w:r w:rsidRPr="0039097A">
        <w:rPr>
          <w:rFonts w:ascii="Verdana" w:hAnsi="Verdana"/>
          <w:sz w:val="20"/>
          <w:szCs w:val="20"/>
        </w:rPr>
        <w:t xml:space="preserve"> adecuadamente a las víctimas” en el “aspecto […] moral”.  </w:t>
      </w:r>
    </w:p>
    <w:p w14:paraId="05F51FA5" w14:textId="77777777" w:rsidR="001B6F20" w:rsidRPr="0039097A" w:rsidRDefault="001B6F20" w:rsidP="005A5029">
      <w:pPr>
        <w:spacing w:after="0" w:line="240" w:lineRule="exact"/>
        <w:contextualSpacing/>
        <w:jc w:val="both"/>
        <w:rPr>
          <w:rFonts w:ascii="Verdana" w:hAnsi="Verdana"/>
          <w:sz w:val="20"/>
          <w:szCs w:val="20"/>
        </w:rPr>
      </w:pPr>
    </w:p>
    <w:p w14:paraId="27CB9EBC"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Los </w:t>
      </w:r>
      <w:r w:rsidRPr="0039097A">
        <w:rPr>
          <w:rFonts w:ascii="Verdana" w:hAnsi="Verdana"/>
          <w:b/>
          <w:i/>
          <w:sz w:val="20"/>
          <w:szCs w:val="20"/>
        </w:rPr>
        <w:t xml:space="preserve">representantes </w:t>
      </w:r>
      <w:r w:rsidRPr="0039097A">
        <w:rPr>
          <w:rFonts w:ascii="Verdana" w:hAnsi="Verdana"/>
          <w:sz w:val="20"/>
          <w:szCs w:val="20"/>
        </w:rPr>
        <w:t xml:space="preserve">solicitaron que se ordene al Estado la </w:t>
      </w:r>
      <w:r w:rsidRPr="0039097A">
        <w:rPr>
          <w:rFonts w:ascii="Verdana" w:hAnsi="Verdana"/>
          <w:sz w:val="20"/>
          <w:szCs w:val="20"/>
          <w:lang w:val="es-ES_tradnl"/>
        </w:rPr>
        <w:t>Publicación de la […] Sentencia [de la Corte Interamericana] en el Diario Oficial de la República Oriental del Uruguay”.</w:t>
      </w:r>
      <w:r w:rsidRPr="0039097A">
        <w:rPr>
          <w:rFonts w:ascii="Verdana" w:hAnsi="Verdana"/>
          <w:b/>
          <w:sz w:val="16"/>
          <w:szCs w:val="16"/>
          <w:lang w:val="es-ES_tradnl"/>
        </w:rPr>
        <w:t xml:space="preserve"> </w:t>
      </w:r>
      <w:r w:rsidRPr="0039097A">
        <w:rPr>
          <w:rFonts w:ascii="Verdana" w:hAnsi="Verdana"/>
          <w:sz w:val="20"/>
          <w:szCs w:val="20"/>
          <w:lang w:val="es-ES_tradnl"/>
        </w:rPr>
        <w:t xml:space="preserve">Además, requirieron que se disponga que Uruguay debe “realiza[r] un acto de desagravio y reconocimiento del actuar del Estado”, que sea “realizado conjuntamente” con la entrega de información sobre el paradero de las personas detenidas desaparecidas. </w:t>
      </w:r>
    </w:p>
    <w:p w14:paraId="49956910" w14:textId="77777777" w:rsidR="001B6F20" w:rsidRPr="0039097A" w:rsidRDefault="001B6F20" w:rsidP="005A5029">
      <w:pPr>
        <w:spacing w:after="0" w:line="240" w:lineRule="exact"/>
        <w:contextualSpacing/>
        <w:jc w:val="both"/>
        <w:rPr>
          <w:rFonts w:ascii="Verdana" w:hAnsi="Verdana"/>
          <w:sz w:val="20"/>
          <w:szCs w:val="20"/>
        </w:rPr>
      </w:pPr>
    </w:p>
    <w:p w14:paraId="03EC71B1"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lang w:val="es-ES_tradnl"/>
        </w:rPr>
        <w:t xml:space="preserve">El </w:t>
      </w:r>
      <w:r w:rsidRPr="0039097A">
        <w:rPr>
          <w:rFonts w:ascii="Verdana" w:hAnsi="Verdana"/>
          <w:b/>
          <w:i/>
          <w:sz w:val="20"/>
          <w:szCs w:val="20"/>
          <w:lang w:val="es-ES_tradnl"/>
        </w:rPr>
        <w:t xml:space="preserve">Estado </w:t>
      </w:r>
      <w:r w:rsidRPr="0039097A">
        <w:rPr>
          <w:rFonts w:ascii="Verdana" w:hAnsi="Verdana"/>
          <w:sz w:val="20"/>
          <w:szCs w:val="20"/>
          <w:lang w:val="es-ES_tradnl"/>
        </w:rPr>
        <w:t xml:space="preserve">señaló que, en marzo de 2012, en cumplimiento de lo dispuesto por la Corte el caso </w:t>
      </w:r>
      <w:r w:rsidRPr="0039097A">
        <w:rPr>
          <w:rFonts w:ascii="Verdana" w:hAnsi="Verdana"/>
          <w:i/>
          <w:sz w:val="20"/>
          <w:szCs w:val="20"/>
          <w:lang w:val="es-ES_tradnl"/>
        </w:rPr>
        <w:t>Gelman Vs. Uruguay</w:t>
      </w:r>
      <w:r w:rsidRPr="0039097A">
        <w:rPr>
          <w:rFonts w:ascii="Verdana" w:hAnsi="Verdana"/>
          <w:sz w:val="20"/>
          <w:szCs w:val="20"/>
          <w:lang w:val="es-ES_tradnl"/>
        </w:rPr>
        <w:t>, se realizó un acto público de reconocimiento de responsabilidad, y que el mismo día del acto se colocó una placa en el edificio que fuera sede del Servicio de Inteligencia de Defensa durante la dictadura, en homenaje a “todas las víctimas que fuer[o]n detenidas allí en forma clandestina”. Agregó que en ese lugar funciona ahora, desde el 9 de diciembre de 2016, la Institución Nacional de Derechos Humanos, siento “el primer sitio de memoria recuperado en Uruguay”.</w:t>
      </w:r>
      <w:r w:rsidRPr="0039097A">
        <w:rPr>
          <w:rFonts w:ascii="Verdana" w:hAnsi="Verdana"/>
          <w:b/>
          <w:sz w:val="16"/>
          <w:szCs w:val="16"/>
          <w:lang w:val="es-ES_tradnl"/>
        </w:rPr>
        <w:t xml:space="preserve"> </w:t>
      </w:r>
      <w:r w:rsidRPr="0039097A">
        <w:rPr>
          <w:rFonts w:ascii="Verdana" w:hAnsi="Verdana"/>
          <w:sz w:val="20"/>
          <w:szCs w:val="20"/>
          <w:lang w:val="es-ES_tradnl"/>
        </w:rPr>
        <w:t>Señaló también que por Ley No. 19.641, de 13 de julio de 2018, se “declararon y crearon sitios de Memoria Histórica del pasado reciente”</w:t>
      </w:r>
      <w:r>
        <w:rPr>
          <w:rStyle w:val="Refdenotaalpie"/>
          <w:rFonts w:ascii="Verdana" w:hAnsi="Verdana"/>
          <w:lang w:val="es-ES_tradnl"/>
        </w:rPr>
        <w:footnoteReference w:id="254"/>
      </w:r>
      <w:r w:rsidRPr="0039097A">
        <w:rPr>
          <w:rFonts w:ascii="Verdana" w:hAnsi="Verdana"/>
          <w:sz w:val="20"/>
          <w:szCs w:val="20"/>
          <w:lang w:val="es-ES_tradnl"/>
        </w:rPr>
        <w:t>.</w:t>
      </w:r>
      <w:r w:rsidRPr="0039097A">
        <w:rPr>
          <w:rFonts w:ascii="Verdana" w:hAnsi="Verdana"/>
          <w:b/>
          <w:sz w:val="16"/>
          <w:szCs w:val="16"/>
          <w:lang w:val="es-ES_tradnl"/>
        </w:rPr>
        <w:t xml:space="preserve"> </w:t>
      </w:r>
      <w:r w:rsidRPr="0039097A">
        <w:rPr>
          <w:rFonts w:ascii="Verdana" w:hAnsi="Verdana"/>
          <w:sz w:val="20"/>
          <w:szCs w:val="20"/>
          <w:lang w:val="es-ES_tradnl"/>
        </w:rPr>
        <w:t>Indicó, asimismo, la “existencia del Memorial en Recordación de los Detenidos Desaparecidos, también llamado Memorial de los Desaparecidos, ubicado en el Parque Carlos Vaz Ferreira en el Cerro de Montevideo”, inaugurado el 10 de diciembre de 20</w:t>
      </w:r>
      <w:r>
        <w:rPr>
          <w:rFonts w:ascii="Verdana" w:hAnsi="Verdana"/>
          <w:sz w:val="20"/>
          <w:szCs w:val="20"/>
          <w:lang w:val="es-ES_tradnl"/>
        </w:rPr>
        <w:t>0</w:t>
      </w:r>
      <w:r w:rsidRPr="0039097A">
        <w:rPr>
          <w:rFonts w:ascii="Verdana" w:hAnsi="Verdana"/>
          <w:sz w:val="20"/>
          <w:szCs w:val="20"/>
          <w:lang w:val="es-ES_tradnl"/>
        </w:rPr>
        <w:t>1, y declarado Monumento Histórico Nacional en 2014.</w:t>
      </w:r>
      <w:r w:rsidRPr="0039097A">
        <w:rPr>
          <w:rFonts w:ascii="Verdana" w:hAnsi="Verdana"/>
          <w:b/>
          <w:sz w:val="16"/>
          <w:szCs w:val="20"/>
          <w:lang w:val="es-ES_tradnl"/>
        </w:rPr>
        <w:t xml:space="preserve"> </w:t>
      </w:r>
      <w:r w:rsidRPr="0039097A">
        <w:rPr>
          <w:rFonts w:ascii="Verdana" w:hAnsi="Verdana"/>
          <w:sz w:val="20"/>
          <w:szCs w:val="20"/>
          <w:lang w:val="es-ES_tradnl"/>
        </w:rPr>
        <w:t xml:space="preserve">Destacó, de igual modo, la edición, por parte del </w:t>
      </w:r>
      <w:r w:rsidRPr="0039097A">
        <w:rPr>
          <w:rFonts w:ascii="Verdana" w:hAnsi="Verdana" w:cs="Times New Roman"/>
          <w:sz w:val="20"/>
          <w:szCs w:val="20"/>
          <w:lang w:val="es-ES_tradnl"/>
        </w:rPr>
        <w:t xml:space="preserve">Grupo de Trabajo Verdad y Justicia y de la Secretaría de Derechos Humanos para el Pasado Reciente de una “Guía </w:t>
      </w:r>
      <w:r w:rsidRPr="0039097A">
        <w:rPr>
          <w:rFonts w:ascii="Verdana" w:hAnsi="Verdana" w:cs="Times New Roman"/>
          <w:sz w:val="20"/>
          <w:szCs w:val="20"/>
          <w:lang w:val="es-ES_tradnl"/>
        </w:rPr>
        <w:lastRenderedPageBreak/>
        <w:t>de lugares de memoria del pasado reciente del Uruguay”, que tiene referencia a las presuntas víctimas directas de este caso</w:t>
      </w:r>
      <w:r>
        <w:rPr>
          <w:rStyle w:val="Refdenotaalpie"/>
          <w:rFonts w:ascii="Verdana" w:hAnsi="Verdana" w:cs="Times New Roman"/>
          <w:lang w:val="es-ES_tradnl"/>
        </w:rPr>
        <w:footnoteReference w:id="255"/>
      </w:r>
      <w:r w:rsidRPr="0039097A">
        <w:rPr>
          <w:rFonts w:ascii="Verdana" w:hAnsi="Verdana" w:cs="Times New Roman"/>
          <w:sz w:val="20"/>
          <w:szCs w:val="20"/>
          <w:lang w:val="es-ES_tradnl"/>
        </w:rPr>
        <w:t xml:space="preserve">. </w:t>
      </w:r>
      <w:r>
        <w:rPr>
          <w:rFonts w:ascii="Verdana" w:hAnsi="Verdana"/>
          <w:b/>
          <w:sz w:val="16"/>
          <w:szCs w:val="20"/>
          <w:lang w:val="es-ES_tradnl"/>
        </w:rPr>
        <w:t xml:space="preserve"> </w:t>
      </w:r>
      <w:r w:rsidRPr="00E53751">
        <w:rPr>
          <w:rFonts w:ascii="Verdana" w:hAnsi="Verdana"/>
          <w:sz w:val="20"/>
          <w:szCs w:val="20"/>
          <w:lang w:val="es-ES_tradnl"/>
        </w:rPr>
        <w:t>Remitió también información que da cuenta de la colocación de placa</w:t>
      </w:r>
      <w:r>
        <w:rPr>
          <w:rFonts w:ascii="Verdana" w:hAnsi="Verdana"/>
          <w:sz w:val="20"/>
          <w:szCs w:val="20"/>
          <w:lang w:val="es-ES_tradnl"/>
        </w:rPr>
        <w:t xml:space="preserve">s en la escuela a la que concurrió Luis Eduardo González </w:t>
      </w:r>
      <w:proofErr w:type="spellStart"/>
      <w:r>
        <w:rPr>
          <w:rFonts w:ascii="Verdana" w:hAnsi="Verdana"/>
          <w:sz w:val="20"/>
          <w:szCs w:val="20"/>
          <w:lang w:val="es-ES_tradnl"/>
        </w:rPr>
        <w:t>González</w:t>
      </w:r>
      <w:proofErr w:type="spellEnd"/>
      <w:r>
        <w:rPr>
          <w:rFonts w:ascii="Verdana" w:hAnsi="Verdana"/>
          <w:sz w:val="20"/>
          <w:szCs w:val="20"/>
          <w:lang w:val="es-ES_tradnl"/>
        </w:rPr>
        <w:t xml:space="preserve"> y</w:t>
      </w:r>
      <w:r w:rsidRPr="00E53751">
        <w:rPr>
          <w:rFonts w:ascii="Verdana" w:hAnsi="Verdana"/>
          <w:sz w:val="20"/>
          <w:szCs w:val="20"/>
          <w:lang w:val="es-ES_tradnl"/>
        </w:rPr>
        <w:t xml:space="preserve"> en el lugar en el que se cometieron las ejecuciones extrajudiciales de Diana </w:t>
      </w:r>
      <w:proofErr w:type="spellStart"/>
      <w:r w:rsidRPr="00E53751">
        <w:rPr>
          <w:rFonts w:ascii="Verdana" w:hAnsi="Verdana"/>
          <w:sz w:val="20"/>
          <w:szCs w:val="20"/>
          <w:lang w:val="es-ES_tradnl"/>
        </w:rPr>
        <w:t>Maidanik</w:t>
      </w:r>
      <w:proofErr w:type="spellEnd"/>
      <w:r w:rsidRPr="00E53751">
        <w:rPr>
          <w:rFonts w:ascii="Verdana" w:hAnsi="Verdana"/>
          <w:sz w:val="20"/>
          <w:szCs w:val="20"/>
          <w:lang w:val="es-ES_tradnl"/>
        </w:rPr>
        <w:t>, Silvia Reyes y Laura Raggio</w:t>
      </w:r>
      <w:r>
        <w:rPr>
          <w:rStyle w:val="Refdenotaalpie"/>
          <w:rFonts w:ascii="Verdana" w:hAnsi="Verdana"/>
          <w:lang w:val="es-ES_tradnl"/>
        </w:rPr>
        <w:footnoteReference w:id="256"/>
      </w:r>
      <w:r w:rsidRPr="00E53751">
        <w:rPr>
          <w:rFonts w:ascii="Verdana" w:hAnsi="Verdana"/>
          <w:sz w:val="20"/>
          <w:szCs w:val="20"/>
          <w:lang w:val="es-ES_tradnl"/>
        </w:rPr>
        <w:t>.</w:t>
      </w:r>
      <w:r>
        <w:rPr>
          <w:rFonts w:ascii="Verdana" w:hAnsi="Verdana"/>
          <w:b/>
          <w:sz w:val="16"/>
          <w:szCs w:val="20"/>
          <w:lang w:val="es-ES_tradnl"/>
        </w:rPr>
        <w:t xml:space="preserve"> </w:t>
      </w:r>
    </w:p>
    <w:p w14:paraId="20D255D7" w14:textId="77777777" w:rsidR="001B6F20" w:rsidRDefault="001B6F20" w:rsidP="005A5029">
      <w:pPr>
        <w:spacing w:after="0" w:line="240" w:lineRule="exact"/>
        <w:contextualSpacing/>
        <w:jc w:val="both"/>
        <w:rPr>
          <w:rFonts w:ascii="Verdana" w:hAnsi="Verdana"/>
          <w:sz w:val="20"/>
          <w:szCs w:val="20"/>
        </w:rPr>
      </w:pPr>
    </w:p>
    <w:p w14:paraId="4033D7F8" w14:textId="77777777" w:rsidR="001B6F20" w:rsidRPr="00DE69BB" w:rsidRDefault="001B6F20" w:rsidP="005A5029">
      <w:pPr>
        <w:pStyle w:val="Ttulo3"/>
        <w:spacing w:line="240" w:lineRule="exact"/>
        <w:ind w:left="567"/>
        <w:rPr>
          <w:rFonts w:ascii="Verdana" w:hAnsi="Verdana"/>
          <w:i/>
          <w:sz w:val="20"/>
          <w:szCs w:val="20"/>
          <w:u w:val="single"/>
        </w:rPr>
      </w:pPr>
      <w:bookmarkStart w:id="81" w:name="_Toc85550437"/>
      <w:r w:rsidRPr="00DE69BB">
        <w:rPr>
          <w:rFonts w:ascii="Verdana" w:hAnsi="Verdana"/>
          <w:i/>
          <w:color w:val="auto"/>
          <w:sz w:val="20"/>
          <w:szCs w:val="20"/>
        </w:rPr>
        <w:t xml:space="preserve">D.1. </w:t>
      </w:r>
      <w:r w:rsidRPr="00DE69BB">
        <w:rPr>
          <w:rFonts w:ascii="Verdana" w:hAnsi="Verdana"/>
          <w:i/>
          <w:color w:val="auto"/>
          <w:sz w:val="20"/>
          <w:szCs w:val="20"/>
          <w:u w:val="single"/>
        </w:rPr>
        <w:t xml:space="preserve">Publicación </w:t>
      </w:r>
      <w:r>
        <w:rPr>
          <w:rFonts w:ascii="Verdana" w:hAnsi="Verdana"/>
          <w:i/>
          <w:color w:val="auto"/>
          <w:sz w:val="20"/>
          <w:szCs w:val="20"/>
          <w:u w:val="single"/>
        </w:rPr>
        <w:t xml:space="preserve">y difusión </w:t>
      </w:r>
      <w:r w:rsidRPr="00DE69BB">
        <w:rPr>
          <w:rFonts w:ascii="Verdana" w:hAnsi="Verdana"/>
          <w:i/>
          <w:color w:val="auto"/>
          <w:sz w:val="20"/>
          <w:szCs w:val="20"/>
          <w:u w:val="single"/>
        </w:rPr>
        <w:t>de la sentencia</w:t>
      </w:r>
      <w:bookmarkEnd w:id="81"/>
    </w:p>
    <w:p w14:paraId="1FF12E25" w14:textId="77777777" w:rsidR="001B6F20" w:rsidRPr="00DE69BB" w:rsidRDefault="001B6F20" w:rsidP="005A5029">
      <w:pPr>
        <w:spacing w:after="0" w:line="240" w:lineRule="exact"/>
        <w:contextualSpacing/>
        <w:jc w:val="both"/>
        <w:rPr>
          <w:rFonts w:ascii="Verdana" w:hAnsi="Verdana"/>
          <w:sz w:val="20"/>
          <w:szCs w:val="20"/>
          <w:u w:val="single"/>
        </w:rPr>
      </w:pPr>
    </w:p>
    <w:p w14:paraId="02840E3F" w14:textId="77777777" w:rsidR="001B6F20" w:rsidRPr="00F137AF" w:rsidRDefault="001B6F20" w:rsidP="005A5029">
      <w:pPr>
        <w:numPr>
          <w:ilvl w:val="0"/>
          <w:numId w:val="49"/>
        </w:numPr>
        <w:spacing w:after="0" w:line="240" w:lineRule="exact"/>
        <w:ind w:left="0" w:firstLine="0"/>
        <w:contextualSpacing/>
        <w:jc w:val="both"/>
        <w:rPr>
          <w:rFonts w:ascii="Verdana" w:hAnsi="Verdana"/>
          <w:sz w:val="20"/>
          <w:szCs w:val="20"/>
          <w:lang w:val="es-ES"/>
        </w:rPr>
      </w:pPr>
      <w:r w:rsidRPr="00F137AF">
        <w:rPr>
          <w:rFonts w:ascii="Verdana" w:hAnsi="Verdana"/>
          <w:sz w:val="20"/>
          <w:szCs w:val="20"/>
        </w:rPr>
        <w:t xml:space="preserve">La </w:t>
      </w:r>
      <w:r w:rsidRPr="00F137AF">
        <w:rPr>
          <w:rFonts w:ascii="Verdana" w:hAnsi="Verdana"/>
          <w:b/>
          <w:i/>
          <w:sz w:val="20"/>
          <w:szCs w:val="20"/>
        </w:rPr>
        <w:t>Corte</w:t>
      </w:r>
      <w:r w:rsidRPr="00F137AF">
        <w:rPr>
          <w:rFonts w:ascii="Verdana" w:hAnsi="Verdana"/>
          <w:sz w:val="20"/>
          <w:szCs w:val="20"/>
        </w:rPr>
        <w:t>, como en otros casos</w:t>
      </w:r>
      <w:r w:rsidRPr="00F137AF">
        <w:rPr>
          <w:rFonts w:ascii="Verdana" w:hAnsi="Verdana"/>
          <w:sz w:val="20"/>
          <w:szCs w:val="20"/>
          <w:vertAlign w:val="superscript"/>
        </w:rPr>
        <w:footnoteReference w:id="257"/>
      </w:r>
      <w:r w:rsidRPr="00F137AF">
        <w:rPr>
          <w:rFonts w:ascii="Verdana" w:hAnsi="Verdana"/>
          <w:sz w:val="20"/>
          <w:szCs w:val="20"/>
        </w:rPr>
        <w:t xml:space="preserve">, </w:t>
      </w:r>
      <w:r>
        <w:rPr>
          <w:rFonts w:ascii="Verdana" w:hAnsi="Verdana"/>
          <w:sz w:val="20"/>
          <w:szCs w:val="20"/>
        </w:rPr>
        <w:t xml:space="preserve">dispone </w:t>
      </w:r>
      <w:r w:rsidRPr="00F137AF">
        <w:rPr>
          <w:rFonts w:ascii="Verdana" w:hAnsi="Verdana" w:cs="Arial"/>
          <w:sz w:val="20"/>
          <w:szCs w:val="20"/>
          <w:lang w:val="es-ES"/>
        </w:rPr>
        <w:t>que el Estado deberá publicar, en</w:t>
      </w:r>
      <w:r w:rsidRPr="00F137AF">
        <w:rPr>
          <w:rFonts w:ascii="Verdana" w:hAnsi="Verdana"/>
          <w:sz w:val="20"/>
          <w:szCs w:val="20"/>
          <w:lang w:val="es-ES"/>
        </w:rPr>
        <w:t xml:space="preserve"> el plazo de seis meses, contado a partir de la notificación de la presente Sentencia</w:t>
      </w:r>
      <w:r w:rsidRPr="00F137AF">
        <w:rPr>
          <w:rFonts w:ascii="Verdana" w:hAnsi="Verdana" w:cs="Arial"/>
          <w:sz w:val="20"/>
          <w:szCs w:val="20"/>
          <w:lang w:val="es-ES"/>
        </w:rPr>
        <w:t xml:space="preserve">: </w:t>
      </w:r>
      <w:r w:rsidRPr="00F137AF">
        <w:rPr>
          <w:rFonts w:ascii="Verdana" w:hAnsi="Verdana"/>
          <w:sz w:val="20"/>
          <w:szCs w:val="20"/>
        </w:rPr>
        <w:t xml:space="preserve">a) el resumen oficial de la presente Sentencia elaborado por la Corte, por una sola vez, en el Diario Oficial, en un tamaño de letra legible y adecuado; b) el resumen oficial de la presente Sentencia elaborado por la Corte, por una sola vez, en un diario de amplia circulación nacional, en un tamaño de letra legible y adecuado, y c) la presente Sentencia en su integridad, disponible por un período de un año, en un sitio web oficial del Gobierno Nacional. El Estado deberá informar de forma inmediata a esta Corte una vez que proceda a realizar cada una de las publicaciones dispuestas, independiente del plazo de un año para presentar su primer informe dispuesto en el </w:t>
      </w:r>
      <w:r w:rsidRPr="00890133">
        <w:rPr>
          <w:rFonts w:ascii="Verdana" w:hAnsi="Verdana"/>
          <w:sz w:val="20"/>
          <w:szCs w:val="20"/>
        </w:rPr>
        <w:t>punto resolutivo 9</w:t>
      </w:r>
      <w:r w:rsidRPr="00F137AF">
        <w:rPr>
          <w:rFonts w:ascii="Verdana" w:hAnsi="Verdana"/>
          <w:sz w:val="20"/>
          <w:szCs w:val="20"/>
        </w:rPr>
        <w:t xml:space="preserve"> de esta Sentencia.</w:t>
      </w:r>
    </w:p>
    <w:p w14:paraId="1F234155" w14:textId="77777777" w:rsidR="001B6F20" w:rsidRDefault="001B6F20" w:rsidP="005A5029">
      <w:pPr>
        <w:autoSpaceDE w:val="0"/>
        <w:autoSpaceDN w:val="0"/>
        <w:adjustRightInd w:val="0"/>
        <w:spacing w:after="0" w:line="240" w:lineRule="exact"/>
        <w:ind w:right="11"/>
        <w:jc w:val="both"/>
        <w:rPr>
          <w:rFonts w:ascii="Verdana" w:hAnsi="Verdana"/>
          <w:sz w:val="20"/>
          <w:szCs w:val="20"/>
          <w:lang w:val="es-ES"/>
        </w:rPr>
      </w:pPr>
    </w:p>
    <w:p w14:paraId="268E276F" w14:textId="77777777" w:rsidR="001B6F20" w:rsidRPr="00B86271" w:rsidRDefault="001B6F20" w:rsidP="005A5029">
      <w:pPr>
        <w:pStyle w:val="Ttulo3"/>
        <w:spacing w:line="240" w:lineRule="exact"/>
        <w:ind w:left="567"/>
        <w:rPr>
          <w:rFonts w:ascii="Verdana" w:hAnsi="Verdana"/>
          <w:i/>
          <w:sz w:val="20"/>
          <w:szCs w:val="20"/>
        </w:rPr>
      </w:pPr>
      <w:bookmarkStart w:id="82" w:name="_Toc85550438"/>
      <w:r w:rsidRPr="00B86271">
        <w:rPr>
          <w:rFonts w:ascii="Verdana" w:hAnsi="Verdana"/>
          <w:i/>
          <w:color w:val="auto"/>
          <w:sz w:val="20"/>
          <w:szCs w:val="20"/>
        </w:rPr>
        <w:t xml:space="preserve">D.2 </w:t>
      </w:r>
      <w:r w:rsidRPr="00B86271">
        <w:rPr>
          <w:rFonts w:ascii="Verdana" w:hAnsi="Verdana"/>
          <w:i/>
          <w:color w:val="auto"/>
          <w:sz w:val="20"/>
          <w:szCs w:val="20"/>
          <w:u w:val="single"/>
        </w:rPr>
        <w:t>Acto público de reconocimiento de responsabilidad</w:t>
      </w:r>
      <w:bookmarkEnd w:id="82"/>
    </w:p>
    <w:p w14:paraId="368B97BB" w14:textId="77777777" w:rsidR="001B6F20" w:rsidRPr="0039097A" w:rsidRDefault="001B6F20" w:rsidP="005A5029">
      <w:pPr>
        <w:autoSpaceDE w:val="0"/>
        <w:autoSpaceDN w:val="0"/>
        <w:adjustRightInd w:val="0"/>
        <w:spacing w:after="0" w:line="240" w:lineRule="exact"/>
        <w:ind w:right="11"/>
        <w:jc w:val="both"/>
        <w:rPr>
          <w:rFonts w:ascii="Verdana" w:hAnsi="Verdana"/>
          <w:sz w:val="20"/>
          <w:szCs w:val="20"/>
          <w:lang w:val="es-ES"/>
        </w:rPr>
      </w:pPr>
    </w:p>
    <w:p w14:paraId="2448A293"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Por otra parte, este Tribunal aprecia la información brindada por el Estado, sobre diversas medidas de reparación simbólica que ha adoptado respecto a víctimas de violaciones a derechos humanos cometidas durante la dictadura militar. En ese sentido, como lo ha hecho e</w:t>
      </w:r>
      <w:r w:rsidRPr="0039097A">
        <w:rPr>
          <w:rFonts w:ascii="Verdana" w:hAnsi="Verdana" w:cs="Verdana"/>
          <w:sz w:val="20"/>
          <w:szCs w:val="20"/>
          <w:lang w:val="es-ES"/>
        </w:rPr>
        <w:t xml:space="preserve">n anteriores oportunidades, y en particular al pronunciarse sobre el caso </w:t>
      </w:r>
      <w:r w:rsidRPr="0039097A">
        <w:rPr>
          <w:rFonts w:ascii="Verdana" w:hAnsi="Verdana" w:cs="Verdana"/>
          <w:i/>
          <w:sz w:val="20"/>
          <w:szCs w:val="20"/>
          <w:lang w:val="es-ES"/>
        </w:rPr>
        <w:t>Gelman Vs. Uruguay</w:t>
      </w:r>
      <w:r w:rsidRPr="0039097A">
        <w:rPr>
          <w:rFonts w:ascii="Verdana" w:hAnsi="Verdana" w:cs="Verdana"/>
          <w:sz w:val="20"/>
          <w:szCs w:val="20"/>
          <w:lang w:val="es-ES"/>
        </w:rPr>
        <w:t>, la Corte valora favorablemente aquellos actos realizados por los Estados</w:t>
      </w:r>
      <w:r w:rsidRPr="0039097A">
        <w:rPr>
          <w:rFonts w:ascii="Verdana" w:hAnsi="Verdana" w:cs="Verdana"/>
          <w:b/>
          <w:sz w:val="20"/>
          <w:szCs w:val="20"/>
          <w:lang w:val="es-ES"/>
        </w:rPr>
        <w:t xml:space="preserve"> </w:t>
      </w:r>
      <w:r w:rsidRPr="0039097A">
        <w:rPr>
          <w:rFonts w:ascii="Verdana" w:hAnsi="Verdana" w:cs="Verdana"/>
          <w:sz w:val="20"/>
          <w:szCs w:val="20"/>
          <w:lang w:val="es-ES"/>
        </w:rPr>
        <w:t>que tienen como efecto la recuperación de la memoria de las víctimas, el reconocimiento de su dignidad y el consuelo de sus deudos</w:t>
      </w:r>
      <w:r w:rsidRPr="0039097A">
        <w:rPr>
          <w:rFonts w:ascii="Verdana" w:hAnsi="Verdana" w:cs="Verdana"/>
          <w:sz w:val="20"/>
          <w:szCs w:val="20"/>
          <w:vertAlign w:val="superscript"/>
          <w:lang w:val="es-ES_tradnl"/>
        </w:rPr>
        <w:footnoteReference w:id="258"/>
      </w:r>
      <w:r w:rsidRPr="0039097A">
        <w:rPr>
          <w:rFonts w:ascii="Verdana" w:hAnsi="Verdana" w:cs="Verdana"/>
          <w:sz w:val="20"/>
          <w:szCs w:val="20"/>
          <w:lang w:val="es-ES"/>
        </w:rPr>
        <w:t>, tales como los mencionados e</w:t>
      </w:r>
      <w:r w:rsidRPr="00617293">
        <w:rPr>
          <w:rFonts w:ascii="Verdana" w:hAnsi="Verdana" w:cs="Verdana"/>
          <w:sz w:val="20"/>
          <w:szCs w:val="20"/>
          <w:lang w:val="es-ES"/>
        </w:rPr>
        <w:t>n el párrafo 232.</w:t>
      </w:r>
    </w:p>
    <w:p w14:paraId="11919960" w14:textId="77777777" w:rsidR="001B6F20" w:rsidRPr="0039097A" w:rsidRDefault="001B6F20" w:rsidP="005A5029">
      <w:pPr>
        <w:spacing w:after="0" w:line="240" w:lineRule="exact"/>
        <w:contextualSpacing/>
        <w:jc w:val="both"/>
        <w:rPr>
          <w:rFonts w:ascii="Verdana" w:hAnsi="Verdana"/>
          <w:sz w:val="20"/>
          <w:szCs w:val="20"/>
        </w:rPr>
      </w:pPr>
    </w:p>
    <w:p w14:paraId="19B5C5A7"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No obstante, esta Corte considera también la gravedad de las violaciones cometidas en este caso, así como la circunstancia de que todavía, luego de más de </w:t>
      </w:r>
      <w:r w:rsidRPr="00617293">
        <w:rPr>
          <w:rFonts w:ascii="Verdana" w:hAnsi="Verdana"/>
          <w:sz w:val="20"/>
          <w:szCs w:val="20"/>
        </w:rPr>
        <w:t>4</w:t>
      </w:r>
      <w:r>
        <w:rPr>
          <w:rFonts w:ascii="Verdana" w:hAnsi="Verdana"/>
          <w:sz w:val="20"/>
          <w:szCs w:val="20"/>
        </w:rPr>
        <w:t>4</w:t>
      </w:r>
      <w:r w:rsidRPr="00617293">
        <w:rPr>
          <w:rFonts w:ascii="Verdana" w:hAnsi="Verdana"/>
          <w:sz w:val="20"/>
          <w:szCs w:val="20"/>
        </w:rPr>
        <w:t xml:space="preserve"> años</w:t>
      </w:r>
      <w:r w:rsidRPr="0039097A">
        <w:rPr>
          <w:rFonts w:ascii="Verdana" w:hAnsi="Verdana"/>
          <w:sz w:val="20"/>
          <w:szCs w:val="20"/>
        </w:rPr>
        <w:t xml:space="preserve">, no se haya determinado el paradero de Óscar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Luis Eduardo Go</w:t>
      </w:r>
      <w:r>
        <w:rPr>
          <w:rFonts w:ascii="Verdana" w:hAnsi="Verdana"/>
          <w:sz w:val="20"/>
          <w:szCs w:val="20"/>
        </w:rPr>
        <w:t>nz</w:t>
      </w:r>
      <w:r w:rsidRPr="0039097A">
        <w:rPr>
          <w:rFonts w:ascii="Verdana" w:hAnsi="Verdana"/>
          <w:sz w:val="20"/>
          <w:szCs w:val="20"/>
        </w:rPr>
        <w:t xml:space="preserve">ález </w:t>
      </w:r>
      <w:proofErr w:type="spellStart"/>
      <w:r w:rsidRPr="0039097A">
        <w:rPr>
          <w:rFonts w:ascii="Verdana" w:hAnsi="Verdana"/>
          <w:sz w:val="20"/>
          <w:szCs w:val="20"/>
        </w:rPr>
        <w:t>González</w:t>
      </w:r>
      <w:proofErr w:type="spellEnd"/>
      <w:r w:rsidRPr="0039097A">
        <w:rPr>
          <w:rFonts w:ascii="Verdana" w:hAnsi="Verdana"/>
          <w:sz w:val="20"/>
          <w:szCs w:val="20"/>
        </w:rPr>
        <w:t xml:space="preserve"> así como de que no hayan concluido las investigaciones y procesos penales relativos a sus desapariciones forzadas y las ejecuciones extrajudiciales de Diana </w:t>
      </w:r>
      <w:proofErr w:type="spellStart"/>
      <w:r w:rsidRPr="0039097A">
        <w:rPr>
          <w:rFonts w:ascii="Verdana" w:hAnsi="Verdana"/>
          <w:sz w:val="20"/>
          <w:szCs w:val="20"/>
        </w:rPr>
        <w:t>Maidanik</w:t>
      </w:r>
      <w:proofErr w:type="spellEnd"/>
      <w:r w:rsidRPr="0039097A">
        <w:rPr>
          <w:rFonts w:ascii="Verdana" w:hAnsi="Verdana"/>
          <w:sz w:val="20"/>
          <w:szCs w:val="20"/>
        </w:rPr>
        <w:t>, S</w:t>
      </w:r>
      <w:r>
        <w:rPr>
          <w:rFonts w:ascii="Verdana" w:hAnsi="Verdana"/>
          <w:sz w:val="20"/>
          <w:szCs w:val="20"/>
        </w:rPr>
        <w:t>i</w:t>
      </w:r>
      <w:r w:rsidRPr="0039097A">
        <w:rPr>
          <w:rFonts w:ascii="Verdana" w:hAnsi="Verdana"/>
          <w:sz w:val="20"/>
          <w:szCs w:val="20"/>
        </w:rPr>
        <w:t>lvia Reyes y Laura Raggio. Al respecto, sin perjuicio del valor de las reparaciones simbólicas ya adoptadas por el Estado, las circunstancias aludidas hacen que resulte pertinente que el Estado, a través de sus altas autoridades, reafirme públicamente su voluntad de dar con el paradero de las víctimas desaparecidas e investigar, sancionar y reparar adecuadamente las violaciones a derechos humanos cometidas en este caso.</w:t>
      </w:r>
    </w:p>
    <w:p w14:paraId="6D6C5FF9" w14:textId="77777777" w:rsidR="001B6F20" w:rsidRPr="0039097A" w:rsidRDefault="001B6F20" w:rsidP="005A5029">
      <w:pPr>
        <w:spacing w:after="0" w:line="240" w:lineRule="exact"/>
        <w:contextualSpacing/>
        <w:jc w:val="both"/>
        <w:rPr>
          <w:rFonts w:ascii="Verdana" w:hAnsi="Verdana"/>
          <w:sz w:val="20"/>
          <w:szCs w:val="20"/>
        </w:rPr>
      </w:pPr>
    </w:p>
    <w:p w14:paraId="71AAB828" w14:textId="39CC965C"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Por lo tanto, la Corte ordena a Uruguay </w:t>
      </w:r>
      <w:r w:rsidRPr="0039097A">
        <w:rPr>
          <w:rFonts w:ascii="Verdana" w:hAnsi="Verdana"/>
          <w:sz w:val="20"/>
          <w:szCs w:val="20"/>
          <w:lang w:val="es-MX"/>
        </w:rPr>
        <w:t xml:space="preserve">realizar un acto público de reconocimiento de responsabilidad internacional en relación con los hechos del presente caso, refiriéndose a las violaciones establecidas en esta Sentencia, así como al compromiso del Estado de cumplir la misma y de </w:t>
      </w:r>
      <w:r w:rsidRPr="0039097A">
        <w:rPr>
          <w:rFonts w:ascii="Verdana" w:hAnsi="Verdana"/>
          <w:sz w:val="20"/>
          <w:szCs w:val="20"/>
        </w:rPr>
        <w:t>dar con el paradero de las víctimas desaparecidas e investigar, sancionar y reparar adecuadamente las violaciones a derechos humanos cometidas en este caso</w:t>
      </w:r>
      <w:r w:rsidRPr="0039097A">
        <w:rPr>
          <w:rFonts w:ascii="Verdana" w:hAnsi="Verdana"/>
          <w:sz w:val="20"/>
          <w:szCs w:val="20"/>
          <w:lang w:val="es-MX"/>
        </w:rPr>
        <w:t xml:space="preserve">. El acto deberá llevarse a cabo mediante una ceremonia pública conducida por altas autoridades nacionales, con presencia de altas autoridades del Poder Ejecutivo, el Poder Legislativo y el Poder Judicial, así como de altas autoridades militares y de la </w:t>
      </w:r>
      <w:r w:rsidRPr="00F137AF">
        <w:rPr>
          <w:rFonts w:ascii="Verdana" w:hAnsi="Verdana"/>
          <w:sz w:val="20"/>
          <w:szCs w:val="20"/>
          <w:lang w:val="es-MX"/>
        </w:rPr>
        <w:t>Fiscalía Especializada, la Institución Nacional de Derechos Humanos y Defensoría del Pueblo</w:t>
      </w:r>
      <w:r w:rsidR="00C64315">
        <w:rPr>
          <w:rFonts w:ascii="Verdana" w:hAnsi="Verdana"/>
          <w:sz w:val="20"/>
          <w:szCs w:val="20"/>
          <w:lang w:val="es-MX"/>
        </w:rPr>
        <w:t xml:space="preserve"> (</w:t>
      </w:r>
      <w:r w:rsidR="00C64315" w:rsidRPr="0039097A">
        <w:rPr>
          <w:rFonts w:ascii="Verdana" w:hAnsi="Verdana" w:cs="Times New Roman"/>
          <w:sz w:val="20"/>
          <w:szCs w:val="24"/>
        </w:rPr>
        <w:t>INDDHH</w:t>
      </w:r>
      <w:r w:rsidR="00C64315">
        <w:rPr>
          <w:rFonts w:ascii="Verdana" w:hAnsi="Verdana" w:cs="Times New Roman"/>
          <w:sz w:val="20"/>
          <w:szCs w:val="24"/>
        </w:rPr>
        <w:t>)</w:t>
      </w:r>
      <w:r w:rsidRPr="00F137AF">
        <w:rPr>
          <w:rFonts w:ascii="Verdana" w:hAnsi="Verdana"/>
          <w:sz w:val="20"/>
          <w:szCs w:val="20"/>
          <w:lang w:val="es-MX"/>
        </w:rPr>
        <w:t>. El acto público, asimismo, debe contar con presencia de las víctimas del presente caso. El Estado deberá acordar con las víctimas o sus representantes la modalidad de cumplimiento del acto público de reconocimiento</w:t>
      </w:r>
      <w:r w:rsidRPr="00F137AF">
        <w:rPr>
          <w:rFonts w:ascii="Verdana" w:hAnsi="Verdana"/>
          <w:sz w:val="20"/>
          <w:szCs w:val="20"/>
          <w:vertAlign w:val="superscript"/>
          <w:lang w:val="es-MX"/>
        </w:rPr>
        <w:footnoteReference w:id="259"/>
      </w:r>
      <w:r w:rsidRPr="00F137AF">
        <w:rPr>
          <w:rFonts w:ascii="Verdana" w:hAnsi="Verdana"/>
          <w:sz w:val="20"/>
          <w:szCs w:val="20"/>
          <w:lang w:val="es-MX"/>
        </w:rPr>
        <w:t>, así como</w:t>
      </w:r>
      <w:r w:rsidRPr="0039097A">
        <w:rPr>
          <w:rFonts w:ascii="Verdana" w:hAnsi="Verdana"/>
          <w:sz w:val="20"/>
          <w:szCs w:val="20"/>
          <w:lang w:val="es-MX"/>
        </w:rPr>
        <w:t xml:space="preserve"> las particularidades que se requieran, tales como el lugar y la fecha para su realización. Dicho acto deberá ser difundido a través de medios de comunicación y, para su realización, el Estado cuenta con el plazo de un año contado a partir de la notificación de la presente Sentencia.</w:t>
      </w:r>
    </w:p>
    <w:p w14:paraId="3D67DB88" w14:textId="77777777" w:rsidR="001B6F20" w:rsidRPr="0039097A" w:rsidRDefault="001B6F20" w:rsidP="005A5029">
      <w:pPr>
        <w:spacing w:after="0" w:line="240" w:lineRule="exact"/>
        <w:ind w:left="720"/>
        <w:contextualSpacing/>
        <w:rPr>
          <w:rFonts w:ascii="Verdana" w:hAnsi="Verdana"/>
          <w:b/>
          <w:sz w:val="20"/>
          <w:szCs w:val="20"/>
        </w:rPr>
      </w:pPr>
    </w:p>
    <w:p w14:paraId="545DB3C4" w14:textId="77777777" w:rsidR="001B6F20" w:rsidRPr="00E53751" w:rsidRDefault="001B6F20" w:rsidP="00A0786D">
      <w:pPr>
        <w:pStyle w:val="Ttulo2"/>
        <w:numPr>
          <w:ilvl w:val="0"/>
          <w:numId w:val="36"/>
        </w:numPr>
        <w:spacing w:line="240" w:lineRule="exact"/>
        <w:ind w:left="284" w:firstLine="0"/>
        <w:rPr>
          <w:rFonts w:ascii="Verdana" w:hAnsi="Verdana"/>
          <w:b/>
          <w:i/>
          <w:sz w:val="20"/>
          <w:szCs w:val="20"/>
        </w:rPr>
      </w:pPr>
      <w:bookmarkStart w:id="83" w:name="_Toc85550439"/>
      <w:r w:rsidRPr="00E53751">
        <w:rPr>
          <w:rFonts w:ascii="Verdana" w:hAnsi="Verdana"/>
          <w:b/>
          <w:i/>
          <w:color w:val="auto"/>
          <w:sz w:val="20"/>
          <w:szCs w:val="20"/>
        </w:rPr>
        <w:t>Garantías de no repetición</w:t>
      </w:r>
      <w:bookmarkEnd w:id="83"/>
    </w:p>
    <w:p w14:paraId="29C64B5C" w14:textId="77777777" w:rsidR="001B6F20" w:rsidRPr="0039097A" w:rsidRDefault="001B6F20" w:rsidP="005A5029">
      <w:pPr>
        <w:spacing w:after="0" w:line="240" w:lineRule="exact"/>
        <w:ind w:left="720"/>
        <w:contextualSpacing/>
        <w:rPr>
          <w:rFonts w:ascii="Verdana" w:hAnsi="Verdana"/>
          <w:sz w:val="20"/>
          <w:szCs w:val="20"/>
        </w:rPr>
      </w:pPr>
    </w:p>
    <w:p w14:paraId="3745C424" w14:textId="77777777" w:rsidR="001B6F20" w:rsidRPr="0039097A" w:rsidRDefault="001B6F20" w:rsidP="00A0786D">
      <w:pPr>
        <w:spacing w:after="0" w:line="240" w:lineRule="exact"/>
        <w:ind w:left="567"/>
        <w:contextualSpacing/>
        <w:jc w:val="both"/>
        <w:outlineLvl w:val="2"/>
        <w:rPr>
          <w:rFonts w:ascii="Verdana" w:hAnsi="Verdana"/>
          <w:i/>
          <w:sz w:val="20"/>
          <w:szCs w:val="20"/>
        </w:rPr>
      </w:pPr>
      <w:bookmarkStart w:id="84" w:name="_Toc85550440"/>
      <w:r w:rsidRPr="00E53751">
        <w:rPr>
          <w:rFonts w:ascii="Verdana" w:hAnsi="Verdana"/>
          <w:i/>
          <w:sz w:val="20"/>
          <w:szCs w:val="20"/>
        </w:rPr>
        <w:t>E.1</w:t>
      </w:r>
      <w:r w:rsidRPr="0039097A">
        <w:rPr>
          <w:rFonts w:ascii="Verdana" w:hAnsi="Verdana"/>
          <w:sz w:val="20"/>
          <w:szCs w:val="20"/>
        </w:rPr>
        <w:t xml:space="preserve"> </w:t>
      </w:r>
      <w:r w:rsidRPr="0039097A">
        <w:rPr>
          <w:rFonts w:ascii="Verdana" w:hAnsi="Verdana"/>
          <w:i/>
          <w:sz w:val="20"/>
          <w:szCs w:val="20"/>
          <w:u w:val="single"/>
        </w:rPr>
        <w:t>Acciones tendientes a asegurar la efectiva investigación de graves violaciones a derechos humanos cometidas durante la dictadura</w:t>
      </w:r>
      <w:bookmarkEnd w:id="84"/>
      <w:r w:rsidRPr="0039097A">
        <w:rPr>
          <w:rFonts w:ascii="Verdana" w:hAnsi="Verdana"/>
          <w:i/>
          <w:sz w:val="20"/>
          <w:szCs w:val="20"/>
        </w:rPr>
        <w:t xml:space="preserve"> </w:t>
      </w:r>
    </w:p>
    <w:p w14:paraId="0A826A01" w14:textId="77777777" w:rsidR="001B6F20" w:rsidRPr="0039097A" w:rsidRDefault="001B6F20" w:rsidP="005A5029">
      <w:pPr>
        <w:spacing w:after="0" w:line="240" w:lineRule="exact"/>
        <w:ind w:left="720"/>
        <w:contextualSpacing/>
        <w:jc w:val="both"/>
        <w:rPr>
          <w:rFonts w:ascii="Verdana" w:hAnsi="Verdana"/>
          <w:i/>
          <w:sz w:val="20"/>
          <w:szCs w:val="20"/>
        </w:rPr>
      </w:pPr>
    </w:p>
    <w:p w14:paraId="4829626F"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La </w:t>
      </w:r>
      <w:r w:rsidRPr="0039097A">
        <w:rPr>
          <w:rFonts w:ascii="Verdana" w:hAnsi="Verdana"/>
          <w:b/>
          <w:i/>
          <w:sz w:val="20"/>
          <w:szCs w:val="20"/>
        </w:rPr>
        <w:t>Comisión</w:t>
      </w:r>
      <w:r w:rsidRPr="0039097A">
        <w:rPr>
          <w:rFonts w:ascii="Verdana" w:hAnsi="Verdana"/>
          <w:sz w:val="20"/>
          <w:szCs w:val="20"/>
        </w:rPr>
        <w:t xml:space="preserve">, en el Informe de Fondo y al someter el caso a la Corte, solicitó a este Tribunal que ordene al Estado </w:t>
      </w:r>
      <w:r w:rsidRPr="0039097A">
        <w:rPr>
          <w:rFonts w:ascii="Verdana" w:hAnsi="Verdana"/>
          <w:sz w:val="20"/>
          <w:szCs w:val="20"/>
          <w:lang w:val="es-ES_tradnl"/>
        </w:rPr>
        <w:t>“[a]</w:t>
      </w:r>
      <w:proofErr w:type="spellStart"/>
      <w:r w:rsidRPr="0039097A">
        <w:rPr>
          <w:rFonts w:ascii="Verdana" w:hAnsi="Verdana"/>
          <w:sz w:val="20"/>
          <w:szCs w:val="20"/>
          <w:lang w:val="es-ES_tradnl"/>
        </w:rPr>
        <w:t>doptar</w:t>
      </w:r>
      <w:proofErr w:type="spellEnd"/>
      <w:r w:rsidRPr="0039097A">
        <w:rPr>
          <w:rFonts w:ascii="Verdana" w:hAnsi="Verdana"/>
          <w:sz w:val="20"/>
          <w:szCs w:val="20"/>
          <w:lang w:val="es-ES_tradnl"/>
        </w:rPr>
        <w:t xml:space="preserve"> las medidas legislativas y de otra índole, necesarias para garantizar que en la práctica y mediante decisiones judiciales se garantice la imprescriptibilidad de las graves violaciones de derechos humanos, de acuerdo a los estándares interamericanos”, y “garantizar que la Ley de Caducidad […] no vuelva a representar ningún obstáculo para la investigación de los hechos del caso”</w:t>
      </w:r>
      <w:r w:rsidRPr="0039097A">
        <w:rPr>
          <w:rFonts w:ascii="Verdana" w:hAnsi="Verdana"/>
          <w:sz w:val="20"/>
          <w:szCs w:val="20"/>
          <w:vertAlign w:val="superscript"/>
          <w:lang w:val="es-ES_tradnl"/>
        </w:rPr>
        <w:footnoteReference w:id="260"/>
      </w:r>
      <w:r w:rsidRPr="0039097A">
        <w:rPr>
          <w:rFonts w:ascii="Verdana" w:hAnsi="Verdana"/>
          <w:sz w:val="20"/>
          <w:szCs w:val="20"/>
          <w:lang w:val="es-ES_tradnl"/>
        </w:rPr>
        <w:t>.</w:t>
      </w:r>
      <w:r w:rsidRPr="0039097A">
        <w:rPr>
          <w:rFonts w:ascii="Verdana" w:hAnsi="Verdana"/>
          <w:b/>
          <w:sz w:val="16"/>
          <w:szCs w:val="16"/>
          <w:lang w:val="es-ES_tradnl"/>
        </w:rPr>
        <w:t xml:space="preserve"> </w:t>
      </w:r>
    </w:p>
    <w:p w14:paraId="76B20D65" w14:textId="77777777" w:rsidR="001B6F20" w:rsidRPr="0039097A" w:rsidRDefault="001B6F20" w:rsidP="005A5029">
      <w:pPr>
        <w:spacing w:after="0" w:line="240" w:lineRule="exact"/>
        <w:contextualSpacing/>
        <w:jc w:val="both"/>
        <w:rPr>
          <w:rFonts w:ascii="Verdana" w:hAnsi="Verdana"/>
          <w:sz w:val="20"/>
          <w:szCs w:val="20"/>
        </w:rPr>
      </w:pPr>
    </w:p>
    <w:p w14:paraId="27B8CA10"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lang w:val="es-ES_tradnl"/>
        </w:rPr>
        <w:t>Además, en la audiencia pública, la Comisión se refirió a otras acciones. De ese modo, destacó “la importancia de que se fortalezca el aparato de justicia a través de presupuesto coordinación diseño institucional y formación permanente de las y los operadores de justicia para investigar de manera efectiva estas graves violaciones incorporando un enfoque de género en investigación especialmente en aquellos casos en los que las víctimas son mujeres”</w:t>
      </w:r>
      <w:r w:rsidRPr="0039097A">
        <w:rPr>
          <w:rFonts w:ascii="Verdana" w:hAnsi="Verdana"/>
          <w:sz w:val="20"/>
          <w:szCs w:val="20"/>
          <w:vertAlign w:val="superscript"/>
          <w:lang w:val="es-ES_tradnl"/>
        </w:rPr>
        <w:footnoteReference w:id="261"/>
      </w:r>
      <w:r w:rsidRPr="0039097A">
        <w:rPr>
          <w:rFonts w:ascii="Verdana" w:hAnsi="Verdana"/>
          <w:sz w:val="20"/>
          <w:szCs w:val="20"/>
          <w:lang w:val="es-ES_tradnl"/>
        </w:rPr>
        <w:t xml:space="preserve">. </w:t>
      </w:r>
    </w:p>
    <w:p w14:paraId="772C90B7" w14:textId="77777777" w:rsidR="001B6F20" w:rsidRPr="0039097A" w:rsidRDefault="001B6F20" w:rsidP="005A5029">
      <w:pPr>
        <w:spacing w:after="0" w:line="240" w:lineRule="exact"/>
        <w:contextualSpacing/>
        <w:jc w:val="both"/>
        <w:rPr>
          <w:rFonts w:ascii="Verdana" w:hAnsi="Verdana"/>
          <w:sz w:val="20"/>
          <w:szCs w:val="20"/>
        </w:rPr>
      </w:pPr>
    </w:p>
    <w:p w14:paraId="03B8B292"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Los </w:t>
      </w:r>
      <w:r w:rsidRPr="0039097A">
        <w:rPr>
          <w:rFonts w:ascii="Verdana" w:hAnsi="Verdana"/>
          <w:b/>
          <w:i/>
          <w:sz w:val="20"/>
          <w:szCs w:val="20"/>
        </w:rPr>
        <w:t>representantes</w:t>
      </w:r>
      <w:r w:rsidRPr="0039097A">
        <w:rPr>
          <w:rFonts w:ascii="Verdana" w:hAnsi="Verdana"/>
          <w:sz w:val="20"/>
          <w:szCs w:val="20"/>
        </w:rPr>
        <w:t xml:space="preserve">, en su escrito de solicitudes y argumentos, adhirieron a la solicitud efectuada por la Comisión en el Informe de Fondo. En relación con la Ley de </w:t>
      </w:r>
      <w:r w:rsidRPr="0039097A">
        <w:rPr>
          <w:rFonts w:ascii="Verdana" w:hAnsi="Verdana"/>
          <w:sz w:val="20"/>
          <w:szCs w:val="20"/>
        </w:rPr>
        <w:lastRenderedPageBreak/>
        <w:t xml:space="preserve">Caducidad, señalaron que la misma </w:t>
      </w:r>
      <w:r w:rsidRPr="0039097A">
        <w:rPr>
          <w:rFonts w:ascii="Verdana" w:hAnsi="Verdana"/>
          <w:sz w:val="20"/>
          <w:szCs w:val="20"/>
          <w:lang w:val="es-ES_tradnl"/>
        </w:rPr>
        <w:t>“continúa siendo un obstáculo, porque ha irradiado efectos sobre la comunidad jurídica, que tienen que ver con la utilización de la prescripción”, ya que no se ha establecido claramente “la cuestión de la imprescriptibilidad”</w:t>
      </w:r>
      <w:r w:rsidRPr="0039097A">
        <w:rPr>
          <w:rFonts w:ascii="Verdana" w:hAnsi="Verdana"/>
          <w:sz w:val="16"/>
          <w:szCs w:val="16"/>
          <w:vertAlign w:val="superscript"/>
          <w:lang w:val="es-ES_tradnl"/>
        </w:rPr>
        <w:footnoteReference w:id="262"/>
      </w:r>
      <w:r w:rsidRPr="0039097A">
        <w:rPr>
          <w:rFonts w:ascii="Verdana" w:hAnsi="Verdana"/>
          <w:sz w:val="20"/>
          <w:szCs w:val="20"/>
          <w:lang w:val="es-ES_tradnl"/>
        </w:rPr>
        <w:t>.</w:t>
      </w:r>
      <w:r w:rsidRPr="0039097A">
        <w:rPr>
          <w:rFonts w:ascii="Verdana" w:hAnsi="Verdana"/>
          <w:b/>
          <w:sz w:val="16"/>
          <w:szCs w:val="16"/>
          <w:lang w:val="es-ES_tradnl"/>
        </w:rPr>
        <w:t xml:space="preserve"> </w:t>
      </w:r>
      <w:r w:rsidRPr="0039097A">
        <w:rPr>
          <w:rFonts w:ascii="Verdana" w:hAnsi="Verdana"/>
          <w:sz w:val="20"/>
          <w:szCs w:val="20"/>
          <w:lang w:val="es-ES"/>
        </w:rPr>
        <w:t>Recordaron que IELSUR propuso la sanción de una “ley interpretativa” del artículo 72 de la Constitución, con base en la potestad que le confiere al Poder Legislativo el artículo constitucional 85 inciso 20. Entendieron que dicha ley debería consagrar expresamente que los derechos reconocidos en los tratados de derechos humanos forman parte de aquellos “‘inherentes a la personalidad humana o se derivan de la forma republicana de gobierno’”. Explicaron que no basta con que el Estado ratifique los tratados de derechos humanos, “[e]n especial en el caso de Uruguay, donde no existe acuerdo (ni doctrinal ni jurisprudencial) sobre la jerarquía normativa de estos instrumentos”.</w:t>
      </w:r>
    </w:p>
    <w:p w14:paraId="5FA748B4" w14:textId="77777777" w:rsidR="001B6F20" w:rsidRPr="0039097A" w:rsidRDefault="001B6F20" w:rsidP="005A5029">
      <w:pPr>
        <w:spacing w:after="0" w:line="240" w:lineRule="exact"/>
        <w:contextualSpacing/>
        <w:jc w:val="both"/>
        <w:rPr>
          <w:rFonts w:ascii="Verdana" w:hAnsi="Verdana"/>
          <w:sz w:val="20"/>
          <w:szCs w:val="20"/>
        </w:rPr>
      </w:pPr>
    </w:p>
    <w:p w14:paraId="2F9D0E0A" w14:textId="0E076F8E"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En relación con lo anterior, los representantes se refirieron a los señalamientos del Estado sobre la creación de una Fiscalía Especializada (</w:t>
      </w:r>
      <w:r w:rsidRPr="0039097A">
        <w:rPr>
          <w:rFonts w:ascii="Verdana" w:hAnsi="Verdana"/>
          <w:i/>
          <w:sz w:val="20"/>
          <w:szCs w:val="20"/>
        </w:rPr>
        <w:t xml:space="preserve">infra </w:t>
      </w:r>
      <w:proofErr w:type="spellStart"/>
      <w:r w:rsidRPr="0039097A">
        <w:rPr>
          <w:rFonts w:ascii="Verdana" w:hAnsi="Verdana"/>
          <w:sz w:val="20"/>
          <w:szCs w:val="20"/>
        </w:rPr>
        <w:t>párr</w:t>
      </w:r>
      <w:r>
        <w:rPr>
          <w:rFonts w:ascii="Verdana" w:hAnsi="Verdana"/>
          <w:sz w:val="20"/>
          <w:szCs w:val="20"/>
        </w:rPr>
        <w:t>s</w:t>
      </w:r>
      <w:proofErr w:type="spellEnd"/>
      <w:r w:rsidRPr="0039097A">
        <w:rPr>
          <w:rFonts w:ascii="Verdana" w:hAnsi="Verdana"/>
          <w:sz w:val="20"/>
          <w:szCs w:val="20"/>
        </w:rPr>
        <w:t xml:space="preserve">. </w:t>
      </w:r>
      <w:r w:rsidR="00275FA4">
        <w:rPr>
          <w:rFonts w:ascii="Verdana" w:hAnsi="Verdana"/>
          <w:sz w:val="20"/>
          <w:szCs w:val="20"/>
        </w:rPr>
        <w:t>241 y 242</w:t>
      </w:r>
      <w:r w:rsidRPr="0039097A">
        <w:rPr>
          <w:rFonts w:ascii="Verdana" w:hAnsi="Verdana"/>
          <w:sz w:val="20"/>
          <w:szCs w:val="20"/>
        </w:rPr>
        <w:t xml:space="preserve">). </w:t>
      </w:r>
      <w:r w:rsidRPr="0039097A">
        <w:rPr>
          <w:rFonts w:ascii="Verdana" w:hAnsi="Verdana"/>
          <w:sz w:val="20"/>
          <w:szCs w:val="20"/>
          <w:lang w:val="es-ES_tradnl"/>
        </w:rPr>
        <w:t>Reconocieron que ello implicó un “avance”, pero sostuvieron que “más allá de la buena voluntad y el trabajo dedicado del Fiscal [a cargo] y su equipo</w:t>
      </w:r>
      <w:r w:rsidRPr="0039097A">
        <w:rPr>
          <w:rFonts w:ascii="Verdana" w:hAnsi="Verdana"/>
          <w:sz w:val="16"/>
          <w:szCs w:val="16"/>
          <w:vertAlign w:val="superscript"/>
          <w:lang w:val="es-ES_tradnl"/>
        </w:rPr>
        <w:footnoteReference w:id="263"/>
      </w:r>
      <w:r w:rsidRPr="0039097A">
        <w:rPr>
          <w:rFonts w:ascii="Verdana" w:hAnsi="Verdana"/>
          <w:sz w:val="20"/>
          <w:szCs w:val="20"/>
          <w:lang w:val="es-ES_tradnl"/>
        </w:rPr>
        <w:t xml:space="preserve">, </w:t>
      </w:r>
      <w:r w:rsidRPr="0039097A">
        <w:rPr>
          <w:rFonts w:ascii="Verdana" w:hAnsi="Verdana" w:cs="ArialNarrow"/>
          <w:sz w:val="20"/>
          <w:szCs w:val="20"/>
          <w:lang w:val="es-ES_tradnl"/>
        </w:rPr>
        <w:t xml:space="preserve">este organismo no cuenta con los recursos suficientes para hacer frente en tiempo y forma a la enorme tarea que tiene a su cargo”. </w:t>
      </w:r>
      <w:r w:rsidRPr="0039097A">
        <w:rPr>
          <w:rFonts w:ascii="Verdana" w:hAnsi="Verdana"/>
          <w:sz w:val="20"/>
          <w:szCs w:val="20"/>
          <w:lang w:val="es-ES_tradnl"/>
        </w:rPr>
        <w:t xml:space="preserve"> </w:t>
      </w:r>
    </w:p>
    <w:p w14:paraId="373057A5" w14:textId="77777777" w:rsidR="001B6F20" w:rsidRPr="0039097A" w:rsidRDefault="001B6F20" w:rsidP="005A5029">
      <w:pPr>
        <w:autoSpaceDE w:val="0"/>
        <w:autoSpaceDN w:val="0"/>
        <w:adjustRightInd w:val="0"/>
        <w:spacing w:after="0" w:line="240" w:lineRule="exact"/>
        <w:jc w:val="both"/>
        <w:rPr>
          <w:rFonts w:ascii="Verdana" w:hAnsi="Verdana" w:cs="ArialNarrow"/>
          <w:sz w:val="20"/>
          <w:szCs w:val="20"/>
        </w:rPr>
      </w:pPr>
    </w:p>
    <w:p w14:paraId="549F2FC1"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El </w:t>
      </w:r>
      <w:r w:rsidRPr="0039097A">
        <w:rPr>
          <w:rFonts w:ascii="Verdana" w:hAnsi="Verdana"/>
          <w:b/>
          <w:i/>
          <w:sz w:val="20"/>
          <w:szCs w:val="20"/>
        </w:rPr>
        <w:t>Estado</w:t>
      </w:r>
      <w:r w:rsidRPr="0039097A">
        <w:rPr>
          <w:rFonts w:ascii="Verdana" w:hAnsi="Verdana"/>
          <w:sz w:val="20"/>
          <w:szCs w:val="20"/>
        </w:rPr>
        <w:t xml:space="preserve"> explicó que </w:t>
      </w:r>
      <w:r w:rsidRPr="0039097A">
        <w:rPr>
          <w:rFonts w:ascii="Verdana" w:hAnsi="Verdana"/>
          <w:sz w:val="20"/>
          <w:szCs w:val="20"/>
          <w:lang w:val="es-ES_tradnl"/>
        </w:rPr>
        <w:t xml:space="preserve">hubo “tres etapas fundamentales” en el “esclarecimiento” de hechos ocurridos durante la dictadura cívico militar establecida entre 1973 y 1985: </w:t>
      </w:r>
      <w:r w:rsidRPr="0039097A">
        <w:rPr>
          <w:rFonts w:ascii="Verdana" w:hAnsi="Verdana" w:cs="Times New Roman"/>
          <w:sz w:val="20"/>
          <w:szCs w:val="20"/>
          <w:lang w:val="es-ES_tradnl"/>
        </w:rPr>
        <w:t>“(a) las investigaciones institucionales no judiciales realizadas durante la vigencia de la Ley de Caducidad</w:t>
      </w:r>
      <w:r w:rsidRPr="0039097A">
        <w:rPr>
          <w:rFonts w:ascii="Verdana" w:hAnsi="Verdana" w:cs="Times New Roman"/>
          <w:sz w:val="20"/>
          <w:szCs w:val="20"/>
          <w:vertAlign w:val="superscript"/>
          <w:lang w:val="es-ES_tradnl"/>
        </w:rPr>
        <w:footnoteReference w:id="264"/>
      </w:r>
      <w:r w:rsidRPr="0039097A">
        <w:rPr>
          <w:rFonts w:ascii="Verdana" w:hAnsi="Verdana" w:cs="Times New Roman"/>
          <w:sz w:val="20"/>
          <w:szCs w:val="20"/>
          <w:lang w:val="es-ES_tradnl"/>
        </w:rPr>
        <w:t xml:space="preserve">; (b) el actual marco normativo, en el que se ha restablecido la pretensión punitiva del Estado en su plenitud (Ley </w:t>
      </w:r>
      <w:proofErr w:type="spellStart"/>
      <w:r w:rsidRPr="0039097A">
        <w:rPr>
          <w:rFonts w:ascii="Verdana" w:hAnsi="Verdana" w:cs="Times New Roman"/>
          <w:sz w:val="20"/>
          <w:szCs w:val="20"/>
          <w:lang w:val="es-ES_tradnl"/>
        </w:rPr>
        <w:t>N°</w:t>
      </w:r>
      <w:proofErr w:type="spellEnd"/>
      <w:r w:rsidRPr="0039097A">
        <w:rPr>
          <w:rFonts w:ascii="Verdana" w:hAnsi="Verdana" w:cs="Times New Roman"/>
          <w:sz w:val="20"/>
          <w:szCs w:val="20"/>
          <w:lang w:val="es-ES_tradnl"/>
        </w:rPr>
        <w:t xml:space="preserve"> 18.831 de 27 de octubre de 2011) y; (c) el impulso a las causas judiciales a partir de la creación de la Fiscalía Especializada en Crímenes de Lesa Humanidad (Ley </w:t>
      </w:r>
      <w:proofErr w:type="spellStart"/>
      <w:r w:rsidRPr="0039097A">
        <w:rPr>
          <w:rFonts w:ascii="Verdana" w:hAnsi="Verdana" w:cs="Times New Roman"/>
          <w:sz w:val="20"/>
          <w:szCs w:val="20"/>
          <w:lang w:val="es-ES_tradnl"/>
        </w:rPr>
        <w:t>N°</w:t>
      </w:r>
      <w:proofErr w:type="spellEnd"/>
      <w:r w:rsidRPr="0039097A">
        <w:rPr>
          <w:rFonts w:ascii="Verdana" w:hAnsi="Verdana" w:cs="Times New Roman"/>
          <w:sz w:val="20"/>
          <w:szCs w:val="20"/>
          <w:lang w:val="es-ES_tradnl"/>
        </w:rPr>
        <w:t xml:space="preserve"> 19.550 de 25 de octubre de 2017)”.</w:t>
      </w:r>
      <w:r w:rsidRPr="0039097A">
        <w:rPr>
          <w:rFonts w:ascii="Verdana" w:hAnsi="Verdana" w:cs="Times New Roman"/>
          <w:b/>
          <w:sz w:val="16"/>
          <w:szCs w:val="16"/>
          <w:lang w:val="es-ES_tradnl"/>
        </w:rPr>
        <w:t xml:space="preserve"> </w:t>
      </w:r>
      <w:r w:rsidRPr="0039097A">
        <w:rPr>
          <w:rFonts w:ascii="Verdana" w:hAnsi="Verdana"/>
          <w:sz w:val="20"/>
          <w:szCs w:val="20"/>
          <w:lang w:val="es-ES_tradnl"/>
        </w:rPr>
        <w:t xml:space="preserve">Uruguay </w:t>
      </w:r>
      <w:r w:rsidRPr="0039097A">
        <w:rPr>
          <w:rFonts w:ascii="Verdana" w:hAnsi="Verdana"/>
          <w:sz w:val="20"/>
          <w:szCs w:val="20"/>
          <w:lang w:val="es-ES_tradnl"/>
        </w:rPr>
        <w:lastRenderedPageBreak/>
        <w:t>sostuvo, señalando las acciones estatales actuales, que ha tenido una conducta de “lucha contra la impunidad”</w:t>
      </w:r>
      <w:r w:rsidRPr="0039097A">
        <w:rPr>
          <w:rFonts w:ascii="Verdana" w:hAnsi="Verdana"/>
          <w:sz w:val="16"/>
          <w:szCs w:val="16"/>
          <w:vertAlign w:val="superscript"/>
          <w:lang w:val="es-ES_tradnl"/>
        </w:rPr>
        <w:footnoteReference w:id="265"/>
      </w:r>
      <w:r w:rsidRPr="0039097A">
        <w:rPr>
          <w:rFonts w:ascii="Verdana" w:hAnsi="Verdana"/>
          <w:sz w:val="20"/>
          <w:szCs w:val="20"/>
          <w:lang w:val="es-ES_tradnl"/>
        </w:rPr>
        <w:t>.</w:t>
      </w:r>
    </w:p>
    <w:p w14:paraId="79F7DEA5" w14:textId="77777777" w:rsidR="001B6F20" w:rsidRPr="0039097A" w:rsidRDefault="001B6F20" w:rsidP="005A5029">
      <w:pPr>
        <w:spacing w:after="0" w:line="240" w:lineRule="exact"/>
        <w:contextualSpacing/>
        <w:jc w:val="both"/>
        <w:rPr>
          <w:rFonts w:ascii="Verdana" w:hAnsi="Verdana"/>
          <w:sz w:val="20"/>
          <w:szCs w:val="20"/>
        </w:rPr>
      </w:pPr>
    </w:p>
    <w:p w14:paraId="3525507C"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Al respecto, el Estado sostuvo que si bien durante la “primera etapa”, a</w:t>
      </w:r>
      <w:r w:rsidRPr="0039097A">
        <w:rPr>
          <w:rFonts w:ascii="Verdana" w:hAnsi="Verdana"/>
          <w:sz w:val="20"/>
          <w:szCs w:val="20"/>
          <w:lang w:val="es-ES_tradnl"/>
        </w:rPr>
        <w:t xml:space="preserve"> partir de diciembre de 1986, la Ley de Caducidad “</w:t>
      </w:r>
      <w:proofErr w:type="spellStart"/>
      <w:r w:rsidRPr="0039097A">
        <w:rPr>
          <w:rFonts w:ascii="Verdana" w:hAnsi="Verdana"/>
          <w:sz w:val="20"/>
          <w:szCs w:val="20"/>
          <w:lang w:val="es-ES_tradnl"/>
        </w:rPr>
        <w:t>obstacul</w:t>
      </w:r>
      <w:proofErr w:type="spellEnd"/>
      <w:r w:rsidRPr="0039097A">
        <w:rPr>
          <w:rFonts w:ascii="Verdana" w:hAnsi="Verdana"/>
          <w:sz w:val="20"/>
          <w:szCs w:val="20"/>
          <w:lang w:val="es-ES_tradnl"/>
        </w:rPr>
        <w:t>[izó] el enjuiciamiento de delitos y crímenes”, ello fue revertido en la “segunda etapa”.</w:t>
      </w:r>
      <w:r w:rsidRPr="0039097A">
        <w:rPr>
          <w:rFonts w:ascii="Verdana" w:hAnsi="Verdana"/>
          <w:b/>
          <w:sz w:val="20"/>
          <w:szCs w:val="20"/>
          <w:lang w:val="es-ES_tradnl"/>
        </w:rPr>
        <w:t xml:space="preserve"> </w:t>
      </w:r>
      <w:r w:rsidRPr="0039097A">
        <w:rPr>
          <w:rFonts w:ascii="Verdana" w:hAnsi="Verdana"/>
          <w:sz w:val="20"/>
          <w:szCs w:val="20"/>
          <w:lang w:val="es-ES_tradnl"/>
        </w:rPr>
        <w:t>En ese sentido, señaló que a partir de la sanción de la ley No. 18.831, en 2011,</w:t>
      </w:r>
      <w:r w:rsidRPr="0039097A">
        <w:rPr>
          <w:rFonts w:ascii="Verdana" w:hAnsi="Verdana"/>
          <w:b/>
          <w:sz w:val="20"/>
          <w:szCs w:val="20"/>
          <w:lang w:val="es-ES_tradnl"/>
        </w:rPr>
        <w:t xml:space="preserve"> </w:t>
      </w:r>
      <w:r w:rsidRPr="0039097A">
        <w:rPr>
          <w:rFonts w:ascii="Verdana" w:hAnsi="Verdana"/>
          <w:sz w:val="20"/>
          <w:szCs w:val="20"/>
          <w:lang w:val="es-ES_tradnl"/>
        </w:rPr>
        <w:t>no hay obstáculos para la investigación de graves violaciones de derechos humanos cometidas durante la dictadura. En particular, a tales efectos, sostuvo que “la [L]</w:t>
      </w:r>
      <w:proofErr w:type="spellStart"/>
      <w:r w:rsidRPr="0039097A">
        <w:rPr>
          <w:rFonts w:ascii="Verdana" w:hAnsi="Verdana"/>
          <w:sz w:val="20"/>
          <w:szCs w:val="20"/>
          <w:lang w:val="es-ES_tradnl"/>
        </w:rPr>
        <w:t>ey</w:t>
      </w:r>
      <w:proofErr w:type="spellEnd"/>
      <w:r w:rsidRPr="0039097A">
        <w:rPr>
          <w:rFonts w:ascii="Verdana" w:hAnsi="Verdana"/>
          <w:sz w:val="20"/>
          <w:szCs w:val="20"/>
          <w:lang w:val="es-ES_tradnl"/>
        </w:rPr>
        <w:t xml:space="preserve"> de [C]</w:t>
      </w:r>
      <w:proofErr w:type="spellStart"/>
      <w:r w:rsidRPr="0039097A">
        <w:rPr>
          <w:rFonts w:ascii="Verdana" w:hAnsi="Verdana"/>
          <w:sz w:val="20"/>
          <w:szCs w:val="20"/>
          <w:lang w:val="es-ES_tradnl"/>
        </w:rPr>
        <w:t>aducidad</w:t>
      </w:r>
      <w:proofErr w:type="spellEnd"/>
      <w:r w:rsidRPr="0039097A">
        <w:rPr>
          <w:rFonts w:ascii="Verdana" w:hAnsi="Verdana"/>
          <w:sz w:val="20"/>
          <w:szCs w:val="20"/>
          <w:lang w:val="es-ES_tradnl"/>
        </w:rPr>
        <w:t xml:space="preserve"> de la pretensión punitiva del Estado [ya] no constituye un obstáculo”</w:t>
      </w:r>
      <w:r w:rsidRPr="0039097A">
        <w:rPr>
          <w:rFonts w:ascii="Verdana" w:hAnsi="Verdana"/>
          <w:sz w:val="16"/>
          <w:szCs w:val="16"/>
          <w:vertAlign w:val="superscript"/>
          <w:lang w:val="es-ES_tradnl"/>
        </w:rPr>
        <w:footnoteReference w:id="266"/>
      </w:r>
      <w:r w:rsidRPr="0039097A">
        <w:rPr>
          <w:rFonts w:ascii="Verdana" w:hAnsi="Verdana"/>
          <w:sz w:val="20"/>
          <w:szCs w:val="20"/>
          <w:lang w:val="es-ES_tradnl"/>
        </w:rPr>
        <w:t>.</w:t>
      </w:r>
      <w:r w:rsidRPr="0039097A">
        <w:rPr>
          <w:rFonts w:ascii="Verdana" w:hAnsi="Verdana"/>
          <w:sz w:val="24"/>
          <w:szCs w:val="24"/>
          <w:lang w:val="es-ES_tradnl"/>
        </w:rPr>
        <w:t xml:space="preserve"> </w:t>
      </w:r>
      <w:r w:rsidRPr="0039097A">
        <w:rPr>
          <w:rFonts w:ascii="Verdana" w:hAnsi="Verdana"/>
          <w:sz w:val="20"/>
          <w:szCs w:val="20"/>
          <w:lang w:val="es-ES_tradnl"/>
        </w:rPr>
        <w:t>Uruguay agregó que durante la “tercera etapa” ha “fortalecido la institucionalidad vinculada con el esclarecimiento de hechos, a</w:t>
      </w:r>
      <w:r w:rsidRPr="0039097A">
        <w:rPr>
          <w:rFonts w:ascii="Verdana" w:hAnsi="Verdana" w:cs="Times New Roman"/>
          <w:sz w:val="20"/>
          <w:szCs w:val="20"/>
          <w:lang w:val="es-ES_tradnl"/>
        </w:rPr>
        <w:t>umentando los recursos destinados a ello y fortaleciendo la formación en [d]</w:t>
      </w:r>
      <w:proofErr w:type="spellStart"/>
      <w:r w:rsidRPr="0039097A">
        <w:rPr>
          <w:rFonts w:ascii="Verdana" w:hAnsi="Verdana" w:cs="Times New Roman"/>
          <w:sz w:val="20"/>
          <w:szCs w:val="20"/>
          <w:lang w:val="es-ES_tradnl"/>
        </w:rPr>
        <w:t>erechos</w:t>
      </w:r>
      <w:proofErr w:type="spellEnd"/>
      <w:r w:rsidRPr="0039097A">
        <w:rPr>
          <w:rFonts w:ascii="Verdana" w:hAnsi="Verdana"/>
          <w:sz w:val="20"/>
          <w:szCs w:val="20"/>
          <w:lang w:val="es-ES_tradnl"/>
        </w:rPr>
        <w:t xml:space="preserve"> [h]</w:t>
      </w:r>
      <w:proofErr w:type="spellStart"/>
      <w:r w:rsidRPr="0039097A">
        <w:rPr>
          <w:rFonts w:ascii="Verdana" w:hAnsi="Verdana" w:cs="Times New Roman"/>
          <w:sz w:val="20"/>
          <w:szCs w:val="20"/>
          <w:lang w:val="es-ES_tradnl"/>
        </w:rPr>
        <w:t>umanos</w:t>
      </w:r>
      <w:proofErr w:type="spellEnd"/>
      <w:r w:rsidRPr="0039097A">
        <w:rPr>
          <w:rFonts w:ascii="Verdana" w:hAnsi="Verdana" w:cs="Times New Roman"/>
          <w:sz w:val="20"/>
          <w:szCs w:val="20"/>
          <w:lang w:val="es-ES_tradnl"/>
        </w:rPr>
        <w:t xml:space="preserve"> de los operadores involucrados”</w:t>
      </w:r>
      <w:r>
        <w:rPr>
          <w:rStyle w:val="Refdenotaalpie"/>
          <w:rFonts w:ascii="Verdana" w:hAnsi="Verdana" w:cs="Times New Roman"/>
          <w:lang w:val="es-ES_tradnl"/>
        </w:rPr>
        <w:footnoteReference w:id="267"/>
      </w:r>
      <w:r w:rsidRPr="0039097A">
        <w:rPr>
          <w:rFonts w:ascii="Verdana" w:hAnsi="Verdana" w:cs="Times New Roman"/>
          <w:sz w:val="20"/>
          <w:szCs w:val="20"/>
          <w:lang w:val="es-ES_tradnl"/>
        </w:rPr>
        <w:t>.</w:t>
      </w:r>
      <w:r w:rsidRPr="0039097A">
        <w:rPr>
          <w:rFonts w:ascii="Times New Roman" w:hAnsi="Times New Roman" w:cs="Times New Roman"/>
          <w:sz w:val="24"/>
          <w:szCs w:val="24"/>
          <w:lang w:val="es-ES_tradnl"/>
        </w:rPr>
        <w:t xml:space="preserve"> </w:t>
      </w:r>
      <w:r w:rsidRPr="0039097A">
        <w:rPr>
          <w:rFonts w:ascii="Verdana" w:hAnsi="Verdana"/>
          <w:sz w:val="20"/>
          <w:szCs w:val="20"/>
          <w:lang w:val="es-ES_tradnl"/>
        </w:rPr>
        <w:t>Así, destacó la referida creación de la Fiscalía Especializada en 2017</w:t>
      </w:r>
      <w:r w:rsidRPr="0039097A">
        <w:rPr>
          <w:rFonts w:ascii="Verdana" w:hAnsi="Verdana"/>
          <w:sz w:val="20"/>
          <w:szCs w:val="20"/>
          <w:vertAlign w:val="superscript"/>
          <w:lang w:val="es-ES_tradnl"/>
        </w:rPr>
        <w:footnoteReference w:id="268"/>
      </w:r>
      <w:r w:rsidRPr="0039097A">
        <w:rPr>
          <w:rFonts w:ascii="Verdana" w:hAnsi="Verdana"/>
          <w:sz w:val="20"/>
          <w:szCs w:val="20"/>
          <w:lang w:val="es-ES_tradnl"/>
        </w:rPr>
        <w:t>, “con competencia exclusiva en todas las casusas penales referidas a las violaciones de [d]</w:t>
      </w:r>
      <w:proofErr w:type="spellStart"/>
      <w:r w:rsidRPr="0039097A">
        <w:rPr>
          <w:rFonts w:ascii="Verdana" w:hAnsi="Verdana"/>
          <w:sz w:val="20"/>
          <w:szCs w:val="20"/>
          <w:lang w:val="es-ES_tradnl"/>
        </w:rPr>
        <w:t>erechos</w:t>
      </w:r>
      <w:proofErr w:type="spellEnd"/>
      <w:r w:rsidRPr="0039097A">
        <w:rPr>
          <w:rFonts w:ascii="Verdana" w:hAnsi="Verdana"/>
          <w:sz w:val="20"/>
          <w:szCs w:val="20"/>
          <w:lang w:val="es-ES_tradnl"/>
        </w:rPr>
        <w:t xml:space="preserve"> [h]</w:t>
      </w:r>
      <w:proofErr w:type="spellStart"/>
      <w:r w:rsidRPr="0039097A">
        <w:rPr>
          <w:rFonts w:ascii="Verdana" w:hAnsi="Verdana"/>
          <w:sz w:val="20"/>
          <w:szCs w:val="20"/>
          <w:lang w:val="es-ES_tradnl"/>
        </w:rPr>
        <w:t>umanos</w:t>
      </w:r>
      <w:proofErr w:type="spellEnd"/>
      <w:r w:rsidRPr="0039097A">
        <w:rPr>
          <w:rFonts w:ascii="Verdana" w:hAnsi="Verdana"/>
          <w:sz w:val="20"/>
          <w:szCs w:val="20"/>
          <w:lang w:val="es-ES_tradnl"/>
        </w:rPr>
        <w:t xml:space="preserve"> ocurridas durante [la dictadura]”</w:t>
      </w:r>
      <w:r w:rsidRPr="0039097A">
        <w:rPr>
          <w:rFonts w:ascii="Verdana" w:hAnsi="Verdana"/>
          <w:sz w:val="16"/>
          <w:szCs w:val="16"/>
          <w:vertAlign w:val="superscript"/>
          <w:lang w:val="es-ES_tradnl"/>
        </w:rPr>
        <w:footnoteReference w:id="269"/>
      </w:r>
      <w:r w:rsidRPr="0039097A">
        <w:rPr>
          <w:rFonts w:ascii="Verdana" w:hAnsi="Verdana"/>
          <w:sz w:val="20"/>
          <w:szCs w:val="20"/>
          <w:lang w:val="es-ES_tradnl"/>
        </w:rPr>
        <w:t>. Resaltó que ello trajo un “fortalecimiento notorio” de las aptitudes para llevar a cabo las investigaciones penales</w:t>
      </w:r>
      <w:r w:rsidRPr="0039097A">
        <w:rPr>
          <w:rFonts w:ascii="Verdana" w:hAnsi="Verdana"/>
          <w:sz w:val="16"/>
          <w:szCs w:val="16"/>
          <w:vertAlign w:val="superscript"/>
          <w:lang w:val="es-ES_tradnl"/>
        </w:rPr>
        <w:footnoteReference w:id="270"/>
      </w:r>
      <w:r w:rsidRPr="0039097A">
        <w:rPr>
          <w:rFonts w:ascii="Verdana" w:hAnsi="Verdana"/>
          <w:sz w:val="20"/>
          <w:szCs w:val="20"/>
          <w:lang w:val="es-ES_tradnl"/>
        </w:rPr>
        <w:t>,</w:t>
      </w:r>
      <w:r w:rsidRPr="0039097A">
        <w:rPr>
          <w:rFonts w:ascii="Verdana" w:hAnsi="Verdana"/>
          <w:b/>
          <w:sz w:val="16"/>
          <w:szCs w:val="16"/>
          <w:lang w:val="es-ES_tradnl"/>
        </w:rPr>
        <w:t xml:space="preserve"> </w:t>
      </w:r>
      <w:r w:rsidRPr="0039097A">
        <w:rPr>
          <w:rFonts w:ascii="Verdana" w:hAnsi="Verdana"/>
          <w:sz w:val="20"/>
          <w:szCs w:val="20"/>
          <w:lang w:val="es-ES_tradnl"/>
        </w:rPr>
        <w:t>que redundó en un aumento de condenas</w:t>
      </w:r>
      <w:r w:rsidRPr="0039097A">
        <w:rPr>
          <w:rFonts w:ascii="Verdana" w:hAnsi="Verdana"/>
          <w:sz w:val="16"/>
          <w:szCs w:val="16"/>
          <w:vertAlign w:val="superscript"/>
          <w:lang w:val="es-ES_tradnl"/>
        </w:rPr>
        <w:footnoteReference w:id="271"/>
      </w:r>
      <w:r w:rsidRPr="0039097A">
        <w:rPr>
          <w:rFonts w:ascii="Verdana" w:hAnsi="Verdana"/>
          <w:sz w:val="20"/>
          <w:szCs w:val="20"/>
          <w:lang w:val="es-ES_tradnl"/>
        </w:rPr>
        <w:t>, y un avance “significativo y constante en las causas que permanecen abiertas”</w:t>
      </w:r>
      <w:r w:rsidRPr="0039097A">
        <w:rPr>
          <w:rFonts w:ascii="Verdana" w:hAnsi="Verdana"/>
          <w:sz w:val="16"/>
          <w:szCs w:val="16"/>
          <w:vertAlign w:val="superscript"/>
          <w:lang w:val="es-ES_tradnl"/>
        </w:rPr>
        <w:footnoteReference w:id="272"/>
      </w:r>
      <w:r w:rsidRPr="0039097A">
        <w:rPr>
          <w:rFonts w:ascii="Verdana" w:hAnsi="Verdana"/>
          <w:sz w:val="20"/>
          <w:szCs w:val="20"/>
          <w:lang w:val="es-ES_tradnl"/>
        </w:rPr>
        <w:t xml:space="preserve">. En ese sentido, </w:t>
      </w:r>
      <w:r w:rsidRPr="0039097A">
        <w:rPr>
          <w:rFonts w:ascii="Verdana" w:hAnsi="Verdana"/>
          <w:sz w:val="20"/>
          <w:szCs w:val="20"/>
          <w:lang w:val="es-ES_tradnl"/>
        </w:rPr>
        <w:lastRenderedPageBreak/>
        <w:t>afirmó, indicando que lo hacía con base en señalamientos del Fiscal Especializado, que “todas las causas sobre graves violaciones a los derechos humanos se encuentran encaminadas hacia una dilucidación en el corto plazo”.</w:t>
      </w:r>
    </w:p>
    <w:p w14:paraId="738D784A" w14:textId="77777777" w:rsidR="001B6F20" w:rsidRPr="0039097A" w:rsidRDefault="001B6F20" w:rsidP="005A5029">
      <w:pPr>
        <w:spacing w:after="0" w:line="240" w:lineRule="exact"/>
        <w:contextualSpacing/>
        <w:jc w:val="both"/>
        <w:rPr>
          <w:rFonts w:ascii="Verdana" w:hAnsi="Verdana"/>
          <w:sz w:val="20"/>
          <w:szCs w:val="20"/>
        </w:rPr>
      </w:pPr>
    </w:p>
    <w:p w14:paraId="154CA785" w14:textId="1253EA13"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lang w:val="es-ES_tradnl"/>
        </w:rPr>
        <w:t xml:space="preserve">El Estado agregó que solicitó (a fin de presentar el escrito de contestación) un Informe </w:t>
      </w:r>
      <w:r w:rsidR="003B5F71">
        <w:rPr>
          <w:rFonts w:ascii="Verdana" w:hAnsi="Verdana"/>
          <w:sz w:val="20"/>
          <w:szCs w:val="20"/>
          <w:lang w:val="es-ES_tradnl"/>
        </w:rPr>
        <w:t>a la Suprema Corte de Justicia,</w:t>
      </w:r>
      <w:r w:rsidRPr="0039097A">
        <w:rPr>
          <w:rFonts w:ascii="Verdana" w:hAnsi="Verdana"/>
          <w:sz w:val="20"/>
          <w:szCs w:val="20"/>
          <w:lang w:val="es-ES_tradnl"/>
        </w:rPr>
        <w:t xml:space="preserve"> órgano de mayor jerarquía del Poder Judicial, y que ésta señaló que “no obstante las sentencias No. 20/2013 y No. 680/2017</w:t>
      </w:r>
      <w:r w:rsidRPr="0039097A">
        <w:rPr>
          <w:rFonts w:ascii="Verdana" w:hAnsi="Verdana"/>
          <w:sz w:val="16"/>
          <w:szCs w:val="16"/>
          <w:vertAlign w:val="superscript"/>
          <w:lang w:val="es-ES_tradnl"/>
        </w:rPr>
        <w:footnoteReference w:id="273"/>
      </w:r>
      <w:r w:rsidRPr="0039097A">
        <w:rPr>
          <w:rFonts w:ascii="Verdana" w:hAnsi="Verdana"/>
          <w:sz w:val="20"/>
          <w:szCs w:val="20"/>
          <w:lang w:val="es-ES_tradnl"/>
        </w:rPr>
        <w:t>, y hasta el presente, desde el punto de vista de la jurisprudencia de la Suprema Corte de Justicia, no existe ningún obstáculo legal que impida investigar, perseguir y castigar los delitos que se hayan cometido durante el período dictatorial, de forma tal que las investigaciones de las violaciones de los derechos humanos cometidas durante el período antes mencionado han continuado en curso”.</w:t>
      </w:r>
    </w:p>
    <w:p w14:paraId="38C35DE0" w14:textId="77777777" w:rsidR="001B6F20" w:rsidRPr="0039097A" w:rsidRDefault="001B6F20" w:rsidP="005A5029">
      <w:pPr>
        <w:spacing w:after="0" w:line="240" w:lineRule="exact"/>
        <w:contextualSpacing/>
        <w:jc w:val="both"/>
        <w:rPr>
          <w:rFonts w:ascii="Verdana" w:hAnsi="Verdana"/>
          <w:sz w:val="20"/>
          <w:szCs w:val="20"/>
        </w:rPr>
      </w:pPr>
    </w:p>
    <w:p w14:paraId="39F53BEF"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lang w:val="es-ES_tradnl"/>
        </w:rPr>
        <w:t xml:space="preserve">Uruguay se refirió también a señalamientos </w:t>
      </w:r>
      <w:r w:rsidRPr="00B83F39">
        <w:rPr>
          <w:rFonts w:ascii="Verdana" w:hAnsi="Verdana"/>
          <w:sz w:val="20"/>
          <w:szCs w:val="20"/>
          <w:lang w:val="es-ES_tradnl"/>
        </w:rPr>
        <w:t>sobre estrategias dilatorias</w:t>
      </w:r>
      <w:r>
        <w:rPr>
          <w:rFonts w:ascii="Verdana" w:hAnsi="Verdana"/>
          <w:sz w:val="20"/>
          <w:szCs w:val="20"/>
          <w:lang w:val="es-ES_tradnl"/>
        </w:rPr>
        <w:t xml:space="preserve"> de personas procesadas</w:t>
      </w:r>
      <w:r w:rsidRPr="005D496F">
        <w:rPr>
          <w:rFonts w:ascii="Verdana" w:hAnsi="Verdana"/>
          <w:sz w:val="20"/>
          <w:szCs w:val="20"/>
          <w:lang w:val="es-ES_tradnl"/>
        </w:rPr>
        <w:t>.</w:t>
      </w:r>
      <w:r>
        <w:rPr>
          <w:rFonts w:ascii="Verdana" w:hAnsi="Verdana"/>
          <w:sz w:val="20"/>
          <w:szCs w:val="20"/>
          <w:lang w:val="es-ES_tradnl"/>
        </w:rPr>
        <w:t xml:space="preserve"> Adujo al respecto, </w:t>
      </w:r>
      <w:r w:rsidRPr="0039097A">
        <w:rPr>
          <w:rFonts w:ascii="Verdana" w:hAnsi="Verdana"/>
          <w:sz w:val="20"/>
          <w:szCs w:val="20"/>
          <w:lang w:val="es-ES_tradnl"/>
        </w:rPr>
        <w:t xml:space="preserve">en sus alegatos finales escritos, que “la existencia de un debido proceso es una consecuencia ineludible y necesaria del Estado de </w:t>
      </w:r>
      <w:proofErr w:type="gramStart"/>
      <w:r w:rsidRPr="0039097A">
        <w:rPr>
          <w:rFonts w:ascii="Verdana" w:hAnsi="Verdana"/>
          <w:sz w:val="20"/>
          <w:szCs w:val="20"/>
          <w:lang w:val="es-ES_tradnl"/>
        </w:rPr>
        <w:t>Derecho[</w:t>
      </w:r>
      <w:proofErr w:type="gramEnd"/>
      <w:r w:rsidRPr="0039097A">
        <w:rPr>
          <w:rFonts w:ascii="Verdana" w:hAnsi="Verdana"/>
          <w:sz w:val="20"/>
          <w:szCs w:val="20"/>
          <w:lang w:val="es-ES_tradnl"/>
        </w:rPr>
        <w:t xml:space="preserve">, y que </w:t>
      </w:r>
      <w:proofErr w:type="spellStart"/>
      <w:r w:rsidRPr="0039097A">
        <w:rPr>
          <w:rFonts w:ascii="Verdana" w:hAnsi="Verdana"/>
          <w:sz w:val="20"/>
          <w:szCs w:val="20"/>
          <w:lang w:val="es-ES_tradnl"/>
        </w:rPr>
        <w:t>e</w:t>
      </w:r>
      <w:proofErr w:type="spellEnd"/>
      <w:r w:rsidRPr="0039097A">
        <w:rPr>
          <w:rFonts w:ascii="Verdana" w:hAnsi="Verdana"/>
          <w:sz w:val="20"/>
          <w:szCs w:val="20"/>
          <w:lang w:val="es-ES_tradnl"/>
        </w:rPr>
        <w:t>]l ordenamiento jurídico uruguayo cuenta además con las herramientas necesarias para detectar los abusos de derecho”. El Estado no detalló a cuáles “herramientas” aludió.</w:t>
      </w:r>
    </w:p>
    <w:p w14:paraId="10090656" w14:textId="77777777" w:rsidR="001B6F20" w:rsidRPr="0039097A" w:rsidRDefault="001B6F20" w:rsidP="005A5029">
      <w:pPr>
        <w:spacing w:after="0" w:line="240" w:lineRule="exact"/>
        <w:contextualSpacing/>
        <w:rPr>
          <w:rFonts w:ascii="Verdana" w:hAnsi="Verdana"/>
          <w:sz w:val="20"/>
          <w:szCs w:val="20"/>
        </w:rPr>
      </w:pPr>
    </w:p>
    <w:p w14:paraId="4544C1CC" w14:textId="77777777" w:rsidR="001B6F20" w:rsidRPr="00F137AF"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Por otra parte, el Estado </w:t>
      </w:r>
      <w:r w:rsidRPr="0039097A">
        <w:rPr>
          <w:rFonts w:ascii="Verdana" w:hAnsi="Verdana"/>
          <w:sz w:val="20"/>
          <w:szCs w:val="20"/>
          <w:lang w:val="es-ES_tradnl"/>
        </w:rPr>
        <w:t>se refirió a la “perspectiva de género” respecto “al sistema judicial uruguayo y de la sociedad en su conjunto”. Advirtió que “el tema” fue aludido por primera vez en este proceso en la audiencia pública, y no formó parte del petitorio de la Comisión Interamericana asentado en el Informe de Fondo</w:t>
      </w:r>
      <w:r w:rsidRPr="0039097A">
        <w:rPr>
          <w:rFonts w:ascii="Verdana" w:hAnsi="Verdana"/>
          <w:sz w:val="16"/>
          <w:szCs w:val="16"/>
          <w:vertAlign w:val="superscript"/>
          <w:lang w:val="es-ES_tradnl"/>
        </w:rPr>
        <w:footnoteReference w:id="274"/>
      </w:r>
      <w:r w:rsidRPr="0039097A">
        <w:rPr>
          <w:rFonts w:ascii="Verdana" w:hAnsi="Verdana"/>
          <w:sz w:val="20"/>
          <w:szCs w:val="20"/>
          <w:lang w:val="es-ES_tradnl"/>
        </w:rPr>
        <w:t xml:space="preserve">. Sin perjuicio de lo anterior, Uruguay se refirió a políticas que ha adoptado respecto a la violencia de género y a la realización de investigaciones con perspectiva de género. Así, señaló que “ha ratificado todos los compromisos internacionales vigentes en materia de igualdad de género y de derechos de </w:t>
      </w:r>
      <w:proofErr w:type="gramStart"/>
      <w:r w:rsidRPr="0039097A">
        <w:rPr>
          <w:rFonts w:ascii="Verdana" w:hAnsi="Verdana"/>
          <w:sz w:val="20"/>
          <w:szCs w:val="20"/>
          <w:lang w:val="es-ES_tradnl"/>
        </w:rPr>
        <w:t>la mujeres</w:t>
      </w:r>
      <w:proofErr w:type="gramEnd"/>
      <w:r w:rsidRPr="0039097A">
        <w:rPr>
          <w:rFonts w:ascii="Verdana" w:hAnsi="Verdana"/>
          <w:sz w:val="20"/>
          <w:szCs w:val="20"/>
          <w:lang w:val="es-ES_tradnl"/>
        </w:rPr>
        <w:t>”</w:t>
      </w:r>
      <w:r w:rsidRPr="0039097A">
        <w:rPr>
          <w:rFonts w:ascii="Verdana" w:hAnsi="Verdana"/>
          <w:sz w:val="20"/>
          <w:szCs w:val="20"/>
          <w:vertAlign w:val="superscript"/>
          <w:lang w:val="es-ES_tradnl"/>
        </w:rPr>
        <w:footnoteReference w:id="275"/>
      </w:r>
      <w:r w:rsidRPr="0039097A">
        <w:rPr>
          <w:rFonts w:ascii="Verdana" w:hAnsi="Verdana"/>
          <w:sz w:val="20"/>
          <w:szCs w:val="20"/>
          <w:lang w:val="es-ES_tradnl"/>
        </w:rPr>
        <w:t xml:space="preserve">. Destacó, además, “en el plano institucional”, la creación en 2005 del Instituto Nacional de las Mujeres, que “tiene como cometido impulsar políticas de igualdad </w:t>
      </w:r>
      <w:r w:rsidRPr="00F137AF">
        <w:rPr>
          <w:rFonts w:ascii="Verdana" w:hAnsi="Verdana"/>
          <w:sz w:val="20"/>
          <w:szCs w:val="20"/>
          <w:lang w:val="es-ES_tradnl"/>
        </w:rPr>
        <w:t>de género”, así como la creación de juzgados especializados en la materia.</w:t>
      </w:r>
      <w:r>
        <w:rPr>
          <w:rFonts w:ascii="Verdana" w:hAnsi="Verdana"/>
          <w:sz w:val="20"/>
          <w:szCs w:val="20"/>
          <w:lang w:val="es-ES_tradnl"/>
        </w:rPr>
        <w:t xml:space="preserve"> </w:t>
      </w:r>
      <w:r w:rsidRPr="00F137AF">
        <w:rPr>
          <w:rFonts w:ascii="Verdana" w:hAnsi="Verdana"/>
          <w:sz w:val="20"/>
          <w:szCs w:val="20"/>
          <w:lang w:val="es-ES_tradnl"/>
        </w:rPr>
        <w:t>Afirmó también que “en el plano normativo ha realizado avances sostenidos en [la] materia”</w:t>
      </w:r>
      <w:r w:rsidRPr="00F137AF">
        <w:rPr>
          <w:rFonts w:ascii="Verdana" w:hAnsi="Verdana"/>
          <w:sz w:val="16"/>
          <w:szCs w:val="16"/>
          <w:vertAlign w:val="superscript"/>
          <w:lang w:val="es-ES_tradnl"/>
        </w:rPr>
        <w:footnoteReference w:id="276"/>
      </w:r>
      <w:r w:rsidRPr="00F137AF">
        <w:rPr>
          <w:rFonts w:ascii="Verdana" w:hAnsi="Verdana"/>
          <w:sz w:val="20"/>
          <w:szCs w:val="20"/>
          <w:lang w:val="es-ES_tradnl"/>
        </w:rPr>
        <w:t>.</w:t>
      </w:r>
    </w:p>
    <w:p w14:paraId="79CB7D8E" w14:textId="77777777" w:rsidR="001B6F20" w:rsidRPr="00F137AF" w:rsidRDefault="001B6F20" w:rsidP="005A5029">
      <w:pPr>
        <w:spacing w:after="0" w:line="240" w:lineRule="exact"/>
        <w:contextualSpacing/>
        <w:rPr>
          <w:rFonts w:ascii="Verdana" w:hAnsi="Verdana"/>
          <w:sz w:val="20"/>
          <w:szCs w:val="20"/>
          <w:lang w:val="es-ES_tradnl"/>
        </w:rPr>
      </w:pPr>
    </w:p>
    <w:p w14:paraId="0E9CB79C" w14:textId="77777777" w:rsidR="001B6F20" w:rsidRPr="00F137AF" w:rsidRDefault="001B6F20" w:rsidP="005A5029">
      <w:pPr>
        <w:pStyle w:val="Ttulo4"/>
        <w:spacing w:line="240" w:lineRule="exact"/>
        <w:ind w:left="851"/>
        <w:rPr>
          <w:rFonts w:ascii="Verdana" w:hAnsi="Verdana"/>
          <w:sz w:val="20"/>
          <w:szCs w:val="20"/>
          <w:u w:val="single"/>
          <w:lang w:val="es-ES_tradnl"/>
        </w:rPr>
      </w:pPr>
      <w:bookmarkStart w:id="85" w:name="_Toc85550441"/>
      <w:r w:rsidRPr="00F137AF">
        <w:rPr>
          <w:rFonts w:ascii="Verdana" w:hAnsi="Verdana"/>
          <w:color w:val="auto"/>
          <w:sz w:val="20"/>
          <w:szCs w:val="20"/>
          <w:lang w:val="es-ES_tradnl"/>
        </w:rPr>
        <w:t xml:space="preserve">E.1.1 </w:t>
      </w:r>
      <w:r w:rsidRPr="00F137AF">
        <w:rPr>
          <w:rFonts w:ascii="Verdana" w:hAnsi="Verdana"/>
          <w:color w:val="auto"/>
          <w:sz w:val="20"/>
          <w:szCs w:val="20"/>
          <w:u w:val="single"/>
          <w:lang w:val="es-ES_tradnl"/>
        </w:rPr>
        <w:t>Inaplicabilidad de excluyentes de responsabilidad penal</w:t>
      </w:r>
      <w:bookmarkEnd w:id="85"/>
    </w:p>
    <w:p w14:paraId="2D3C9B70" w14:textId="77777777" w:rsidR="001B6F20" w:rsidRPr="00F137AF" w:rsidRDefault="001B6F20" w:rsidP="005A5029">
      <w:pPr>
        <w:spacing w:after="0" w:line="240" w:lineRule="exact"/>
        <w:contextualSpacing/>
        <w:rPr>
          <w:rFonts w:ascii="Verdana" w:hAnsi="Verdana"/>
          <w:sz w:val="20"/>
          <w:szCs w:val="20"/>
          <w:u w:val="single"/>
          <w:lang w:val="es-ES_tradnl"/>
        </w:rPr>
      </w:pPr>
    </w:p>
    <w:p w14:paraId="0923E145" w14:textId="77777777" w:rsidR="001B6F20" w:rsidRPr="0007035F" w:rsidRDefault="001B6F20" w:rsidP="005A5029">
      <w:pPr>
        <w:numPr>
          <w:ilvl w:val="0"/>
          <w:numId w:val="49"/>
        </w:numPr>
        <w:spacing w:after="0" w:line="240" w:lineRule="exact"/>
        <w:ind w:left="0" w:firstLine="0"/>
        <w:contextualSpacing/>
        <w:jc w:val="both"/>
        <w:rPr>
          <w:rFonts w:ascii="Verdana" w:hAnsi="Verdana"/>
          <w:strike/>
          <w:sz w:val="20"/>
          <w:szCs w:val="20"/>
        </w:rPr>
      </w:pPr>
      <w:r w:rsidRPr="00F137AF">
        <w:rPr>
          <w:rFonts w:ascii="Verdana" w:hAnsi="Verdana"/>
          <w:sz w:val="20"/>
          <w:szCs w:val="20"/>
          <w:lang w:val="es-ES_tradnl"/>
        </w:rPr>
        <w:t xml:space="preserve">La </w:t>
      </w:r>
      <w:r w:rsidRPr="00F137AF">
        <w:rPr>
          <w:rFonts w:ascii="Verdana" w:hAnsi="Verdana"/>
          <w:b/>
          <w:i/>
          <w:sz w:val="20"/>
          <w:szCs w:val="20"/>
          <w:lang w:val="es-ES_tradnl"/>
        </w:rPr>
        <w:t>Corte</w:t>
      </w:r>
      <w:r w:rsidRPr="00F137AF">
        <w:rPr>
          <w:rFonts w:ascii="Verdana" w:hAnsi="Verdana"/>
          <w:sz w:val="20"/>
          <w:szCs w:val="20"/>
          <w:lang w:val="es-ES_tradnl"/>
        </w:rPr>
        <w:t xml:space="preserve"> recuerda que,</w:t>
      </w:r>
      <w:r>
        <w:rPr>
          <w:rFonts w:ascii="Verdana" w:hAnsi="Verdana"/>
          <w:sz w:val="20"/>
          <w:szCs w:val="20"/>
          <w:lang w:val="es-ES_tradnl"/>
        </w:rPr>
        <w:t xml:space="preserve"> </w:t>
      </w:r>
      <w:r w:rsidRPr="00F137AF">
        <w:rPr>
          <w:rFonts w:ascii="Verdana" w:hAnsi="Verdana"/>
          <w:sz w:val="20"/>
          <w:szCs w:val="20"/>
          <w:lang w:val="es-ES_tradnl"/>
        </w:rPr>
        <w:t>al decidir sobre el</w:t>
      </w:r>
      <w:r w:rsidRPr="0039097A">
        <w:rPr>
          <w:rFonts w:ascii="Verdana" w:hAnsi="Verdana"/>
          <w:sz w:val="20"/>
          <w:szCs w:val="20"/>
          <w:lang w:val="es-ES_tradnl"/>
        </w:rPr>
        <w:t xml:space="preserve"> caso </w:t>
      </w:r>
      <w:r w:rsidRPr="0039097A">
        <w:rPr>
          <w:rFonts w:ascii="Verdana" w:hAnsi="Verdana"/>
          <w:i/>
          <w:sz w:val="20"/>
          <w:szCs w:val="20"/>
          <w:lang w:val="es-ES_tradnl"/>
        </w:rPr>
        <w:t xml:space="preserve">Gelman Vs. Uruguay </w:t>
      </w:r>
      <w:r w:rsidRPr="0039097A">
        <w:rPr>
          <w:rFonts w:ascii="Verdana" w:hAnsi="Verdana"/>
          <w:sz w:val="20"/>
          <w:szCs w:val="20"/>
          <w:lang w:val="es-ES_tradnl"/>
        </w:rPr>
        <w:t>determinó que “</w:t>
      </w:r>
      <w:r w:rsidRPr="0039097A">
        <w:rPr>
          <w:rFonts w:ascii="Verdana" w:hAnsi="Verdana" w:cs="Verdana"/>
          <w:sz w:val="20"/>
          <w:szCs w:val="20"/>
          <w:lang w:val="es-ES_tradnl"/>
        </w:rPr>
        <w:t>la Ley de Caducidad carece de efectos por su incompatibilidad con la Convención Americana y la Convención Interamericana sobre Desaparición Forzada de Personas, en cuanto puede impedir la investigación y eventual sanción de los responsables de graves violaciones de derechos humanos”. Por ello, dispuso que “el Estado deberá asegurar que [dicha ley] no vuelva a representar un obstáculo […] para la identificación y, si procede, sanción de los responsables de […] graves violaciones de derechos humanos […] acontecidas en Uruguay”.</w:t>
      </w:r>
    </w:p>
    <w:p w14:paraId="4085D5C7" w14:textId="77777777" w:rsidR="001B6F20" w:rsidRPr="0039097A" w:rsidRDefault="001B6F20" w:rsidP="005A5029">
      <w:pPr>
        <w:spacing w:after="0" w:line="240" w:lineRule="exact"/>
        <w:contextualSpacing/>
        <w:rPr>
          <w:rFonts w:ascii="Verdana" w:hAnsi="Verdana"/>
          <w:sz w:val="20"/>
          <w:szCs w:val="20"/>
        </w:rPr>
      </w:pPr>
    </w:p>
    <w:p w14:paraId="69671898"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Al supervisar el cumplimiento de su sentencia, en el mismo caso, la Corte advirtió que Uruguay había </w:t>
      </w:r>
      <w:r w:rsidRPr="0039097A">
        <w:rPr>
          <w:rFonts w:ascii="Verdana" w:hAnsi="Verdana" w:cs="Calibri"/>
          <w:sz w:val="20"/>
          <w:szCs w:val="20"/>
          <w:lang w:val="es-ES_tradnl"/>
        </w:rPr>
        <w:t xml:space="preserve">aprobado el </w:t>
      </w:r>
      <w:r w:rsidRPr="0039097A">
        <w:rPr>
          <w:rFonts w:ascii="Verdana" w:eastAsia="Times New Roman" w:hAnsi="Verdana"/>
          <w:sz w:val="20"/>
          <w:szCs w:val="20"/>
          <w:lang w:val="es-ES_tradnl"/>
        </w:rPr>
        <w:t xml:space="preserve">Decreto </w:t>
      </w:r>
      <w:r w:rsidRPr="0039097A">
        <w:rPr>
          <w:rFonts w:ascii="Verdana" w:hAnsi="Verdana"/>
          <w:sz w:val="20"/>
          <w:szCs w:val="20"/>
          <w:lang w:val="es-ES_tradnl"/>
        </w:rPr>
        <w:t>323 de 30 de junio de 2011 y la Ley 18.831 de 27 de octubre de 2011</w:t>
      </w:r>
      <w:r w:rsidRPr="0039097A">
        <w:rPr>
          <w:rFonts w:ascii="Verdana" w:eastAsia="Times New Roman" w:hAnsi="Verdana"/>
          <w:i/>
          <w:iCs/>
          <w:sz w:val="20"/>
          <w:szCs w:val="20"/>
          <w:lang w:val="es-ES_tradnl"/>
        </w:rPr>
        <w:t xml:space="preserve">, </w:t>
      </w:r>
      <w:r w:rsidRPr="0039097A">
        <w:rPr>
          <w:rFonts w:ascii="Verdana" w:eastAsia="Times New Roman" w:hAnsi="Verdana"/>
          <w:sz w:val="20"/>
          <w:szCs w:val="20"/>
          <w:lang w:val="es-ES_tradnl"/>
        </w:rPr>
        <w:t>la cual en su artículo 1 dejó sin efecto la Ley de Caducidad</w:t>
      </w:r>
      <w:r w:rsidRPr="0039097A">
        <w:rPr>
          <w:rFonts w:ascii="Verdana" w:hAnsi="Verdana"/>
          <w:sz w:val="20"/>
          <w:szCs w:val="20"/>
          <w:lang w:val="es-ES_tradnl"/>
        </w:rPr>
        <w:t>. Señaló que estas medidas resultaban “pasos concretos orientados al cumplimiento de la reparación ordenada”, por lo cual, la Corte consideró “que la expedición de estas normas constituye un cumplimiento parcial de esta medida de reparación”</w:t>
      </w:r>
      <w:r w:rsidRPr="0039097A">
        <w:rPr>
          <w:rFonts w:ascii="Verdana" w:hAnsi="Verdana"/>
          <w:sz w:val="20"/>
          <w:szCs w:val="20"/>
          <w:vertAlign w:val="superscript"/>
          <w:lang w:val="es-ES_tradnl"/>
        </w:rPr>
        <w:footnoteReference w:id="277"/>
      </w:r>
      <w:r w:rsidRPr="0039097A">
        <w:rPr>
          <w:rFonts w:ascii="Verdana" w:hAnsi="Verdana"/>
          <w:sz w:val="20"/>
          <w:szCs w:val="20"/>
          <w:lang w:val="es-ES_tradnl"/>
        </w:rPr>
        <w:t>. No obstante, el Tribunal señaló que no podía “valorar el cumplimiento total de [la] medida” ordenada porque “</w:t>
      </w:r>
      <w:r w:rsidRPr="0039097A">
        <w:rPr>
          <w:rFonts w:ascii="Verdana" w:hAnsi="Verdana" w:cs="Calibri"/>
          <w:sz w:val="20"/>
          <w:szCs w:val="20"/>
          <w:lang w:val="es-ES_tradnl"/>
        </w:rPr>
        <w:t>persisten interpretaciones judiciales que podrían representar un obstáculo para la investigación de graves violaciones a derechos humanos cometidas durante la dictadura”. En particular, se refirió a interpretaciones judiciales que entendieron inconstitucionales los artículos 2 y 3 de la Ley No. 18.831, que se refieren a la imprescriptibilidad y carácter de crímenes de lesa humanidad de las violaciones ocurridas durante la dictadura, y que no reconoce el carácter imprescriptible de tales graves violaciones a derechos humanos</w:t>
      </w:r>
      <w:r w:rsidRPr="0039097A">
        <w:rPr>
          <w:rFonts w:ascii="Verdana" w:hAnsi="Verdana" w:cs="Calibri"/>
          <w:sz w:val="20"/>
          <w:szCs w:val="20"/>
          <w:vertAlign w:val="superscript"/>
          <w:lang w:val="es-ES_tradnl"/>
        </w:rPr>
        <w:footnoteReference w:id="278"/>
      </w:r>
      <w:r w:rsidRPr="0039097A">
        <w:rPr>
          <w:rFonts w:ascii="Verdana" w:hAnsi="Verdana" w:cs="Calibri"/>
          <w:sz w:val="20"/>
          <w:szCs w:val="20"/>
          <w:lang w:val="es-ES_tradnl"/>
        </w:rPr>
        <w:t>.</w:t>
      </w:r>
    </w:p>
    <w:p w14:paraId="33276F3D" w14:textId="77777777" w:rsidR="001B6F20" w:rsidRPr="0039097A" w:rsidRDefault="001B6F20" w:rsidP="005A5029">
      <w:pPr>
        <w:spacing w:after="0" w:line="240" w:lineRule="exact"/>
        <w:contextualSpacing/>
        <w:jc w:val="both"/>
        <w:rPr>
          <w:rFonts w:ascii="Verdana" w:hAnsi="Verdana"/>
          <w:sz w:val="20"/>
          <w:szCs w:val="20"/>
        </w:rPr>
      </w:pPr>
    </w:p>
    <w:p w14:paraId="0AE33FD8" w14:textId="77777777" w:rsidR="001B6F20" w:rsidRPr="00DE69BB"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En el marco del </w:t>
      </w:r>
      <w:r w:rsidRPr="00F137AF">
        <w:rPr>
          <w:rFonts w:ascii="Verdana" w:hAnsi="Verdana"/>
          <w:sz w:val="20"/>
          <w:szCs w:val="20"/>
        </w:rPr>
        <w:t>presente caso, el Estado presentó un documento emitido por la Suprema Corte que señaló que, luego de 2013, dicho órgano judicial desestimó en varias oportunidades excepciones de inconstitucionalidad contra los artículos 2 y 3 de la Ley No. 18.831, y que ha desestimado pedidos de clausura de procesos penales por prescripción</w:t>
      </w:r>
      <w:r w:rsidRPr="00F137AF">
        <w:rPr>
          <w:rStyle w:val="Refdenotaalpie"/>
          <w:rFonts w:ascii="Verdana" w:hAnsi="Verdana"/>
        </w:rPr>
        <w:footnoteReference w:id="279"/>
      </w:r>
      <w:r w:rsidRPr="00F137AF">
        <w:rPr>
          <w:rFonts w:ascii="Verdana" w:hAnsi="Verdana"/>
          <w:sz w:val="20"/>
          <w:szCs w:val="20"/>
        </w:rPr>
        <w:t xml:space="preserve">. El Estado, por otra parte, ha sancionado la </w:t>
      </w:r>
      <w:r w:rsidRPr="00F137AF">
        <w:rPr>
          <w:rFonts w:ascii="Verdana" w:hAnsi="Verdana"/>
          <w:sz w:val="20"/>
          <w:szCs w:val="20"/>
          <w:lang w:val="es-ES"/>
        </w:rPr>
        <w:t xml:space="preserve">ley 17.347, de 13 de junio de 2001, de aprobación de la Convención sobre la imprescriptibilidad de los crímenes de </w:t>
      </w:r>
      <w:r w:rsidRPr="00F137AF">
        <w:rPr>
          <w:rFonts w:ascii="Verdana" w:hAnsi="Verdana"/>
          <w:sz w:val="20"/>
          <w:szCs w:val="20"/>
          <w:lang w:val="es-ES"/>
        </w:rPr>
        <w:lastRenderedPageBreak/>
        <w:t>guerra y de los crímenes de lesa humanidad, y ley 18.026, de 13 de septiembre de 2006, de Cooperación con la Corte Penal Internacional en Materia de Lucha contra el Genocidio, los Crímenes de Guerra y de Lesa Humanidad, que señala, en su artículo 7, la imprescriptibilidad de crímenes de guerra, genocidio y lesa humanidad</w:t>
      </w:r>
      <w:r w:rsidRPr="00F137AF">
        <w:rPr>
          <w:rStyle w:val="Refdenotaalpie"/>
          <w:rFonts w:ascii="Verdana" w:hAnsi="Verdana"/>
          <w:lang w:val="es-ES"/>
        </w:rPr>
        <w:footnoteReference w:id="280"/>
      </w:r>
      <w:r w:rsidRPr="00F137AF">
        <w:rPr>
          <w:rFonts w:ascii="Verdana" w:hAnsi="Verdana"/>
          <w:sz w:val="20"/>
          <w:szCs w:val="20"/>
          <w:lang w:val="es-ES"/>
        </w:rPr>
        <w:t>.</w:t>
      </w:r>
    </w:p>
    <w:p w14:paraId="4B14FC4A" w14:textId="77777777" w:rsidR="001B6F20" w:rsidRPr="00DE69BB" w:rsidRDefault="001B6F20" w:rsidP="005A5029">
      <w:pPr>
        <w:spacing w:after="0" w:line="240" w:lineRule="exact"/>
        <w:contextualSpacing/>
        <w:jc w:val="both"/>
        <w:rPr>
          <w:rFonts w:ascii="Verdana" w:hAnsi="Verdana"/>
          <w:sz w:val="20"/>
          <w:szCs w:val="20"/>
        </w:rPr>
      </w:pPr>
    </w:p>
    <w:p w14:paraId="7F1F6CE9" w14:textId="77777777" w:rsidR="001B6F20" w:rsidRPr="00B461C0" w:rsidRDefault="001B6F20" w:rsidP="005A5029">
      <w:pPr>
        <w:numPr>
          <w:ilvl w:val="0"/>
          <w:numId w:val="49"/>
        </w:numPr>
        <w:spacing w:after="0" w:line="240" w:lineRule="exact"/>
        <w:ind w:left="0" w:firstLine="0"/>
        <w:contextualSpacing/>
        <w:jc w:val="both"/>
        <w:rPr>
          <w:rFonts w:ascii="Verdana" w:hAnsi="Verdana"/>
          <w:sz w:val="20"/>
          <w:szCs w:val="20"/>
        </w:rPr>
      </w:pPr>
      <w:r>
        <w:rPr>
          <w:rFonts w:ascii="Verdana" w:hAnsi="Verdana"/>
          <w:sz w:val="20"/>
          <w:szCs w:val="20"/>
        </w:rPr>
        <w:t>No obstante lo anterior, e</w:t>
      </w:r>
      <w:r w:rsidRPr="0039097A">
        <w:rPr>
          <w:rFonts w:ascii="Verdana" w:hAnsi="Verdana"/>
          <w:sz w:val="20"/>
          <w:szCs w:val="20"/>
        </w:rPr>
        <w:t xml:space="preserve">l testigo </w:t>
      </w:r>
      <w:proofErr w:type="spellStart"/>
      <w:r w:rsidRPr="0039097A">
        <w:rPr>
          <w:rFonts w:ascii="Verdana" w:hAnsi="Verdana"/>
          <w:sz w:val="20"/>
          <w:szCs w:val="20"/>
        </w:rPr>
        <w:t>Perciballe</w:t>
      </w:r>
      <w:proofErr w:type="spellEnd"/>
      <w:r w:rsidRPr="0039097A">
        <w:rPr>
          <w:rFonts w:ascii="Verdana" w:hAnsi="Verdana"/>
          <w:sz w:val="20"/>
          <w:szCs w:val="20"/>
        </w:rPr>
        <w:t>, propuesto por el Estado, quien está a cargo de la Fiscalía Especializada, señaló que en la actualidad la Ley de Caducidad no presenta un obstáculo, pero que persisten</w:t>
      </w:r>
      <w:r w:rsidRPr="0039097A">
        <w:rPr>
          <w:rFonts w:ascii="Verdana" w:hAnsi="Verdana"/>
          <w:sz w:val="24"/>
          <w:szCs w:val="24"/>
          <w:lang w:val="es-ES_tradnl"/>
        </w:rPr>
        <w:t xml:space="preserve"> </w:t>
      </w:r>
      <w:r w:rsidRPr="0039097A">
        <w:rPr>
          <w:rFonts w:ascii="Verdana" w:hAnsi="Verdana"/>
          <w:sz w:val="20"/>
          <w:szCs w:val="20"/>
          <w:lang w:val="es-ES_tradnl"/>
        </w:rPr>
        <w:t>“distintas interpretaciones con respecto a lo que es la prescripción o no de este tipo de delitos”</w:t>
      </w:r>
      <w:r>
        <w:rPr>
          <w:rStyle w:val="Refdenotaalpie"/>
          <w:rFonts w:ascii="Verdana" w:hAnsi="Verdana"/>
          <w:lang w:val="es-ES_tradnl"/>
        </w:rPr>
        <w:footnoteReference w:id="281"/>
      </w:r>
      <w:r w:rsidRPr="0039097A">
        <w:rPr>
          <w:rFonts w:ascii="Verdana" w:hAnsi="Verdana"/>
          <w:sz w:val="20"/>
          <w:szCs w:val="20"/>
          <w:lang w:val="es-ES_tradnl"/>
        </w:rPr>
        <w:t>.</w:t>
      </w:r>
      <w:r w:rsidRPr="0039097A">
        <w:rPr>
          <w:rFonts w:ascii="Verdana" w:hAnsi="Verdana"/>
          <w:b/>
          <w:sz w:val="16"/>
          <w:szCs w:val="16"/>
          <w:lang w:val="es-ES_tradnl"/>
        </w:rPr>
        <w:t xml:space="preserve"> </w:t>
      </w:r>
      <w:r w:rsidRPr="0039097A">
        <w:rPr>
          <w:rFonts w:ascii="Verdana" w:hAnsi="Verdana"/>
          <w:sz w:val="20"/>
          <w:szCs w:val="20"/>
          <w:lang w:val="es-ES_tradnl"/>
        </w:rPr>
        <w:t xml:space="preserve">En el mismo sentido, el perito </w:t>
      </w:r>
      <w:proofErr w:type="spellStart"/>
      <w:r w:rsidRPr="0039097A">
        <w:rPr>
          <w:rFonts w:ascii="Verdana" w:hAnsi="Verdana"/>
          <w:sz w:val="20"/>
          <w:szCs w:val="20"/>
          <w:lang w:val="es-ES_tradnl"/>
        </w:rPr>
        <w:t>Chargoñia</w:t>
      </w:r>
      <w:proofErr w:type="spellEnd"/>
      <w:r w:rsidRPr="0039097A">
        <w:rPr>
          <w:rFonts w:ascii="Verdana" w:hAnsi="Verdana"/>
          <w:sz w:val="20"/>
          <w:szCs w:val="20"/>
          <w:lang w:val="es-ES_tradnl"/>
        </w:rPr>
        <w:t xml:space="preserve"> Pérez señaló que “a pesar de las normas aprobadas por el Estado persisten interpretaciones judiciales que no brindan seguridad jurídica suficiente”, aludiendo a </w:t>
      </w:r>
      <w:r w:rsidRPr="00E53751">
        <w:rPr>
          <w:rFonts w:ascii="Verdana" w:hAnsi="Verdana"/>
          <w:sz w:val="20"/>
          <w:szCs w:val="20"/>
          <w:lang w:val="es-ES_tradnl"/>
        </w:rPr>
        <w:t>interpretaciones sobre la prescripción y el carácter de crímenes de lesa humanidad de “los delitos de la dictadura”.</w:t>
      </w:r>
      <w:r w:rsidRPr="00E53751">
        <w:rPr>
          <w:rFonts w:ascii="Verdana" w:hAnsi="Verdana"/>
          <w:sz w:val="24"/>
          <w:szCs w:val="24"/>
          <w:lang w:val="es-ES_tradnl"/>
        </w:rPr>
        <w:t xml:space="preserve"> </w:t>
      </w:r>
      <w:r w:rsidRPr="00E53751">
        <w:rPr>
          <w:rFonts w:ascii="Verdana" w:hAnsi="Verdana"/>
          <w:sz w:val="20"/>
          <w:szCs w:val="20"/>
          <w:lang w:val="es-ES_tradnl"/>
        </w:rPr>
        <w:t xml:space="preserve">En ese sentido, el perito explicó </w:t>
      </w:r>
      <w:r w:rsidRPr="00B461C0">
        <w:rPr>
          <w:rFonts w:ascii="Verdana" w:hAnsi="Verdana"/>
          <w:sz w:val="20"/>
          <w:szCs w:val="20"/>
          <w:lang w:val="es-ES_tradnl"/>
        </w:rPr>
        <w:t>que algunos tribunales toman estos delitos como “ordinarios” y, por lo tanto, aplican respecto a los mismos “</w:t>
      </w:r>
      <w:r w:rsidRPr="00B461C0">
        <w:rPr>
          <w:rFonts w:ascii="Verdana" w:hAnsi="Verdana"/>
          <w:sz w:val="20"/>
          <w:szCs w:val="20"/>
        </w:rPr>
        <w:t>el plazo de prescripción”.</w:t>
      </w:r>
      <w:r w:rsidRPr="00B461C0">
        <w:rPr>
          <w:rFonts w:ascii="Verdana" w:hAnsi="Verdana"/>
          <w:sz w:val="24"/>
          <w:szCs w:val="24"/>
        </w:rPr>
        <w:t xml:space="preserve"> </w:t>
      </w:r>
    </w:p>
    <w:p w14:paraId="73A2122A" w14:textId="77777777" w:rsidR="001B6F20" w:rsidRPr="00B461C0" w:rsidRDefault="001B6F20" w:rsidP="005A5029">
      <w:pPr>
        <w:spacing w:after="0" w:line="240" w:lineRule="exact"/>
        <w:contextualSpacing/>
        <w:rPr>
          <w:rFonts w:ascii="Verdana" w:hAnsi="Verdana"/>
          <w:sz w:val="20"/>
          <w:szCs w:val="20"/>
        </w:rPr>
      </w:pPr>
    </w:p>
    <w:p w14:paraId="2B9FC846" w14:textId="77777777" w:rsidR="001B6F20" w:rsidRPr="00B461C0" w:rsidRDefault="001B6F20" w:rsidP="005A5029">
      <w:pPr>
        <w:numPr>
          <w:ilvl w:val="0"/>
          <w:numId w:val="49"/>
        </w:numPr>
        <w:spacing w:after="0" w:line="240" w:lineRule="exact"/>
        <w:ind w:left="0" w:firstLine="0"/>
        <w:contextualSpacing/>
        <w:jc w:val="both"/>
        <w:rPr>
          <w:rFonts w:ascii="Verdana" w:hAnsi="Verdana"/>
          <w:sz w:val="20"/>
          <w:szCs w:val="20"/>
        </w:rPr>
      </w:pPr>
      <w:r w:rsidRPr="00B461C0">
        <w:rPr>
          <w:rFonts w:ascii="Verdana" w:hAnsi="Verdana"/>
          <w:sz w:val="20"/>
          <w:szCs w:val="20"/>
        </w:rPr>
        <w:t xml:space="preserve">Este Tribunal concluye que, pese a los importantes avances efectuados por el Estado, incluso mediante actos legislativos y judiciales relativos a la privación de efectos de la Ley de Caducidad y la inaplicación de la prescripción penal, que este Tribunal valora, no existe todavía seguridad suficiente respecto a la posibilidad jurídica de que las graves violaciones a derechos humanos cometidas durante la dictadura puedan ser efectivamente investigadas y sancionadas. La Corte, no obstante, no tiene elementos que le permitan concluir que dicha falta de seguridad jurídica pueda relacionarse con problemas o deficiencias de la legislación o normatividad interna.  </w:t>
      </w:r>
    </w:p>
    <w:p w14:paraId="2BD2F860" w14:textId="77777777" w:rsidR="001B6F20" w:rsidRPr="00B461C0" w:rsidRDefault="001B6F20" w:rsidP="005A5029">
      <w:pPr>
        <w:spacing w:after="0" w:line="240" w:lineRule="exact"/>
        <w:contextualSpacing/>
        <w:jc w:val="both"/>
        <w:rPr>
          <w:rFonts w:ascii="Verdana" w:hAnsi="Verdana"/>
          <w:sz w:val="20"/>
          <w:szCs w:val="20"/>
        </w:rPr>
      </w:pPr>
    </w:p>
    <w:p w14:paraId="578F57A3" w14:textId="77777777" w:rsidR="001B6F20" w:rsidRPr="00B461C0" w:rsidRDefault="001B6F20" w:rsidP="005A5029">
      <w:pPr>
        <w:numPr>
          <w:ilvl w:val="0"/>
          <w:numId w:val="49"/>
        </w:numPr>
        <w:spacing w:after="0" w:line="240" w:lineRule="exact"/>
        <w:ind w:left="0" w:firstLine="0"/>
        <w:contextualSpacing/>
        <w:jc w:val="both"/>
        <w:rPr>
          <w:rFonts w:ascii="Verdana" w:hAnsi="Verdana"/>
          <w:sz w:val="20"/>
          <w:szCs w:val="20"/>
        </w:rPr>
      </w:pPr>
      <w:r w:rsidRPr="00B461C0">
        <w:rPr>
          <w:rFonts w:ascii="Verdana" w:hAnsi="Verdana"/>
          <w:sz w:val="20"/>
          <w:szCs w:val="20"/>
        </w:rPr>
        <w:t xml:space="preserve">Considerando lo anterior, la Corte entiende necesario recordar al Estado que </w:t>
      </w:r>
    </w:p>
    <w:p w14:paraId="3121DD1C" w14:textId="77777777" w:rsidR="001B6F20" w:rsidRPr="00B461C0" w:rsidRDefault="001B6F20" w:rsidP="005A5029">
      <w:pPr>
        <w:pStyle w:val="Prrafodelista"/>
        <w:spacing w:line="240" w:lineRule="exact"/>
        <w:rPr>
          <w:rFonts w:ascii="Verdana" w:hAnsi="Verdana"/>
          <w:sz w:val="20"/>
          <w:szCs w:val="20"/>
        </w:rPr>
      </w:pPr>
    </w:p>
    <w:p w14:paraId="7B2C4D4A" w14:textId="77777777" w:rsidR="001B6F20" w:rsidRDefault="001B6F20" w:rsidP="005A5029">
      <w:pPr>
        <w:pStyle w:val="Prrafodelista"/>
        <w:spacing w:line="240" w:lineRule="exact"/>
        <w:ind w:left="284" w:right="333"/>
        <w:jc w:val="both"/>
        <w:rPr>
          <w:rFonts w:ascii="Verdana" w:hAnsi="Verdana"/>
          <w:sz w:val="16"/>
          <w:szCs w:val="16"/>
          <w:lang w:val="es-CO"/>
        </w:rPr>
      </w:pPr>
      <w:r w:rsidRPr="00B461C0">
        <w:rPr>
          <w:rFonts w:ascii="Verdana" w:hAnsi="Verdana" w:cs="Times-Roman"/>
          <w:sz w:val="16"/>
          <w:szCs w:val="16"/>
          <w:lang w:val="pl-PL" w:bidi="en-US"/>
        </w:rPr>
        <w:t>cua</w:t>
      </w:r>
      <w:r w:rsidRPr="00B461C0">
        <w:rPr>
          <w:rFonts w:ascii="Verdana" w:hAnsi="Verdana" w:cs="Times-Roman"/>
          <w:sz w:val="16"/>
          <w:szCs w:val="16"/>
          <w:lang w:val="es-CO" w:bidi="en-US"/>
        </w:rPr>
        <w:t>n</w:t>
      </w:r>
      <w:r w:rsidRPr="00B461C0">
        <w:rPr>
          <w:rFonts w:ascii="Verdana" w:hAnsi="Verdana" w:cs="Times-Roman"/>
          <w:sz w:val="16"/>
          <w:szCs w:val="16"/>
          <w:lang w:val="pl-PL" w:bidi="en-US"/>
        </w:rPr>
        <w:t xml:space="preserve">do un </w:t>
      </w:r>
      <w:r w:rsidRPr="00B461C0">
        <w:rPr>
          <w:rFonts w:ascii="Verdana" w:hAnsi="Verdana" w:cs="Times-Roman"/>
          <w:bCs/>
          <w:sz w:val="16"/>
          <w:szCs w:val="16"/>
          <w:lang w:val="pl-PL" w:bidi="en-US"/>
        </w:rPr>
        <w:t xml:space="preserve">Estado es Parte en un tratado internacional como la Convención Americana, todos sus órganos, incluidos sus jueces y demás </w:t>
      </w:r>
      <w:r w:rsidRPr="00B461C0">
        <w:rPr>
          <w:rFonts w:ascii="Verdana" w:hAnsi="Verdana" w:cs="Times-Roman"/>
          <w:sz w:val="16"/>
          <w:szCs w:val="16"/>
          <w:lang w:val="pl-PL" w:bidi="en-US"/>
        </w:rPr>
        <w:t xml:space="preserve">órganos vinculados a la administración de </w:t>
      </w:r>
      <w:r w:rsidRPr="00B461C0">
        <w:rPr>
          <w:rFonts w:ascii="Verdana" w:hAnsi="Verdana"/>
          <w:sz w:val="16"/>
          <w:szCs w:val="16"/>
          <w:lang w:val="pl-PL"/>
        </w:rPr>
        <w:t>j</w:t>
      </w:r>
      <w:r w:rsidRPr="00B461C0">
        <w:rPr>
          <w:rFonts w:ascii="Verdana" w:hAnsi="Verdana" w:cs="Times-Roman"/>
          <w:sz w:val="16"/>
          <w:szCs w:val="16"/>
          <w:lang w:val="pl-PL" w:bidi="en-US"/>
        </w:rPr>
        <w:t>u</w:t>
      </w:r>
      <w:r w:rsidRPr="00B461C0">
        <w:rPr>
          <w:rFonts w:ascii="Verdana" w:hAnsi="Verdana"/>
          <w:sz w:val="16"/>
          <w:szCs w:val="16"/>
          <w:lang w:val="pl-PL"/>
        </w:rPr>
        <w:t>sticia en todos los niveles</w:t>
      </w:r>
      <w:r w:rsidRPr="00B461C0">
        <w:rPr>
          <w:rFonts w:ascii="Verdana" w:hAnsi="Verdana" w:cs="Times"/>
          <w:bCs/>
          <w:sz w:val="16"/>
          <w:szCs w:val="16"/>
          <w:lang w:val="pl-PL"/>
        </w:rPr>
        <w:t>,</w:t>
      </w:r>
      <w:r w:rsidRPr="00B461C0">
        <w:rPr>
          <w:rFonts w:ascii="Verdana" w:hAnsi="Verdana"/>
          <w:sz w:val="16"/>
          <w:szCs w:val="16"/>
          <w:lang w:val="pl-PL"/>
        </w:rPr>
        <w:t xml:space="preserve"> también están somet</w:t>
      </w:r>
      <w:r w:rsidRPr="00B461C0">
        <w:rPr>
          <w:rFonts w:ascii="Verdana" w:hAnsi="Verdana" w:cs="Times-Roman"/>
          <w:sz w:val="16"/>
          <w:szCs w:val="16"/>
          <w:lang w:val="pl-PL" w:bidi="en-US"/>
        </w:rPr>
        <w:t xml:space="preserve">idos al tratado, lo cual les obliga a velar para que los efectos de las </w:t>
      </w:r>
      <w:r w:rsidRPr="00B461C0">
        <w:rPr>
          <w:rFonts w:ascii="Verdana" w:hAnsi="Verdana"/>
          <w:sz w:val="16"/>
          <w:szCs w:val="16"/>
          <w:lang w:val="es-CO"/>
        </w:rPr>
        <w:t>d</w:t>
      </w:r>
      <w:r w:rsidRPr="00B461C0">
        <w:rPr>
          <w:rFonts w:ascii="Verdana" w:hAnsi="Verdana" w:cs="Times-Roman"/>
          <w:sz w:val="16"/>
          <w:szCs w:val="16"/>
          <w:lang w:val="pl-PL" w:bidi="en-US"/>
        </w:rPr>
        <w:t>is</w:t>
      </w:r>
      <w:r w:rsidRPr="00B461C0">
        <w:rPr>
          <w:rFonts w:ascii="Verdana" w:hAnsi="Verdana" w:cs="Times-Roman"/>
          <w:sz w:val="16"/>
          <w:szCs w:val="16"/>
          <w:lang w:val="es-CO" w:bidi="en-US"/>
        </w:rPr>
        <w:t>p</w:t>
      </w:r>
      <w:r w:rsidRPr="00B461C0">
        <w:rPr>
          <w:rFonts w:ascii="Verdana" w:hAnsi="Verdana"/>
          <w:sz w:val="16"/>
          <w:szCs w:val="16"/>
          <w:lang w:val="es-CO"/>
        </w:rPr>
        <w:t xml:space="preserve">osiciones de la Convención no se vean mermados por la aplicación de normas contrarias a su objeto y fin, de modo que decisiones judiciales o administrativas no hagan ilusorio el cumplimiento total o parcial de las obligaciones internacionales. Es decir, todas la[s] autoridades estatales, están en la obligación de ejercer </w:t>
      </w:r>
      <w:r w:rsidRPr="00B461C0">
        <w:rPr>
          <w:rFonts w:ascii="Verdana" w:hAnsi="Verdana"/>
          <w:i/>
          <w:sz w:val="16"/>
          <w:szCs w:val="16"/>
          <w:lang w:val="es-CO"/>
        </w:rPr>
        <w:t xml:space="preserve">ex </w:t>
      </w:r>
      <w:proofErr w:type="spellStart"/>
      <w:r w:rsidRPr="00B461C0">
        <w:rPr>
          <w:rFonts w:ascii="Verdana" w:hAnsi="Verdana"/>
          <w:i/>
          <w:sz w:val="16"/>
          <w:szCs w:val="16"/>
          <w:lang w:val="es-CO"/>
        </w:rPr>
        <w:t>officio</w:t>
      </w:r>
      <w:proofErr w:type="spellEnd"/>
      <w:r w:rsidRPr="00B461C0">
        <w:rPr>
          <w:rFonts w:ascii="Verdana" w:hAnsi="Verdana"/>
          <w:sz w:val="16"/>
          <w:szCs w:val="16"/>
          <w:lang w:val="es-CO"/>
        </w:rPr>
        <w:t xml:space="preserve"> un “control de convencionalidad” entre las normas internas y la Convención Americana, en el marco de sus respectivas competencias y de las regulaciones procesales correspondientes. En esta tarea, deben tener en cuenta no solamente el tratado, sino también la interpretación que del mismo ha hecho la Corte Interamericana, intérprete última de la Convención Americana</w:t>
      </w:r>
      <w:r w:rsidRPr="00B461C0">
        <w:rPr>
          <w:rStyle w:val="Refdenotaalpie"/>
          <w:rFonts w:ascii="Verdana" w:hAnsi="Verdana"/>
          <w:sz w:val="16"/>
          <w:szCs w:val="16"/>
        </w:rPr>
        <w:footnoteReference w:id="282"/>
      </w:r>
      <w:r w:rsidRPr="00B461C0">
        <w:rPr>
          <w:rFonts w:ascii="Verdana" w:hAnsi="Verdana"/>
          <w:sz w:val="16"/>
          <w:szCs w:val="16"/>
          <w:lang w:val="es-CO"/>
        </w:rPr>
        <w:t>. […]</w:t>
      </w:r>
    </w:p>
    <w:p w14:paraId="6D9E1314" w14:textId="77777777" w:rsidR="001B6F20" w:rsidRPr="00B461C0" w:rsidRDefault="001B6F20" w:rsidP="005A5029">
      <w:pPr>
        <w:pStyle w:val="Prrafodelista"/>
        <w:spacing w:line="240" w:lineRule="exact"/>
        <w:ind w:left="284" w:right="333"/>
        <w:jc w:val="both"/>
        <w:rPr>
          <w:rFonts w:ascii="Verdana" w:hAnsi="Verdana"/>
          <w:sz w:val="16"/>
          <w:szCs w:val="16"/>
          <w:lang w:val="es-CO"/>
        </w:rPr>
      </w:pPr>
    </w:p>
    <w:p w14:paraId="644EE890" w14:textId="77777777" w:rsidR="001B6F20" w:rsidRPr="00B461C0" w:rsidRDefault="001B6F20" w:rsidP="005A5029">
      <w:pPr>
        <w:pStyle w:val="Prrafodelista"/>
        <w:spacing w:line="240" w:lineRule="exact"/>
        <w:ind w:left="284" w:right="333"/>
        <w:jc w:val="both"/>
        <w:rPr>
          <w:rFonts w:ascii="Verdana" w:hAnsi="Verdana"/>
          <w:sz w:val="16"/>
          <w:szCs w:val="16"/>
          <w:lang w:val="es-CO"/>
        </w:rPr>
      </w:pPr>
      <w:r w:rsidRPr="00B461C0">
        <w:rPr>
          <w:rFonts w:ascii="Verdana" w:hAnsi="Verdana" w:cs="Arial"/>
          <w:sz w:val="16"/>
          <w:szCs w:val="16"/>
          <w:lang w:val="es-CO"/>
        </w:rPr>
        <w:lastRenderedPageBreak/>
        <w:t>[P]</w:t>
      </w:r>
      <w:proofErr w:type="spellStart"/>
      <w:r w:rsidRPr="00B461C0">
        <w:rPr>
          <w:rFonts w:ascii="Verdana" w:hAnsi="Verdana" w:cs="Arial"/>
          <w:sz w:val="16"/>
          <w:szCs w:val="16"/>
          <w:lang w:val="es-CO"/>
        </w:rPr>
        <w:t>or</w:t>
      </w:r>
      <w:proofErr w:type="spellEnd"/>
      <w:r w:rsidRPr="00B461C0">
        <w:rPr>
          <w:rFonts w:ascii="Verdana" w:hAnsi="Verdana" w:cs="Arial"/>
          <w:sz w:val="16"/>
          <w:szCs w:val="16"/>
          <w:lang w:val="es-CO"/>
        </w:rPr>
        <w:t xml:space="preserve"> el solo hecho de ser </w:t>
      </w:r>
      <w:r w:rsidRPr="00B461C0">
        <w:rPr>
          <w:rFonts w:ascii="Verdana" w:hAnsi="Verdana" w:cs="Times-Roman"/>
          <w:bCs/>
          <w:sz w:val="16"/>
          <w:szCs w:val="16"/>
          <w:lang w:val="pl-PL" w:bidi="en-US"/>
        </w:rPr>
        <w:t xml:space="preserve">Parte en la Convención Americana, todas sus autoridades públicas y todos sus órganos, incluidas las instancias democráticas, jueces y demás </w:t>
      </w:r>
      <w:r w:rsidRPr="00B461C0">
        <w:rPr>
          <w:rFonts w:ascii="Verdana" w:hAnsi="Verdana" w:cs="Times-Roman"/>
          <w:sz w:val="16"/>
          <w:szCs w:val="16"/>
          <w:lang w:val="pl-PL" w:bidi="en-US"/>
        </w:rPr>
        <w:t xml:space="preserve">órganos vinculados a la administración de </w:t>
      </w:r>
      <w:r w:rsidRPr="00B461C0">
        <w:rPr>
          <w:rFonts w:ascii="Verdana" w:hAnsi="Verdana"/>
          <w:sz w:val="16"/>
          <w:szCs w:val="16"/>
          <w:lang w:val="pl-PL"/>
        </w:rPr>
        <w:t>j</w:t>
      </w:r>
      <w:r w:rsidRPr="00B461C0">
        <w:rPr>
          <w:rFonts w:ascii="Verdana" w:hAnsi="Verdana" w:cs="Times-Roman"/>
          <w:sz w:val="16"/>
          <w:szCs w:val="16"/>
          <w:lang w:val="pl-PL" w:bidi="en-US"/>
        </w:rPr>
        <w:t>u</w:t>
      </w:r>
      <w:r w:rsidRPr="00B461C0">
        <w:rPr>
          <w:rFonts w:ascii="Verdana" w:hAnsi="Verdana"/>
          <w:sz w:val="16"/>
          <w:szCs w:val="16"/>
          <w:lang w:val="pl-PL"/>
        </w:rPr>
        <w:t>sticia</w:t>
      </w:r>
      <w:r w:rsidRPr="00B461C0">
        <w:rPr>
          <w:rFonts w:ascii="Verdana" w:hAnsi="Verdana"/>
          <w:sz w:val="16"/>
          <w:szCs w:val="16"/>
          <w:lang w:val="es-CO"/>
        </w:rPr>
        <w:t xml:space="preserve"> en todos los niveles</w:t>
      </w:r>
      <w:r w:rsidRPr="00B461C0">
        <w:rPr>
          <w:rFonts w:ascii="Verdana" w:hAnsi="Verdana" w:cs="Times"/>
          <w:bCs/>
          <w:sz w:val="16"/>
          <w:szCs w:val="16"/>
          <w:lang w:val="pl-PL"/>
        </w:rPr>
        <w:t>,</w:t>
      </w:r>
      <w:r w:rsidRPr="00B461C0">
        <w:rPr>
          <w:rFonts w:ascii="Verdana" w:hAnsi="Verdana"/>
          <w:sz w:val="16"/>
          <w:szCs w:val="16"/>
          <w:lang w:val="pl-PL"/>
        </w:rPr>
        <w:t xml:space="preserve"> están obligados por</w:t>
      </w:r>
      <w:r w:rsidRPr="00B461C0">
        <w:rPr>
          <w:rFonts w:ascii="Verdana" w:hAnsi="Verdana" w:cs="Times-Roman"/>
          <w:sz w:val="16"/>
          <w:szCs w:val="16"/>
          <w:lang w:val="pl-PL" w:bidi="en-US"/>
        </w:rPr>
        <w:t xml:space="preserve"> el tratado, por lo cual deben </w:t>
      </w:r>
      <w:r w:rsidRPr="00B461C0">
        <w:rPr>
          <w:rFonts w:ascii="Verdana" w:hAnsi="Verdana"/>
          <w:sz w:val="16"/>
          <w:szCs w:val="16"/>
          <w:lang w:val="es-CO"/>
        </w:rPr>
        <w:t>ejercer, en el marco de sus respectivas competencias y de las regulaciones procesales correspondientes, un control de convencionalidad tanto en la emisión y aplicación de normas, en cuanto a su validez y compatibilidad con la Convención, como en la determinación, juzgamiento y resolución de situaciones particulares y casos concretos, teniendo en cuenta el propio tratado y, según corresponda, los precedentes o lineamientos jurisprudenciales de la Corte Interamericana</w:t>
      </w:r>
      <w:r w:rsidRPr="00B461C0">
        <w:rPr>
          <w:rStyle w:val="Refdenotaalpie"/>
          <w:rFonts w:ascii="Verdana" w:hAnsi="Verdana"/>
          <w:sz w:val="16"/>
          <w:szCs w:val="16"/>
          <w:lang w:val="es-CO"/>
        </w:rPr>
        <w:footnoteReference w:id="283"/>
      </w:r>
      <w:r w:rsidRPr="00B461C0">
        <w:rPr>
          <w:rFonts w:ascii="Verdana" w:hAnsi="Verdana"/>
          <w:sz w:val="16"/>
          <w:szCs w:val="16"/>
          <w:lang w:val="es-CO"/>
        </w:rPr>
        <w:t>.</w:t>
      </w:r>
    </w:p>
    <w:p w14:paraId="423CD7B8" w14:textId="216049FF" w:rsidR="001B6F20" w:rsidRPr="00B461C0" w:rsidRDefault="001B6F20" w:rsidP="005A5029">
      <w:pPr>
        <w:numPr>
          <w:ilvl w:val="0"/>
          <w:numId w:val="49"/>
        </w:numPr>
        <w:spacing w:after="0" w:line="240" w:lineRule="exact"/>
        <w:ind w:left="0" w:firstLine="0"/>
        <w:contextualSpacing/>
        <w:jc w:val="both"/>
        <w:rPr>
          <w:rFonts w:ascii="Verdana" w:hAnsi="Verdana"/>
          <w:sz w:val="20"/>
          <w:szCs w:val="20"/>
        </w:rPr>
      </w:pPr>
      <w:r w:rsidRPr="00B461C0">
        <w:rPr>
          <w:rFonts w:ascii="Verdana" w:hAnsi="Verdana"/>
          <w:sz w:val="20"/>
          <w:szCs w:val="20"/>
        </w:rPr>
        <w:t>De conformidad con las pautas expresadas, todas las autoridades y órganos estatales, incluidos los judiciales, en el marco de sus competencias y regulaciones, deben efectuar un adecuado control de convencionalidad, que considere, de conformidad con el derecho internacional y los señalamientos efectuados en la presente Sentencia, la imprescriptibilidad de los crímenes constitutivos de graves violaciones a derechos humanos cometidos durante la dictadura militar</w:t>
      </w:r>
      <w:r w:rsidRPr="00B461C0">
        <w:rPr>
          <w:rFonts w:ascii="Verdana" w:hAnsi="Verdana" w:cs="Calibri"/>
          <w:sz w:val="20"/>
          <w:szCs w:val="20"/>
          <w:lang w:val="es-ES_tradnl"/>
        </w:rPr>
        <w:t xml:space="preserve">. </w:t>
      </w:r>
      <w:r w:rsidR="009274E3">
        <w:rPr>
          <w:rFonts w:ascii="Verdana" w:hAnsi="Verdana" w:cs="Calibri"/>
          <w:sz w:val="20"/>
          <w:szCs w:val="20"/>
          <w:lang w:val="es-ES_tradnl"/>
        </w:rPr>
        <w:t>La Corte no supervisará estas acciones.</w:t>
      </w:r>
    </w:p>
    <w:p w14:paraId="332C8DE7" w14:textId="77777777" w:rsidR="001B6F20" w:rsidRPr="00B461C0" w:rsidRDefault="001B6F20" w:rsidP="005A5029">
      <w:pPr>
        <w:spacing w:after="0" w:line="240" w:lineRule="exact"/>
        <w:ind w:left="720"/>
        <w:contextualSpacing/>
        <w:rPr>
          <w:rFonts w:ascii="Verdana" w:hAnsi="Verdana"/>
          <w:sz w:val="20"/>
          <w:szCs w:val="20"/>
        </w:rPr>
      </w:pPr>
    </w:p>
    <w:p w14:paraId="4F4CAB83" w14:textId="77777777" w:rsidR="001B6F20" w:rsidRPr="00B461C0" w:rsidRDefault="001B6F20" w:rsidP="00A0786D">
      <w:pPr>
        <w:pStyle w:val="Ttulo4"/>
        <w:spacing w:line="240" w:lineRule="exact"/>
        <w:ind w:left="851"/>
        <w:rPr>
          <w:rFonts w:ascii="Verdana" w:hAnsi="Verdana"/>
          <w:sz w:val="20"/>
          <w:szCs w:val="20"/>
        </w:rPr>
      </w:pPr>
      <w:bookmarkStart w:id="86" w:name="_Toc85550442"/>
      <w:r w:rsidRPr="00B461C0">
        <w:rPr>
          <w:rFonts w:ascii="Verdana" w:hAnsi="Verdana"/>
          <w:color w:val="auto"/>
          <w:sz w:val="20"/>
          <w:szCs w:val="20"/>
        </w:rPr>
        <w:t xml:space="preserve">E.1.2 </w:t>
      </w:r>
      <w:r w:rsidRPr="00B461C0">
        <w:rPr>
          <w:rFonts w:ascii="Verdana" w:hAnsi="Verdana"/>
          <w:color w:val="auto"/>
          <w:sz w:val="20"/>
          <w:szCs w:val="20"/>
          <w:u w:val="single"/>
        </w:rPr>
        <w:t>Fortalecimiento de la Fiscalía Especializada en Crímenes de Lesa Humanidad</w:t>
      </w:r>
      <w:bookmarkEnd w:id="86"/>
    </w:p>
    <w:p w14:paraId="4B5C9D33" w14:textId="77777777" w:rsidR="001B6F20" w:rsidRPr="00B461C0" w:rsidRDefault="001B6F20" w:rsidP="005A5029">
      <w:pPr>
        <w:spacing w:after="0" w:line="240" w:lineRule="exact"/>
        <w:ind w:left="720"/>
        <w:contextualSpacing/>
        <w:rPr>
          <w:rFonts w:ascii="Verdana" w:hAnsi="Verdana"/>
          <w:sz w:val="20"/>
          <w:szCs w:val="20"/>
        </w:rPr>
      </w:pPr>
    </w:p>
    <w:p w14:paraId="3B079AD9"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B461C0">
        <w:rPr>
          <w:rFonts w:ascii="Verdana" w:hAnsi="Verdana"/>
          <w:sz w:val="20"/>
          <w:szCs w:val="20"/>
        </w:rPr>
        <w:t xml:space="preserve">En otro orden de cosas, el Tribunal advierte los señalamientos del perito </w:t>
      </w:r>
      <w:proofErr w:type="spellStart"/>
      <w:r w:rsidRPr="00B461C0">
        <w:rPr>
          <w:rFonts w:ascii="Verdana" w:hAnsi="Verdana"/>
          <w:sz w:val="20"/>
          <w:szCs w:val="20"/>
        </w:rPr>
        <w:t>Chargoñia</w:t>
      </w:r>
      <w:proofErr w:type="spellEnd"/>
      <w:r w:rsidRPr="00B461C0">
        <w:rPr>
          <w:rFonts w:ascii="Verdana" w:hAnsi="Verdana"/>
          <w:sz w:val="20"/>
          <w:szCs w:val="20"/>
        </w:rPr>
        <w:t>, quien afirmó que para el avance efectivo de las causas vinculadas a graves violaciones a derechos humanos cometidas</w:t>
      </w:r>
      <w:r w:rsidRPr="0039097A">
        <w:rPr>
          <w:rFonts w:ascii="Verdana" w:hAnsi="Verdana"/>
          <w:sz w:val="20"/>
          <w:szCs w:val="20"/>
        </w:rPr>
        <w:t xml:space="preserve"> durante la dictadura, “</w:t>
      </w:r>
      <w:r w:rsidRPr="0039097A">
        <w:rPr>
          <w:rFonts w:ascii="Verdana" w:hAnsi="Verdana"/>
          <w:sz w:val="20"/>
          <w:szCs w:val="20"/>
          <w:lang w:val="es-ES_tradnl"/>
        </w:rPr>
        <w:t>es necesario contar con un diseño institucional</w:t>
      </w:r>
      <w:r>
        <w:rPr>
          <w:rFonts w:ascii="Verdana" w:hAnsi="Verdana"/>
          <w:sz w:val="20"/>
          <w:szCs w:val="20"/>
          <w:lang w:val="es-ES_tradnl"/>
        </w:rPr>
        <w:t>,</w:t>
      </w:r>
      <w:r w:rsidRPr="0039097A">
        <w:rPr>
          <w:rFonts w:ascii="Verdana" w:hAnsi="Verdana"/>
          <w:sz w:val="20"/>
          <w:szCs w:val="20"/>
          <w:lang w:val="es-ES_tradnl"/>
        </w:rPr>
        <w:t xml:space="preserve"> un presupuesto y una capacidad de recursos humanos”, y notó, al respecto, que “la Fiscalía Especializada […] se trata de una Fiscalía única con un fiscal titular y dos fiscales adjuntos”, por lo que no cuenta “con suficiente capacidad o fuerza para tratar las causas que se reparten en todos los juzgados del país”.</w:t>
      </w:r>
      <w:r w:rsidRPr="0039097A">
        <w:rPr>
          <w:rFonts w:ascii="Verdana" w:hAnsi="Verdana"/>
          <w:sz w:val="24"/>
          <w:szCs w:val="24"/>
          <w:lang w:val="es-ES_tradnl"/>
        </w:rPr>
        <w:t xml:space="preserve">  </w:t>
      </w:r>
      <w:r w:rsidRPr="0039097A">
        <w:rPr>
          <w:rFonts w:ascii="Verdana" w:hAnsi="Verdana"/>
          <w:sz w:val="20"/>
          <w:szCs w:val="20"/>
        </w:rPr>
        <w:t>Afirmó que el hecho de “</w:t>
      </w:r>
      <w:r w:rsidRPr="0039097A">
        <w:rPr>
          <w:rFonts w:ascii="Verdana" w:hAnsi="Verdana"/>
          <w:sz w:val="20"/>
          <w:szCs w:val="20"/>
          <w:lang w:val="es-ES_tradnl"/>
        </w:rPr>
        <w:t>que la Fiscalía sea única para tratar todo el universo de las causas de graves violaciones a los derechos humanos y tenga el presupuesto que tiene respecto de solamente tres funcionarios técnicos puede transformarse más allá de la voluntad de los fiscales actuantes también en un factor de impunidad”.</w:t>
      </w:r>
    </w:p>
    <w:p w14:paraId="2DCC5132" w14:textId="77777777" w:rsidR="001B6F20" w:rsidRPr="0039097A" w:rsidRDefault="001B6F20" w:rsidP="005A5029">
      <w:pPr>
        <w:spacing w:after="0" w:line="240" w:lineRule="exact"/>
        <w:contextualSpacing/>
        <w:jc w:val="both"/>
        <w:rPr>
          <w:rFonts w:ascii="Verdana" w:hAnsi="Verdana"/>
          <w:sz w:val="20"/>
          <w:szCs w:val="20"/>
        </w:rPr>
      </w:pPr>
    </w:p>
    <w:p w14:paraId="1253C741" w14:textId="77777777" w:rsidR="001B6F20"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Este Tribunal, teniendo en cuenta la necesidad evidente de celeridad en las actuaciones dirigidas a investigar y sancionar graves violaciones a derechos humanos cometidas durante la dictadura, dispone que el Estado, en un plazo razonable y con la mayor celeridad posible, adopte las acciones correspondientes, legislativas, administrativas, financieras, presupuestarias o de cualquier otra índole, para fortalecer la capacidad de actuación de la Fiscalía Especializada, mediante la provisión a la misma de mayor personal y/o presupuesto, así como de cualquier otro recurso que se estime pertinente. </w:t>
      </w:r>
    </w:p>
    <w:p w14:paraId="330FC528" w14:textId="77777777" w:rsidR="001B6F20" w:rsidRPr="00B461C0" w:rsidRDefault="001B6F20" w:rsidP="005A5029">
      <w:pPr>
        <w:spacing w:after="0" w:line="240" w:lineRule="exact"/>
        <w:contextualSpacing/>
        <w:jc w:val="both"/>
        <w:rPr>
          <w:rFonts w:ascii="Verdana" w:hAnsi="Verdana"/>
          <w:sz w:val="20"/>
          <w:szCs w:val="20"/>
        </w:rPr>
      </w:pPr>
    </w:p>
    <w:p w14:paraId="7F0B6060" w14:textId="77777777" w:rsidR="001B6F20" w:rsidRPr="00B461C0" w:rsidRDefault="001B6F20" w:rsidP="005A5029">
      <w:pPr>
        <w:numPr>
          <w:ilvl w:val="0"/>
          <w:numId w:val="49"/>
        </w:numPr>
        <w:spacing w:after="0" w:line="240" w:lineRule="exact"/>
        <w:ind w:left="0" w:firstLine="0"/>
        <w:contextualSpacing/>
        <w:jc w:val="both"/>
        <w:rPr>
          <w:rFonts w:ascii="Verdana" w:hAnsi="Verdana"/>
          <w:sz w:val="20"/>
          <w:szCs w:val="20"/>
        </w:rPr>
      </w:pPr>
      <w:r w:rsidRPr="00B461C0">
        <w:rPr>
          <w:rFonts w:ascii="Verdana" w:hAnsi="Verdana"/>
          <w:sz w:val="20"/>
          <w:szCs w:val="20"/>
        </w:rPr>
        <w:t xml:space="preserve">En el marco de esas acciones de fortalecimiento de la Fiscalía Especializada, dicho organismo deberá adoptar un plan estratégico dirigido a </w:t>
      </w:r>
      <w:r w:rsidRPr="00B461C0">
        <w:rPr>
          <w:rFonts w:ascii="Verdana" w:hAnsi="Verdana"/>
          <w:bCs/>
          <w:color w:val="000000"/>
          <w:sz w:val="20"/>
          <w:szCs w:val="20"/>
        </w:rPr>
        <w:t>enjuiciar y castigar debidamente a los autores de actos de violencia contra la mujer cometidos durante la dictadura cívico militar.</w:t>
      </w:r>
      <w:r w:rsidRPr="00B461C0">
        <w:rPr>
          <w:rFonts w:ascii="Verdana" w:hAnsi="Verdana"/>
          <w:bCs/>
          <w:color w:val="000000"/>
          <w:sz w:val="16"/>
          <w:szCs w:val="16"/>
        </w:rPr>
        <w:t xml:space="preserve"> </w:t>
      </w:r>
    </w:p>
    <w:p w14:paraId="727D42B3" w14:textId="77777777" w:rsidR="001B6F20" w:rsidRPr="0039097A" w:rsidRDefault="001B6F20" w:rsidP="005A5029">
      <w:pPr>
        <w:spacing w:after="0" w:line="240" w:lineRule="exact"/>
        <w:contextualSpacing/>
        <w:rPr>
          <w:rFonts w:ascii="Verdana" w:hAnsi="Verdana"/>
          <w:sz w:val="20"/>
          <w:szCs w:val="20"/>
        </w:rPr>
      </w:pPr>
    </w:p>
    <w:p w14:paraId="4A74C8BC" w14:textId="77777777" w:rsidR="001B6F20" w:rsidRPr="00E53751" w:rsidRDefault="001B6F20" w:rsidP="005A5029">
      <w:pPr>
        <w:pStyle w:val="Ttulo3"/>
        <w:spacing w:line="240" w:lineRule="exact"/>
        <w:ind w:left="567"/>
        <w:rPr>
          <w:rFonts w:ascii="Verdana" w:hAnsi="Verdana"/>
          <w:i/>
          <w:sz w:val="20"/>
          <w:szCs w:val="20"/>
        </w:rPr>
      </w:pPr>
      <w:bookmarkStart w:id="87" w:name="_Toc85550443"/>
      <w:r w:rsidRPr="00E53751">
        <w:rPr>
          <w:rFonts w:ascii="Verdana" w:hAnsi="Verdana"/>
          <w:i/>
          <w:color w:val="auto"/>
          <w:sz w:val="20"/>
          <w:szCs w:val="20"/>
        </w:rPr>
        <w:t xml:space="preserve">E.2 </w:t>
      </w:r>
      <w:r w:rsidRPr="00E53751">
        <w:rPr>
          <w:rFonts w:ascii="Verdana" w:hAnsi="Verdana"/>
          <w:i/>
          <w:color w:val="auto"/>
          <w:sz w:val="20"/>
          <w:szCs w:val="20"/>
          <w:u w:val="single"/>
        </w:rPr>
        <w:t xml:space="preserve">Capacitación </w:t>
      </w:r>
      <w:r>
        <w:rPr>
          <w:rFonts w:ascii="Verdana" w:hAnsi="Verdana"/>
          <w:i/>
          <w:color w:val="auto"/>
          <w:sz w:val="20"/>
          <w:szCs w:val="20"/>
          <w:u w:val="single"/>
        </w:rPr>
        <w:t xml:space="preserve">y sensibilización </w:t>
      </w:r>
      <w:r w:rsidRPr="00E53751">
        <w:rPr>
          <w:rFonts w:ascii="Verdana" w:hAnsi="Verdana"/>
          <w:i/>
          <w:color w:val="auto"/>
          <w:sz w:val="20"/>
          <w:szCs w:val="20"/>
          <w:u w:val="single"/>
        </w:rPr>
        <w:t>de funcionarios de Fuerzas Armadas</w:t>
      </w:r>
      <w:bookmarkEnd w:id="87"/>
    </w:p>
    <w:p w14:paraId="7D45A9F0" w14:textId="77777777" w:rsidR="001B6F20" w:rsidRPr="0039097A" w:rsidRDefault="001B6F20" w:rsidP="005A5029">
      <w:pPr>
        <w:spacing w:after="0" w:line="240" w:lineRule="exact"/>
        <w:ind w:left="720"/>
        <w:contextualSpacing/>
        <w:rPr>
          <w:rFonts w:ascii="Verdana" w:hAnsi="Verdana"/>
          <w:sz w:val="20"/>
          <w:szCs w:val="20"/>
        </w:rPr>
      </w:pPr>
    </w:p>
    <w:p w14:paraId="74954DA0"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rPr>
        <w:t xml:space="preserve">Los </w:t>
      </w:r>
      <w:r w:rsidRPr="0039097A">
        <w:rPr>
          <w:rFonts w:ascii="Verdana" w:hAnsi="Verdana"/>
          <w:b/>
          <w:i/>
          <w:sz w:val="20"/>
          <w:szCs w:val="20"/>
        </w:rPr>
        <w:t>representantes</w:t>
      </w:r>
      <w:r w:rsidRPr="0039097A">
        <w:rPr>
          <w:rFonts w:ascii="Verdana" w:hAnsi="Verdana"/>
          <w:sz w:val="20"/>
          <w:szCs w:val="20"/>
        </w:rPr>
        <w:t xml:space="preserve">, además, en su escrito de solicitudes y argumentos, peticionaron que se disponga la </w:t>
      </w:r>
      <w:r w:rsidRPr="0039097A">
        <w:rPr>
          <w:rFonts w:ascii="Verdana" w:hAnsi="Verdana"/>
          <w:sz w:val="20"/>
          <w:szCs w:val="20"/>
          <w:lang w:val="es-ES_tradnl"/>
        </w:rPr>
        <w:t xml:space="preserve">modificación de los planes de estudios en las Fuerzas </w:t>
      </w:r>
      <w:r w:rsidRPr="0039097A">
        <w:rPr>
          <w:rFonts w:ascii="Verdana" w:hAnsi="Verdana"/>
          <w:sz w:val="20"/>
          <w:szCs w:val="20"/>
          <w:lang w:val="es-ES_tradnl"/>
        </w:rPr>
        <w:lastRenderedPageBreak/>
        <w:t>Armadas</w:t>
      </w:r>
      <w:r w:rsidRPr="0039097A">
        <w:rPr>
          <w:rFonts w:ascii="Verdana" w:hAnsi="Verdana"/>
          <w:i/>
          <w:sz w:val="20"/>
          <w:szCs w:val="20"/>
          <w:lang w:val="es-ES_tradnl"/>
        </w:rPr>
        <w:t xml:space="preserve"> </w:t>
      </w:r>
      <w:r w:rsidRPr="0039097A">
        <w:rPr>
          <w:rFonts w:ascii="Verdana" w:hAnsi="Verdana"/>
          <w:sz w:val="20"/>
          <w:szCs w:val="20"/>
          <w:lang w:val="es-ES_tradnl"/>
        </w:rPr>
        <w:t xml:space="preserve">a efectos de que contemplen los temas vinculados a los derechos humanos en modo </w:t>
      </w:r>
      <w:r>
        <w:rPr>
          <w:rFonts w:ascii="Verdana" w:hAnsi="Verdana"/>
          <w:sz w:val="20"/>
          <w:szCs w:val="20"/>
          <w:lang w:val="es-ES_tradnl"/>
        </w:rPr>
        <w:t>“</w:t>
      </w:r>
      <w:r w:rsidRPr="0039097A">
        <w:rPr>
          <w:rFonts w:ascii="Verdana" w:hAnsi="Verdana"/>
          <w:sz w:val="20"/>
          <w:szCs w:val="20"/>
          <w:lang w:val="es-ES_tradnl"/>
        </w:rPr>
        <w:t>específico y transversal a toda la formación”</w:t>
      </w:r>
      <w:r w:rsidRPr="0039097A">
        <w:rPr>
          <w:rFonts w:ascii="Verdana" w:hAnsi="Verdana"/>
          <w:sz w:val="16"/>
          <w:szCs w:val="16"/>
          <w:vertAlign w:val="superscript"/>
          <w:lang w:val="es-ES_tradnl"/>
        </w:rPr>
        <w:footnoteReference w:id="284"/>
      </w:r>
      <w:r w:rsidRPr="0039097A">
        <w:rPr>
          <w:rFonts w:ascii="Verdana" w:hAnsi="Verdana"/>
          <w:sz w:val="20"/>
          <w:szCs w:val="20"/>
          <w:lang w:val="es-ES_tradnl"/>
        </w:rPr>
        <w:t xml:space="preserve">. </w:t>
      </w:r>
    </w:p>
    <w:p w14:paraId="1ECFF3A1" w14:textId="77777777" w:rsidR="001B6F20" w:rsidRPr="0039097A" w:rsidRDefault="001B6F20" w:rsidP="005A5029">
      <w:pPr>
        <w:spacing w:after="0" w:line="240" w:lineRule="exact"/>
        <w:contextualSpacing/>
        <w:jc w:val="both"/>
        <w:rPr>
          <w:rFonts w:ascii="Verdana" w:hAnsi="Verdana"/>
          <w:sz w:val="20"/>
          <w:szCs w:val="20"/>
          <w:lang w:val="es-ES_tradnl"/>
        </w:rPr>
      </w:pPr>
      <w:r w:rsidRPr="0039097A">
        <w:rPr>
          <w:rFonts w:ascii="Verdana" w:hAnsi="Verdana"/>
          <w:i/>
          <w:sz w:val="20"/>
          <w:szCs w:val="20"/>
          <w:lang w:val="es-ES_tradnl"/>
        </w:rPr>
        <w:t xml:space="preserve"> </w:t>
      </w:r>
    </w:p>
    <w:p w14:paraId="2AC22EBF"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El </w:t>
      </w:r>
      <w:r w:rsidRPr="0039097A">
        <w:rPr>
          <w:rFonts w:ascii="Verdana" w:hAnsi="Verdana"/>
          <w:b/>
          <w:i/>
          <w:sz w:val="20"/>
          <w:szCs w:val="20"/>
          <w:lang w:val="es-ES_tradnl"/>
        </w:rPr>
        <w:t>Estado</w:t>
      </w:r>
      <w:r w:rsidRPr="0039097A">
        <w:rPr>
          <w:rFonts w:ascii="Verdana" w:hAnsi="Verdana"/>
          <w:sz w:val="20"/>
          <w:szCs w:val="20"/>
          <w:lang w:val="es-ES_tradnl"/>
        </w:rPr>
        <w:t xml:space="preserve"> indicó que el Ejército Nacional emitió un comunicado que informo sobre la disposición de “desarrollar un proceso de análisis para fortalecer el conocimiento de [sus] integrantes […] sobre la realidad histórica del periodo 1958 -2000”</w:t>
      </w:r>
      <w:r w:rsidRPr="0039097A">
        <w:rPr>
          <w:rFonts w:ascii="Verdana" w:hAnsi="Verdana"/>
          <w:sz w:val="20"/>
          <w:szCs w:val="20"/>
          <w:vertAlign w:val="superscript"/>
          <w:lang w:val="es-ES_tradnl"/>
        </w:rPr>
        <w:footnoteReference w:id="285"/>
      </w:r>
      <w:r w:rsidRPr="0039097A">
        <w:rPr>
          <w:rFonts w:ascii="Verdana" w:hAnsi="Verdana"/>
          <w:sz w:val="20"/>
          <w:szCs w:val="20"/>
          <w:lang w:val="es-ES_tradnl"/>
        </w:rPr>
        <w:t xml:space="preserve">. </w:t>
      </w:r>
    </w:p>
    <w:p w14:paraId="76882542" w14:textId="77777777" w:rsidR="001B6F20" w:rsidRPr="0039097A" w:rsidRDefault="001B6F20" w:rsidP="005A5029">
      <w:pPr>
        <w:spacing w:after="0" w:line="240" w:lineRule="exact"/>
        <w:contextualSpacing/>
        <w:jc w:val="both"/>
        <w:rPr>
          <w:rFonts w:ascii="Verdana" w:hAnsi="Verdana"/>
          <w:sz w:val="20"/>
          <w:szCs w:val="20"/>
          <w:lang w:val="es-ES_tradnl"/>
        </w:rPr>
      </w:pPr>
    </w:p>
    <w:p w14:paraId="600A46F1" w14:textId="77777777" w:rsidR="001B6F20" w:rsidRPr="00B461C0"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La </w:t>
      </w:r>
      <w:r w:rsidRPr="0039097A">
        <w:rPr>
          <w:rFonts w:ascii="Verdana" w:hAnsi="Verdana"/>
          <w:b/>
          <w:i/>
          <w:sz w:val="20"/>
          <w:szCs w:val="20"/>
          <w:lang w:val="es-ES_tradnl"/>
        </w:rPr>
        <w:t>Corte</w:t>
      </w:r>
      <w:r>
        <w:rPr>
          <w:rFonts w:ascii="Verdana" w:hAnsi="Verdana"/>
          <w:sz w:val="20"/>
          <w:szCs w:val="20"/>
          <w:lang w:val="es-ES_tradnl"/>
        </w:rPr>
        <w:t xml:space="preserve"> valora el señalamiento estatal sobre la “disposición” para “fortalecer” el conocimiento de integrantes de las fuerzas armadas sobre la “realidad histórica”. Toma nota de la información presentada por Uruguay al respecto, aunque advierte que no refiere a acciones permanentes o continuas de capacitación y sensibilización. Por ello, </w:t>
      </w:r>
      <w:r w:rsidRPr="0039097A">
        <w:rPr>
          <w:rFonts w:ascii="Verdana" w:hAnsi="Verdana"/>
          <w:sz w:val="20"/>
          <w:szCs w:val="20"/>
          <w:lang w:val="es-ES_tradnl"/>
        </w:rPr>
        <w:t xml:space="preserve">en atención a la </w:t>
      </w:r>
      <w:r w:rsidRPr="00B461C0">
        <w:rPr>
          <w:rFonts w:ascii="Verdana" w:hAnsi="Verdana"/>
          <w:sz w:val="20"/>
          <w:szCs w:val="20"/>
          <w:lang w:val="es-ES_tradnl"/>
        </w:rPr>
        <w:t xml:space="preserve">naturaleza de los hechos que dieron lugar a las violaciones a derechos humanos determinadas en el presente caso, este Tribunal ordena al Estado que, en el plazo de un año, integre a la </w:t>
      </w:r>
      <w:proofErr w:type="spellStart"/>
      <w:r w:rsidRPr="00B461C0">
        <w:rPr>
          <w:rFonts w:ascii="Verdana" w:hAnsi="Verdana"/>
          <w:sz w:val="20"/>
          <w:szCs w:val="20"/>
          <w:lang w:val="es-ES_tradnl"/>
        </w:rPr>
        <w:t>currícula</w:t>
      </w:r>
      <w:proofErr w:type="spellEnd"/>
      <w:r w:rsidRPr="00B461C0">
        <w:rPr>
          <w:rFonts w:ascii="Verdana" w:hAnsi="Verdana"/>
          <w:sz w:val="20"/>
          <w:szCs w:val="20"/>
          <w:lang w:val="es-ES_tradnl"/>
        </w:rPr>
        <w:t xml:space="preserve"> d</w:t>
      </w:r>
      <w:r>
        <w:rPr>
          <w:rFonts w:ascii="Verdana" w:hAnsi="Verdana"/>
          <w:sz w:val="20"/>
          <w:szCs w:val="20"/>
          <w:lang w:val="es-ES_tradnl"/>
        </w:rPr>
        <w:t>e formación o planes de estudio</w:t>
      </w:r>
      <w:r w:rsidRPr="00B461C0">
        <w:rPr>
          <w:rFonts w:ascii="Verdana" w:hAnsi="Verdana"/>
          <w:sz w:val="20"/>
          <w:szCs w:val="20"/>
          <w:lang w:val="es-ES_tradnl"/>
        </w:rPr>
        <w:t xml:space="preserve">s de integrantes de las Fuerzas Armadas, con la respectiva asignación presupuestaria, cursos de capacitación en relación con derechos humanos, que incluyan, sin perjuicio de otros aspectos relevantes, contenido relativo a las graves violaciones a los derechos humanos cometidas durante la dictadura, a su incompatibilidad con el derecho internacional y a la necesidad e importancia de evitar su repetición. </w:t>
      </w:r>
    </w:p>
    <w:p w14:paraId="05507009" w14:textId="77777777" w:rsidR="001B6F20" w:rsidRPr="00B461C0" w:rsidRDefault="001B6F20" w:rsidP="005A5029">
      <w:pPr>
        <w:spacing w:after="0" w:line="240" w:lineRule="exact"/>
        <w:ind w:left="720"/>
        <w:contextualSpacing/>
        <w:rPr>
          <w:rFonts w:ascii="Verdana" w:hAnsi="Verdana"/>
          <w:sz w:val="20"/>
          <w:szCs w:val="20"/>
          <w:lang w:val="es-ES_tradnl"/>
        </w:rPr>
      </w:pPr>
    </w:p>
    <w:p w14:paraId="79E6ACA2" w14:textId="77777777" w:rsidR="001B6F20" w:rsidRPr="00B461C0" w:rsidRDefault="001B6F20" w:rsidP="00A0786D">
      <w:pPr>
        <w:numPr>
          <w:ilvl w:val="0"/>
          <w:numId w:val="36"/>
        </w:numPr>
        <w:spacing w:after="0" w:line="240" w:lineRule="exact"/>
        <w:ind w:left="284" w:firstLine="0"/>
        <w:contextualSpacing/>
        <w:jc w:val="both"/>
        <w:outlineLvl w:val="1"/>
        <w:rPr>
          <w:rFonts w:ascii="Verdana" w:hAnsi="Verdana"/>
          <w:b/>
          <w:sz w:val="20"/>
          <w:szCs w:val="20"/>
          <w:lang w:val="es-ES_tradnl"/>
        </w:rPr>
      </w:pPr>
      <w:bookmarkStart w:id="88" w:name="_Toc85550444"/>
      <w:r w:rsidRPr="00B461C0">
        <w:rPr>
          <w:rFonts w:ascii="Verdana" w:hAnsi="Verdana"/>
          <w:b/>
          <w:i/>
          <w:sz w:val="20"/>
          <w:szCs w:val="20"/>
          <w:lang w:val="es-ES_tradnl"/>
        </w:rPr>
        <w:t>Otras medidas solicitadas</w:t>
      </w:r>
      <w:bookmarkEnd w:id="88"/>
    </w:p>
    <w:p w14:paraId="2179B8DE" w14:textId="77777777" w:rsidR="001B6F20" w:rsidRPr="00B461C0" w:rsidRDefault="001B6F20" w:rsidP="005A5029">
      <w:pPr>
        <w:spacing w:after="0" w:line="240" w:lineRule="exact"/>
        <w:contextualSpacing/>
        <w:jc w:val="both"/>
        <w:rPr>
          <w:rFonts w:ascii="Verdana" w:hAnsi="Verdana"/>
          <w:sz w:val="20"/>
          <w:szCs w:val="20"/>
          <w:lang w:val="es-ES_tradnl"/>
        </w:rPr>
      </w:pPr>
    </w:p>
    <w:p w14:paraId="55B5D36C" w14:textId="77777777" w:rsidR="001B6F20" w:rsidRPr="00B461C0"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B461C0">
        <w:rPr>
          <w:rFonts w:ascii="Verdana" w:hAnsi="Verdana"/>
          <w:sz w:val="20"/>
          <w:szCs w:val="20"/>
          <w:lang w:val="es-ES_tradnl"/>
        </w:rPr>
        <w:t xml:space="preserve">La </w:t>
      </w:r>
      <w:r w:rsidRPr="00B461C0">
        <w:rPr>
          <w:rFonts w:ascii="Verdana" w:hAnsi="Verdana"/>
          <w:b/>
          <w:i/>
          <w:sz w:val="20"/>
          <w:szCs w:val="20"/>
          <w:lang w:val="es-ES_tradnl"/>
        </w:rPr>
        <w:t>Comisión</w:t>
      </w:r>
      <w:r w:rsidRPr="00B461C0">
        <w:rPr>
          <w:rFonts w:ascii="Verdana" w:hAnsi="Verdana"/>
          <w:sz w:val="20"/>
          <w:szCs w:val="20"/>
          <w:lang w:val="es-ES_tradnl"/>
        </w:rPr>
        <w:t xml:space="preserve"> solicitó, como medida de reparación, el fortalecimiento del aparato de justicia</w:t>
      </w:r>
      <w:r>
        <w:rPr>
          <w:rFonts w:ascii="Verdana" w:hAnsi="Verdana"/>
          <w:sz w:val="20"/>
          <w:szCs w:val="20"/>
          <w:lang w:val="es-ES_tradnl"/>
        </w:rPr>
        <w:t xml:space="preserve">. </w:t>
      </w:r>
      <w:r w:rsidRPr="00B461C0">
        <w:rPr>
          <w:rFonts w:ascii="Verdana" w:hAnsi="Verdana"/>
          <w:sz w:val="20"/>
          <w:szCs w:val="20"/>
          <w:lang w:val="es-ES_tradnl"/>
        </w:rPr>
        <w:t>También solicitó que se disponga la capacitación de operadores de justicia, incluso incorporando un enfoque de género (</w:t>
      </w:r>
      <w:r w:rsidRPr="00B461C0">
        <w:rPr>
          <w:rFonts w:ascii="Verdana" w:hAnsi="Verdana"/>
          <w:i/>
          <w:sz w:val="20"/>
          <w:szCs w:val="20"/>
          <w:lang w:val="es-ES_tradnl"/>
        </w:rPr>
        <w:t>supra</w:t>
      </w:r>
      <w:r w:rsidRPr="00B461C0">
        <w:rPr>
          <w:rFonts w:ascii="Verdana" w:hAnsi="Verdana"/>
          <w:sz w:val="20"/>
          <w:szCs w:val="20"/>
          <w:lang w:val="es-ES_tradnl"/>
        </w:rPr>
        <w:t xml:space="preserve"> párr. </w:t>
      </w:r>
      <w:r>
        <w:rPr>
          <w:rFonts w:ascii="Verdana" w:hAnsi="Verdana"/>
          <w:sz w:val="20"/>
          <w:szCs w:val="20"/>
          <w:lang w:val="es-ES_tradnl"/>
        </w:rPr>
        <w:t>238</w:t>
      </w:r>
      <w:r w:rsidRPr="00B461C0">
        <w:rPr>
          <w:rFonts w:ascii="Verdana" w:hAnsi="Verdana"/>
          <w:sz w:val="20"/>
          <w:szCs w:val="20"/>
          <w:lang w:val="es-ES_tradnl"/>
        </w:rPr>
        <w:t>)</w:t>
      </w:r>
      <w:r>
        <w:rPr>
          <w:rFonts w:ascii="Verdana" w:hAnsi="Verdana"/>
          <w:sz w:val="20"/>
          <w:szCs w:val="20"/>
          <w:lang w:val="es-ES_tradnl"/>
        </w:rPr>
        <w:t>.</w:t>
      </w:r>
    </w:p>
    <w:p w14:paraId="3B7CA79B" w14:textId="77777777" w:rsidR="001B6F20" w:rsidRPr="00B461C0" w:rsidRDefault="001B6F20" w:rsidP="005A5029">
      <w:pPr>
        <w:spacing w:after="0" w:line="240" w:lineRule="exact"/>
        <w:contextualSpacing/>
        <w:jc w:val="both"/>
        <w:rPr>
          <w:rFonts w:ascii="Verdana" w:hAnsi="Verdana"/>
          <w:sz w:val="20"/>
          <w:szCs w:val="20"/>
          <w:lang w:val="es-ES_tradnl"/>
        </w:rPr>
      </w:pPr>
    </w:p>
    <w:p w14:paraId="3836C930"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B461C0">
        <w:rPr>
          <w:rFonts w:ascii="Verdana" w:hAnsi="Verdana"/>
          <w:sz w:val="20"/>
          <w:szCs w:val="20"/>
          <w:lang w:val="es-ES_tradnl"/>
        </w:rPr>
        <w:t xml:space="preserve">Los </w:t>
      </w:r>
      <w:r w:rsidRPr="00B461C0">
        <w:rPr>
          <w:rFonts w:ascii="Verdana" w:hAnsi="Verdana"/>
          <w:b/>
          <w:i/>
          <w:sz w:val="20"/>
          <w:szCs w:val="20"/>
          <w:lang w:val="es-ES_tradnl"/>
        </w:rPr>
        <w:t>representantes</w:t>
      </w:r>
      <w:r w:rsidRPr="00B461C0">
        <w:rPr>
          <w:rFonts w:ascii="Verdana" w:hAnsi="Verdana"/>
          <w:sz w:val="20"/>
          <w:szCs w:val="20"/>
          <w:lang w:val="es-ES_tradnl"/>
        </w:rPr>
        <w:t xml:space="preserve"> coincidieron con las solicitudes de la Comisión. Además, en su escrito de solicitudes y argumentos,</w:t>
      </w:r>
      <w:r w:rsidRPr="00B461C0">
        <w:rPr>
          <w:rFonts w:ascii="Verdana" w:hAnsi="Verdana"/>
          <w:sz w:val="20"/>
          <w:szCs w:val="20"/>
        </w:rPr>
        <w:t xml:space="preserve"> solicitaron que </w:t>
      </w:r>
      <w:r w:rsidRPr="00B461C0">
        <w:rPr>
          <w:rFonts w:ascii="Verdana" w:hAnsi="Verdana"/>
          <w:sz w:val="20"/>
          <w:szCs w:val="20"/>
          <w:lang w:val="es-ES_tradnl"/>
        </w:rPr>
        <w:t>se “[e]xi[ja] al Ministerio de Defensa de la República Oriental</w:t>
      </w:r>
      <w:r w:rsidRPr="0039097A">
        <w:rPr>
          <w:rFonts w:ascii="Verdana" w:hAnsi="Verdana"/>
          <w:sz w:val="20"/>
          <w:szCs w:val="20"/>
          <w:lang w:val="es-ES_tradnl"/>
        </w:rPr>
        <w:t xml:space="preserve"> del Uruguay que proporcione todos los archivos de forma completa, no s[</w:t>
      </w:r>
      <w:proofErr w:type="spellStart"/>
      <w:r w:rsidRPr="0039097A">
        <w:rPr>
          <w:rFonts w:ascii="Verdana" w:hAnsi="Verdana"/>
          <w:sz w:val="20"/>
          <w:szCs w:val="20"/>
          <w:lang w:val="es-ES_tradnl"/>
        </w:rPr>
        <w:t>ó</w:t>
      </w:r>
      <w:proofErr w:type="spellEnd"/>
      <w:r w:rsidRPr="0039097A">
        <w:rPr>
          <w:rFonts w:ascii="Verdana" w:hAnsi="Verdana"/>
          <w:sz w:val="20"/>
          <w:szCs w:val="20"/>
          <w:lang w:val="es-ES_tradnl"/>
        </w:rPr>
        <w:t>]lo los que se encuentran en su Sede, así como los que pueden estar ocultos en otras dependencias militares, debiendo realizar una investigación exhaustiva de cada caso y sancionar a los responsables por su ocultamiento”</w:t>
      </w:r>
      <w:r w:rsidRPr="0039097A">
        <w:rPr>
          <w:rFonts w:ascii="Verdana" w:hAnsi="Verdana"/>
          <w:sz w:val="16"/>
          <w:szCs w:val="16"/>
          <w:vertAlign w:val="superscript"/>
          <w:lang w:val="es-ES_tradnl"/>
        </w:rPr>
        <w:footnoteReference w:id="286"/>
      </w:r>
      <w:r w:rsidRPr="0039097A">
        <w:rPr>
          <w:rFonts w:ascii="Verdana" w:hAnsi="Verdana"/>
          <w:sz w:val="20"/>
          <w:szCs w:val="20"/>
          <w:lang w:val="es-ES_tradnl"/>
        </w:rPr>
        <w:t xml:space="preserve">. </w:t>
      </w:r>
    </w:p>
    <w:p w14:paraId="28D11526" w14:textId="77777777" w:rsidR="001B6F20" w:rsidRPr="0039097A" w:rsidRDefault="001B6F20" w:rsidP="005A5029">
      <w:pPr>
        <w:spacing w:after="0" w:line="240" w:lineRule="exact"/>
        <w:contextualSpacing/>
        <w:rPr>
          <w:rFonts w:ascii="Verdana" w:hAnsi="Verdana"/>
          <w:sz w:val="20"/>
          <w:szCs w:val="20"/>
          <w:lang w:val="es-ES_tradnl"/>
        </w:rPr>
      </w:pPr>
    </w:p>
    <w:p w14:paraId="78251D0E"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lang w:val="es-ES_tradnl"/>
        </w:rPr>
        <w:lastRenderedPageBreak/>
        <w:t xml:space="preserve">Por otra parte, en sus alegatos finales escritos, los representantes agregaron las solicitudes de que la Corte ordene al Estado las siguientes acciones: </w:t>
      </w:r>
    </w:p>
    <w:p w14:paraId="42D8A283" w14:textId="77777777" w:rsidR="001B6F20" w:rsidRPr="0039097A" w:rsidRDefault="001B6F20" w:rsidP="005A5029">
      <w:pPr>
        <w:spacing w:after="0" w:line="240" w:lineRule="exact"/>
        <w:contextualSpacing/>
        <w:jc w:val="both"/>
        <w:rPr>
          <w:rFonts w:ascii="Verdana" w:hAnsi="Verdana"/>
          <w:sz w:val="20"/>
          <w:szCs w:val="20"/>
          <w:lang w:val="es-ES_tradnl"/>
        </w:rPr>
      </w:pPr>
    </w:p>
    <w:p w14:paraId="0BDF6252" w14:textId="77777777" w:rsidR="001B6F20" w:rsidRPr="0039097A" w:rsidRDefault="001B6F20" w:rsidP="005A5029">
      <w:pPr>
        <w:numPr>
          <w:ilvl w:val="0"/>
          <w:numId w:val="37"/>
        </w:numPr>
        <w:spacing w:after="0" w:line="240" w:lineRule="exact"/>
        <w:ind w:left="142" w:firstLine="0"/>
        <w:contextualSpacing/>
        <w:jc w:val="both"/>
        <w:rPr>
          <w:rFonts w:ascii="Verdana" w:hAnsi="Verdana"/>
          <w:sz w:val="20"/>
          <w:szCs w:val="20"/>
          <w:lang w:val="es-ES_tradnl"/>
        </w:rPr>
      </w:pPr>
      <w:r w:rsidRPr="0039097A">
        <w:rPr>
          <w:rFonts w:ascii="Verdana" w:hAnsi="Verdana"/>
          <w:sz w:val="20"/>
          <w:szCs w:val="20"/>
          <w:lang w:val="es-ES_tradnl"/>
        </w:rPr>
        <w:t>“[L]a presentación, en el plazo de seis meses contados desde el dictado de [la] sentencia [de la Corte Interamericana], de una Política de Estado sobre la violación de derechos y garantías durante el terrorismo de [E]</w:t>
      </w:r>
      <w:proofErr w:type="spellStart"/>
      <w:r w:rsidRPr="0039097A">
        <w:rPr>
          <w:rFonts w:ascii="Verdana" w:hAnsi="Verdana"/>
          <w:sz w:val="20"/>
          <w:szCs w:val="20"/>
          <w:lang w:val="es-ES_tradnl"/>
        </w:rPr>
        <w:t>stado</w:t>
      </w:r>
      <w:proofErr w:type="spellEnd"/>
      <w:r w:rsidRPr="0039097A">
        <w:rPr>
          <w:rFonts w:ascii="Verdana" w:hAnsi="Verdana"/>
          <w:sz w:val="20"/>
          <w:szCs w:val="20"/>
          <w:lang w:val="es-ES_tradnl"/>
        </w:rPr>
        <w:t>”, que “deberá consistir en acciones afirmativas, concretas y eficaces que promuevan un cambio sustantivo para eliminar la impunidad estructural en esta materia”</w:t>
      </w:r>
      <w:r>
        <w:rPr>
          <w:rFonts w:ascii="Verdana" w:hAnsi="Verdana"/>
          <w:sz w:val="20"/>
          <w:szCs w:val="20"/>
          <w:lang w:val="es-ES_tradnl"/>
        </w:rPr>
        <w:t>.</w:t>
      </w:r>
      <w:r w:rsidRPr="0039097A">
        <w:rPr>
          <w:rFonts w:ascii="Verdana" w:hAnsi="Verdana"/>
          <w:sz w:val="16"/>
          <w:szCs w:val="16"/>
          <w:vertAlign w:val="superscript"/>
          <w:lang w:val="es-ES_tradnl"/>
        </w:rPr>
        <w:footnoteReference w:id="287"/>
      </w:r>
    </w:p>
    <w:p w14:paraId="13CB9864" w14:textId="77777777" w:rsidR="001B6F20" w:rsidRPr="0039097A" w:rsidRDefault="001B6F20" w:rsidP="005A5029">
      <w:pPr>
        <w:numPr>
          <w:ilvl w:val="0"/>
          <w:numId w:val="37"/>
        </w:numPr>
        <w:spacing w:after="0" w:line="240" w:lineRule="exact"/>
        <w:ind w:left="142" w:firstLine="0"/>
        <w:contextualSpacing/>
        <w:jc w:val="both"/>
        <w:rPr>
          <w:rFonts w:ascii="Verdana" w:hAnsi="Verdana"/>
          <w:sz w:val="20"/>
          <w:szCs w:val="20"/>
          <w:lang w:val="es-ES_tradnl"/>
        </w:rPr>
      </w:pPr>
      <w:r w:rsidRPr="0039097A">
        <w:rPr>
          <w:rFonts w:ascii="Verdana" w:hAnsi="Verdana" w:cs="ArialNarrow"/>
          <w:sz w:val="20"/>
          <w:szCs w:val="20"/>
          <w:lang w:val="es-ES_tradnl"/>
        </w:rPr>
        <w:t xml:space="preserve">La realización de una “campaña pública, visible y continúa”, por medio de la cual “incentive a aquellas personas que posean información sobre ubicación de restos y enterramientos a brindarla, asegurando, reserva, seguridad y protección, para eliminar cualquier represalia por parte de los responsables de la comisión de delitos de lesa humanidad”. </w:t>
      </w:r>
    </w:p>
    <w:p w14:paraId="04A1FB70" w14:textId="77777777" w:rsidR="001B6F20" w:rsidRPr="0039097A" w:rsidRDefault="001B6F20" w:rsidP="005A5029">
      <w:pPr>
        <w:numPr>
          <w:ilvl w:val="0"/>
          <w:numId w:val="37"/>
        </w:numPr>
        <w:spacing w:after="0" w:line="240" w:lineRule="exact"/>
        <w:ind w:left="142" w:firstLine="0"/>
        <w:contextualSpacing/>
        <w:jc w:val="both"/>
        <w:rPr>
          <w:rFonts w:ascii="Verdana" w:hAnsi="Verdana"/>
          <w:sz w:val="20"/>
          <w:szCs w:val="20"/>
          <w:lang w:val="es-ES_tradnl"/>
        </w:rPr>
      </w:pPr>
      <w:r w:rsidRPr="0039097A">
        <w:rPr>
          <w:rFonts w:ascii="Verdana" w:hAnsi="Verdana" w:cs="ArialNarrow"/>
          <w:sz w:val="20"/>
          <w:szCs w:val="20"/>
          <w:lang w:val="es-ES_tradnl"/>
        </w:rPr>
        <w:t>La determinación de la obligatoriedad de “la Presidencia y [el] Ministerio de Relaciones Exteriores [de] que promueva[n] sin más trámite y obtenga[n] la desclasificación de documentos en poder de [E]</w:t>
      </w:r>
      <w:proofErr w:type="spellStart"/>
      <w:r w:rsidRPr="0039097A">
        <w:rPr>
          <w:rFonts w:ascii="Verdana" w:hAnsi="Verdana" w:cs="ArialNarrow"/>
          <w:sz w:val="20"/>
          <w:szCs w:val="20"/>
          <w:lang w:val="es-ES_tradnl"/>
        </w:rPr>
        <w:t>stados</w:t>
      </w:r>
      <w:proofErr w:type="spellEnd"/>
      <w:r w:rsidRPr="0039097A">
        <w:rPr>
          <w:rFonts w:ascii="Verdana" w:hAnsi="Verdana" w:cs="ArialNarrow"/>
          <w:sz w:val="20"/>
          <w:szCs w:val="20"/>
          <w:lang w:val="es-ES_tradnl"/>
        </w:rPr>
        <w:t xml:space="preserve"> extranjeros y sus agencias de </w:t>
      </w:r>
      <w:proofErr w:type="gramStart"/>
      <w:r w:rsidRPr="0039097A">
        <w:rPr>
          <w:rFonts w:ascii="Verdana" w:hAnsi="Verdana" w:cs="ArialNarrow"/>
          <w:sz w:val="20"/>
          <w:szCs w:val="20"/>
          <w:lang w:val="es-ES_tradnl"/>
        </w:rPr>
        <w:t>inteligencia[</w:t>
      </w:r>
      <w:proofErr w:type="gramEnd"/>
      <w:r w:rsidRPr="0039097A">
        <w:rPr>
          <w:rFonts w:ascii="Verdana" w:hAnsi="Verdana" w:cs="ArialNarrow"/>
          <w:sz w:val="20"/>
          <w:szCs w:val="20"/>
          <w:lang w:val="es-ES_tradnl"/>
        </w:rPr>
        <w:t>,] en particular [de] los Estados Unidos de América[,] del período respecto de las actividades represivas en [</w:t>
      </w:r>
      <w:proofErr w:type="spellStart"/>
      <w:r w:rsidRPr="0039097A">
        <w:rPr>
          <w:rFonts w:ascii="Verdana" w:hAnsi="Verdana" w:cs="ArialNarrow"/>
          <w:sz w:val="20"/>
          <w:szCs w:val="20"/>
          <w:lang w:val="es-ES_tradnl"/>
        </w:rPr>
        <w:t>Uguguay</w:t>
      </w:r>
      <w:proofErr w:type="spellEnd"/>
      <w:r w:rsidRPr="0039097A">
        <w:rPr>
          <w:rFonts w:ascii="Verdana" w:hAnsi="Verdana" w:cs="ArialNarrow"/>
          <w:sz w:val="20"/>
          <w:szCs w:val="20"/>
          <w:lang w:val="es-ES_tradnl"/>
        </w:rPr>
        <w:t xml:space="preserve">] en el período de 1968 a 1985”.  </w:t>
      </w:r>
    </w:p>
    <w:p w14:paraId="5537B9A0" w14:textId="77777777" w:rsidR="001B6F20" w:rsidRPr="0039097A" w:rsidRDefault="001B6F20" w:rsidP="005A5029">
      <w:pPr>
        <w:numPr>
          <w:ilvl w:val="0"/>
          <w:numId w:val="37"/>
        </w:numPr>
        <w:spacing w:after="0" w:line="240" w:lineRule="exact"/>
        <w:ind w:left="142" w:firstLine="0"/>
        <w:contextualSpacing/>
        <w:jc w:val="both"/>
        <w:rPr>
          <w:rFonts w:ascii="Verdana" w:hAnsi="Verdana"/>
          <w:sz w:val="20"/>
          <w:szCs w:val="20"/>
          <w:lang w:val="es-ES_tradnl"/>
        </w:rPr>
      </w:pPr>
      <w:r w:rsidRPr="0039097A">
        <w:rPr>
          <w:rFonts w:ascii="Verdana" w:hAnsi="Verdana"/>
          <w:sz w:val="20"/>
          <w:szCs w:val="20"/>
          <w:lang w:val="es-ES_tradnl"/>
        </w:rPr>
        <w:t>La exhortación, por parte “[d]</w:t>
      </w:r>
      <w:r w:rsidRPr="0039097A">
        <w:rPr>
          <w:rFonts w:ascii="Verdana" w:hAnsi="Verdana" w:cs="ArialNarrow"/>
          <w:sz w:val="20"/>
          <w:szCs w:val="20"/>
          <w:lang w:val="es-ES_tradnl"/>
        </w:rPr>
        <w:t xml:space="preserve">el Presidente de la República Oriental del </w:t>
      </w:r>
      <w:proofErr w:type="gramStart"/>
      <w:r w:rsidRPr="0039097A">
        <w:rPr>
          <w:rFonts w:ascii="Verdana" w:hAnsi="Verdana" w:cs="ArialNarrow"/>
          <w:sz w:val="20"/>
          <w:szCs w:val="20"/>
          <w:lang w:val="es-ES_tradnl"/>
        </w:rPr>
        <w:t>Uruguay[</w:t>
      </w:r>
      <w:proofErr w:type="gramEnd"/>
      <w:r w:rsidRPr="0039097A">
        <w:rPr>
          <w:rFonts w:ascii="Verdana" w:hAnsi="Verdana" w:cs="ArialNarrow"/>
          <w:sz w:val="20"/>
          <w:szCs w:val="20"/>
          <w:lang w:val="es-ES_tradnl"/>
        </w:rPr>
        <w:t>,] en su calidad de Comandante en Jefe de las Fuerzas Armadas[,…] en acto público a sus subordinados a brindar toda la información y archivos relativos a los procedimientos y operativos militares vinculados a desapariciones y ejecuciones realizadas en el período 1968 a 1985”</w:t>
      </w:r>
      <w:r w:rsidRPr="0039097A">
        <w:rPr>
          <w:rFonts w:ascii="Verdana" w:hAnsi="Verdana" w:cs="ArialNarrow"/>
          <w:sz w:val="16"/>
          <w:szCs w:val="16"/>
          <w:vertAlign w:val="superscript"/>
          <w:lang w:val="es-ES_tradnl"/>
        </w:rPr>
        <w:footnoteReference w:id="288"/>
      </w:r>
      <w:r w:rsidRPr="0039097A">
        <w:rPr>
          <w:rFonts w:ascii="Verdana" w:hAnsi="Verdana" w:cs="ArialNarrow"/>
          <w:sz w:val="20"/>
          <w:szCs w:val="20"/>
          <w:lang w:val="es-ES_tradnl"/>
        </w:rPr>
        <w:t xml:space="preserve">. </w:t>
      </w:r>
    </w:p>
    <w:p w14:paraId="55D902F8" w14:textId="77777777" w:rsidR="001B6F20" w:rsidRPr="0039097A" w:rsidRDefault="001B6F20" w:rsidP="005A5029">
      <w:pPr>
        <w:spacing w:after="0" w:line="240" w:lineRule="exact"/>
        <w:ind w:left="720"/>
        <w:contextualSpacing/>
        <w:rPr>
          <w:rFonts w:ascii="Verdana" w:hAnsi="Verdana"/>
          <w:i/>
          <w:sz w:val="20"/>
          <w:szCs w:val="20"/>
          <w:lang w:val="es-ES_tradnl"/>
        </w:rPr>
      </w:pPr>
    </w:p>
    <w:p w14:paraId="0153C7C1" w14:textId="77777777" w:rsidR="001B6F20" w:rsidRPr="00B461C0"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lang w:val="es-ES_tradnl"/>
        </w:rPr>
        <w:t xml:space="preserve">El </w:t>
      </w:r>
      <w:r w:rsidRPr="0039097A">
        <w:rPr>
          <w:rFonts w:ascii="Verdana" w:hAnsi="Verdana"/>
          <w:b/>
          <w:i/>
          <w:sz w:val="20"/>
          <w:szCs w:val="20"/>
          <w:lang w:val="es-ES_tradnl"/>
        </w:rPr>
        <w:t>Est</w:t>
      </w:r>
      <w:r w:rsidRPr="00B461C0">
        <w:rPr>
          <w:rFonts w:ascii="Verdana" w:hAnsi="Verdana"/>
          <w:b/>
          <w:i/>
          <w:sz w:val="20"/>
          <w:szCs w:val="20"/>
          <w:lang w:val="es-ES_tradnl"/>
        </w:rPr>
        <w:t>ado</w:t>
      </w:r>
      <w:r w:rsidRPr="00B461C0">
        <w:rPr>
          <w:rFonts w:ascii="Verdana" w:hAnsi="Verdana"/>
          <w:sz w:val="20"/>
          <w:szCs w:val="20"/>
          <w:lang w:val="es-ES_tradnl"/>
        </w:rPr>
        <w:t>, en relación con la solicitud formulada en el escrito de solicitudes y argumentos respecto al acceso a archivos, destacó  “la creación de los Archivos judiciales procedentes de la Justicia Militar en el ámbito del Poder Judicial[,] que reúne aproximadamente tres mil expedientes correspondientes a procedimientos realizados ante la Justicia Militar en el período de la Dictadura”, y que “se encuentra a disposición de la Justicia, las víctimas, familiares y sus representantes legales el archivo de la Secretaría de Derechos Humanos para el pasado reciente[,] en el cual se encuentran los documentos obtenidos y analizados por la Comisión para la Paz”</w:t>
      </w:r>
      <w:r w:rsidRPr="00B461C0">
        <w:rPr>
          <w:rFonts w:ascii="Verdana" w:hAnsi="Verdana"/>
          <w:sz w:val="16"/>
          <w:szCs w:val="16"/>
          <w:vertAlign w:val="superscript"/>
          <w:lang w:val="es-ES_tradnl"/>
        </w:rPr>
        <w:footnoteReference w:id="289"/>
      </w:r>
      <w:r w:rsidRPr="00B461C0">
        <w:rPr>
          <w:rFonts w:ascii="Verdana" w:hAnsi="Verdana"/>
          <w:sz w:val="20"/>
          <w:szCs w:val="20"/>
          <w:lang w:val="es-ES_tradnl"/>
        </w:rPr>
        <w:t xml:space="preserve">. </w:t>
      </w:r>
    </w:p>
    <w:p w14:paraId="0622DA8F" w14:textId="77777777" w:rsidR="001B6F20" w:rsidRPr="00B461C0" w:rsidRDefault="001B6F20" w:rsidP="005A5029">
      <w:pPr>
        <w:spacing w:after="0" w:line="240" w:lineRule="exact"/>
        <w:contextualSpacing/>
        <w:rPr>
          <w:rFonts w:ascii="Verdana" w:hAnsi="Verdana"/>
          <w:sz w:val="20"/>
          <w:szCs w:val="20"/>
        </w:rPr>
      </w:pPr>
    </w:p>
    <w:p w14:paraId="02275035" w14:textId="77777777" w:rsidR="001B6F20" w:rsidRPr="000A42E4" w:rsidRDefault="001B6F20" w:rsidP="005A5029">
      <w:pPr>
        <w:numPr>
          <w:ilvl w:val="0"/>
          <w:numId w:val="49"/>
        </w:numPr>
        <w:spacing w:after="0" w:line="240" w:lineRule="exact"/>
        <w:ind w:left="0" w:firstLine="0"/>
        <w:contextualSpacing/>
        <w:jc w:val="both"/>
        <w:rPr>
          <w:rFonts w:ascii="Verdana" w:hAnsi="Verdana"/>
          <w:sz w:val="20"/>
          <w:szCs w:val="20"/>
        </w:rPr>
      </w:pPr>
      <w:r w:rsidRPr="00B461C0">
        <w:rPr>
          <w:rFonts w:ascii="Verdana" w:hAnsi="Verdana"/>
          <w:sz w:val="20"/>
          <w:szCs w:val="20"/>
        </w:rPr>
        <w:t xml:space="preserve">La </w:t>
      </w:r>
      <w:r w:rsidRPr="00B461C0">
        <w:rPr>
          <w:rFonts w:ascii="Verdana" w:hAnsi="Verdana"/>
          <w:b/>
          <w:i/>
          <w:sz w:val="20"/>
          <w:szCs w:val="20"/>
        </w:rPr>
        <w:t>Corte</w:t>
      </w:r>
      <w:r w:rsidRPr="00B461C0">
        <w:rPr>
          <w:rFonts w:ascii="Verdana" w:hAnsi="Verdana"/>
          <w:sz w:val="20"/>
          <w:szCs w:val="20"/>
        </w:rPr>
        <w:t xml:space="preserve"> advierte que la solicitud de la Comisión y los representantes de que se “fortalezca el apar</w:t>
      </w:r>
      <w:r>
        <w:rPr>
          <w:rFonts w:ascii="Verdana" w:hAnsi="Verdana"/>
          <w:sz w:val="20"/>
          <w:szCs w:val="20"/>
        </w:rPr>
        <w:t>a</w:t>
      </w:r>
      <w:r w:rsidRPr="00B461C0">
        <w:rPr>
          <w:rFonts w:ascii="Verdana" w:hAnsi="Verdana"/>
          <w:sz w:val="20"/>
          <w:szCs w:val="20"/>
        </w:rPr>
        <w:t>to de justicia” fue expresada en términos generales, no circunscritos a la Fiscalía Especializada, respecto de la cual ya se han ordenado medidas. No obstante, este Tribunal considera que no cuenta con suficientes elementos que le permitan</w:t>
      </w:r>
      <w:r w:rsidRPr="000A42E4">
        <w:rPr>
          <w:rFonts w:ascii="Verdana" w:hAnsi="Verdana"/>
          <w:sz w:val="20"/>
          <w:szCs w:val="20"/>
        </w:rPr>
        <w:t xml:space="preserve"> determinar y ordenar acciones respecto a la organización y funcionamiento del Poder Judicial. Sin perjuicio de ello, exhorta el Estado a adoptar las medidas pertinentes, legislativas, administrativas, financieras, presupuestarias, de formación, capacitación o sensibilización, o de cualquier otra índole, que resulten necesarias para lograr que el </w:t>
      </w:r>
      <w:r w:rsidRPr="000A42E4">
        <w:rPr>
          <w:rFonts w:ascii="Verdana" w:hAnsi="Verdana"/>
          <w:sz w:val="20"/>
          <w:szCs w:val="20"/>
        </w:rPr>
        <w:lastRenderedPageBreak/>
        <w:t xml:space="preserve">Poder Judicial tenga capacidad efectiva para tramitar, en forma efectiva y celera, las causas judiciales relacionadas con graves violaciones a derechos humanos cometidas durante la dictadura. La adopción de estas medidas no será supervisada por la Corte. </w:t>
      </w:r>
    </w:p>
    <w:p w14:paraId="393CBF54" w14:textId="77777777" w:rsidR="001B6F20" w:rsidRPr="0039097A" w:rsidRDefault="001B6F20" w:rsidP="005A5029">
      <w:pPr>
        <w:spacing w:after="0" w:line="240" w:lineRule="exact"/>
        <w:contextualSpacing/>
        <w:rPr>
          <w:rFonts w:ascii="Verdana" w:hAnsi="Verdana"/>
          <w:sz w:val="20"/>
          <w:szCs w:val="20"/>
        </w:rPr>
      </w:pPr>
    </w:p>
    <w:p w14:paraId="6A84CB50" w14:textId="77777777" w:rsidR="001B6F20"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Este Tribunal</w:t>
      </w:r>
      <w:r>
        <w:rPr>
          <w:rFonts w:ascii="Verdana" w:hAnsi="Verdana"/>
          <w:sz w:val="20"/>
          <w:szCs w:val="20"/>
        </w:rPr>
        <w:t xml:space="preserve">, por otra parte, </w:t>
      </w:r>
      <w:r w:rsidRPr="0039097A">
        <w:rPr>
          <w:rFonts w:ascii="Verdana" w:hAnsi="Verdana"/>
          <w:sz w:val="20"/>
          <w:szCs w:val="20"/>
        </w:rPr>
        <w:t xml:space="preserve">no considera procedente ordenar medias relativas a la formación o capacitación de operadores de justicia, como fue solicitado por la Comisión y los representantes </w:t>
      </w:r>
      <w:r w:rsidRPr="00617293">
        <w:rPr>
          <w:rFonts w:ascii="Verdana" w:hAnsi="Verdana"/>
          <w:sz w:val="20"/>
          <w:szCs w:val="20"/>
        </w:rPr>
        <w:t>(</w:t>
      </w:r>
      <w:r w:rsidRPr="00617293">
        <w:rPr>
          <w:rFonts w:ascii="Verdana" w:hAnsi="Verdana"/>
          <w:i/>
          <w:sz w:val="20"/>
          <w:szCs w:val="20"/>
        </w:rPr>
        <w:t xml:space="preserve">supra </w:t>
      </w:r>
      <w:proofErr w:type="spellStart"/>
      <w:r w:rsidRPr="00617293">
        <w:rPr>
          <w:rFonts w:ascii="Verdana" w:hAnsi="Verdana"/>
          <w:sz w:val="20"/>
          <w:szCs w:val="20"/>
        </w:rPr>
        <w:t>párrs</w:t>
      </w:r>
      <w:proofErr w:type="spellEnd"/>
      <w:r w:rsidRPr="00617293">
        <w:rPr>
          <w:rFonts w:ascii="Verdana" w:hAnsi="Verdana"/>
          <w:sz w:val="20"/>
          <w:szCs w:val="20"/>
        </w:rPr>
        <w:t>. 238, 239, 259 y 260).</w:t>
      </w:r>
      <w:r w:rsidRPr="0039097A">
        <w:rPr>
          <w:rFonts w:ascii="Verdana" w:hAnsi="Verdana"/>
          <w:sz w:val="20"/>
          <w:szCs w:val="20"/>
        </w:rPr>
        <w:t xml:space="preserve"> Recuerda, en ese sentido, que en su sentencia </w:t>
      </w:r>
      <w:r w:rsidRPr="00B86271">
        <w:rPr>
          <w:rFonts w:ascii="Verdana" w:hAnsi="Verdana"/>
          <w:sz w:val="20"/>
          <w:szCs w:val="20"/>
        </w:rPr>
        <w:t xml:space="preserve">sobre el caso </w:t>
      </w:r>
      <w:r w:rsidRPr="00B86271">
        <w:rPr>
          <w:rFonts w:ascii="Verdana" w:hAnsi="Verdana"/>
          <w:i/>
          <w:sz w:val="20"/>
          <w:szCs w:val="20"/>
        </w:rPr>
        <w:t>Gelman Vs. Uruguay</w:t>
      </w:r>
      <w:r w:rsidRPr="00B86271">
        <w:rPr>
          <w:rFonts w:ascii="Verdana" w:hAnsi="Verdana"/>
          <w:sz w:val="20"/>
          <w:szCs w:val="20"/>
        </w:rPr>
        <w:t xml:space="preserve"> ya ordenó “</w:t>
      </w:r>
      <w:r w:rsidRPr="00B86271">
        <w:rPr>
          <w:rFonts w:ascii="Verdana" w:hAnsi="Verdana"/>
          <w:sz w:val="20"/>
          <w:szCs w:val="20"/>
          <w:lang w:val="es-ES_tradnl"/>
        </w:rPr>
        <w:t>implementar […] un programa permanente de derechos humanos dirigido a los agentes del Ministerio Público y a los jueces del Poder Judicial de Uruguay”. El Estado ha dado cumplimiento parcial a esta medida</w:t>
      </w:r>
      <w:r w:rsidRPr="00B86271">
        <w:rPr>
          <w:rFonts w:ascii="Verdana" w:hAnsi="Verdana"/>
          <w:sz w:val="20"/>
          <w:szCs w:val="20"/>
          <w:vertAlign w:val="superscript"/>
          <w:lang w:val="es-ES_tradnl"/>
        </w:rPr>
        <w:footnoteReference w:id="290"/>
      </w:r>
      <w:r w:rsidRPr="00B86271">
        <w:rPr>
          <w:rFonts w:ascii="Verdana" w:hAnsi="Verdana"/>
          <w:sz w:val="20"/>
          <w:szCs w:val="20"/>
          <w:lang w:val="es-ES_tradnl"/>
        </w:rPr>
        <w:t xml:space="preserve">, y la Corte continuará supervisando su cumplimiento en el trámite respectivo referido al caso </w:t>
      </w:r>
      <w:r w:rsidRPr="00B86271">
        <w:rPr>
          <w:rFonts w:ascii="Verdana" w:hAnsi="Verdana"/>
          <w:i/>
          <w:sz w:val="20"/>
          <w:szCs w:val="20"/>
          <w:lang w:val="es-ES_tradnl"/>
        </w:rPr>
        <w:t>Gelman Vs. Uruguay</w:t>
      </w:r>
      <w:r w:rsidRPr="00B86271">
        <w:rPr>
          <w:rFonts w:ascii="Verdana" w:hAnsi="Verdana"/>
          <w:sz w:val="20"/>
          <w:szCs w:val="20"/>
          <w:lang w:val="es-ES_tradnl"/>
        </w:rPr>
        <w:t>, por lo que no resulta necesario volver a ordenar esa medida u otra de índole similar.</w:t>
      </w:r>
      <w:r w:rsidRPr="0039097A">
        <w:rPr>
          <w:rFonts w:ascii="Verdana" w:hAnsi="Verdana"/>
          <w:sz w:val="19"/>
          <w:szCs w:val="19"/>
          <w:lang w:val="es-ES_tradnl"/>
        </w:rPr>
        <w:t xml:space="preserve"> </w:t>
      </w:r>
    </w:p>
    <w:p w14:paraId="0378BA9F" w14:textId="77777777" w:rsidR="001B6F20" w:rsidRDefault="001B6F20" w:rsidP="005A5029">
      <w:pPr>
        <w:pStyle w:val="Prrafodelista"/>
        <w:spacing w:after="0" w:line="240" w:lineRule="exact"/>
        <w:ind w:left="0"/>
        <w:rPr>
          <w:rFonts w:ascii="Verdana" w:hAnsi="Verdana"/>
          <w:sz w:val="20"/>
          <w:szCs w:val="20"/>
        </w:rPr>
      </w:pPr>
    </w:p>
    <w:p w14:paraId="499C1138" w14:textId="77777777" w:rsidR="001B6F20" w:rsidRPr="00DE69BB" w:rsidRDefault="001B6F20" w:rsidP="005A5029">
      <w:pPr>
        <w:numPr>
          <w:ilvl w:val="0"/>
          <w:numId w:val="49"/>
        </w:numPr>
        <w:spacing w:after="0" w:line="240" w:lineRule="exact"/>
        <w:ind w:left="0" w:firstLine="0"/>
        <w:contextualSpacing/>
        <w:jc w:val="both"/>
        <w:rPr>
          <w:rFonts w:ascii="Verdana" w:hAnsi="Verdana"/>
          <w:sz w:val="20"/>
          <w:szCs w:val="20"/>
        </w:rPr>
      </w:pPr>
      <w:r w:rsidRPr="00DE69BB">
        <w:rPr>
          <w:rFonts w:ascii="Verdana" w:hAnsi="Verdana"/>
          <w:sz w:val="20"/>
          <w:szCs w:val="20"/>
        </w:rPr>
        <w:t>En el marco de lo anterior, es preciso aclarar que este Tribunal tampoco estima procedente ordenar medidas relativas a la formación de operadores de justicia incorporando un enfoque de género, tal como fue requerido por la Comisión y los representantes (</w:t>
      </w:r>
      <w:r w:rsidRPr="00617293">
        <w:rPr>
          <w:rFonts w:ascii="Verdana" w:hAnsi="Verdana"/>
          <w:i/>
          <w:sz w:val="20"/>
          <w:szCs w:val="20"/>
        </w:rPr>
        <w:t xml:space="preserve">supra </w:t>
      </w:r>
      <w:proofErr w:type="spellStart"/>
      <w:r w:rsidRPr="00617293">
        <w:rPr>
          <w:rFonts w:ascii="Verdana" w:hAnsi="Verdana"/>
          <w:sz w:val="20"/>
          <w:szCs w:val="20"/>
        </w:rPr>
        <w:t>párrs</w:t>
      </w:r>
      <w:proofErr w:type="spellEnd"/>
      <w:r w:rsidRPr="00617293">
        <w:rPr>
          <w:rFonts w:ascii="Verdana" w:hAnsi="Verdana"/>
          <w:sz w:val="20"/>
          <w:szCs w:val="20"/>
        </w:rPr>
        <w:t>. 238, 239, 259 y 260</w:t>
      </w:r>
      <w:r w:rsidRPr="00DE69BB">
        <w:rPr>
          <w:rFonts w:ascii="Verdana" w:hAnsi="Verdana"/>
          <w:sz w:val="20"/>
          <w:szCs w:val="20"/>
        </w:rPr>
        <w:t xml:space="preserve">). Ello, por cuanto no hay evidencia de que las violaciones a los derechos a las garantías judiciales y a la protección judicial determinadas en este caso, en lo que se vinculan a la cuestión de la adopción de una </w:t>
      </w:r>
      <w:r w:rsidRPr="00617293">
        <w:rPr>
          <w:rFonts w:ascii="Verdana" w:hAnsi="Verdana"/>
          <w:sz w:val="20"/>
          <w:szCs w:val="20"/>
        </w:rPr>
        <w:t>perspectiva de género en las actuaciones, tengan relación con deficiencias estructurales de la formación de los operadores de justicia. Aunado a ello, la Corte nota que el Estado informó sobre una serie de leyes y políticas que ha adoptado en la materia (</w:t>
      </w:r>
      <w:r w:rsidRPr="00617293">
        <w:rPr>
          <w:rFonts w:ascii="Verdana" w:hAnsi="Verdana"/>
          <w:i/>
          <w:sz w:val="20"/>
          <w:szCs w:val="20"/>
        </w:rPr>
        <w:t xml:space="preserve">supra </w:t>
      </w:r>
      <w:r w:rsidRPr="00617293">
        <w:rPr>
          <w:rFonts w:ascii="Verdana" w:hAnsi="Verdana"/>
          <w:sz w:val="20"/>
          <w:szCs w:val="20"/>
        </w:rPr>
        <w:t>párr. 245).</w:t>
      </w:r>
    </w:p>
    <w:p w14:paraId="034D78AD" w14:textId="77777777" w:rsidR="001B6F20" w:rsidRDefault="001B6F20" w:rsidP="005A5029">
      <w:pPr>
        <w:pStyle w:val="Prrafodelista"/>
        <w:spacing w:after="0" w:line="240" w:lineRule="exact"/>
        <w:ind w:left="0"/>
        <w:rPr>
          <w:rFonts w:ascii="Verdana" w:hAnsi="Verdana"/>
          <w:sz w:val="20"/>
          <w:szCs w:val="20"/>
        </w:rPr>
      </w:pPr>
    </w:p>
    <w:p w14:paraId="4E1B2478"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Pr>
          <w:rFonts w:ascii="Verdana" w:hAnsi="Verdana"/>
          <w:sz w:val="20"/>
          <w:szCs w:val="20"/>
        </w:rPr>
        <w:t xml:space="preserve">La Corte </w:t>
      </w:r>
      <w:r w:rsidRPr="0039097A">
        <w:rPr>
          <w:rFonts w:ascii="Verdana" w:hAnsi="Verdana"/>
          <w:sz w:val="20"/>
          <w:szCs w:val="20"/>
        </w:rPr>
        <w:t>advierte</w:t>
      </w:r>
      <w:r>
        <w:rPr>
          <w:rFonts w:ascii="Verdana" w:hAnsi="Verdana"/>
          <w:sz w:val="20"/>
          <w:szCs w:val="20"/>
        </w:rPr>
        <w:t>, respeto a la solicitud vinculada al acceso a archivos,</w:t>
      </w:r>
      <w:r w:rsidRPr="0039097A">
        <w:rPr>
          <w:rFonts w:ascii="Verdana" w:hAnsi="Verdana"/>
          <w:sz w:val="20"/>
          <w:szCs w:val="20"/>
        </w:rPr>
        <w:t xml:space="preserve"> que en su sentencia sobre el caso </w:t>
      </w:r>
      <w:r w:rsidRPr="0039097A">
        <w:rPr>
          <w:rFonts w:ascii="Verdana" w:hAnsi="Verdana"/>
          <w:i/>
          <w:sz w:val="20"/>
          <w:szCs w:val="20"/>
        </w:rPr>
        <w:t>Gelman Vs. Uruguay</w:t>
      </w:r>
      <w:r w:rsidRPr="0039097A">
        <w:rPr>
          <w:rFonts w:ascii="Verdana" w:hAnsi="Verdana"/>
          <w:sz w:val="20"/>
          <w:szCs w:val="20"/>
        </w:rPr>
        <w:t xml:space="preserve"> ya ordenó al Estado “</w:t>
      </w:r>
      <w:r w:rsidRPr="0039097A">
        <w:rPr>
          <w:rFonts w:ascii="Verdana" w:hAnsi="Verdana"/>
          <w:sz w:val="20"/>
          <w:szCs w:val="20"/>
          <w:lang w:val="es-ES_tradnl"/>
        </w:rPr>
        <w:t>adoptar, en el plazo de dos años y con las asignaciones presupuestarias adecuadas, las medidas pertinentes para garantizar el acceso técnico y sistematizado a información acerca de graves violaciones de derechos humanos ocurridas durante la dictadura”. Con posterioridad, el Tribunal ha “observa[do] que Uruguay ha implementado diversas iniciativas orientadas a recabar, sistematizar y digitalizar información sobre hechos cometidos durante la dictadura que estaban en diversas dependencias estatales”, y ha entendido que el Estado “ha venido dando cumplimiento a la [medida de] reparación” señalada. Señaló, asimismo, “Uruguay debe continuar implementando esta medida de la forma más completa posible”</w:t>
      </w:r>
      <w:r w:rsidRPr="0039097A">
        <w:rPr>
          <w:rFonts w:ascii="Verdana" w:hAnsi="Verdana"/>
          <w:sz w:val="20"/>
          <w:szCs w:val="20"/>
          <w:vertAlign w:val="superscript"/>
          <w:lang w:val="es-ES_tradnl"/>
        </w:rPr>
        <w:footnoteReference w:id="291"/>
      </w:r>
      <w:r w:rsidRPr="0039097A">
        <w:rPr>
          <w:rFonts w:ascii="Verdana" w:hAnsi="Verdana"/>
          <w:sz w:val="20"/>
          <w:szCs w:val="20"/>
          <w:lang w:val="es-ES_tradnl"/>
        </w:rPr>
        <w:t xml:space="preserve">. </w:t>
      </w:r>
      <w:r w:rsidRPr="0039097A">
        <w:rPr>
          <w:rFonts w:ascii="Verdana" w:hAnsi="Verdana"/>
          <w:sz w:val="20"/>
          <w:szCs w:val="20"/>
        </w:rPr>
        <w:t xml:space="preserve">Este Tribunal continuará supervisando la implementación de la medida aludida en el marco del trámite respectivo correspondiente al caso </w:t>
      </w:r>
      <w:r w:rsidRPr="0039097A">
        <w:rPr>
          <w:rFonts w:ascii="Verdana" w:hAnsi="Verdana"/>
          <w:i/>
          <w:sz w:val="20"/>
          <w:szCs w:val="20"/>
        </w:rPr>
        <w:t xml:space="preserve">Gelman Vs. Uruguay. </w:t>
      </w:r>
    </w:p>
    <w:p w14:paraId="0252DC1A" w14:textId="77777777" w:rsidR="001B6F20" w:rsidRPr="0039097A" w:rsidRDefault="001B6F20" w:rsidP="005A5029">
      <w:pPr>
        <w:spacing w:after="0" w:line="240" w:lineRule="exact"/>
        <w:contextualSpacing/>
        <w:rPr>
          <w:rFonts w:ascii="Verdana" w:hAnsi="Verdana"/>
          <w:sz w:val="20"/>
          <w:szCs w:val="20"/>
        </w:rPr>
      </w:pPr>
    </w:p>
    <w:p w14:paraId="3FD28705" w14:textId="5CA616B5" w:rsidR="001B6F20"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Por lo expuesto, esta Corte considera que no resulta necesario volver a ordenar a Uruguay la adopción de medidas relativas al acceso a información o archivos relacionados con las graves violaciones a derechos humanos</w:t>
      </w:r>
      <w:r>
        <w:rPr>
          <w:rStyle w:val="Refdenotaalpie"/>
          <w:rFonts w:ascii="Verdana" w:hAnsi="Verdana"/>
        </w:rPr>
        <w:footnoteReference w:id="292"/>
      </w:r>
      <w:r w:rsidRPr="0039097A">
        <w:rPr>
          <w:rFonts w:ascii="Verdana" w:hAnsi="Verdana"/>
          <w:sz w:val="20"/>
          <w:szCs w:val="20"/>
        </w:rPr>
        <w:t>.</w:t>
      </w:r>
    </w:p>
    <w:p w14:paraId="6AC1FCD6" w14:textId="35941F91" w:rsidR="00687875" w:rsidRDefault="00687875" w:rsidP="005A5029">
      <w:pPr>
        <w:spacing w:after="0" w:line="240" w:lineRule="exact"/>
        <w:contextualSpacing/>
        <w:jc w:val="both"/>
        <w:rPr>
          <w:rFonts w:ascii="Verdana" w:hAnsi="Verdana"/>
          <w:sz w:val="20"/>
          <w:szCs w:val="20"/>
        </w:rPr>
      </w:pPr>
    </w:p>
    <w:p w14:paraId="0A929FCB"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rPr>
      </w:pPr>
      <w:r w:rsidRPr="0039097A">
        <w:rPr>
          <w:rFonts w:ascii="Verdana" w:hAnsi="Verdana"/>
          <w:sz w:val="20"/>
          <w:szCs w:val="20"/>
        </w:rPr>
        <w:t xml:space="preserve">En relación con otras solicitudes de reparación formuladas por los representantes </w:t>
      </w:r>
      <w:r w:rsidRPr="00617293">
        <w:rPr>
          <w:rFonts w:ascii="Verdana" w:hAnsi="Verdana"/>
          <w:sz w:val="20"/>
          <w:szCs w:val="20"/>
        </w:rPr>
        <w:t>(</w:t>
      </w:r>
      <w:r w:rsidRPr="00617293">
        <w:rPr>
          <w:rFonts w:ascii="Verdana" w:hAnsi="Verdana"/>
          <w:i/>
          <w:sz w:val="20"/>
          <w:szCs w:val="20"/>
        </w:rPr>
        <w:t xml:space="preserve">supra </w:t>
      </w:r>
      <w:r w:rsidRPr="00617293">
        <w:rPr>
          <w:rFonts w:ascii="Verdana" w:hAnsi="Verdana"/>
          <w:sz w:val="20"/>
          <w:szCs w:val="20"/>
        </w:rPr>
        <w:t>párr. 261),</w:t>
      </w:r>
      <w:r w:rsidRPr="0039097A">
        <w:rPr>
          <w:rFonts w:ascii="Verdana" w:hAnsi="Verdana"/>
          <w:sz w:val="20"/>
          <w:szCs w:val="20"/>
        </w:rPr>
        <w:t xml:space="preserve"> dado que las mismas fueron efectuadas en el escrito de alegatos finales, resultan extemporáneas, y no procede su consideración. </w:t>
      </w:r>
    </w:p>
    <w:p w14:paraId="3608D21D" w14:textId="77777777" w:rsidR="001B6F20" w:rsidRPr="0039097A" w:rsidRDefault="001B6F20" w:rsidP="005A5029">
      <w:pPr>
        <w:spacing w:after="0" w:line="240" w:lineRule="exact"/>
        <w:contextualSpacing/>
        <w:outlineLvl w:val="1"/>
        <w:rPr>
          <w:rFonts w:ascii="Verdana" w:hAnsi="Verdana"/>
          <w:b/>
          <w:i/>
          <w:sz w:val="20"/>
          <w:szCs w:val="20"/>
          <w:lang w:val="es-ES_tradnl"/>
        </w:rPr>
      </w:pPr>
    </w:p>
    <w:p w14:paraId="0B717230" w14:textId="77777777" w:rsidR="001B6F20" w:rsidRPr="0039097A" w:rsidRDefault="001B6F20" w:rsidP="00A0786D">
      <w:pPr>
        <w:numPr>
          <w:ilvl w:val="0"/>
          <w:numId w:val="36"/>
        </w:numPr>
        <w:spacing w:after="0" w:line="240" w:lineRule="exact"/>
        <w:ind w:left="284" w:firstLine="0"/>
        <w:contextualSpacing/>
        <w:outlineLvl w:val="1"/>
        <w:rPr>
          <w:rFonts w:ascii="Verdana" w:hAnsi="Verdana"/>
          <w:b/>
          <w:i/>
          <w:sz w:val="20"/>
          <w:szCs w:val="20"/>
          <w:lang w:val="es-ES_tradnl"/>
        </w:rPr>
      </w:pPr>
      <w:bookmarkStart w:id="89" w:name="_Toc85550445"/>
      <w:r w:rsidRPr="0039097A">
        <w:rPr>
          <w:rFonts w:ascii="Verdana" w:hAnsi="Verdana"/>
          <w:b/>
          <w:i/>
          <w:sz w:val="20"/>
          <w:szCs w:val="20"/>
          <w:lang w:val="es-ES_tradnl"/>
        </w:rPr>
        <w:t>Indemnizaciones compensatorias</w:t>
      </w:r>
      <w:bookmarkEnd w:id="89"/>
    </w:p>
    <w:p w14:paraId="1A365223" w14:textId="77777777" w:rsidR="001B6F20" w:rsidRPr="0039097A" w:rsidRDefault="001B6F20" w:rsidP="005A5029">
      <w:pPr>
        <w:spacing w:after="0" w:line="240" w:lineRule="exact"/>
        <w:ind w:left="720"/>
        <w:contextualSpacing/>
        <w:rPr>
          <w:rFonts w:ascii="Verdana" w:hAnsi="Verdana"/>
          <w:sz w:val="20"/>
          <w:szCs w:val="20"/>
          <w:lang w:val="es-ES_tradnl"/>
        </w:rPr>
      </w:pPr>
    </w:p>
    <w:p w14:paraId="30F9D31F"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La </w:t>
      </w:r>
      <w:r w:rsidRPr="0039097A">
        <w:rPr>
          <w:rFonts w:ascii="Verdana" w:hAnsi="Verdana"/>
          <w:b/>
          <w:i/>
          <w:sz w:val="20"/>
          <w:szCs w:val="20"/>
          <w:lang w:val="es-ES_tradnl"/>
        </w:rPr>
        <w:t>Comisión</w:t>
      </w:r>
      <w:r w:rsidRPr="0039097A">
        <w:rPr>
          <w:rFonts w:ascii="Verdana" w:hAnsi="Verdana"/>
          <w:sz w:val="20"/>
          <w:szCs w:val="20"/>
          <w:lang w:val="es-ES_tradnl"/>
        </w:rPr>
        <w:t xml:space="preserve"> solicitó que se ordene a Uruguay reparar las violaciones a derechos humanos en el aspecto material y moral, incluyendo una justa compensación</w:t>
      </w:r>
      <w:r w:rsidRPr="0039097A">
        <w:rPr>
          <w:rFonts w:ascii="Verdana" w:hAnsi="Verdana"/>
          <w:sz w:val="16"/>
          <w:szCs w:val="16"/>
          <w:vertAlign w:val="superscript"/>
          <w:lang w:val="es-ES_tradnl"/>
        </w:rPr>
        <w:footnoteReference w:id="293"/>
      </w:r>
      <w:r w:rsidRPr="0039097A">
        <w:rPr>
          <w:rFonts w:ascii="Verdana" w:hAnsi="Verdana"/>
          <w:sz w:val="20"/>
          <w:szCs w:val="20"/>
          <w:lang w:val="es-ES_tradnl"/>
        </w:rPr>
        <w:t>.</w:t>
      </w:r>
    </w:p>
    <w:p w14:paraId="7B250DE5" w14:textId="77777777" w:rsidR="001B6F20" w:rsidRPr="0039097A" w:rsidRDefault="001B6F20" w:rsidP="005A5029">
      <w:pPr>
        <w:spacing w:after="0" w:line="240" w:lineRule="exact"/>
        <w:contextualSpacing/>
        <w:jc w:val="both"/>
        <w:rPr>
          <w:rFonts w:ascii="Verdana" w:hAnsi="Verdana"/>
          <w:sz w:val="20"/>
          <w:szCs w:val="20"/>
          <w:lang w:val="es-ES_tradnl"/>
        </w:rPr>
      </w:pPr>
    </w:p>
    <w:p w14:paraId="57930EE3"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Los </w:t>
      </w:r>
      <w:r w:rsidRPr="0039097A">
        <w:rPr>
          <w:rFonts w:ascii="Verdana" w:hAnsi="Verdana"/>
          <w:b/>
          <w:i/>
          <w:sz w:val="20"/>
          <w:szCs w:val="20"/>
          <w:lang w:val="es-ES_tradnl"/>
        </w:rPr>
        <w:t>representantes</w:t>
      </w:r>
      <w:r w:rsidRPr="0039097A">
        <w:rPr>
          <w:rFonts w:ascii="Verdana" w:hAnsi="Verdana"/>
          <w:sz w:val="20"/>
          <w:szCs w:val="20"/>
          <w:lang w:val="es-ES_tradnl"/>
        </w:rPr>
        <w:t xml:space="preserve"> efectuaron la misma solicitud que la Comisión.</w:t>
      </w:r>
      <w:r w:rsidRPr="0039097A">
        <w:rPr>
          <w:rFonts w:ascii="Verdana" w:hAnsi="Verdana"/>
          <w:b/>
          <w:sz w:val="16"/>
          <w:szCs w:val="16"/>
          <w:lang w:val="es-ES_tradnl"/>
        </w:rPr>
        <w:t xml:space="preserve">  </w:t>
      </w:r>
      <w:r w:rsidRPr="0039097A">
        <w:rPr>
          <w:rFonts w:ascii="Verdana" w:hAnsi="Verdana"/>
          <w:sz w:val="20"/>
          <w:szCs w:val="20"/>
          <w:lang w:val="es-ES"/>
        </w:rPr>
        <w:t>Expresaron que las “[m]</w:t>
      </w:r>
      <w:proofErr w:type="spellStart"/>
      <w:r w:rsidRPr="0039097A">
        <w:rPr>
          <w:rFonts w:ascii="Verdana" w:hAnsi="Verdana"/>
          <w:sz w:val="20"/>
          <w:szCs w:val="20"/>
          <w:lang w:val="es-ES"/>
        </w:rPr>
        <w:t>edidas</w:t>
      </w:r>
      <w:proofErr w:type="spellEnd"/>
      <w:r w:rsidRPr="0039097A">
        <w:rPr>
          <w:rFonts w:ascii="Verdana" w:hAnsi="Verdana"/>
          <w:sz w:val="20"/>
          <w:szCs w:val="20"/>
          <w:lang w:val="es-ES"/>
        </w:rPr>
        <w:t xml:space="preserve"> de indemnización” para una “justa compensación” deben tomar en cuenta: a) “[G]</w:t>
      </w:r>
      <w:proofErr w:type="spellStart"/>
      <w:r w:rsidRPr="0039097A">
        <w:rPr>
          <w:rFonts w:ascii="Verdana" w:hAnsi="Verdana"/>
          <w:sz w:val="20"/>
          <w:szCs w:val="20"/>
          <w:lang w:val="es-ES"/>
        </w:rPr>
        <w:t>astos</w:t>
      </w:r>
      <w:proofErr w:type="spellEnd"/>
      <w:r w:rsidRPr="0039097A">
        <w:rPr>
          <w:rFonts w:ascii="Verdana" w:hAnsi="Verdana"/>
          <w:sz w:val="20"/>
          <w:szCs w:val="20"/>
          <w:lang w:val="es-ES"/>
        </w:rPr>
        <w:t xml:space="preserve"> en que han incurrido los familiares de detenidos desaparecidos, específicamente en la búsqueda de la[s] víctima[s], visitas a cuarteles, juzgados militares, abogados</w:t>
      </w:r>
      <w:r w:rsidRPr="0039097A">
        <w:rPr>
          <w:rFonts w:ascii="Verdana" w:hAnsi="Verdana"/>
          <w:sz w:val="16"/>
          <w:szCs w:val="16"/>
          <w:vertAlign w:val="superscript"/>
          <w:lang w:val="es-ES"/>
        </w:rPr>
        <w:footnoteReference w:id="294"/>
      </w:r>
      <w:r w:rsidRPr="0039097A">
        <w:rPr>
          <w:rFonts w:ascii="Verdana" w:hAnsi="Verdana"/>
          <w:sz w:val="20"/>
          <w:szCs w:val="20"/>
          <w:lang w:val="es-ES"/>
        </w:rPr>
        <w:t xml:space="preserve"> […] y todo el conjunto de gastos durante más de 40 años</w:t>
      </w:r>
      <w:proofErr w:type="gramStart"/>
      <w:r w:rsidRPr="0039097A">
        <w:rPr>
          <w:rFonts w:ascii="Verdana" w:hAnsi="Verdana"/>
          <w:sz w:val="20"/>
          <w:szCs w:val="20"/>
          <w:lang w:val="es-ES"/>
        </w:rPr>
        <w:t>”;  b</w:t>
      </w:r>
      <w:proofErr w:type="gramEnd"/>
      <w:r w:rsidRPr="0039097A">
        <w:rPr>
          <w:rFonts w:ascii="Verdana" w:hAnsi="Verdana"/>
          <w:sz w:val="20"/>
          <w:szCs w:val="20"/>
          <w:lang w:val="es-ES"/>
        </w:rPr>
        <w:t xml:space="preserve">)  el lucro cesante o pérdida de ingresos, que solicitaron que se fije “por equidad”, y c) el daño moral, que consideraron evidente. </w:t>
      </w:r>
    </w:p>
    <w:p w14:paraId="3FAF0EAE" w14:textId="77777777" w:rsidR="001B6F20" w:rsidRPr="0039097A" w:rsidRDefault="001B6F20" w:rsidP="005A5029">
      <w:pPr>
        <w:spacing w:after="0" w:line="240" w:lineRule="exact"/>
        <w:contextualSpacing/>
        <w:jc w:val="both"/>
        <w:rPr>
          <w:rFonts w:ascii="Verdana" w:hAnsi="Verdana"/>
          <w:sz w:val="20"/>
          <w:szCs w:val="20"/>
          <w:lang w:val="es-ES_tradnl"/>
        </w:rPr>
      </w:pPr>
    </w:p>
    <w:p w14:paraId="39D2F87C"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
        </w:rPr>
        <w:t>Los representantes no especificaron montos dinerarios relativos a sus reclamos de indemnización. En sus alegatos finales escritos, solicitaron que se “</w:t>
      </w:r>
      <w:r w:rsidRPr="0039097A">
        <w:rPr>
          <w:rFonts w:ascii="Verdana" w:hAnsi="Verdana" w:cs="ArialNarrow"/>
          <w:sz w:val="20"/>
          <w:szCs w:val="20"/>
          <w:lang w:val="es-ES_tradnl"/>
        </w:rPr>
        <w:t xml:space="preserve">repare a los peticionarios y víctimas, por equidad, </w:t>
      </w:r>
      <w:proofErr w:type="gramStart"/>
      <w:r w:rsidRPr="0039097A">
        <w:rPr>
          <w:rFonts w:ascii="Verdana" w:hAnsi="Verdana" w:cs="ArialNarrow"/>
          <w:sz w:val="20"/>
          <w:szCs w:val="20"/>
          <w:lang w:val="es-ES_tradnl"/>
        </w:rPr>
        <w:t>de acuerdo al</w:t>
      </w:r>
      <w:proofErr w:type="gramEnd"/>
      <w:r w:rsidRPr="0039097A">
        <w:rPr>
          <w:rFonts w:ascii="Verdana" w:hAnsi="Verdana" w:cs="ArialNarrow"/>
          <w:sz w:val="20"/>
          <w:szCs w:val="20"/>
          <w:lang w:val="es-ES_tradnl"/>
        </w:rPr>
        <w:t xml:space="preserve"> caso </w:t>
      </w:r>
      <w:r w:rsidRPr="0039097A">
        <w:rPr>
          <w:rFonts w:ascii="Verdana" w:hAnsi="Verdana" w:cs="ArialNarrow"/>
          <w:i/>
          <w:sz w:val="20"/>
          <w:szCs w:val="20"/>
          <w:lang w:val="es-ES_tradnl"/>
        </w:rPr>
        <w:t>Gelman vs Uruguay</w:t>
      </w:r>
      <w:r w:rsidRPr="0039097A">
        <w:rPr>
          <w:rFonts w:ascii="Verdana" w:hAnsi="Verdana" w:cs="ArialNarrow"/>
          <w:sz w:val="20"/>
          <w:szCs w:val="20"/>
          <w:lang w:val="es-ES_tradnl"/>
        </w:rPr>
        <w:t xml:space="preserve">, debiendo imputar los montos abonados por el Estado”. </w:t>
      </w:r>
    </w:p>
    <w:p w14:paraId="6D938DA1" w14:textId="77777777" w:rsidR="001B6F20" w:rsidRPr="0039097A" w:rsidRDefault="001B6F20" w:rsidP="005A5029">
      <w:pPr>
        <w:spacing w:after="0" w:line="240" w:lineRule="exact"/>
        <w:contextualSpacing/>
        <w:rPr>
          <w:rFonts w:ascii="Verdana" w:hAnsi="Verdana"/>
          <w:sz w:val="20"/>
          <w:szCs w:val="20"/>
          <w:lang w:val="es-ES_tradnl"/>
        </w:rPr>
      </w:pPr>
    </w:p>
    <w:p w14:paraId="50AD387F"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El </w:t>
      </w:r>
      <w:r w:rsidRPr="0039097A">
        <w:rPr>
          <w:rFonts w:ascii="Verdana" w:hAnsi="Verdana"/>
          <w:b/>
          <w:i/>
          <w:sz w:val="20"/>
          <w:szCs w:val="20"/>
          <w:lang w:val="es-ES_tradnl"/>
        </w:rPr>
        <w:t>Estado</w:t>
      </w:r>
      <w:r w:rsidRPr="0039097A">
        <w:rPr>
          <w:rFonts w:ascii="Verdana" w:hAnsi="Verdana"/>
          <w:sz w:val="20"/>
          <w:szCs w:val="20"/>
          <w:lang w:val="es-ES_tradnl"/>
        </w:rPr>
        <w:t xml:space="preserve"> señaló que el 8 de agosto de 1991 “se realizó una transacción homologada judicialmente con los familiares de Luis Eduardo González </w:t>
      </w:r>
      <w:proofErr w:type="spellStart"/>
      <w:r w:rsidRPr="0039097A">
        <w:rPr>
          <w:rFonts w:ascii="Verdana" w:hAnsi="Verdana"/>
          <w:sz w:val="20"/>
          <w:szCs w:val="20"/>
          <w:lang w:val="es-ES_tradnl"/>
        </w:rPr>
        <w:t>González</w:t>
      </w:r>
      <w:proofErr w:type="spellEnd"/>
      <w:r w:rsidRPr="0039097A">
        <w:rPr>
          <w:rFonts w:ascii="Verdana" w:hAnsi="Verdana"/>
          <w:sz w:val="20"/>
          <w:szCs w:val="20"/>
          <w:lang w:val="es-ES_tradnl"/>
        </w:rPr>
        <w:t xml:space="preserve">”, por la cual María Amelia González </w:t>
      </w:r>
      <w:proofErr w:type="spellStart"/>
      <w:r w:rsidRPr="0039097A">
        <w:rPr>
          <w:rFonts w:ascii="Verdana" w:hAnsi="Verdana"/>
          <w:sz w:val="20"/>
          <w:szCs w:val="20"/>
          <w:lang w:val="es-ES_tradnl"/>
        </w:rPr>
        <w:t>Picart</w:t>
      </w:r>
      <w:proofErr w:type="spellEnd"/>
      <w:r w:rsidRPr="0039097A">
        <w:rPr>
          <w:rFonts w:ascii="Verdana" w:hAnsi="Verdana"/>
          <w:sz w:val="20"/>
          <w:szCs w:val="20"/>
          <w:lang w:val="es-ES_tradnl"/>
        </w:rPr>
        <w:t xml:space="preserve"> de González y Elena Zaffaroni Rocco, “esta última en representación de su menor hijo Luis Eduardo González Zaffaroni”, percibieron US$ 156.000 (ciento cincuenta y seis mil dólares de Estados Unidos de América). </w:t>
      </w:r>
    </w:p>
    <w:p w14:paraId="205D4644" w14:textId="77777777" w:rsidR="001B6F20" w:rsidRPr="0039097A" w:rsidRDefault="001B6F20" w:rsidP="005A5029">
      <w:pPr>
        <w:spacing w:after="0" w:line="240" w:lineRule="exact"/>
        <w:contextualSpacing/>
        <w:rPr>
          <w:rFonts w:ascii="Verdana" w:hAnsi="Verdana"/>
          <w:sz w:val="20"/>
          <w:szCs w:val="20"/>
          <w:lang w:val="es-ES_tradnl"/>
        </w:rPr>
      </w:pPr>
    </w:p>
    <w:p w14:paraId="355D6849" w14:textId="7311F62D" w:rsidR="001B6F20"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lastRenderedPageBreak/>
        <w:t>Uruguay también hizo notar que la Ley 18.596, de 1</w:t>
      </w:r>
      <w:r>
        <w:rPr>
          <w:rFonts w:ascii="Verdana" w:hAnsi="Verdana"/>
          <w:sz w:val="20"/>
          <w:szCs w:val="20"/>
          <w:lang w:val="es-ES_tradnl"/>
        </w:rPr>
        <w:t>8</w:t>
      </w:r>
      <w:r w:rsidRPr="0039097A">
        <w:rPr>
          <w:rFonts w:ascii="Verdana" w:hAnsi="Verdana"/>
          <w:sz w:val="20"/>
          <w:szCs w:val="20"/>
          <w:lang w:val="es-ES_tradnl"/>
        </w:rPr>
        <w:t xml:space="preserve"> de septiembre de 2009, conocida como ley de “Reparación a las víctimas de la actuación ilegitima del Estado en el periodo comprendido entre el 13 de junio de 1968 y el 28 de febrero de 1985”, estableció el derecho a una “reparación integral” a familiares de víctimas. Informó que, en función de dicha legislación, familiares de las víctimas directas recibieron compensaciones económicas, </w:t>
      </w:r>
      <w:proofErr w:type="gramStart"/>
      <w:r w:rsidRPr="0039097A">
        <w:rPr>
          <w:rFonts w:ascii="Verdana" w:hAnsi="Verdana"/>
          <w:sz w:val="20"/>
          <w:szCs w:val="20"/>
          <w:lang w:val="es-ES_tradnl"/>
        </w:rPr>
        <w:t>de acuerdo a</w:t>
      </w:r>
      <w:proofErr w:type="gramEnd"/>
      <w:r w:rsidRPr="0039097A">
        <w:rPr>
          <w:rFonts w:ascii="Verdana" w:hAnsi="Verdana"/>
          <w:sz w:val="20"/>
          <w:szCs w:val="20"/>
          <w:lang w:val="es-ES_tradnl"/>
        </w:rPr>
        <w:t xml:space="preserve"> lo que sigue:  </w:t>
      </w:r>
    </w:p>
    <w:p w14:paraId="131E0241" w14:textId="6F34E0F5" w:rsidR="00687875" w:rsidRPr="0039097A" w:rsidRDefault="00687875" w:rsidP="005A5029">
      <w:pPr>
        <w:spacing w:after="0" w:line="240" w:lineRule="exact"/>
        <w:contextualSpacing/>
        <w:jc w:val="both"/>
        <w:rPr>
          <w:rFonts w:ascii="Verdana" w:hAnsi="Verdana"/>
          <w:sz w:val="20"/>
          <w:szCs w:val="20"/>
          <w:lang w:val="es-ES_tradnl"/>
        </w:rPr>
      </w:pPr>
    </w:p>
    <w:p w14:paraId="5B767A3B" w14:textId="77777777" w:rsidR="001B6F20" w:rsidRPr="0039097A" w:rsidRDefault="001B6F20" w:rsidP="005A5029">
      <w:pPr>
        <w:spacing w:after="0" w:line="240" w:lineRule="exact"/>
        <w:ind w:left="284"/>
        <w:contextualSpacing/>
        <w:rPr>
          <w:rFonts w:ascii="Verdana" w:hAnsi="Verdana"/>
          <w:i/>
          <w:sz w:val="20"/>
          <w:szCs w:val="20"/>
          <w:lang w:val="es-ES_tradnl"/>
        </w:rPr>
      </w:pPr>
      <w:r w:rsidRPr="0039097A">
        <w:rPr>
          <w:rFonts w:ascii="Verdana" w:hAnsi="Verdana"/>
          <w:i/>
          <w:sz w:val="20"/>
          <w:szCs w:val="20"/>
          <w:lang w:val="es-ES_tradnl"/>
        </w:rPr>
        <w:t xml:space="preserve">a.- Familiares de Luis Eduardo González </w:t>
      </w:r>
      <w:proofErr w:type="spellStart"/>
      <w:r w:rsidRPr="0039097A">
        <w:rPr>
          <w:rFonts w:ascii="Verdana" w:hAnsi="Verdana"/>
          <w:i/>
          <w:sz w:val="20"/>
          <w:szCs w:val="20"/>
          <w:lang w:val="es-ES_tradnl"/>
        </w:rPr>
        <w:t>González</w:t>
      </w:r>
      <w:proofErr w:type="spellEnd"/>
      <w:r w:rsidRPr="0039097A">
        <w:rPr>
          <w:rFonts w:ascii="Verdana" w:hAnsi="Verdana"/>
          <w:i/>
          <w:sz w:val="20"/>
          <w:szCs w:val="20"/>
          <w:lang w:val="es-ES_tradnl"/>
        </w:rPr>
        <w:t xml:space="preserve">: </w:t>
      </w:r>
    </w:p>
    <w:p w14:paraId="6B3C0EBC" w14:textId="77777777" w:rsidR="001B6F20" w:rsidRPr="0039097A" w:rsidRDefault="001B6F20" w:rsidP="005A5029">
      <w:pPr>
        <w:spacing w:after="0" w:line="240" w:lineRule="exact"/>
        <w:ind w:left="709"/>
        <w:contextualSpacing/>
        <w:jc w:val="both"/>
        <w:rPr>
          <w:rFonts w:ascii="Verdana" w:hAnsi="Verdana"/>
          <w:sz w:val="20"/>
          <w:szCs w:val="20"/>
          <w:lang w:val="es-ES_tradnl"/>
        </w:rPr>
      </w:pPr>
      <w:r w:rsidRPr="0039097A">
        <w:rPr>
          <w:rFonts w:ascii="Verdana" w:hAnsi="Verdana"/>
          <w:sz w:val="20"/>
          <w:szCs w:val="20"/>
          <w:lang w:val="es-ES_tradnl"/>
        </w:rPr>
        <w:t>-Luis Eduardo González (hijo), el 22 de diciembre de 2011 percibió el</w:t>
      </w:r>
      <w:r>
        <w:rPr>
          <w:rFonts w:ascii="Verdana" w:hAnsi="Verdana"/>
          <w:sz w:val="20"/>
          <w:szCs w:val="20"/>
          <w:lang w:val="es-ES_tradnl"/>
        </w:rPr>
        <w:t xml:space="preserve"> </w:t>
      </w:r>
      <w:r w:rsidRPr="0039097A">
        <w:rPr>
          <w:rFonts w:ascii="Verdana" w:hAnsi="Verdana"/>
          <w:sz w:val="20"/>
          <w:szCs w:val="20"/>
          <w:lang w:val="es-ES_tradnl"/>
        </w:rPr>
        <w:t xml:space="preserve">equivalente aproximado a US$ 23.109, dado que nació durante la privación de libertad de su madre. </w:t>
      </w:r>
    </w:p>
    <w:p w14:paraId="7A0E3250" w14:textId="77777777" w:rsidR="001B6F20" w:rsidRPr="0039097A" w:rsidRDefault="001B6F20" w:rsidP="005A5029">
      <w:pPr>
        <w:spacing w:after="0" w:line="240" w:lineRule="exact"/>
        <w:ind w:left="709"/>
        <w:contextualSpacing/>
        <w:jc w:val="both"/>
        <w:rPr>
          <w:rFonts w:ascii="Verdana" w:hAnsi="Verdana"/>
          <w:sz w:val="20"/>
          <w:szCs w:val="20"/>
          <w:lang w:val="es-ES_tradnl"/>
        </w:rPr>
      </w:pPr>
      <w:r w:rsidRPr="0039097A">
        <w:rPr>
          <w:rFonts w:ascii="Verdana" w:hAnsi="Verdana"/>
          <w:sz w:val="20"/>
          <w:szCs w:val="20"/>
          <w:lang w:val="es-ES_tradnl"/>
        </w:rPr>
        <w:t xml:space="preserve">-Raúl Oscar González, el 20 de diciembre de </w:t>
      </w:r>
      <w:r>
        <w:rPr>
          <w:rFonts w:ascii="Verdana" w:hAnsi="Verdana"/>
          <w:sz w:val="20"/>
          <w:szCs w:val="20"/>
          <w:lang w:val="es-ES_tradnl"/>
        </w:rPr>
        <w:t>2</w:t>
      </w:r>
      <w:r w:rsidRPr="0039097A">
        <w:rPr>
          <w:rFonts w:ascii="Verdana" w:hAnsi="Verdana"/>
          <w:sz w:val="20"/>
          <w:szCs w:val="20"/>
          <w:lang w:val="es-ES_tradnl"/>
        </w:rPr>
        <w:t xml:space="preserve">011, recibió el equivalente a US$ 28.879. </w:t>
      </w:r>
    </w:p>
    <w:p w14:paraId="0DAD162F" w14:textId="77777777" w:rsidR="001B6F20" w:rsidRPr="0039097A" w:rsidRDefault="001B6F20" w:rsidP="005A5029">
      <w:pPr>
        <w:spacing w:after="0" w:line="240" w:lineRule="exact"/>
        <w:ind w:left="709"/>
        <w:contextualSpacing/>
        <w:jc w:val="both"/>
        <w:rPr>
          <w:rFonts w:ascii="Verdana" w:hAnsi="Verdana"/>
          <w:b/>
          <w:sz w:val="16"/>
          <w:szCs w:val="16"/>
          <w:lang w:val="es-ES_tradnl"/>
        </w:rPr>
      </w:pPr>
      <w:r w:rsidRPr="0039097A">
        <w:rPr>
          <w:rFonts w:ascii="Verdana" w:hAnsi="Verdana"/>
          <w:sz w:val="20"/>
          <w:szCs w:val="20"/>
          <w:lang w:val="es-ES_tradnl"/>
        </w:rPr>
        <w:t xml:space="preserve">-Daniel Edgardo González, el 23 de diciembre de 2011, recibió el equivalente a US$ 28.855. </w:t>
      </w:r>
    </w:p>
    <w:p w14:paraId="4438CAF0" w14:textId="77777777" w:rsidR="001B6F20" w:rsidRPr="0039097A" w:rsidRDefault="001B6F20" w:rsidP="005A5029">
      <w:pPr>
        <w:spacing w:after="0" w:line="240" w:lineRule="exact"/>
        <w:ind w:left="709"/>
        <w:contextualSpacing/>
        <w:jc w:val="both"/>
        <w:rPr>
          <w:rFonts w:ascii="Verdana" w:hAnsi="Verdana"/>
          <w:b/>
          <w:sz w:val="20"/>
          <w:szCs w:val="20"/>
          <w:lang w:val="es-ES_tradnl"/>
        </w:rPr>
      </w:pPr>
    </w:p>
    <w:p w14:paraId="51CE2610" w14:textId="77777777" w:rsidR="001B6F20" w:rsidRPr="0039097A" w:rsidRDefault="001B6F20" w:rsidP="005A5029">
      <w:pPr>
        <w:spacing w:after="0" w:line="240" w:lineRule="exact"/>
        <w:ind w:left="284"/>
        <w:contextualSpacing/>
        <w:jc w:val="both"/>
        <w:rPr>
          <w:rFonts w:ascii="Verdana" w:hAnsi="Verdana"/>
          <w:i/>
          <w:sz w:val="20"/>
          <w:szCs w:val="20"/>
          <w:lang w:val="es-ES_tradnl"/>
        </w:rPr>
      </w:pPr>
      <w:r w:rsidRPr="0039097A">
        <w:rPr>
          <w:rFonts w:ascii="Verdana" w:hAnsi="Verdana"/>
          <w:i/>
          <w:sz w:val="20"/>
          <w:szCs w:val="20"/>
          <w:lang w:val="es-ES_tradnl"/>
        </w:rPr>
        <w:t xml:space="preserve">b.- Familiares de Óscar </w:t>
      </w:r>
      <w:proofErr w:type="spellStart"/>
      <w:r w:rsidRPr="0039097A">
        <w:rPr>
          <w:rFonts w:ascii="Verdana" w:hAnsi="Verdana"/>
          <w:i/>
          <w:sz w:val="20"/>
          <w:szCs w:val="20"/>
          <w:lang w:val="es-ES_tradnl"/>
        </w:rPr>
        <w:t>Tassino</w:t>
      </w:r>
      <w:proofErr w:type="spellEnd"/>
      <w:r w:rsidRPr="0039097A">
        <w:rPr>
          <w:rFonts w:ascii="Verdana" w:hAnsi="Verdana"/>
          <w:i/>
          <w:sz w:val="20"/>
          <w:szCs w:val="20"/>
          <w:lang w:val="es-ES_tradnl"/>
        </w:rPr>
        <w:t xml:space="preserve"> </w:t>
      </w:r>
      <w:proofErr w:type="spellStart"/>
      <w:r w:rsidRPr="0039097A">
        <w:rPr>
          <w:rFonts w:ascii="Verdana" w:hAnsi="Verdana"/>
          <w:i/>
          <w:sz w:val="20"/>
          <w:szCs w:val="20"/>
          <w:lang w:val="es-ES_tradnl"/>
        </w:rPr>
        <w:t>Asteazu</w:t>
      </w:r>
      <w:proofErr w:type="spellEnd"/>
      <w:r w:rsidRPr="0039097A">
        <w:rPr>
          <w:rFonts w:ascii="Verdana" w:hAnsi="Verdana"/>
          <w:i/>
          <w:sz w:val="20"/>
          <w:szCs w:val="20"/>
          <w:lang w:val="es-ES_tradnl"/>
        </w:rPr>
        <w:t>:</w:t>
      </w:r>
    </w:p>
    <w:p w14:paraId="6C971B96" w14:textId="77777777" w:rsidR="001B6F20" w:rsidRPr="00AE2C07" w:rsidRDefault="001B6F20" w:rsidP="005A5029">
      <w:pPr>
        <w:spacing w:after="0" w:line="240" w:lineRule="exact"/>
        <w:ind w:left="709"/>
        <w:contextualSpacing/>
        <w:jc w:val="both"/>
        <w:rPr>
          <w:rFonts w:ascii="Verdana" w:hAnsi="Verdana"/>
          <w:sz w:val="20"/>
          <w:szCs w:val="20"/>
          <w:lang w:val="es-ES_tradnl"/>
        </w:rPr>
      </w:pPr>
      <w:r w:rsidRPr="0039097A">
        <w:rPr>
          <w:rFonts w:ascii="Verdana" w:hAnsi="Verdana"/>
          <w:sz w:val="20"/>
          <w:szCs w:val="20"/>
          <w:lang w:val="es-ES_tradnl"/>
        </w:rPr>
        <w:t>-</w:t>
      </w:r>
      <w:r w:rsidRPr="00AE2C07">
        <w:rPr>
          <w:rFonts w:ascii="Verdana" w:hAnsi="Verdana"/>
          <w:sz w:val="20"/>
          <w:szCs w:val="20"/>
          <w:lang w:val="es-ES_tradnl"/>
        </w:rPr>
        <w:t xml:space="preserve">Karina </w:t>
      </w:r>
      <w:proofErr w:type="spellStart"/>
      <w:r w:rsidRPr="00AE2C07">
        <w:rPr>
          <w:rFonts w:ascii="Verdana" w:hAnsi="Verdana"/>
          <w:sz w:val="20"/>
          <w:szCs w:val="20"/>
          <w:lang w:val="es-ES_tradnl"/>
        </w:rPr>
        <w:t>Tassino</w:t>
      </w:r>
      <w:proofErr w:type="spellEnd"/>
      <w:r w:rsidRPr="00AE2C07">
        <w:rPr>
          <w:rFonts w:ascii="Verdana" w:hAnsi="Verdana"/>
          <w:sz w:val="20"/>
          <w:szCs w:val="20"/>
          <w:lang w:val="es-ES_tradnl"/>
        </w:rPr>
        <w:t xml:space="preserve"> Flores (hija), el 25 de enero de 201</w:t>
      </w:r>
      <w:r>
        <w:rPr>
          <w:rFonts w:ascii="Verdana" w:hAnsi="Verdana"/>
          <w:sz w:val="20"/>
          <w:szCs w:val="20"/>
          <w:lang w:val="es-ES_tradnl"/>
        </w:rPr>
        <w:t>2</w:t>
      </w:r>
      <w:r w:rsidRPr="00AE2C07">
        <w:rPr>
          <w:rFonts w:ascii="Verdana" w:hAnsi="Verdana"/>
          <w:sz w:val="20"/>
          <w:szCs w:val="20"/>
          <w:lang w:val="es-ES_tradnl"/>
        </w:rPr>
        <w:t>, recibió el equivalente a US$ 29.463</w:t>
      </w:r>
    </w:p>
    <w:p w14:paraId="7C0A3948" w14:textId="77777777" w:rsidR="001B6F20" w:rsidRPr="0039097A" w:rsidRDefault="001B6F20" w:rsidP="005A5029">
      <w:pPr>
        <w:spacing w:after="0" w:line="240" w:lineRule="exact"/>
        <w:ind w:left="709"/>
        <w:contextualSpacing/>
        <w:jc w:val="both"/>
        <w:rPr>
          <w:rFonts w:ascii="Verdana" w:hAnsi="Verdana"/>
          <w:sz w:val="20"/>
          <w:szCs w:val="20"/>
          <w:lang w:val="es-ES_tradnl"/>
        </w:rPr>
      </w:pPr>
      <w:r w:rsidRPr="0039097A">
        <w:rPr>
          <w:rFonts w:ascii="Verdana" w:hAnsi="Verdana"/>
          <w:sz w:val="20"/>
          <w:szCs w:val="20"/>
          <w:lang w:val="es-ES_tradnl"/>
        </w:rPr>
        <w:t xml:space="preserve">-Pablo Marcelo </w:t>
      </w:r>
      <w:proofErr w:type="spellStart"/>
      <w:r w:rsidRPr="0039097A">
        <w:rPr>
          <w:rFonts w:ascii="Verdana" w:hAnsi="Verdana"/>
          <w:sz w:val="20"/>
          <w:szCs w:val="20"/>
          <w:lang w:val="es-ES_tradnl"/>
        </w:rPr>
        <w:t>Tassino</w:t>
      </w:r>
      <w:proofErr w:type="spellEnd"/>
      <w:r w:rsidRPr="0039097A">
        <w:rPr>
          <w:rFonts w:ascii="Verdana" w:hAnsi="Verdana"/>
          <w:sz w:val="20"/>
          <w:szCs w:val="20"/>
          <w:lang w:val="es-ES_tradnl"/>
        </w:rPr>
        <w:t xml:space="preserve"> Flores (hijo), el 25 de enero de 201</w:t>
      </w:r>
      <w:r>
        <w:rPr>
          <w:rFonts w:ascii="Verdana" w:hAnsi="Verdana"/>
          <w:sz w:val="20"/>
          <w:szCs w:val="20"/>
          <w:lang w:val="es-ES_tradnl"/>
        </w:rPr>
        <w:t>2</w:t>
      </w:r>
      <w:r w:rsidRPr="0039097A">
        <w:rPr>
          <w:rFonts w:ascii="Verdana" w:hAnsi="Verdana"/>
          <w:sz w:val="20"/>
          <w:szCs w:val="20"/>
          <w:lang w:val="es-ES_tradnl"/>
        </w:rPr>
        <w:t>, recibió el equivalente a US$ 29.463</w:t>
      </w:r>
    </w:p>
    <w:p w14:paraId="2F447FA9" w14:textId="77777777" w:rsidR="001B6F20" w:rsidRPr="0039097A" w:rsidRDefault="001B6F20" w:rsidP="005A5029">
      <w:pPr>
        <w:spacing w:after="0" w:line="240" w:lineRule="exact"/>
        <w:ind w:left="709"/>
        <w:contextualSpacing/>
        <w:jc w:val="both"/>
        <w:rPr>
          <w:rFonts w:ascii="Verdana" w:hAnsi="Verdana"/>
          <w:sz w:val="20"/>
          <w:szCs w:val="20"/>
          <w:lang w:val="es-ES_tradnl"/>
        </w:rPr>
      </w:pPr>
    </w:p>
    <w:p w14:paraId="71E23DA6" w14:textId="77777777" w:rsidR="001B6F20" w:rsidRPr="0039097A" w:rsidRDefault="001B6F20" w:rsidP="005A5029">
      <w:pPr>
        <w:spacing w:after="0" w:line="240" w:lineRule="exact"/>
        <w:ind w:left="284"/>
        <w:contextualSpacing/>
        <w:jc w:val="both"/>
        <w:rPr>
          <w:rFonts w:ascii="Verdana" w:hAnsi="Verdana"/>
          <w:i/>
          <w:sz w:val="20"/>
          <w:szCs w:val="20"/>
          <w:lang w:val="es-ES_tradnl"/>
        </w:rPr>
      </w:pPr>
      <w:r w:rsidRPr="0039097A">
        <w:rPr>
          <w:rFonts w:ascii="Verdana" w:hAnsi="Verdana"/>
          <w:i/>
          <w:sz w:val="20"/>
          <w:szCs w:val="20"/>
          <w:lang w:val="es-ES_tradnl"/>
        </w:rPr>
        <w:t>c.- Familiares de Silvia Reyes:</w:t>
      </w:r>
    </w:p>
    <w:p w14:paraId="0F63FF8B" w14:textId="77777777" w:rsidR="001B6F20" w:rsidRPr="00AE2C07" w:rsidRDefault="001B6F20" w:rsidP="005A5029">
      <w:pPr>
        <w:spacing w:after="0" w:line="240" w:lineRule="exact"/>
        <w:ind w:left="709"/>
        <w:contextualSpacing/>
        <w:jc w:val="both"/>
        <w:rPr>
          <w:rFonts w:ascii="Verdana" w:hAnsi="Verdana"/>
          <w:sz w:val="20"/>
          <w:szCs w:val="20"/>
          <w:lang w:val="es-ES_tradnl"/>
        </w:rPr>
      </w:pPr>
      <w:r w:rsidRPr="0039097A">
        <w:rPr>
          <w:rFonts w:ascii="Verdana" w:hAnsi="Verdana"/>
          <w:sz w:val="20"/>
          <w:szCs w:val="20"/>
          <w:lang w:val="es-ES_tradnl"/>
        </w:rPr>
        <w:t>-</w:t>
      </w:r>
      <w:r w:rsidRPr="00AE2C07">
        <w:rPr>
          <w:rFonts w:ascii="Verdana" w:hAnsi="Verdana"/>
          <w:sz w:val="20"/>
          <w:szCs w:val="20"/>
          <w:lang w:val="es-ES_tradnl"/>
        </w:rPr>
        <w:t xml:space="preserve">Stella Reyes </w:t>
      </w:r>
      <w:proofErr w:type="spellStart"/>
      <w:r w:rsidRPr="00AE2C07">
        <w:rPr>
          <w:rFonts w:ascii="Verdana" w:hAnsi="Verdana"/>
          <w:sz w:val="20"/>
          <w:szCs w:val="20"/>
          <w:lang w:val="es-ES_tradnl"/>
        </w:rPr>
        <w:t>Sedarri</w:t>
      </w:r>
      <w:proofErr w:type="spellEnd"/>
      <w:r w:rsidRPr="00AE2C07">
        <w:rPr>
          <w:rFonts w:ascii="Verdana" w:hAnsi="Verdana"/>
          <w:sz w:val="20"/>
          <w:szCs w:val="20"/>
          <w:lang w:val="es-ES_tradnl"/>
        </w:rPr>
        <w:t xml:space="preserve"> (hermana), el 2 de agosto de 2011, recibió el equivalente a US$ 30.455.</w:t>
      </w:r>
    </w:p>
    <w:p w14:paraId="0A4F4341" w14:textId="77777777" w:rsidR="001B6F20" w:rsidRPr="0039097A" w:rsidRDefault="001B6F20" w:rsidP="005A5029">
      <w:pPr>
        <w:spacing w:after="0" w:line="240" w:lineRule="exact"/>
        <w:ind w:left="709"/>
        <w:contextualSpacing/>
        <w:jc w:val="both"/>
        <w:rPr>
          <w:rFonts w:ascii="Verdana" w:hAnsi="Verdana"/>
          <w:sz w:val="20"/>
          <w:szCs w:val="20"/>
          <w:lang w:val="es-ES_tradnl"/>
        </w:rPr>
      </w:pPr>
      <w:r w:rsidRPr="00AE2C07">
        <w:rPr>
          <w:rFonts w:ascii="Verdana" w:hAnsi="Verdana"/>
          <w:sz w:val="20"/>
          <w:szCs w:val="20"/>
          <w:lang w:val="es-ES_tradnl"/>
        </w:rPr>
        <w:t xml:space="preserve">-Celia </w:t>
      </w:r>
      <w:proofErr w:type="spellStart"/>
      <w:r w:rsidRPr="00AE2C07">
        <w:rPr>
          <w:rFonts w:ascii="Verdana" w:hAnsi="Verdana"/>
          <w:sz w:val="20"/>
          <w:szCs w:val="20"/>
          <w:lang w:val="es-ES_tradnl"/>
        </w:rPr>
        <w:t>Sedarri</w:t>
      </w:r>
      <w:proofErr w:type="spellEnd"/>
      <w:r w:rsidRPr="00AE2C07">
        <w:rPr>
          <w:rFonts w:ascii="Verdana" w:hAnsi="Verdana"/>
          <w:sz w:val="20"/>
          <w:szCs w:val="20"/>
          <w:lang w:val="es-ES_tradnl"/>
        </w:rPr>
        <w:t xml:space="preserve"> Aparicio (madre), el 2 de agosto de 2011, recibió el equivalente a US$ 30.455</w:t>
      </w:r>
      <w:r w:rsidRPr="0039097A">
        <w:rPr>
          <w:rFonts w:ascii="Verdana" w:hAnsi="Verdana"/>
          <w:sz w:val="20"/>
          <w:szCs w:val="20"/>
          <w:lang w:val="es-ES_tradnl"/>
        </w:rPr>
        <w:t>.</w:t>
      </w:r>
    </w:p>
    <w:p w14:paraId="1DD3BA3B" w14:textId="77777777" w:rsidR="001B6F20" w:rsidRPr="0039097A" w:rsidRDefault="001B6F20" w:rsidP="005A5029">
      <w:pPr>
        <w:spacing w:after="0" w:line="240" w:lineRule="exact"/>
        <w:ind w:left="709"/>
        <w:contextualSpacing/>
        <w:jc w:val="both"/>
        <w:rPr>
          <w:rFonts w:ascii="Verdana" w:hAnsi="Verdana"/>
          <w:sz w:val="20"/>
          <w:szCs w:val="20"/>
          <w:lang w:val="es-ES_tradnl"/>
        </w:rPr>
      </w:pPr>
    </w:p>
    <w:p w14:paraId="5E9C23F3" w14:textId="77777777" w:rsidR="001B6F20" w:rsidRPr="0039097A" w:rsidRDefault="001B6F20" w:rsidP="005A5029">
      <w:pPr>
        <w:spacing w:after="0" w:line="240" w:lineRule="exact"/>
        <w:ind w:left="284"/>
        <w:contextualSpacing/>
        <w:jc w:val="both"/>
        <w:rPr>
          <w:rFonts w:ascii="Verdana" w:hAnsi="Verdana"/>
          <w:i/>
          <w:sz w:val="20"/>
          <w:szCs w:val="20"/>
          <w:lang w:val="pt-BR"/>
        </w:rPr>
      </w:pPr>
      <w:r w:rsidRPr="0039097A">
        <w:rPr>
          <w:rFonts w:ascii="Verdana" w:hAnsi="Verdana"/>
          <w:i/>
          <w:sz w:val="20"/>
          <w:szCs w:val="20"/>
          <w:lang w:val="pt-BR"/>
        </w:rPr>
        <w:t xml:space="preserve">d.- Familiares de Diana </w:t>
      </w:r>
      <w:proofErr w:type="spellStart"/>
      <w:r w:rsidRPr="0039097A">
        <w:rPr>
          <w:rFonts w:ascii="Verdana" w:hAnsi="Verdana"/>
          <w:i/>
          <w:sz w:val="20"/>
          <w:szCs w:val="20"/>
          <w:lang w:val="pt-BR"/>
        </w:rPr>
        <w:t>Maidanik</w:t>
      </w:r>
      <w:proofErr w:type="spellEnd"/>
      <w:r w:rsidRPr="0039097A">
        <w:rPr>
          <w:rFonts w:ascii="Verdana" w:hAnsi="Verdana"/>
          <w:i/>
          <w:sz w:val="20"/>
          <w:szCs w:val="20"/>
          <w:lang w:val="pt-BR"/>
        </w:rPr>
        <w:t>:</w:t>
      </w:r>
    </w:p>
    <w:p w14:paraId="271C1C29" w14:textId="77777777" w:rsidR="001B6F20" w:rsidRPr="0039097A" w:rsidRDefault="001B6F20" w:rsidP="005A5029">
      <w:pPr>
        <w:spacing w:after="0" w:line="240" w:lineRule="exact"/>
        <w:ind w:left="709"/>
        <w:contextualSpacing/>
        <w:jc w:val="both"/>
        <w:rPr>
          <w:rFonts w:ascii="Verdana" w:hAnsi="Verdana"/>
          <w:sz w:val="20"/>
          <w:szCs w:val="20"/>
          <w:lang w:val="es-ES_tradnl"/>
        </w:rPr>
      </w:pPr>
      <w:r w:rsidRPr="0039097A">
        <w:rPr>
          <w:rFonts w:ascii="Verdana" w:hAnsi="Verdana"/>
          <w:sz w:val="20"/>
          <w:szCs w:val="20"/>
          <w:lang w:val="es-ES_tradnl"/>
        </w:rPr>
        <w:t>-</w:t>
      </w:r>
      <w:r w:rsidRPr="00AE2C07">
        <w:rPr>
          <w:rFonts w:ascii="Verdana" w:hAnsi="Verdana"/>
          <w:sz w:val="20"/>
          <w:szCs w:val="20"/>
          <w:lang w:val="es-ES_tradnl"/>
        </w:rPr>
        <w:t xml:space="preserve">Flora </w:t>
      </w:r>
      <w:proofErr w:type="spellStart"/>
      <w:r w:rsidRPr="00AE2C07">
        <w:rPr>
          <w:rFonts w:ascii="Verdana" w:hAnsi="Verdana"/>
          <w:sz w:val="20"/>
          <w:szCs w:val="20"/>
          <w:lang w:val="es-ES_tradnl"/>
        </w:rPr>
        <w:t>Potasnik</w:t>
      </w:r>
      <w:proofErr w:type="spellEnd"/>
      <w:r w:rsidRPr="00AE2C07">
        <w:rPr>
          <w:rFonts w:ascii="Verdana" w:hAnsi="Verdana"/>
          <w:sz w:val="20"/>
          <w:szCs w:val="20"/>
          <w:lang w:val="es-ES_tradnl"/>
        </w:rPr>
        <w:t xml:space="preserve"> </w:t>
      </w:r>
      <w:proofErr w:type="spellStart"/>
      <w:r w:rsidRPr="00AE2C07">
        <w:rPr>
          <w:rFonts w:ascii="Verdana" w:hAnsi="Verdana"/>
          <w:sz w:val="20"/>
          <w:szCs w:val="20"/>
          <w:lang w:val="es-ES_tradnl"/>
        </w:rPr>
        <w:t>Cogan</w:t>
      </w:r>
      <w:proofErr w:type="spellEnd"/>
      <w:r w:rsidRPr="00AE2C07">
        <w:rPr>
          <w:rFonts w:ascii="Verdana" w:hAnsi="Verdana"/>
          <w:sz w:val="20"/>
          <w:szCs w:val="20"/>
          <w:lang w:val="es-ES_tradnl"/>
        </w:rPr>
        <w:t xml:space="preserve"> (madre), el 13 de mayo de 2013, recibió el equivalente a US$ 34.210.</w:t>
      </w:r>
      <w:r w:rsidRPr="0039097A">
        <w:rPr>
          <w:rFonts w:ascii="Verdana" w:hAnsi="Verdana"/>
          <w:sz w:val="20"/>
          <w:szCs w:val="20"/>
          <w:lang w:val="es-ES_tradnl"/>
        </w:rPr>
        <w:t xml:space="preserve"> </w:t>
      </w:r>
    </w:p>
    <w:p w14:paraId="7C712689" w14:textId="77777777" w:rsidR="001B6F20" w:rsidRPr="0039097A" w:rsidRDefault="001B6F20" w:rsidP="005A5029">
      <w:pPr>
        <w:spacing w:after="0" w:line="240" w:lineRule="exact"/>
        <w:ind w:left="709"/>
        <w:contextualSpacing/>
        <w:jc w:val="both"/>
        <w:rPr>
          <w:rFonts w:ascii="Verdana" w:hAnsi="Verdana"/>
          <w:sz w:val="20"/>
          <w:szCs w:val="20"/>
          <w:lang w:val="es-ES_tradnl"/>
        </w:rPr>
      </w:pPr>
      <w:r w:rsidRPr="0039097A">
        <w:rPr>
          <w:rFonts w:ascii="Verdana" w:hAnsi="Verdana"/>
          <w:sz w:val="20"/>
          <w:szCs w:val="20"/>
          <w:lang w:val="es-ES_tradnl"/>
        </w:rPr>
        <w:t xml:space="preserve">-Ana </w:t>
      </w:r>
      <w:proofErr w:type="spellStart"/>
      <w:r w:rsidRPr="0039097A">
        <w:rPr>
          <w:rFonts w:ascii="Verdana" w:hAnsi="Verdana"/>
          <w:sz w:val="20"/>
          <w:szCs w:val="20"/>
          <w:lang w:val="es-ES_tradnl"/>
        </w:rPr>
        <w:t>Loleley</w:t>
      </w:r>
      <w:proofErr w:type="spellEnd"/>
      <w:r w:rsidRPr="0039097A">
        <w:rPr>
          <w:rFonts w:ascii="Verdana" w:hAnsi="Verdana"/>
          <w:sz w:val="20"/>
          <w:szCs w:val="20"/>
          <w:lang w:val="es-ES_tradnl"/>
        </w:rPr>
        <w:t xml:space="preserve"> </w:t>
      </w:r>
      <w:proofErr w:type="spellStart"/>
      <w:r w:rsidRPr="0039097A">
        <w:rPr>
          <w:rFonts w:ascii="Verdana" w:hAnsi="Verdana"/>
          <w:sz w:val="20"/>
          <w:szCs w:val="20"/>
          <w:lang w:val="es-ES_tradnl"/>
        </w:rPr>
        <w:t>Guliak</w:t>
      </w:r>
      <w:proofErr w:type="spellEnd"/>
      <w:r w:rsidRPr="0039097A">
        <w:rPr>
          <w:rFonts w:ascii="Verdana" w:hAnsi="Verdana"/>
          <w:sz w:val="20"/>
          <w:szCs w:val="20"/>
          <w:lang w:val="es-ES_tradnl"/>
        </w:rPr>
        <w:t xml:space="preserve"> </w:t>
      </w:r>
      <w:proofErr w:type="spellStart"/>
      <w:r w:rsidRPr="0039097A">
        <w:rPr>
          <w:rFonts w:ascii="Verdana" w:hAnsi="Verdana"/>
          <w:sz w:val="20"/>
          <w:szCs w:val="20"/>
          <w:lang w:val="es-ES_tradnl"/>
        </w:rPr>
        <w:t>Potasnik</w:t>
      </w:r>
      <w:proofErr w:type="spellEnd"/>
      <w:r w:rsidRPr="0039097A">
        <w:rPr>
          <w:rFonts w:ascii="Verdana" w:hAnsi="Verdana"/>
          <w:sz w:val="20"/>
          <w:szCs w:val="20"/>
          <w:lang w:val="es-ES_tradnl"/>
        </w:rPr>
        <w:t xml:space="preserve"> (hermana), el 13 de mayo de 2013, recibió el equivalente a US$ 34.210. </w:t>
      </w:r>
    </w:p>
    <w:p w14:paraId="1BE04737" w14:textId="77777777" w:rsidR="001B6F20" w:rsidRPr="0039097A" w:rsidRDefault="001B6F20" w:rsidP="005A5029">
      <w:pPr>
        <w:spacing w:after="0" w:line="240" w:lineRule="exact"/>
        <w:ind w:left="709"/>
        <w:contextualSpacing/>
        <w:jc w:val="both"/>
        <w:rPr>
          <w:rFonts w:ascii="Verdana" w:hAnsi="Verdana"/>
          <w:sz w:val="20"/>
          <w:szCs w:val="20"/>
          <w:lang w:val="es-ES_tradnl"/>
        </w:rPr>
      </w:pPr>
    </w:p>
    <w:p w14:paraId="0618BCC3" w14:textId="77777777" w:rsidR="001B6F20" w:rsidRPr="0039097A" w:rsidRDefault="001B6F20" w:rsidP="005A5029">
      <w:pPr>
        <w:spacing w:after="0" w:line="240" w:lineRule="exact"/>
        <w:ind w:left="284"/>
        <w:contextualSpacing/>
        <w:jc w:val="both"/>
        <w:rPr>
          <w:rFonts w:ascii="Verdana" w:hAnsi="Verdana"/>
          <w:i/>
          <w:sz w:val="20"/>
          <w:szCs w:val="20"/>
          <w:lang w:val="es-ES_tradnl"/>
        </w:rPr>
      </w:pPr>
      <w:proofErr w:type="spellStart"/>
      <w:r w:rsidRPr="0039097A">
        <w:rPr>
          <w:rFonts w:ascii="Verdana" w:hAnsi="Verdana"/>
          <w:i/>
          <w:sz w:val="20"/>
          <w:szCs w:val="20"/>
          <w:lang w:val="es-ES_tradnl"/>
        </w:rPr>
        <w:t>e</w:t>
      </w:r>
      <w:proofErr w:type="spellEnd"/>
      <w:r w:rsidRPr="0039097A">
        <w:rPr>
          <w:rFonts w:ascii="Verdana" w:hAnsi="Verdana"/>
          <w:i/>
          <w:sz w:val="20"/>
          <w:szCs w:val="20"/>
          <w:lang w:val="es-ES_tradnl"/>
        </w:rPr>
        <w:t xml:space="preserve">.- Familiares de Laura Raggio: </w:t>
      </w:r>
    </w:p>
    <w:p w14:paraId="7E0E25A8" w14:textId="77777777" w:rsidR="001B6F20" w:rsidRPr="00AE2C07" w:rsidRDefault="001B6F20" w:rsidP="005A5029">
      <w:pPr>
        <w:spacing w:after="0" w:line="240" w:lineRule="exact"/>
        <w:ind w:left="709"/>
        <w:contextualSpacing/>
        <w:jc w:val="both"/>
        <w:rPr>
          <w:rFonts w:ascii="Verdana" w:hAnsi="Verdana"/>
          <w:sz w:val="20"/>
          <w:szCs w:val="20"/>
          <w:lang w:val="es-ES_tradnl"/>
        </w:rPr>
      </w:pPr>
      <w:r w:rsidRPr="0039097A">
        <w:rPr>
          <w:rFonts w:ascii="Verdana" w:hAnsi="Verdana"/>
          <w:sz w:val="20"/>
          <w:szCs w:val="20"/>
          <w:lang w:val="es-ES_tradnl"/>
        </w:rPr>
        <w:t>-</w:t>
      </w:r>
      <w:r w:rsidRPr="00AE2C07">
        <w:rPr>
          <w:rFonts w:ascii="Verdana" w:hAnsi="Verdana"/>
          <w:sz w:val="20"/>
          <w:szCs w:val="20"/>
          <w:lang w:val="es-ES_tradnl"/>
        </w:rPr>
        <w:t xml:space="preserve">Horacio Enrique Raggio </w:t>
      </w:r>
      <w:proofErr w:type="spellStart"/>
      <w:r w:rsidRPr="00AE2C07">
        <w:rPr>
          <w:rFonts w:ascii="Verdana" w:hAnsi="Verdana"/>
          <w:sz w:val="20"/>
          <w:szCs w:val="20"/>
          <w:lang w:val="es-ES_tradnl"/>
        </w:rPr>
        <w:t>Odizzio</w:t>
      </w:r>
      <w:proofErr w:type="spellEnd"/>
      <w:r w:rsidRPr="00AE2C07">
        <w:rPr>
          <w:rFonts w:ascii="Verdana" w:hAnsi="Verdana"/>
          <w:sz w:val="20"/>
          <w:szCs w:val="20"/>
          <w:lang w:val="es-ES_tradnl"/>
        </w:rPr>
        <w:t xml:space="preserve"> (hermano), el 8 de agosto de 2013, recibió el equivalente a US$ 30.224.</w:t>
      </w:r>
    </w:p>
    <w:p w14:paraId="7FC78D4C" w14:textId="77777777" w:rsidR="001B6F20" w:rsidRPr="00E53751" w:rsidRDefault="001B6F20" w:rsidP="005A5029">
      <w:pPr>
        <w:spacing w:after="0" w:line="240" w:lineRule="exact"/>
        <w:ind w:left="709"/>
        <w:contextualSpacing/>
        <w:jc w:val="both"/>
        <w:rPr>
          <w:rFonts w:ascii="Verdana" w:hAnsi="Verdana"/>
          <w:sz w:val="20"/>
          <w:szCs w:val="20"/>
          <w:lang w:val="es-ES_tradnl"/>
        </w:rPr>
      </w:pPr>
      <w:r w:rsidRPr="00AE2C07">
        <w:rPr>
          <w:rFonts w:ascii="Verdana" w:hAnsi="Verdana"/>
          <w:sz w:val="20"/>
          <w:szCs w:val="20"/>
          <w:lang w:val="es-ES_tradnl"/>
        </w:rPr>
        <w:t>-</w:t>
      </w:r>
      <w:r w:rsidRPr="00E53751">
        <w:rPr>
          <w:rFonts w:ascii="Verdana" w:hAnsi="Verdana"/>
          <w:sz w:val="20"/>
          <w:szCs w:val="20"/>
          <w:lang w:val="es-ES_tradnl"/>
        </w:rPr>
        <w:t xml:space="preserve">Daniel Raggio </w:t>
      </w:r>
      <w:proofErr w:type="spellStart"/>
      <w:r w:rsidRPr="00E53751">
        <w:rPr>
          <w:rFonts w:ascii="Verdana" w:hAnsi="Verdana"/>
          <w:sz w:val="20"/>
          <w:szCs w:val="20"/>
          <w:lang w:val="es-ES_tradnl"/>
        </w:rPr>
        <w:t>Odizzio</w:t>
      </w:r>
      <w:proofErr w:type="spellEnd"/>
      <w:r w:rsidRPr="00E53751">
        <w:rPr>
          <w:rFonts w:ascii="Verdana" w:hAnsi="Verdana"/>
          <w:sz w:val="20"/>
          <w:szCs w:val="20"/>
          <w:lang w:val="es-ES_tradnl"/>
        </w:rPr>
        <w:t xml:space="preserve"> (hermano), el 8 de agosto de 2013, recibió el equivalente a US$ 30.224. </w:t>
      </w:r>
    </w:p>
    <w:p w14:paraId="258492C6" w14:textId="77777777" w:rsidR="001B6F20" w:rsidRPr="00E53751" w:rsidRDefault="001B6F20" w:rsidP="005A5029">
      <w:pPr>
        <w:spacing w:after="0" w:line="240" w:lineRule="exact"/>
        <w:contextualSpacing/>
        <w:rPr>
          <w:rFonts w:ascii="Verdana" w:hAnsi="Verdana"/>
          <w:sz w:val="20"/>
          <w:szCs w:val="20"/>
          <w:lang w:val="es-ES_tradnl"/>
        </w:rPr>
      </w:pPr>
    </w:p>
    <w:p w14:paraId="69FF7AA3" w14:textId="77777777" w:rsidR="001B6F20" w:rsidRPr="00E53751"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E53751">
        <w:rPr>
          <w:rFonts w:ascii="Verdana" w:hAnsi="Verdana"/>
          <w:sz w:val="20"/>
          <w:szCs w:val="20"/>
          <w:lang w:val="es-ES_tradnl"/>
        </w:rPr>
        <w:t xml:space="preserve">La </w:t>
      </w:r>
      <w:r w:rsidRPr="00E53751">
        <w:rPr>
          <w:rFonts w:ascii="Verdana" w:hAnsi="Verdana"/>
          <w:b/>
          <w:i/>
          <w:sz w:val="20"/>
          <w:szCs w:val="20"/>
          <w:lang w:val="es-ES_tradnl"/>
        </w:rPr>
        <w:t xml:space="preserve">Corte </w:t>
      </w:r>
      <w:r w:rsidRPr="00E53751">
        <w:rPr>
          <w:rFonts w:ascii="Verdana" w:hAnsi="Verdana" w:cs="Verdana"/>
          <w:sz w:val="20"/>
          <w:szCs w:val="20"/>
          <w:lang w:val="es-ES" w:bidi="en-US"/>
        </w:rPr>
        <w:t>ha desarrollado en su jurisprudencia el concepto de daño material y los supuestos en que corresponde indemnizarlo. Este Tribunal ha establecido que el daño material supone “la pérdida o detrimento de los ingresos de las víctimas, los gastos efectuados con motivo de los hechos y las consecuencias de carácter pecuniario que tengan un nexo causal con los hechos del caso”</w:t>
      </w:r>
      <w:r w:rsidRPr="00E53751">
        <w:rPr>
          <w:rStyle w:val="Refdenotaalpie"/>
          <w:rFonts w:ascii="Verdana" w:hAnsi="Verdana" w:cs="Verdana"/>
          <w:lang w:val="es-ES" w:bidi="en-US"/>
        </w:rPr>
        <w:t xml:space="preserve"> </w:t>
      </w:r>
      <w:r w:rsidRPr="00E53751">
        <w:rPr>
          <w:rStyle w:val="Refdenotaalpie"/>
          <w:rFonts w:ascii="Verdana" w:hAnsi="Verdana" w:cs="Verdana"/>
          <w:lang w:bidi="en-US"/>
        </w:rPr>
        <w:footnoteReference w:id="295"/>
      </w:r>
      <w:r w:rsidRPr="00E53751">
        <w:rPr>
          <w:rFonts w:ascii="Verdana" w:hAnsi="Verdana" w:cs="Verdana"/>
          <w:sz w:val="20"/>
          <w:szCs w:val="20"/>
          <w:lang w:val="es-ES" w:bidi="en-US"/>
        </w:rPr>
        <w:t xml:space="preserve">. Ha señalado, por otra parte, que </w:t>
      </w:r>
      <w:r w:rsidRPr="00E53751">
        <w:rPr>
          <w:rFonts w:ascii="Verdana" w:hAnsi="Verdana"/>
          <w:sz w:val="20"/>
          <w:szCs w:val="20"/>
          <w:lang w:val="es-ES"/>
        </w:rPr>
        <w:t xml:space="preserve">el daño inmaterial comprende “tanto los sufrimientos y las aflicciones causados a la víctima directa y a sus allegados, el menoscabo de valores muy significativos para las personas, </w:t>
      </w:r>
      <w:r w:rsidRPr="00E53751">
        <w:rPr>
          <w:rFonts w:ascii="Verdana" w:hAnsi="Verdana"/>
          <w:sz w:val="20"/>
          <w:szCs w:val="20"/>
          <w:lang w:val="es-ES"/>
        </w:rPr>
        <w:lastRenderedPageBreak/>
        <w:t>así como las alteraciones, de carácter no pecuniario, en las condiciones de existencia de la víctima o su familia”</w:t>
      </w:r>
      <w:r w:rsidRPr="00E53751">
        <w:rPr>
          <w:rStyle w:val="Refdenotaalpie"/>
          <w:rFonts w:ascii="Verdana" w:hAnsi="Verdana"/>
        </w:rPr>
        <w:footnoteReference w:id="296"/>
      </w:r>
      <w:r w:rsidRPr="00E53751">
        <w:rPr>
          <w:rFonts w:ascii="Verdana" w:hAnsi="Verdana"/>
          <w:sz w:val="20"/>
          <w:szCs w:val="20"/>
          <w:lang w:val="es-ES"/>
        </w:rPr>
        <w:t>.</w:t>
      </w:r>
    </w:p>
    <w:p w14:paraId="0910AEB6" w14:textId="77777777" w:rsidR="001B6F20" w:rsidRPr="00E53751" w:rsidRDefault="001B6F20" w:rsidP="005A5029">
      <w:pPr>
        <w:spacing w:after="0" w:line="240" w:lineRule="exact"/>
        <w:contextualSpacing/>
        <w:jc w:val="both"/>
        <w:rPr>
          <w:rFonts w:ascii="Verdana" w:hAnsi="Verdana"/>
          <w:sz w:val="20"/>
          <w:szCs w:val="20"/>
          <w:lang w:val="es-ES_tradnl"/>
        </w:rPr>
      </w:pPr>
    </w:p>
    <w:p w14:paraId="600B3A62" w14:textId="77777777" w:rsidR="001B6F20" w:rsidRPr="00E53751"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E53751">
        <w:rPr>
          <w:rFonts w:ascii="Verdana" w:hAnsi="Verdana"/>
          <w:sz w:val="20"/>
          <w:szCs w:val="20"/>
          <w:lang w:val="es-ES_tradnl"/>
        </w:rPr>
        <w:t xml:space="preserve">En relación con el daño material, los representantes no han acreditado erogaciones específicas relacionadas con la búsqueda de justicia y/o del paradero de personas desaparecidas en que incurrieron los familiares de Luis Eduardo González </w:t>
      </w:r>
      <w:proofErr w:type="spellStart"/>
      <w:r w:rsidRPr="00E53751">
        <w:rPr>
          <w:rFonts w:ascii="Verdana" w:hAnsi="Verdana"/>
          <w:sz w:val="20"/>
          <w:szCs w:val="20"/>
          <w:lang w:val="es-ES_tradnl"/>
        </w:rPr>
        <w:t>González</w:t>
      </w:r>
      <w:proofErr w:type="spellEnd"/>
      <w:r w:rsidRPr="00E53751">
        <w:rPr>
          <w:rFonts w:ascii="Verdana" w:hAnsi="Verdana"/>
          <w:sz w:val="20"/>
          <w:szCs w:val="20"/>
          <w:lang w:val="es-ES_tradnl"/>
        </w:rPr>
        <w:t xml:space="preserve">, </w:t>
      </w:r>
      <w:r>
        <w:rPr>
          <w:rFonts w:ascii="Verdana" w:hAnsi="Verdana"/>
          <w:sz w:val="20"/>
          <w:szCs w:val="20"/>
          <w:lang w:val="es-ES_tradnl"/>
        </w:rPr>
        <w:t>Ó</w:t>
      </w:r>
      <w:r w:rsidRPr="00E53751">
        <w:rPr>
          <w:rFonts w:ascii="Verdana" w:hAnsi="Verdana"/>
          <w:sz w:val="20"/>
          <w:szCs w:val="20"/>
          <w:lang w:val="es-ES_tradnl"/>
        </w:rPr>
        <w:t xml:space="preserve">scar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Asteazú</w:t>
      </w:r>
      <w:proofErr w:type="spellEnd"/>
      <w:r w:rsidRPr="00E53751">
        <w:rPr>
          <w:rFonts w:ascii="Verdana" w:hAnsi="Verdana"/>
          <w:sz w:val="20"/>
          <w:szCs w:val="20"/>
          <w:lang w:val="es-ES_tradnl"/>
        </w:rPr>
        <w:t xml:space="preserve">, Diana </w:t>
      </w:r>
      <w:proofErr w:type="spellStart"/>
      <w:r w:rsidRPr="00E53751">
        <w:rPr>
          <w:rFonts w:ascii="Verdana" w:hAnsi="Verdana"/>
          <w:sz w:val="20"/>
          <w:szCs w:val="20"/>
          <w:lang w:val="es-ES_tradnl"/>
        </w:rPr>
        <w:t>Maidanik</w:t>
      </w:r>
      <w:proofErr w:type="spellEnd"/>
      <w:r w:rsidRPr="00E53751">
        <w:rPr>
          <w:rFonts w:ascii="Verdana" w:hAnsi="Verdana"/>
          <w:sz w:val="20"/>
          <w:szCs w:val="20"/>
          <w:lang w:val="es-ES_tradnl"/>
        </w:rPr>
        <w:t>, Silvia Reyes y Laura Raggio. No obstante, esta Corte entiende razonable asumir que dichos gastos sí existieron. A su vez, la Corte no tiene elementos para determinar cuáles familiares realizaron las erogaciones o, en su caso, la proporción en que cada uno de ellos asumió los gastos</w:t>
      </w:r>
      <w:r>
        <w:rPr>
          <w:rStyle w:val="Refdenotaalpie"/>
          <w:rFonts w:ascii="Verdana" w:hAnsi="Verdana"/>
          <w:lang w:val="es-ES_tradnl"/>
        </w:rPr>
        <w:footnoteReference w:id="297"/>
      </w:r>
      <w:r w:rsidRPr="00E53751">
        <w:rPr>
          <w:rFonts w:ascii="Verdana" w:hAnsi="Verdana"/>
          <w:sz w:val="20"/>
          <w:szCs w:val="20"/>
          <w:lang w:val="es-ES_tradnl"/>
        </w:rPr>
        <w:t>. Por ello, considera procedente, en equidad, fijar una indemnización, a favor d</w:t>
      </w:r>
      <w:r>
        <w:rPr>
          <w:rFonts w:ascii="Verdana" w:hAnsi="Verdana"/>
          <w:sz w:val="20"/>
          <w:szCs w:val="20"/>
          <w:lang w:val="es-ES_tradnl"/>
        </w:rPr>
        <w:t xml:space="preserve">e cada grupo familiar, de </w:t>
      </w:r>
      <w:r w:rsidRPr="00617293">
        <w:rPr>
          <w:rFonts w:ascii="Verdana" w:hAnsi="Verdana"/>
          <w:sz w:val="20"/>
          <w:szCs w:val="20"/>
          <w:lang w:val="es-ES_tradnl"/>
        </w:rPr>
        <w:t>US$ 15,000.00 (quince</w:t>
      </w:r>
      <w:r w:rsidRPr="00E53751">
        <w:rPr>
          <w:rFonts w:ascii="Verdana" w:hAnsi="Verdana"/>
          <w:sz w:val="20"/>
          <w:szCs w:val="20"/>
          <w:lang w:val="es-ES_tradnl"/>
        </w:rPr>
        <w:t xml:space="preserve"> mil dólares de Estados Unidos de América). Este monto corresponde dividirlo, en partes iguales, entre cada una de las personas integrantes de cada grupo familiar que, siendo familiares de las personas nombradas, son, a su vez, víctimas declaradas en la presente Sentencia. De ese modo: </w:t>
      </w:r>
    </w:p>
    <w:p w14:paraId="29CB9945" w14:textId="77777777" w:rsidR="001B6F20" w:rsidRPr="00E53751" w:rsidRDefault="001B6F20" w:rsidP="005A5029">
      <w:pPr>
        <w:spacing w:after="0" w:line="240" w:lineRule="exact"/>
        <w:contextualSpacing/>
        <w:jc w:val="both"/>
        <w:rPr>
          <w:rFonts w:ascii="Verdana" w:hAnsi="Verdana"/>
          <w:sz w:val="20"/>
          <w:szCs w:val="20"/>
          <w:lang w:val="es-ES_tradnl"/>
        </w:rPr>
      </w:pPr>
    </w:p>
    <w:p w14:paraId="02C3B37A" w14:textId="77777777" w:rsidR="001B6F20"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 xml:space="preserve">a) respecto a familiares de Diana </w:t>
      </w:r>
      <w:proofErr w:type="spellStart"/>
      <w:r w:rsidRPr="00E53751">
        <w:rPr>
          <w:rFonts w:ascii="Verdana" w:hAnsi="Verdana"/>
          <w:sz w:val="20"/>
          <w:szCs w:val="20"/>
          <w:lang w:val="es-ES_tradnl"/>
        </w:rPr>
        <w:t>Maidanik</w:t>
      </w:r>
      <w:proofErr w:type="spellEnd"/>
      <w:r w:rsidRPr="00E53751">
        <w:rPr>
          <w:rFonts w:ascii="Verdana" w:hAnsi="Verdana"/>
          <w:sz w:val="20"/>
          <w:szCs w:val="20"/>
          <w:lang w:val="es-ES_tradnl"/>
        </w:rPr>
        <w:t xml:space="preserve">, corresponden US$ </w:t>
      </w:r>
      <w:r>
        <w:rPr>
          <w:rFonts w:ascii="Verdana" w:hAnsi="Verdana"/>
          <w:sz w:val="20"/>
          <w:szCs w:val="20"/>
        </w:rPr>
        <w:t xml:space="preserve">7,500 (siete mil quinientos dólares de Estados Unidos de América) </w:t>
      </w:r>
      <w:r w:rsidRPr="00E53751">
        <w:rPr>
          <w:rFonts w:ascii="Verdana" w:hAnsi="Verdana"/>
          <w:sz w:val="20"/>
          <w:szCs w:val="20"/>
          <w:lang w:val="es-ES_tradnl"/>
        </w:rPr>
        <w:t xml:space="preserve">a favor de cada una de las siguientes personas: Mónica Raquel </w:t>
      </w:r>
      <w:proofErr w:type="spellStart"/>
      <w:r w:rsidRPr="00E53751">
        <w:rPr>
          <w:rFonts w:ascii="Verdana" w:hAnsi="Verdana"/>
          <w:sz w:val="20"/>
          <w:szCs w:val="20"/>
          <w:lang w:val="es-ES_tradnl"/>
        </w:rPr>
        <w:t>Wodzislawski</w:t>
      </w:r>
      <w:proofErr w:type="spellEnd"/>
      <w:r w:rsidRPr="00E53751">
        <w:rPr>
          <w:rFonts w:ascii="Verdana" w:hAnsi="Verdana"/>
          <w:sz w:val="20"/>
          <w:szCs w:val="20"/>
          <w:lang w:val="es-ES_tradnl"/>
        </w:rPr>
        <w:t xml:space="preserve"> y Flora </w:t>
      </w:r>
      <w:proofErr w:type="spellStart"/>
      <w:r w:rsidRPr="00E53751">
        <w:rPr>
          <w:rFonts w:ascii="Verdana" w:hAnsi="Verdana"/>
          <w:sz w:val="20"/>
          <w:szCs w:val="20"/>
          <w:lang w:val="es-ES_tradnl"/>
        </w:rPr>
        <w:t>Potasnik</w:t>
      </w:r>
      <w:proofErr w:type="spellEnd"/>
      <w:r w:rsidRPr="00E53751">
        <w:rPr>
          <w:rFonts w:ascii="Verdana" w:hAnsi="Verdana"/>
          <w:sz w:val="20"/>
          <w:szCs w:val="20"/>
          <w:lang w:val="es-ES_tradnl"/>
        </w:rPr>
        <w:t xml:space="preserve">; </w:t>
      </w:r>
    </w:p>
    <w:p w14:paraId="28C906C5" w14:textId="77777777" w:rsidR="001B6F20" w:rsidRPr="00E53751" w:rsidRDefault="001B6F20" w:rsidP="005A5029">
      <w:pPr>
        <w:spacing w:after="0" w:line="240" w:lineRule="exact"/>
        <w:ind w:left="284"/>
        <w:contextualSpacing/>
        <w:jc w:val="both"/>
        <w:rPr>
          <w:rFonts w:ascii="Verdana" w:hAnsi="Verdana"/>
          <w:sz w:val="20"/>
          <w:szCs w:val="20"/>
          <w:lang w:val="es-ES_tradnl"/>
        </w:rPr>
      </w:pPr>
    </w:p>
    <w:p w14:paraId="431576EE" w14:textId="77777777" w:rsidR="001B6F20"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 xml:space="preserve">b) respecto a familiares de Laura Raggio corresponden: US$ </w:t>
      </w:r>
      <w:r>
        <w:rPr>
          <w:rFonts w:ascii="Verdana" w:hAnsi="Verdana"/>
          <w:sz w:val="20"/>
          <w:szCs w:val="20"/>
          <w:lang w:val="es-ES_tradnl"/>
        </w:rPr>
        <w:t xml:space="preserve">US$ 5,000 (cinco mil dólares de los Estados Unidos de América con treinta y tres céntimos) </w:t>
      </w:r>
      <w:r w:rsidRPr="00E53751">
        <w:rPr>
          <w:rFonts w:ascii="Verdana" w:hAnsi="Verdana"/>
          <w:sz w:val="20"/>
          <w:szCs w:val="20"/>
          <w:lang w:val="es-ES_tradnl"/>
        </w:rPr>
        <w:t xml:space="preserve">a favor de cada una de las siguientes personas: Marta </w:t>
      </w:r>
      <w:proofErr w:type="spellStart"/>
      <w:r w:rsidRPr="00E53751">
        <w:rPr>
          <w:rFonts w:ascii="Verdana" w:hAnsi="Verdana"/>
          <w:sz w:val="20"/>
          <w:szCs w:val="20"/>
          <w:lang w:val="es-ES_tradnl"/>
        </w:rPr>
        <w:t>Odizzio</w:t>
      </w:r>
      <w:proofErr w:type="spellEnd"/>
      <w:r w:rsidRPr="00E53751">
        <w:rPr>
          <w:rFonts w:ascii="Verdana" w:hAnsi="Verdana"/>
          <w:sz w:val="20"/>
          <w:szCs w:val="20"/>
          <w:lang w:val="es-ES_tradnl"/>
        </w:rPr>
        <w:t xml:space="preserve"> de Raggio, Horacio Enrique </w:t>
      </w:r>
      <w:proofErr w:type="spellStart"/>
      <w:r w:rsidRPr="00E53751">
        <w:rPr>
          <w:rFonts w:ascii="Verdana" w:hAnsi="Verdana"/>
          <w:sz w:val="20"/>
          <w:szCs w:val="20"/>
          <w:lang w:val="es-ES_tradnl"/>
        </w:rPr>
        <w:t>Ragio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Odizzio</w:t>
      </w:r>
      <w:proofErr w:type="spellEnd"/>
      <w:r w:rsidRPr="00E53751">
        <w:rPr>
          <w:rFonts w:ascii="Verdana" w:hAnsi="Verdana"/>
          <w:sz w:val="20"/>
          <w:szCs w:val="20"/>
          <w:lang w:val="es-ES_tradnl"/>
        </w:rPr>
        <w:t xml:space="preserve">, y a Daniel Raggio </w:t>
      </w:r>
      <w:proofErr w:type="spellStart"/>
      <w:r w:rsidRPr="00E53751">
        <w:rPr>
          <w:rFonts w:ascii="Verdana" w:hAnsi="Verdana"/>
          <w:sz w:val="20"/>
          <w:szCs w:val="20"/>
          <w:lang w:val="es-ES_tradnl"/>
        </w:rPr>
        <w:t>Odizzio</w:t>
      </w:r>
      <w:proofErr w:type="spellEnd"/>
      <w:r w:rsidRPr="00E53751">
        <w:rPr>
          <w:rFonts w:ascii="Verdana" w:hAnsi="Verdana"/>
          <w:sz w:val="20"/>
          <w:szCs w:val="20"/>
          <w:lang w:val="es-ES_tradnl"/>
        </w:rPr>
        <w:t xml:space="preserve">; </w:t>
      </w:r>
    </w:p>
    <w:p w14:paraId="29805E41" w14:textId="77777777" w:rsidR="001B6F20" w:rsidRPr="00E53751" w:rsidRDefault="001B6F20" w:rsidP="005A5029">
      <w:pPr>
        <w:spacing w:after="0" w:line="240" w:lineRule="exact"/>
        <w:ind w:left="284"/>
        <w:contextualSpacing/>
        <w:jc w:val="both"/>
        <w:rPr>
          <w:rFonts w:ascii="Verdana" w:hAnsi="Verdana"/>
          <w:sz w:val="20"/>
          <w:szCs w:val="20"/>
          <w:lang w:val="es-ES_tradnl"/>
        </w:rPr>
      </w:pPr>
    </w:p>
    <w:p w14:paraId="3CACBCA1" w14:textId="6AF672EC" w:rsidR="001B6F20" w:rsidRDefault="001B6F20" w:rsidP="005A5029">
      <w:pPr>
        <w:spacing w:after="0" w:line="240" w:lineRule="exact"/>
        <w:ind w:left="284"/>
        <w:contextualSpacing/>
        <w:jc w:val="both"/>
        <w:rPr>
          <w:rFonts w:ascii="Verdana" w:hAnsi="Verdana"/>
          <w:sz w:val="20"/>
          <w:szCs w:val="20"/>
        </w:rPr>
      </w:pPr>
      <w:r w:rsidRPr="00E53751">
        <w:rPr>
          <w:rFonts w:ascii="Verdana" w:hAnsi="Verdana"/>
          <w:sz w:val="20"/>
          <w:szCs w:val="20"/>
          <w:lang w:val="es-ES_tradnl"/>
        </w:rPr>
        <w:t xml:space="preserve">c) respecto a familiares de Silvia Reyes, </w:t>
      </w:r>
      <w:proofErr w:type="gramStart"/>
      <w:r w:rsidRPr="00E53751">
        <w:rPr>
          <w:rFonts w:ascii="Verdana" w:hAnsi="Verdana"/>
          <w:sz w:val="20"/>
          <w:szCs w:val="20"/>
          <w:lang w:val="es-ES_tradnl"/>
        </w:rPr>
        <w:t>corresponden</w:t>
      </w:r>
      <w:r w:rsidRPr="008A7174">
        <w:rPr>
          <w:rFonts w:ascii="Verdana" w:hAnsi="Verdana"/>
          <w:sz w:val="20"/>
          <w:szCs w:val="20"/>
          <w:lang w:val="es-ES_tradnl"/>
        </w:rPr>
        <w:t xml:space="preserve"> </w:t>
      </w:r>
      <w:r>
        <w:rPr>
          <w:rFonts w:ascii="Verdana" w:hAnsi="Verdana"/>
          <w:sz w:val="20"/>
          <w:szCs w:val="20"/>
          <w:lang w:val="es-ES_tradnl"/>
        </w:rPr>
        <w:t>:</w:t>
      </w:r>
      <w:proofErr w:type="gramEnd"/>
      <w:r>
        <w:rPr>
          <w:rFonts w:ascii="Verdana" w:hAnsi="Verdana"/>
          <w:sz w:val="20"/>
          <w:szCs w:val="20"/>
          <w:lang w:val="es-ES_tradnl"/>
        </w:rPr>
        <w:t xml:space="preserve"> US$ 2,500 (dos mil quinientos dólares de los Estados Unidos de América) </w:t>
      </w:r>
      <w:r w:rsidRPr="00E53751">
        <w:rPr>
          <w:rFonts w:ascii="Verdana" w:hAnsi="Verdana"/>
          <w:sz w:val="20"/>
          <w:szCs w:val="20"/>
          <w:lang w:val="es-ES_tradnl"/>
        </w:rPr>
        <w:t xml:space="preserve">a favor de cada una de las siguientes personas: </w:t>
      </w:r>
      <w:r w:rsidRPr="00E53751">
        <w:rPr>
          <w:rFonts w:ascii="Verdana" w:hAnsi="Verdana"/>
          <w:sz w:val="20"/>
          <w:szCs w:val="20"/>
        </w:rPr>
        <w:t>Arturo Rica</w:t>
      </w:r>
      <w:r>
        <w:rPr>
          <w:rFonts w:ascii="Verdana" w:hAnsi="Verdana"/>
          <w:sz w:val="20"/>
          <w:szCs w:val="20"/>
        </w:rPr>
        <w:t xml:space="preserve">rdo Reyes </w:t>
      </w:r>
      <w:proofErr w:type="spellStart"/>
      <w:r>
        <w:rPr>
          <w:rFonts w:ascii="Verdana" w:hAnsi="Verdana"/>
          <w:sz w:val="20"/>
          <w:szCs w:val="20"/>
        </w:rPr>
        <w:t>Gaetán</w:t>
      </w:r>
      <w:proofErr w:type="spellEnd"/>
      <w:r>
        <w:rPr>
          <w:rFonts w:ascii="Verdana" w:hAnsi="Verdana"/>
          <w:sz w:val="20"/>
          <w:szCs w:val="20"/>
        </w:rPr>
        <w:t>, Celia Nativid</w:t>
      </w:r>
      <w:r w:rsidRPr="00E53751">
        <w:rPr>
          <w:rFonts w:ascii="Verdana" w:hAnsi="Verdana"/>
          <w:sz w:val="20"/>
          <w:szCs w:val="20"/>
        </w:rPr>
        <w:t>a</w:t>
      </w:r>
      <w:r>
        <w:rPr>
          <w:rFonts w:ascii="Verdana" w:hAnsi="Verdana"/>
          <w:sz w:val="20"/>
          <w:szCs w:val="20"/>
        </w:rPr>
        <w:t>d</w:t>
      </w:r>
      <w:r w:rsidRPr="00E53751">
        <w:rPr>
          <w:rFonts w:ascii="Verdana" w:hAnsi="Verdana"/>
          <w:sz w:val="20"/>
          <w:szCs w:val="20"/>
        </w:rPr>
        <w:t xml:space="preserve"> </w:t>
      </w:r>
      <w:proofErr w:type="spellStart"/>
      <w:r w:rsidRPr="00E53751">
        <w:rPr>
          <w:rFonts w:ascii="Verdana" w:hAnsi="Verdana"/>
          <w:sz w:val="20"/>
          <w:szCs w:val="20"/>
        </w:rPr>
        <w:t>Sedarri</w:t>
      </w:r>
      <w:proofErr w:type="spellEnd"/>
      <w:r w:rsidRPr="00E53751">
        <w:rPr>
          <w:rFonts w:ascii="Verdana" w:hAnsi="Verdana"/>
          <w:sz w:val="20"/>
          <w:szCs w:val="20"/>
        </w:rPr>
        <w:t xml:space="preserve"> Aparicio, Estela Reyes </w:t>
      </w:r>
      <w:proofErr w:type="spellStart"/>
      <w:r w:rsidRPr="00E53751">
        <w:rPr>
          <w:rFonts w:ascii="Verdana" w:hAnsi="Verdana"/>
          <w:sz w:val="20"/>
          <w:szCs w:val="20"/>
        </w:rPr>
        <w:t>Sedarri</w:t>
      </w:r>
      <w:proofErr w:type="spellEnd"/>
      <w:r w:rsidRPr="00E53751">
        <w:rPr>
          <w:rFonts w:ascii="Verdana" w:hAnsi="Verdana"/>
          <w:sz w:val="20"/>
          <w:szCs w:val="20"/>
        </w:rPr>
        <w:t xml:space="preserve">, Washington Barrios, </w:t>
      </w:r>
      <w:r w:rsidR="00CC137B">
        <w:rPr>
          <w:rFonts w:ascii="Verdana" w:hAnsi="Verdana"/>
          <w:sz w:val="20"/>
          <w:szCs w:val="20"/>
        </w:rPr>
        <w:t xml:space="preserve">Hilda </w:t>
      </w:r>
      <w:r w:rsidRPr="00E53751">
        <w:rPr>
          <w:rFonts w:ascii="Verdana" w:hAnsi="Verdana"/>
          <w:sz w:val="20"/>
          <w:szCs w:val="20"/>
        </w:rPr>
        <w:t>María Fern</w:t>
      </w:r>
      <w:r w:rsidR="00CC137B">
        <w:rPr>
          <w:rFonts w:ascii="Verdana" w:hAnsi="Verdana"/>
          <w:sz w:val="20"/>
          <w:szCs w:val="20"/>
        </w:rPr>
        <w:t xml:space="preserve">ández </w:t>
      </w:r>
      <w:r w:rsidRPr="00E53751">
        <w:rPr>
          <w:rFonts w:ascii="Verdana" w:hAnsi="Verdana"/>
          <w:sz w:val="20"/>
          <w:szCs w:val="20"/>
        </w:rPr>
        <w:t>Rodríguez y Jaqueline Barrios Fernández;</w:t>
      </w:r>
    </w:p>
    <w:p w14:paraId="49CD3E3C" w14:textId="77777777" w:rsidR="001B6F20" w:rsidRPr="00E53751" w:rsidRDefault="001B6F20" w:rsidP="005A5029">
      <w:pPr>
        <w:spacing w:after="0" w:line="240" w:lineRule="exact"/>
        <w:ind w:left="284"/>
        <w:contextualSpacing/>
        <w:jc w:val="both"/>
        <w:rPr>
          <w:rFonts w:ascii="Verdana" w:hAnsi="Verdana"/>
          <w:sz w:val="20"/>
          <w:szCs w:val="20"/>
        </w:rPr>
      </w:pPr>
    </w:p>
    <w:p w14:paraId="61D96427" w14:textId="77777777" w:rsidR="001B6F20" w:rsidRDefault="001B6F20" w:rsidP="005A5029">
      <w:pPr>
        <w:spacing w:after="0" w:line="240" w:lineRule="exact"/>
        <w:ind w:left="284"/>
        <w:contextualSpacing/>
        <w:jc w:val="both"/>
        <w:rPr>
          <w:rFonts w:ascii="Verdana" w:hAnsi="Verdana"/>
          <w:sz w:val="20"/>
          <w:szCs w:val="20"/>
        </w:rPr>
      </w:pPr>
      <w:r w:rsidRPr="00E53751">
        <w:rPr>
          <w:rFonts w:ascii="Verdana" w:hAnsi="Verdana"/>
          <w:sz w:val="20"/>
          <w:szCs w:val="20"/>
        </w:rPr>
        <w:t xml:space="preserve">d) respecto a familiares de </w:t>
      </w:r>
      <w:r>
        <w:rPr>
          <w:rFonts w:ascii="Verdana" w:hAnsi="Verdana"/>
          <w:sz w:val="20"/>
          <w:szCs w:val="20"/>
        </w:rPr>
        <w:t>Ó</w:t>
      </w:r>
      <w:r w:rsidRPr="00E53751">
        <w:rPr>
          <w:rFonts w:ascii="Verdana" w:hAnsi="Verdana"/>
          <w:sz w:val="20"/>
          <w:szCs w:val="20"/>
        </w:rPr>
        <w:t xml:space="preserve">scar </w:t>
      </w:r>
      <w:proofErr w:type="spellStart"/>
      <w:r w:rsidRPr="00E53751">
        <w:rPr>
          <w:rFonts w:ascii="Verdana" w:hAnsi="Verdana"/>
          <w:sz w:val="20"/>
          <w:szCs w:val="20"/>
        </w:rPr>
        <w:t>Tassino</w:t>
      </w:r>
      <w:proofErr w:type="spellEnd"/>
      <w:r w:rsidRPr="00E53751">
        <w:rPr>
          <w:rFonts w:ascii="Verdana" w:hAnsi="Verdana"/>
          <w:sz w:val="20"/>
          <w:szCs w:val="20"/>
        </w:rPr>
        <w:t xml:space="preserve"> </w:t>
      </w:r>
      <w:proofErr w:type="spellStart"/>
      <w:r w:rsidRPr="00E53751">
        <w:rPr>
          <w:rFonts w:ascii="Verdana" w:hAnsi="Verdana"/>
          <w:sz w:val="20"/>
          <w:szCs w:val="20"/>
        </w:rPr>
        <w:t>Asteazu</w:t>
      </w:r>
      <w:proofErr w:type="spellEnd"/>
      <w:r w:rsidRPr="00E53751">
        <w:rPr>
          <w:rFonts w:ascii="Verdana" w:hAnsi="Verdana"/>
          <w:sz w:val="20"/>
          <w:szCs w:val="20"/>
        </w:rPr>
        <w:t xml:space="preserve">, corresponden: </w:t>
      </w:r>
      <w:r>
        <w:rPr>
          <w:rFonts w:ascii="Verdana" w:hAnsi="Verdana"/>
          <w:sz w:val="20"/>
          <w:szCs w:val="20"/>
        </w:rPr>
        <w:t xml:space="preserve">US$ 3,750 (tres mil setecientos cincuenta dólares de los Estados Unidos de América) </w:t>
      </w:r>
      <w:r w:rsidRPr="00E53751">
        <w:rPr>
          <w:rFonts w:ascii="Verdana" w:hAnsi="Verdana"/>
          <w:sz w:val="20"/>
          <w:szCs w:val="20"/>
        </w:rPr>
        <w:t xml:space="preserve">a favor de cada una de las siguientes personas: </w:t>
      </w:r>
      <w:proofErr w:type="spellStart"/>
      <w:r w:rsidRPr="00E53751">
        <w:rPr>
          <w:rFonts w:ascii="Verdana" w:hAnsi="Verdana"/>
          <w:sz w:val="20"/>
          <w:szCs w:val="20"/>
        </w:rPr>
        <w:t>Disnarda</w:t>
      </w:r>
      <w:proofErr w:type="spellEnd"/>
      <w:r w:rsidRPr="00E53751">
        <w:rPr>
          <w:rFonts w:ascii="Verdana" w:hAnsi="Verdana"/>
          <w:sz w:val="20"/>
          <w:szCs w:val="20"/>
        </w:rPr>
        <w:t xml:space="preserve"> Ema Flores Soler de </w:t>
      </w:r>
      <w:proofErr w:type="spellStart"/>
      <w:r w:rsidRPr="00E53751">
        <w:rPr>
          <w:rFonts w:ascii="Verdana" w:hAnsi="Verdana"/>
          <w:sz w:val="20"/>
          <w:szCs w:val="20"/>
        </w:rPr>
        <w:t>Tassino</w:t>
      </w:r>
      <w:proofErr w:type="spellEnd"/>
      <w:r w:rsidRPr="00E53751">
        <w:rPr>
          <w:rFonts w:ascii="Verdana" w:hAnsi="Verdana"/>
          <w:sz w:val="20"/>
          <w:szCs w:val="20"/>
        </w:rPr>
        <w:t xml:space="preserve">; Karina Teresa </w:t>
      </w:r>
      <w:proofErr w:type="spellStart"/>
      <w:r w:rsidRPr="00E53751">
        <w:rPr>
          <w:rFonts w:ascii="Verdana" w:hAnsi="Verdana"/>
          <w:sz w:val="20"/>
          <w:szCs w:val="20"/>
        </w:rPr>
        <w:t>Tassino</w:t>
      </w:r>
      <w:proofErr w:type="spellEnd"/>
      <w:r w:rsidRPr="00E53751">
        <w:rPr>
          <w:rFonts w:ascii="Verdana" w:hAnsi="Verdana"/>
          <w:sz w:val="20"/>
          <w:szCs w:val="20"/>
        </w:rPr>
        <w:t xml:space="preserve">; Javier </w:t>
      </w:r>
      <w:proofErr w:type="spellStart"/>
      <w:r w:rsidRPr="00E53751">
        <w:rPr>
          <w:rFonts w:ascii="Verdana" w:hAnsi="Verdana"/>
          <w:sz w:val="20"/>
          <w:szCs w:val="20"/>
        </w:rPr>
        <w:t>Tassino</w:t>
      </w:r>
      <w:proofErr w:type="spellEnd"/>
      <w:r w:rsidRPr="00E53751">
        <w:rPr>
          <w:rFonts w:ascii="Verdana" w:hAnsi="Verdana"/>
          <w:sz w:val="20"/>
          <w:szCs w:val="20"/>
        </w:rPr>
        <w:t xml:space="preserve"> y Álvaro Luis </w:t>
      </w:r>
      <w:proofErr w:type="spellStart"/>
      <w:r w:rsidRPr="00E53751">
        <w:rPr>
          <w:rFonts w:ascii="Verdana" w:hAnsi="Verdana"/>
          <w:sz w:val="20"/>
          <w:szCs w:val="20"/>
        </w:rPr>
        <w:t>Tassino</w:t>
      </w:r>
      <w:proofErr w:type="spellEnd"/>
      <w:r w:rsidRPr="00E53751">
        <w:rPr>
          <w:rFonts w:ascii="Verdana" w:hAnsi="Verdana"/>
          <w:sz w:val="20"/>
          <w:szCs w:val="20"/>
        </w:rPr>
        <w:t>, y</w:t>
      </w:r>
    </w:p>
    <w:p w14:paraId="6BE41CA2" w14:textId="77777777" w:rsidR="001B6F20" w:rsidRPr="00E53751" w:rsidRDefault="001B6F20" w:rsidP="005A5029">
      <w:pPr>
        <w:spacing w:after="0" w:line="240" w:lineRule="exact"/>
        <w:ind w:left="284"/>
        <w:contextualSpacing/>
        <w:jc w:val="both"/>
        <w:rPr>
          <w:rFonts w:ascii="Verdana" w:hAnsi="Verdana"/>
          <w:sz w:val="20"/>
          <w:szCs w:val="20"/>
        </w:rPr>
      </w:pPr>
    </w:p>
    <w:p w14:paraId="292B6558" w14:textId="77777777" w:rsidR="001B6F20" w:rsidRPr="00E53751" w:rsidRDefault="001B6F20" w:rsidP="005A5029">
      <w:pPr>
        <w:spacing w:after="0" w:line="240" w:lineRule="exact"/>
        <w:ind w:left="284"/>
        <w:contextualSpacing/>
        <w:jc w:val="both"/>
        <w:rPr>
          <w:rFonts w:ascii="Verdana" w:hAnsi="Verdana"/>
          <w:sz w:val="20"/>
          <w:szCs w:val="20"/>
        </w:rPr>
      </w:pPr>
      <w:r w:rsidRPr="00E53751">
        <w:rPr>
          <w:rFonts w:ascii="Verdana" w:hAnsi="Verdana"/>
          <w:sz w:val="20"/>
          <w:szCs w:val="20"/>
        </w:rPr>
        <w:t xml:space="preserve">d) respecto a familiares de Luis Eduardo González </w:t>
      </w:r>
      <w:proofErr w:type="spellStart"/>
      <w:r w:rsidRPr="00E53751">
        <w:rPr>
          <w:rFonts w:ascii="Verdana" w:hAnsi="Verdana"/>
          <w:sz w:val="20"/>
          <w:szCs w:val="20"/>
        </w:rPr>
        <w:t>González</w:t>
      </w:r>
      <w:proofErr w:type="spellEnd"/>
      <w:r w:rsidRPr="00E53751">
        <w:rPr>
          <w:rFonts w:ascii="Verdana" w:hAnsi="Verdana"/>
          <w:sz w:val="20"/>
          <w:szCs w:val="20"/>
        </w:rPr>
        <w:t xml:space="preserve">, corresponden: </w:t>
      </w:r>
      <w:r>
        <w:rPr>
          <w:rFonts w:ascii="Verdana" w:hAnsi="Verdana"/>
          <w:sz w:val="20"/>
          <w:szCs w:val="20"/>
        </w:rPr>
        <w:t xml:space="preserve">US$ 7,500 (siete mil quinientos dólares de los Estados Unidos de América) </w:t>
      </w:r>
      <w:r w:rsidRPr="00E53751">
        <w:rPr>
          <w:rFonts w:ascii="Verdana" w:hAnsi="Verdana"/>
          <w:sz w:val="20"/>
          <w:szCs w:val="20"/>
        </w:rPr>
        <w:t>a favor de cada una de las siguientes personas: Amalia González de González y Elena Zaffaroni Rocco.</w:t>
      </w:r>
    </w:p>
    <w:p w14:paraId="00DBA96E" w14:textId="77777777" w:rsidR="001B6F20" w:rsidRPr="00E53751" w:rsidRDefault="001B6F20" w:rsidP="005A5029">
      <w:pPr>
        <w:spacing w:after="0" w:line="240" w:lineRule="exact"/>
        <w:ind w:left="284"/>
        <w:contextualSpacing/>
        <w:jc w:val="both"/>
        <w:rPr>
          <w:rFonts w:ascii="Verdana" w:hAnsi="Verdana"/>
          <w:sz w:val="20"/>
          <w:szCs w:val="20"/>
          <w:lang w:val="es-ES_tradnl"/>
        </w:rPr>
      </w:pPr>
    </w:p>
    <w:p w14:paraId="05FF86E1" w14:textId="54C3146A" w:rsidR="001B6F20" w:rsidRPr="00E53751"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E53751">
        <w:rPr>
          <w:rFonts w:ascii="Verdana" w:hAnsi="Verdana"/>
          <w:sz w:val="20"/>
          <w:szCs w:val="20"/>
          <w:lang w:val="es-ES_tradnl"/>
        </w:rPr>
        <w:t>Por otra parte, también respecto al daño material, corresponde indemnizar el lucro cesante, es decir, los ingresos dejados de pe</w:t>
      </w:r>
      <w:r w:rsidR="00D2074A">
        <w:rPr>
          <w:rFonts w:ascii="Verdana" w:hAnsi="Verdana"/>
          <w:sz w:val="20"/>
          <w:szCs w:val="20"/>
          <w:lang w:val="es-ES_tradnl"/>
        </w:rPr>
        <w:t>rcibir por las víctimas a causa</w:t>
      </w:r>
      <w:r w:rsidRPr="00E53751">
        <w:rPr>
          <w:rFonts w:ascii="Verdana" w:hAnsi="Verdana"/>
          <w:sz w:val="20"/>
          <w:szCs w:val="20"/>
          <w:lang w:val="es-ES_tradnl"/>
        </w:rPr>
        <w:t xml:space="preserve"> de las violaciones a derechos humanos determinadas. Este rubro no corresponde asignar</w:t>
      </w:r>
      <w:r w:rsidR="0048467F">
        <w:rPr>
          <w:rFonts w:ascii="Verdana" w:hAnsi="Verdana"/>
          <w:sz w:val="20"/>
          <w:szCs w:val="20"/>
          <w:lang w:val="es-ES_tradnl"/>
        </w:rPr>
        <w:t>lo a familiares de las tres mujeres que sufrieron una muerte violenta</w:t>
      </w:r>
      <w:r w:rsidR="00D2074A">
        <w:rPr>
          <w:rFonts w:ascii="Verdana" w:hAnsi="Verdana"/>
          <w:sz w:val="20"/>
          <w:szCs w:val="20"/>
          <w:lang w:val="es-ES_tradnl"/>
        </w:rPr>
        <w:t xml:space="preserve">, </w:t>
      </w:r>
      <w:proofErr w:type="gramStart"/>
      <w:r w:rsidR="00D2074A">
        <w:rPr>
          <w:rFonts w:ascii="Verdana" w:hAnsi="Verdana"/>
          <w:sz w:val="20"/>
          <w:szCs w:val="20"/>
          <w:lang w:val="es-ES_tradnl"/>
        </w:rPr>
        <w:t>en razón de</w:t>
      </w:r>
      <w:proofErr w:type="gramEnd"/>
      <w:r w:rsidR="00D2074A">
        <w:rPr>
          <w:rFonts w:ascii="Verdana" w:hAnsi="Verdana"/>
          <w:sz w:val="20"/>
          <w:szCs w:val="20"/>
          <w:lang w:val="es-ES_tradnl"/>
        </w:rPr>
        <w:t xml:space="preserve"> la competencia temporal</w:t>
      </w:r>
      <w:r w:rsidR="0048467F">
        <w:rPr>
          <w:rFonts w:ascii="Verdana" w:hAnsi="Verdana"/>
          <w:sz w:val="20"/>
          <w:szCs w:val="20"/>
          <w:lang w:val="es-ES_tradnl"/>
        </w:rPr>
        <w:t xml:space="preserve"> del Tribunal.</w:t>
      </w:r>
      <w:r w:rsidRPr="00E53751">
        <w:rPr>
          <w:rFonts w:ascii="Verdana" w:hAnsi="Verdana"/>
          <w:sz w:val="20"/>
          <w:szCs w:val="20"/>
          <w:lang w:val="es-ES_tradnl"/>
        </w:rPr>
        <w:t xml:space="preserve"> Sí corresponde determinarlo respecto de </w:t>
      </w:r>
      <w:r>
        <w:rPr>
          <w:rFonts w:ascii="Verdana" w:hAnsi="Verdana"/>
          <w:sz w:val="20"/>
          <w:szCs w:val="20"/>
          <w:lang w:val="es-ES_tradnl"/>
        </w:rPr>
        <w:t>Ó</w:t>
      </w:r>
      <w:r w:rsidRPr="00E53751">
        <w:rPr>
          <w:rFonts w:ascii="Verdana" w:hAnsi="Verdana"/>
          <w:sz w:val="20"/>
          <w:szCs w:val="20"/>
          <w:lang w:val="es-ES_tradnl"/>
        </w:rPr>
        <w:t xml:space="preserve">scar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Asteazú</w:t>
      </w:r>
      <w:proofErr w:type="spellEnd"/>
      <w:r w:rsidRPr="00E53751">
        <w:rPr>
          <w:rFonts w:ascii="Verdana" w:hAnsi="Verdana"/>
          <w:sz w:val="20"/>
          <w:szCs w:val="20"/>
          <w:lang w:val="es-ES_tradnl"/>
        </w:rPr>
        <w:t xml:space="preserve"> y Luis Eduardo González </w:t>
      </w:r>
      <w:proofErr w:type="spellStart"/>
      <w:r w:rsidRPr="00E53751">
        <w:rPr>
          <w:rFonts w:ascii="Verdana" w:hAnsi="Verdana"/>
          <w:sz w:val="20"/>
          <w:szCs w:val="20"/>
          <w:lang w:val="es-ES_tradnl"/>
        </w:rPr>
        <w:t>González</w:t>
      </w:r>
      <w:proofErr w:type="spellEnd"/>
      <w:r w:rsidRPr="00E53751">
        <w:rPr>
          <w:rFonts w:ascii="Verdana" w:hAnsi="Verdana"/>
          <w:sz w:val="20"/>
          <w:szCs w:val="20"/>
          <w:lang w:val="es-ES_tradnl"/>
        </w:rPr>
        <w:t xml:space="preserve">. La Corte, en equidad, teniendo en </w:t>
      </w:r>
      <w:r w:rsidRPr="00E53751">
        <w:rPr>
          <w:rFonts w:ascii="Verdana" w:hAnsi="Verdana"/>
          <w:sz w:val="20"/>
          <w:szCs w:val="20"/>
          <w:lang w:val="es-ES_tradnl"/>
        </w:rPr>
        <w:lastRenderedPageBreak/>
        <w:t xml:space="preserve">cuenta la edad que tenían al momento de sus desapariciones, establece los siguientes montos de indemnización: a) a favor de </w:t>
      </w:r>
      <w:r>
        <w:rPr>
          <w:rFonts w:ascii="Verdana" w:hAnsi="Verdana"/>
          <w:sz w:val="20"/>
          <w:szCs w:val="20"/>
          <w:lang w:val="es-ES_tradnl"/>
        </w:rPr>
        <w:t>Ó</w:t>
      </w:r>
      <w:r w:rsidRPr="00E53751">
        <w:rPr>
          <w:rFonts w:ascii="Verdana" w:hAnsi="Verdana"/>
          <w:sz w:val="20"/>
          <w:szCs w:val="20"/>
          <w:lang w:val="es-ES_tradnl"/>
        </w:rPr>
        <w:t xml:space="preserve">scar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Asteazú</w:t>
      </w:r>
      <w:proofErr w:type="spellEnd"/>
      <w:r w:rsidRPr="00E53751">
        <w:rPr>
          <w:rFonts w:ascii="Verdana" w:hAnsi="Verdana"/>
          <w:sz w:val="20"/>
          <w:szCs w:val="20"/>
          <w:lang w:val="es-ES_tradnl"/>
        </w:rPr>
        <w:t xml:space="preserve">, US$ 180,000.00 (ciento ochenta mil dólares de los Estados Unidos de América); b) a favor de Luis Eduardo González </w:t>
      </w:r>
      <w:proofErr w:type="spellStart"/>
      <w:r w:rsidRPr="00E53751">
        <w:rPr>
          <w:rFonts w:ascii="Verdana" w:hAnsi="Verdana"/>
          <w:sz w:val="20"/>
          <w:szCs w:val="20"/>
          <w:lang w:val="es-ES_tradnl"/>
        </w:rPr>
        <w:t>González</w:t>
      </w:r>
      <w:proofErr w:type="spellEnd"/>
      <w:r w:rsidRPr="00E53751">
        <w:rPr>
          <w:rFonts w:ascii="Verdana" w:hAnsi="Verdana"/>
          <w:sz w:val="20"/>
          <w:szCs w:val="20"/>
          <w:lang w:val="es-ES_tradnl"/>
        </w:rPr>
        <w:t xml:space="preserve">, US$ 280,000.00 (doscientos ochenta mil dólares de los Estados Unidos de América). </w:t>
      </w:r>
    </w:p>
    <w:p w14:paraId="36E615C5" w14:textId="77777777" w:rsidR="001B6F20" w:rsidRPr="00E53751" w:rsidRDefault="001B6F20" w:rsidP="005A5029">
      <w:pPr>
        <w:spacing w:after="0" w:line="240" w:lineRule="exact"/>
        <w:contextualSpacing/>
        <w:jc w:val="both"/>
        <w:rPr>
          <w:rFonts w:ascii="Verdana" w:hAnsi="Verdana"/>
          <w:sz w:val="20"/>
          <w:szCs w:val="20"/>
          <w:lang w:val="es-ES_tradnl"/>
        </w:rPr>
      </w:pPr>
    </w:p>
    <w:p w14:paraId="33DDF619" w14:textId="60EF24A2" w:rsidR="001B6F20" w:rsidRPr="00E53751"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E53751">
        <w:rPr>
          <w:rFonts w:ascii="Verdana" w:hAnsi="Verdana"/>
          <w:sz w:val="20"/>
          <w:szCs w:val="20"/>
          <w:lang w:val="es-ES_tradnl"/>
        </w:rPr>
        <w:t>Por último, resta fijar compensaciones respecto al daño inmaterial. Las mismas</w:t>
      </w:r>
      <w:r w:rsidR="0048467F">
        <w:rPr>
          <w:rFonts w:ascii="Verdana" w:hAnsi="Verdana"/>
          <w:sz w:val="20"/>
          <w:szCs w:val="20"/>
          <w:lang w:val="es-ES_tradnl"/>
        </w:rPr>
        <w:t xml:space="preserve"> pro</w:t>
      </w:r>
      <w:r w:rsidRPr="00E53751">
        <w:rPr>
          <w:rFonts w:ascii="Verdana" w:hAnsi="Verdana"/>
          <w:sz w:val="20"/>
          <w:szCs w:val="20"/>
          <w:lang w:val="es-ES_tradnl"/>
        </w:rPr>
        <w:t>ceden respecto de</w:t>
      </w:r>
      <w:r w:rsidR="0048467F">
        <w:rPr>
          <w:rFonts w:ascii="Verdana" w:hAnsi="Verdana"/>
          <w:sz w:val="20"/>
          <w:szCs w:val="20"/>
          <w:lang w:val="es-ES_tradnl"/>
        </w:rPr>
        <w:t xml:space="preserve"> los familiares de</w:t>
      </w:r>
      <w:r w:rsidRPr="00E53751">
        <w:rPr>
          <w:rFonts w:ascii="Verdana" w:hAnsi="Verdana"/>
          <w:sz w:val="20"/>
          <w:szCs w:val="20"/>
          <w:lang w:val="es-ES_tradnl"/>
        </w:rPr>
        <w:t xml:space="preserve"> Diana </w:t>
      </w:r>
      <w:proofErr w:type="spellStart"/>
      <w:r w:rsidRPr="00E53751">
        <w:rPr>
          <w:rFonts w:ascii="Verdana" w:hAnsi="Verdana"/>
          <w:sz w:val="20"/>
          <w:szCs w:val="20"/>
          <w:lang w:val="es-ES_tradnl"/>
        </w:rPr>
        <w:t>Maidanik</w:t>
      </w:r>
      <w:proofErr w:type="spellEnd"/>
      <w:r w:rsidRPr="00E53751">
        <w:rPr>
          <w:rFonts w:ascii="Verdana" w:hAnsi="Verdana"/>
          <w:sz w:val="20"/>
          <w:szCs w:val="20"/>
          <w:lang w:val="es-ES_tradnl"/>
        </w:rPr>
        <w:t xml:space="preserve">, Silvia Reyes y Laura Raggio, ya que, </w:t>
      </w:r>
      <w:r w:rsidR="0048467F">
        <w:rPr>
          <w:rFonts w:ascii="Verdana" w:hAnsi="Verdana"/>
          <w:sz w:val="20"/>
          <w:szCs w:val="20"/>
          <w:lang w:val="es-ES_tradnl"/>
        </w:rPr>
        <w:t xml:space="preserve">aunque </w:t>
      </w:r>
      <w:r w:rsidRPr="00E53751">
        <w:rPr>
          <w:rFonts w:ascii="Verdana" w:hAnsi="Verdana"/>
          <w:sz w:val="20"/>
          <w:szCs w:val="20"/>
          <w:lang w:val="es-ES_tradnl"/>
        </w:rPr>
        <w:t>por su competencia temporal, la Corte no ha determinado violaciones a d</w:t>
      </w:r>
      <w:r w:rsidR="0048467F">
        <w:rPr>
          <w:rFonts w:ascii="Verdana" w:hAnsi="Verdana"/>
          <w:sz w:val="20"/>
          <w:szCs w:val="20"/>
          <w:lang w:val="es-ES_tradnl"/>
        </w:rPr>
        <w:t>erechos humanos en perjuicio de ellas tres, sí constató afectaciones en perjuicio de sus familiares (</w:t>
      </w:r>
      <w:r w:rsidR="0048467F">
        <w:rPr>
          <w:rFonts w:ascii="Verdana" w:hAnsi="Verdana"/>
          <w:i/>
          <w:sz w:val="20"/>
          <w:szCs w:val="20"/>
          <w:lang w:val="es-ES_tradnl"/>
        </w:rPr>
        <w:t>supra</w:t>
      </w:r>
      <w:r w:rsidR="0048467F">
        <w:rPr>
          <w:rFonts w:ascii="Verdana" w:hAnsi="Verdana"/>
          <w:sz w:val="20"/>
          <w:szCs w:val="20"/>
          <w:lang w:val="es-ES_tradnl"/>
        </w:rPr>
        <w:t xml:space="preserve"> </w:t>
      </w:r>
      <w:proofErr w:type="spellStart"/>
      <w:r w:rsidR="0048467F">
        <w:rPr>
          <w:rFonts w:ascii="Verdana" w:hAnsi="Verdana"/>
          <w:sz w:val="20"/>
          <w:szCs w:val="20"/>
          <w:lang w:val="es-ES_tradnl"/>
        </w:rPr>
        <w:t>párrs</w:t>
      </w:r>
      <w:proofErr w:type="spellEnd"/>
      <w:r w:rsidR="0048467F">
        <w:rPr>
          <w:rFonts w:ascii="Verdana" w:hAnsi="Verdana"/>
          <w:sz w:val="20"/>
          <w:szCs w:val="20"/>
          <w:lang w:val="es-ES_tradnl"/>
        </w:rPr>
        <w:t xml:space="preserve"> 182 y 19). C</w:t>
      </w:r>
      <w:r w:rsidRPr="00E53751">
        <w:rPr>
          <w:rFonts w:ascii="Verdana" w:hAnsi="Verdana"/>
          <w:sz w:val="20"/>
          <w:szCs w:val="20"/>
          <w:lang w:val="es-ES_tradnl"/>
        </w:rPr>
        <w:t>orresponden</w:t>
      </w:r>
      <w:r w:rsidR="0048467F">
        <w:rPr>
          <w:rFonts w:ascii="Verdana" w:hAnsi="Verdana"/>
          <w:sz w:val="20"/>
          <w:szCs w:val="20"/>
          <w:lang w:val="es-ES_tradnl"/>
        </w:rPr>
        <w:t>, de igual modo,</w:t>
      </w:r>
      <w:r w:rsidRPr="00E53751">
        <w:rPr>
          <w:rFonts w:ascii="Verdana" w:hAnsi="Verdana"/>
          <w:sz w:val="20"/>
          <w:szCs w:val="20"/>
          <w:lang w:val="es-ES_tradnl"/>
        </w:rPr>
        <w:t xml:space="preserve"> respecto a Óscar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Asteazu</w:t>
      </w:r>
      <w:proofErr w:type="spellEnd"/>
      <w:r w:rsidRPr="00E53751">
        <w:rPr>
          <w:rFonts w:ascii="Verdana" w:hAnsi="Verdana"/>
          <w:sz w:val="20"/>
          <w:szCs w:val="20"/>
          <w:lang w:val="es-ES_tradnl"/>
        </w:rPr>
        <w:t xml:space="preserve">, Luis Eduardo González </w:t>
      </w:r>
      <w:proofErr w:type="spellStart"/>
      <w:r w:rsidRPr="00E53751">
        <w:rPr>
          <w:rFonts w:ascii="Verdana" w:hAnsi="Verdana"/>
          <w:sz w:val="20"/>
          <w:szCs w:val="20"/>
          <w:lang w:val="es-ES_tradnl"/>
        </w:rPr>
        <w:t>González</w:t>
      </w:r>
      <w:proofErr w:type="spellEnd"/>
      <w:r w:rsidRPr="00E53751">
        <w:rPr>
          <w:rFonts w:ascii="Verdana" w:hAnsi="Verdana"/>
          <w:sz w:val="20"/>
          <w:szCs w:val="20"/>
          <w:lang w:val="es-ES_tradnl"/>
        </w:rPr>
        <w:t xml:space="preserve"> y </w:t>
      </w:r>
      <w:r w:rsidR="0048467F">
        <w:rPr>
          <w:rFonts w:ascii="Verdana" w:hAnsi="Verdana"/>
          <w:sz w:val="20"/>
          <w:szCs w:val="20"/>
          <w:lang w:val="es-ES_tradnl"/>
        </w:rPr>
        <w:t>los familiares de ellos</w:t>
      </w:r>
      <w:r w:rsidRPr="00E53751">
        <w:rPr>
          <w:rFonts w:ascii="Verdana" w:hAnsi="Verdana"/>
          <w:sz w:val="20"/>
          <w:szCs w:val="20"/>
          <w:lang w:val="es-ES_tradnl"/>
        </w:rPr>
        <w:t xml:space="preserve">. La Corte, en equidad, considerando el parentesco con cada una de las cinco personas nombradas, establece los siguientes montos de indemnización, a favor de cada una de las víctimas, por daño inmaterial, conforme se expone a continuación: </w:t>
      </w:r>
    </w:p>
    <w:p w14:paraId="6536FB44" w14:textId="77777777" w:rsidR="001B6F20" w:rsidRPr="00E53751" w:rsidRDefault="001B6F20" w:rsidP="005A5029">
      <w:pPr>
        <w:spacing w:after="0" w:line="240" w:lineRule="exact"/>
        <w:contextualSpacing/>
        <w:jc w:val="both"/>
        <w:rPr>
          <w:rFonts w:ascii="Verdana" w:hAnsi="Verdana"/>
          <w:sz w:val="20"/>
          <w:szCs w:val="20"/>
          <w:lang w:val="es-ES_tradnl"/>
        </w:rPr>
      </w:pPr>
    </w:p>
    <w:p w14:paraId="095245E9" w14:textId="77777777" w:rsidR="001B6F20"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 xml:space="preserve">1.- Óscar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Asteazu</w:t>
      </w:r>
      <w:proofErr w:type="spellEnd"/>
      <w:r w:rsidRPr="00E53751">
        <w:rPr>
          <w:rFonts w:ascii="Verdana" w:hAnsi="Verdana"/>
          <w:sz w:val="20"/>
          <w:szCs w:val="20"/>
          <w:lang w:val="es-ES_tradnl"/>
        </w:rPr>
        <w:t>: US$ 100,000.00 (cien mil dólares de los Estados Unidos de América);</w:t>
      </w:r>
    </w:p>
    <w:p w14:paraId="3450A5D5" w14:textId="77777777" w:rsidR="001B6F20"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 xml:space="preserve">2.- Luis Eduardo González </w:t>
      </w:r>
      <w:proofErr w:type="spellStart"/>
      <w:r w:rsidRPr="00E53751">
        <w:rPr>
          <w:rFonts w:ascii="Verdana" w:hAnsi="Verdana"/>
          <w:sz w:val="20"/>
          <w:szCs w:val="20"/>
          <w:lang w:val="es-ES_tradnl"/>
        </w:rPr>
        <w:t>González</w:t>
      </w:r>
      <w:proofErr w:type="spellEnd"/>
      <w:r w:rsidRPr="00E53751">
        <w:rPr>
          <w:rFonts w:ascii="Verdana" w:hAnsi="Verdana"/>
          <w:sz w:val="20"/>
          <w:szCs w:val="20"/>
          <w:lang w:val="es-ES_tradnl"/>
        </w:rPr>
        <w:t>: US$ 100,000.00 (cien mil dólares de los Estados Unidos de América);</w:t>
      </w:r>
    </w:p>
    <w:p w14:paraId="14F699F9" w14:textId="77777777" w:rsidR="001B6F20" w:rsidRPr="00E53751" w:rsidRDefault="001B6F20" w:rsidP="005A5029">
      <w:pPr>
        <w:spacing w:after="0" w:line="240" w:lineRule="exact"/>
        <w:ind w:left="284"/>
        <w:contextualSpacing/>
        <w:jc w:val="both"/>
        <w:rPr>
          <w:rFonts w:ascii="Verdana" w:hAnsi="Verdana"/>
          <w:sz w:val="20"/>
          <w:szCs w:val="20"/>
          <w:lang w:val="es-ES_tradnl"/>
        </w:rPr>
      </w:pPr>
      <w:r>
        <w:rPr>
          <w:rFonts w:ascii="Verdana" w:hAnsi="Verdana"/>
          <w:sz w:val="20"/>
          <w:szCs w:val="20"/>
          <w:lang w:val="es-ES_tradnl"/>
        </w:rPr>
        <w:t>3</w:t>
      </w:r>
      <w:r w:rsidRPr="00E53751">
        <w:rPr>
          <w:rFonts w:ascii="Verdana" w:hAnsi="Verdana"/>
          <w:sz w:val="20"/>
          <w:szCs w:val="20"/>
          <w:lang w:val="es-ES_tradnl"/>
        </w:rPr>
        <w:t xml:space="preserve">.- Flora </w:t>
      </w:r>
      <w:proofErr w:type="spellStart"/>
      <w:r w:rsidRPr="00E53751">
        <w:rPr>
          <w:rFonts w:ascii="Verdana" w:hAnsi="Verdana"/>
          <w:sz w:val="20"/>
          <w:szCs w:val="20"/>
          <w:lang w:val="es-ES_tradnl"/>
        </w:rPr>
        <w:t>Potasnik</w:t>
      </w:r>
      <w:proofErr w:type="spellEnd"/>
      <w:r>
        <w:rPr>
          <w:rFonts w:ascii="Verdana" w:hAnsi="Verdana"/>
          <w:sz w:val="20"/>
          <w:szCs w:val="20"/>
          <w:lang w:val="es-ES_tradnl"/>
        </w:rPr>
        <w:t xml:space="preserve"> (madre de Diana </w:t>
      </w:r>
      <w:proofErr w:type="spellStart"/>
      <w:r>
        <w:rPr>
          <w:rFonts w:ascii="Verdana" w:hAnsi="Verdana"/>
          <w:sz w:val="20"/>
          <w:szCs w:val="20"/>
          <w:lang w:val="es-ES_tradnl"/>
        </w:rPr>
        <w:t>Maidanik</w:t>
      </w:r>
      <w:proofErr w:type="spellEnd"/>
      <w:r>
        <w:rPr>
          <w:rFonts w:ascii="Verdana" w:hAnsi="Verdana"/>
          <w:sz w:val="20"/>
          <w:szCs w:val="20"/>
          <w:lang w:val="es-ES_tradnl"/>
        </w:rPr>
        <w:t>)</w:t>
      </w:r>
      <w:r w:rsidRPr="00E53751">
        <w:rPr>
          <w:rFonts w:ascii="Verdana" w:hAnsi="Verdana"/>
          <w:sz w:val="20"/>
          <w:szCs w:val="20"/>
          <w:lang w:val="es-ES_tradnl"/>
        </w:rPr>
        <w:t>: US$ 40,000.00 (cuarenta mil dólares de los Estados Unidos de América);</w:t>
      </w:r>
    </w:p>
    <w:p w14:paraId="537DA4C5" w14:textId="77777777" w:rsidR="001B6F20" w:rsidRPr="00E53751" w:rsidRDefault="001B6F20" w:rsidP="005A5029">
      <w:pPr>
        <w:spacing w:after="0" w:line="240" w:lineRule="exact"/>
        <w:ind w:left="284"/>
        <w:contextualSpacing/>
        <w:jc w:val="both"/>
        <w:rPr>
          <w:rFonts w:ascii="Verdana" w:hAnsi="Verdana"/>
          <w:sz w:val="20"/>
          <w:szCs w:val="20"/>
          <w:lang w:val="es-ES_tradnl"/>
        </w:rPr>
      </w:pPr>
      <w:r>
        <w:rPr>
          <w:rFonts w:ascii="Verdana" w:hAnsi="Verdana"/>
          <w:sz w:val="20"/>
          <w:szCs w:val="20"/>
          <w:lang w:val="es-ES_tradnl"/>
        </w:rPr>
        <w:t>4</w:t>
      </w:r>
      <w:r w:rsidRPr="00E53751">
        <w:rPr>
          <w:rFonts w:ascii="Verdana" w:hAnsi="Verdana"/>
          <w:sz w:val="20"/>
          <w:szCs w:val="20"/>
          <w:lang w:val="es-ES_tradnl"/>
        </w:rPr>
        <w:t xml:space="preserve">.- Mónica Raquel </w:t>
      </w:r>
      <w:proofErr w:type="spellStart"/>
      <w:r w:rsidRPr="00E53751">
        <w:rPr>
          <w:rFonts w:ascii="Verdana" w:hAnsi="Verdana"/>
          <w:sz w:val="20"/>
          <w:szCs w:val="20"/>
          <w:lang w:val="es-ES_tradnl"/>
        </w:rPr>
        <w:t>Wodzislawki</w:t>
      </w:r>
      <w:proofErr w:type="spellEnd"/>
      <w:r w:rsidRPr="00E53751">
        <w:rPr>
          <w:rFonts w:ascii="Verdana" w:hAnsi="Verdana"/>
          <w:sz w:val="20"/>
          <w:szCs w:val="20"/>
          <w:lang w:val="es-ES_tradnl"/>
        </w:rPr>
        <w:t xml:space="preserve"> (prima</w:t>
      </w:r>
      <w:r>
        <w:rPr>
          <w:rFonts w:ascii="Verdana" w:hAnsi="Verdana"/>
          <w:sz w:val="20"/>
          <w:szCs w:val="20"/>
          <w:lang w:val="es-ES_tradnl"/>
        </w:rPr>
        <w:t xml:space="preserve"> de Diana </w:t>
      </w:r>
      <w:proofErr w:type="spellStart"/>
      <w:r>
        <w:rPr>
          <w:rFonts w:ascii="Verdana" w:hAnsi="Verdana"/>
          <w:sz w:val="20"/>
          <w:szCs w:val="20"/>
          <w:lang w:val="es-ES_tradnl"/>
        </w:rPr>
        <w:t>Maidanik</w:t>
      </w:r>
      <w:proofErr w:type="spellEnd"/>
      <w:r w:rsidRPr="00E53751">
        <w:rPr>
          <w:rFonts w:ascii="Verdana" w:hAnsi="Verdana"/>
          <w:sz w:val="20"/>
          <w:szCs w:val="20"/>
          <w:lang w:val="es-ES_tradnl"/>
        </w:rPr>
        <w:t>): US$ 15,000.00 (quince mil dólares de los Estados Unidos de América)</w:t>
      </w:r>
    </w:p>
    <w:p w14:paraId="16270611" w14:textId="77777777" w:rsidR="001B6F20" w:rsidRPr="00E53751"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 xml:space="preserve">5.- Marta </w:t>
      </w:r>
      <w:proofErr w:type="spellStart"/>
      <w:r w:rsidRPr="00E53751">
        <w:rPr>
          <w:rFonts w:ascii="Verdana" w:hAnsi="Verdana"/>
          <w:sz w:val="20"/>
          <w:szCs w:val="20"/>
          <w:lang w:val="es-ES_tradnl"/>
        </w:rPr>
        <w:t>Odizzio</w:t>
      </w:r>
      <w:proofErr w:type="spellEnd"/>
      <w:r w:rsidRPr="00E53751">
        <w:rPr>
          <w:rFonts w:ascii="Verdana" w:hAnsi="Verdana"/>
          <w:sz w:val="20"/>
          <w:szCs w:val="20"/>
          <w:lang w:val="es-ES_tradnl"/>
        </w:rPr>
        <w:t xml:space="preserve"> de </w:t>
      </w:r>
      <w:proofErr w:type="spellStart"/>
      <w:r w:rsidRPr="00E53751">
        <w:rPr>
          <w:rFonts w:ascii="Verdana" w:hAnsi="Verdana"/>
          <w:sz w:val="20"/>
          <w:szCs w:val="20"/>
          <w:lang w:val="es-ES_tradnl"/>
        </w:rPr>
        <w:t>Ragio</w:t>
      </w:r>
      <w:proofErr w:type="spellEnd"/>
      <w:r>
        <w:rPr>
          <w:rFonts w:ascii="Verdana" w:hAnsi="Verdana"/>
          <w:sz w:val="20"/>
          <w:szCs w:val="20"/>
          <w:lang w:val="es-ES_tradnl"/>
        </w:rPr>
        <w:t xml:space="preserve"> (madre de Laura Raggio)</w:t>
      </w:r>
      <w:r w:rsidRPr="00E53751">
        <w:rPr>
          <w:rFonts w:ascii="Verdana" w:hAnsi="Verdana"/>
          <w:sz w:val="20"/>
          <w:szCs w:val="20"/>
          <w:lang w:val="es-ES_tradnl"/>
        </w:rPr>
        <w:t>:  US$ 40,000.00 (cuarenta mil dólares de los Estados Unidos de América);</w:t>
      </w:r>
    </w:p>
    <w:p w14:paraId="72206E40" w14:textId="77777777" w:rsidR="001B6F20" w:rsidRPr="00E53751"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 xml:space="preserve">6.- Horacio Enrique Raggio </w:t>
      </w:r>
      <w:proofErr w:type="spellStart"/>
      <w:r w:rsidRPr="00E53751">
        <w:rPr>
          <w:rFonts w:ascii="Verdana" w:hAnsi="Verdana"/>
          <w:sz w:val="20"/>
          <w:szCs w:val="20"/>
          <w:lang w:val="es-ES_tradnl"/>
        </w:rPr>
        <w:t>Odizzio</w:t>
      </w:r>
      <w:proofErr w:type="spellEnd"/>
      <w:r w:rsidRPr="00E53751">
        <w:rPr>
          <w:rFonts w:ascii="Verdana" w:hAnsi="Verdana"/>
          <w:sz w:val="20"/>
          <w:szCs w:val="20"/>
          <w:lang w:val="es-ES_tradnl"/>
        </w:rPr>
        <w:t xml:space="preserve"> (hermano</w:t>
      </w:r>
      <w:r>
        <w:rPr>
          <w:rFonts w:ascii="Verdana" w:hAnsi="Verdana"/>
          <w:sz w:val="20"/>
          <w:szCs w:val="20"/>
          <w:lang w:val="es-ES_tradnl"/>
        </w:rPr>
        <w:t xml:space="preserve"> de Laura Raggio</w:t>
      </w:r>
      <w:r w:rsidRPr="00E53751">
        <w:rPr>
          <w:rFonts w:ascii="Verdana" w:hAnsi="Verdana"/>
          <w:sz w:val="20"/>
          <w:szCs w:val="20"/>
          <w:lang w:val="es-ES_tradnl"/>
        </w:rPr>
        <w:t>): US$ 25,000.00 (veinticinco mil dólares de los Estados Unidos de América);</w:t>
      </w:r>
    </w:p>
    <w:p w14:paraId="6132704E" w14:textId="77777777" w:rsidR="001B6F20" w:rsidRPr="00E53751"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 xml:space="preserve">7.- Daniel Raggio </w:t>
      </w:r>
      <w:proofErr w:type="spellStart"/>
      <w:r w:rsidRPr="00E53751">
        <w:rPr>
          <w:rFonts w:ascii="Verdana" w:hAnsi="Verdana"/>
          <w:sz w:val="20"/>
          <w:szCs w:val="20"/>
          <w:lang w:val="es-ES_tradnl"/>
        </w:rPr>
        <w:t>Odizzio</w:t>
      </w:r>
      <w:proofErr w:type="spellEnd"/>
      <w:r w:rsidRPr="00E53751">
        <w:rPr>
          <w:rFonts w:ascii="Verdana" w:hAnsi="Verdana"/>
          <w:sz w:val="20"/>
          <w:szCs w:val="20"/>
          <w:lang w:val="es-ES_tradnl"/>
        </w:rPr>
        <w:t xml:space="preserve"> (hermano</w:t>
      </w:r>
      <w:r>
        <w:rPr>
          <w:rFonts w:ascii="Verdana" w:hAnsi="Verdana"/>
          <w:sz w:val="20"/>
          <w:szCs w:val="20"/>
          <w:lang w:val="es-ES_tradnl"/>
        </w:rPr>
        <w:t xml:space="preserve"> de Laura Raggio</w:t>
      </w:r>
      <w:r w:rsidRPr="00E53751">
        <w:rPr>
          <w:rFonts w:ascii="Verdana" w:hAnsi="Verdana"/>
          <w:sz w:val="20"/>
          <w:szCs w:val="20"/>
          <w:lang w:val="es-ES_tradnl"/>
        </w:rPr>
        <w:t>): US$ 25,000.00 (veinticinco mil dólares de los Estados Unidos de América);</w:t>
      </w:r>
    </w:p>
    <w:p w14:paraId="670B3F45" w14:textId="77777777" w:rsidR="001B6F20" w:rsidRPr="00E53751"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 xml:space="preserve">8.- Arturo Ricardo Reyes </w:t>
      </w:r>
      <w:proofErr w:type="spellStart"/>
      <w:r w:rsidRPr="00E53751">
        <w:rPr>
          <w:rFonts w:ascii="Verdana" w:hAnsi="Verdana"/>
          <w:sz w:val="20"/>
          <w:szCs w:val="20"/>
          <w:lang w:val="es-ES_tradnl"/>
        </w:rPr>
        <w:t>Gaetán</w:t>
      </w:r>
      <w:proofErr w:type="spellEnd"/>
      <w:r>
        <w:rPr>
          <w:rFonts w:ascii="Verdana" w:hAnsi="Verdana"/>
          <w:sz w:val="20"/>
          <w:szCs w:val="20"/>
          <w:lang w:val="es-ES_tradnl"/>
        </w:rPr>
        <w:t xml:space="preserve"> (padre de Silvia Reyes)</w:t>
      </w:r>
      <w:r w:rsidRPr="00E53751">
        <w:rPr>
          <w:rFonts w:ascii="Verdana" w:hAnsi="Verdana"/>
          <w:sz w:val="20"/>
          <w:szCs w:val="20"/>
          <w:lang w:val="es-ES_tradnl"/>
        </w:rPr>
        <w:t>: US$ 40,000.00 (cuarenta mil dólares de los Estados Unidos de América);</w:t>
      </w:r>
    </w:p>
    <w:p w14:paraId="3587193A" w14:textId="77777777" w:rsidR="001B6F20"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 xml:space="preserve">9.- Celia Natividad </w:t>
      </w:r>
      <w:proofErr w:type="spellStart"/>
      <w:r w:rsidRPr="00E53751">
        <w:rPr>
          <w:rFonts w:ascii="Verdana" w:hAnsi="Verdana"/>
          <w:sz w:val="20"/>
          <w:szCs w:val="20"/>
          <w:lang w:val="es-ES_tradnl"/>
        </w:rPr>
        <w:t>Sedarri</w:t>
      </w:r>
      <w:proofErr w:type="spellEnd"/>
      <w:r w:rsidRPr="00E53751">
        <w:rPr>
          <w:rFonts w:ascii="Verdana" w:hAnsi="Verdana"/>
          <w:sz w:val="20"/>
          <w:szCs w:val="20"/>
          <w:lang w:val="es-ES_tradnl"/>
        </w:rPr>
        <w:t xml:space="preserve"> Aparicio</w:t>
      </w:r>
      <w:r>
        <w:rPr>
          <w:rFonts w:ascii="Verdana" w:hAnsi="Verdana"/>
          <w:sz w:val="20"/>
          <w:szCs w:val="20"/>
          <w:lang w:val="es-ES_tradnl"/>
        </w:rPr>
        <w:t xml:space="preserve"> (madre de Silvia Reyes)</w:t>
      </w:r>
      <w:r w:rsidRPr="00E53751">
        <w:rPr>
          <w:rFonts w:ascii="Verdana" w:hAnsi="Verdana"/>
          <w:sz w:val="20"/>
          <w:szCs w:val="20"/>
          <w:lang w:val="es-ES_tradnl"/>
        </w:rPr>
        <w:t>: US$ 40,000.00 (cuarenta mil dólares de los Estados Unidos de América);</w:t>
      </w:r>
    </w:p>
    <w:p w14:paraId="1ADF93C6" w14:textId="3EF688E8" w:rsidR="001B6F20" w:rsidRPr="00E53751" w:rsidRDefault="001B6F20" w:rsidP="005A5029">
      <w:pPr>
        <w:spacing w:after="0" w:line="240" w:lineRule="exact"/>
        <w:ind w:left="284"/>
        <w:contextualSpacing/>
        <w:jc w:val="both"/>
        <w:rPr>
          <w:rFonts w:ascii="Verdana" w:hAnsi="Verdana"/>
          <w:sz w:val="20"/>
          <w:szCs w:val="20"/>
          <w:lang w:val="es-ES_tradnl"/>
        </w:rPr>
      </w:pPr>
      <w:r>
        <w:rPr>
          <w:rFonts w:ascii="Verdana" w:hAnsi="Verdana"/>
          <w:sz w:val="20"/>
          <w:szCs w:val="20"/>
        </w:rPr>
        <w:t xml:space="preserve">10.- </w:t>
      </w:r>
      <w:r w:rsidR="00BB7318">
        <w:rPr>
          <w:rFonts w:ascii="Verdana" w:hAnsi="Verdana"/>
          <w:sz w:val="20"/>
          <w:szCs w:val="20"/>
        </w:rPr>
        <w:t>W</w:t>
      </w:r>
      <w:r w:rsidRPr="00CA1127">
        <w:rPr>
          <w:rFonts w:ascii="Verdana" w:hAnsi="Verdana"/>
          <w:sz w:val="20"/>
          <w:szCs w:val="20"/>
        </w:rPr>
        <w:t>ashington Javier Barrios Fernández (esposo</w:t>
      </w:r>
      <w:r>
        <w:rPr>
          <w:rFonts w:ascii="Verdana" w:hAnsi="Verdana"/>
          <w:sz w:val="20"/>
          <w:szCs w:val="20"/>
        </w:rPr>
        <w:t xml:space="preserve"> de Silvia Reyes</w:t>
      </w:r>
      <w:r w:rsidRPr="00CA1127">
        <w:rPr>
          <w:rFonts w:ascii="Verdana" w:hAnsi="Verdana"/>
          <w:sz w:val="20"/>
          <w:szCs w:val="20"/>
        </w:rPr>
        <w:t>)</w:t>
      </w:r>
      <w:r>
        <w:rPr>
          <w:rFonts w:ascii="Verdana" w:hAnsi="Verdana"/>
          <w:sz w:val="20"/>
          <w:szCs w:val="20"/>
        </w:rPr>
        <w:t xml:space="preserve">: US$ 40,000 (cuarenta mil dólares de los Estados Unidos de América). </w:t>
      </w:r>
    </w:p>
    <w:p w14:paraId="0E34D445" w14:textId="77777777" w:rsidR="001B6F20" w:rsidRPr="00E53751" w:rsidRDefault="001B6F20" w:rsidP="005A5029">
      <w:pPr>
        <w:spacing w:after="0" w:line="240" w:lineRule="exact"/>
        <w:ind w:left="284"/>
        <w:contextualSpacing/>
        <w:jc w:val="both"/>
        <w:rPr>
          <w:rFonts w:ascii="Verdana" w:hAnsi="Verdana"/>
          <w:sz w:val="20"/>
          <w:szCs w:val="20"/>
        </w:rPr>
      </w:pPr>
      <w:r w:rsidRPr="00E53751">
        <w:rPr>
          <w:rFonts w:ascii="Verdana" w:hAnsi="Verdana"/>
          <w:sz w:val="20"/>
          <w:szCs w:val="20"/>
          <w:lang w:val="es-ES_tradnl"/>
        </w:rPr>
        <w:t>1</w:t>
      </w:r>
      <w:r>
        <w:rPr>
          <w:rFonts w:ascii="Verdana" w:hAnsi="Verdana"/>
          <w:sz w:val="20"/>
          <w:szCs w:val="20"/>
          <w:lang w:val="es-ES_tradnl"/>
        </w:rPr>
        <w:t>1</w:t>
      </w:r>
      <w:r w:rsidRPr="00E53751">
        <w:rPr>
          <w:rFonts w:ascii="Verdana" w:hAnsi="Verdana"/>
          <w:sz w:val="20"/>
          <w:szCs w:val="20"/>
          <w:lang w:val="es-ES_tradnl"/>
        </w:rPr>
        <w:t xml:space="preserve">.- </w:t>
      </w:r>
      <w:r w:rsidRPr="00E53751">
        <w:rPr>
          <w:rFonts w:ascii="Verdana" w:hAnsi="Verdana"/>
          <w:sz w:val="20"/>
          <w:szCs w:val="20"/>
        </w:rPr>
        <w:t xml:space="preserve">Estela Reyes </w:t>
      </w:r>
      <w:proofErr w:type="spellStart"/>
      <w:r w:rsidRPr="00E53751">
        <w:rPr>
          <w:rFonts w:ascii="Verdana" w:hAnsi="Verdana"/>
          <w:sz w:val="20"/>
          <w:szCs w:val="20"/>
        </w:rPr>
        <w:t>Sedarri</w:t>
      </w:r>
      <w:proofErr w:type="spellEnd"/>
      <w:r w:rsidRPr="00E53751">
        <w:rPr>
          <w:rFonts w:ascii="Verdana" w:hAnsi="Verdana"/>
          <w:sz w:val="20"/>
          <w:szCs w:val="20"/>
        </w:rPr>
        <w:t xml:space="preserve"> (hermana</w:t>
      </w:r>
      <w:r>
        <w:rPr>
          <w:rFonts w:ascii="Verdana" w:hAnsi="Verdana"/>
          <w:sz w:val="20"/>
          <w:szCs w:val="20"/>
        </w:rPr>
        <w:t xml:space="preserve"> </w:t>
      </w:r>
      <w:r>
        <w:rPr>
          <w:rFonts w:ascii="Verdana" w:hAnsi="Verdana"/>
          <w:sz w:val="20"/>
          <w:szCs w:val="20"/>
          <w:lang w:val="es-ES_tradnl"/>
        </w:rPr>
        <w:t>de Silvia Reyes</w:t>
      </w:r>
      <w:r w:rsidRPr="00E53751">
        <w:rPr>
          <w:rFonts w:ascii="Verdana" w:hAnsi="Verdana"/>
          <w:sz w:val="20"/>
          <w:szCs w:val="20"/>
        </w:rPr>
        <w:t xml:space="preserve">): </w:t>
      </w:r>
      <w:r w:rsidRPr="00E53751">
        <w:rPr>
          <w:rFonts w:ascii="Verdana" w:hAnsi="Verdana"/>
          <w:sz w:val="20"/>
          <w:szCs w:val="20"/>
          <w:lang w:val="es-ES_tradnl"/>
        </w:rPr>
        <w:t>US$ 25,000.00 (veinticinco mil dólares de los Estados Unidos de América);</w:t>
      </w:r>
    </w:p>
    <w:p w14:paraId="1BC01D88" w14:textId="77777777" w:rsidR="001B6F20" w:rsidRPr="00E53751" w:rsidRDefault="001B6F20" w:rsidP="005A5029">
      <w:pPr>
        <w:spacing w:after="0" w:line="240" w:lineRule="exact"/>
        <w:ind w:left="284"/>
        <w:contextualSpacing/>
        <w:jc w:val="both"/>
        <w:rPr>
          <w:rFonts w:ascii="Verdana" w:hAnsi="Verdana"/>
          <w:sz w:val="20"/>
          <w:szCs w:val="20"/>
        </w:rPr>
      </w:pPr>
      <w:r w:rsidRPr="00E53751">
        <w:rPr>
          <w:rFonts w:ascii="Verdana" w:hAnsi="Verdana"/>
          <w:sz w:val="20"/>
          <w:szCs w:val="20"/>
        </w:rPr>
        <w:t>1</w:t>
      </w:r>
      <w:r>
        <w:rPr>
          <w:rFonts w:ascii="Verdana" w:hAnsi="Verdana"/>
          <w:sz w:val="20"/>
          <w:szCs w:val="20"/>
        </w:rPr>
        <w:t>2</w:t>
      </w:r>
      <w:r w:rsidRPr="00E53751">
        <w:rPr>
          <w:rFonts w:ascii="Verdana" w:hAnsi="Verdana"/>
          <w:sz w:val="20"/>
          <w:szCs w:val="20"/>
        </w:rPr>
        <w:t>.- Washington Barrios (suegro</w:t>
      </w:r>
      <w:r>
        <w:rPr>
          <w:rFonts w:ascii="Verdana" w:hAnsi="Verdana"/>
          <w:sz w:val="20"/>
          <w:szCs w:val="20"/>
        </w:rPr>
        <w:t xml:space="preserve"> </w:t>
      </w:r>
      <w:r>
        <w:rPr>
          <w:rFonts w:ascii="Verdana" w:hAnsi="Verdana"/>
          <w:sz w:val="20"/>
          <w:szCs w:val="20"/>
          <w:lang w:val="es-ES_tradnl"/>
        </w:rPr>
        <w:t>de Silvia Reyes</w:t>
      </w:r>
      <w:r w:rsidRPr="00E53751">
        <w:rPr>
          <w:rFonts w:ascii="Verdana" w:hAnsi="Verdana"/>
          <w:sz w:val="20"/>
          <w:szCs w:val="20"/>
        </w:rPr>
        <w:t>): US$ 10,000.00 (diez mil dólares de los Estados Unidos de América)</w:t>
      </w:r>
    </w:p>
    <w:p w14:paraId="3439A24E" w14:textId="309141AF" w:rsidR="001B6F20" w:rsidRPr="00E53751" w:rsidRDefault="001B6F20" w:rsidP="005A5029">
      <w:pPr>
        <w:spacing w:after="0" w:line="240" w:lineRule="exact"/>
        <w:ind w:left="284"/>
        <w:contextualSpacing/>
        <w:jc w:val="both"/>
        <w:rPr>
          <w:rFonts w:ascii="Verdana" w:hAnsi="Verdana"/>
          <w:sz w:val="20"/>
          <w:szCs w:val="20"/>
        </w:rPr>
      </w:pPr>
      <w:r w:rsidRPr="00E53751">
        <w:rPr>
          <w:rFonts w:ascii="Verdana" w:hAnsi="Verdana"/>
          <w:sz w:val="20"/>
          <w:szCs w:val="20"/>
        </w:rPr>
        <w:t>1</w:t>
      </w:r>
      <w:r>
        <w:rPr>
          <w:rFonts w:ascii="Verdana" w:hAnsi="Verdana"/>
          <w:sz w:val="20"/>
          <w:szCs w:val="20"/>
        </w:rPr>
        <w:t>3</w:t>
      </w:r>
      <w:r w:rsidRPr="00E53751">
        <w:rPr>
          <w:rFonts w:ascii="Verdana" w:hAnsi="Verdana"/>
          <w:sz w:val="20"/>
          <w:szCs w:val="20"/>
        </w:rPr>
        <w:t xml:space="preserve">: </w:t>
      </w:r>
      <w:r w:rsidR="00CC137B">
        <w:rPr>
          <w:rFonts w:ascii="Verdana" w:hAnsi="Verdana"/>
          <w:sz w:val="20"/>
          <w:szCs w:val="20"/>
        </w:rPr>
        <w:t xml:space="preserve">Hilda </w:t>
      </w:r>
      <w:r w:rsidRPr="00E53751">
        <w:rPr>
          <w:rFonts w:ascii="Verdana" w:hAnsi="Verdana"/>
          <w:sz w:val="20"/>
          <w:szCs w:val="20"/>
        </w:rPr>
        <w:t>María Fern</w:t>
      </w:r>
      <w:r w:rsidR="00CC137B">
        <w:rPr>
          <w:rFonts w:ascii="Verdana" w:hAnsi="Verdana"/>
          <w:sz w:val="20"/>
          <w:szCs w:val="20"/>
        </w:rPr>
        <w:t>ández</w:t>
      </w:r>
      <w:r w:rsidRPr="00E53751">
        <w:rPr>
          <w:rFonts w:ascii="Verdana" w:hAnsi="Verdana"/>
          <w:sz w:val="20"/>
          <w:szCs w:val="20"/>
        </w:rPr>
        <w:t xml:space="preserve"> Rodríguez (suegra</w:t>
      </w:r>
      <w:r w:rsidRPr="00073041">
        <w:rPr>
          <w:rFonts w:ascii="Verdana" w:hAnsi="Verdana"/>
          <w:sz w:val="20"/>
          <w:szCs w:val="20"/>
          <w:lang w:val="es-ES_tradnl"/>
        </w:rPr>
        <w:t xml:space="preserve"> </w:t>
      </w:r>
      <w:r>
        <w:rPr>
          <w:rFonts w:ascii="Verdana" w:hAnsi="Verdana"/>
          <w:sz w:val="20"/>
          <w:szCs w:val="20"/>
          <w:lang w:val="es-ES_tradnl"/>
        </w:rPr>
        <w:t>de Silvia Reyes</w:t>
      </w:r>
      <w:r w:rsidRPr="00E53751">
        <w:rPr>
          <w:rFonts w:ascii="Verdana" w:hAnsi="Verdana"/>
          <w:sz w:val="20"/>
          <w:szCs w:val="20"/>
        </w:rPr>
        <w:t>): US$ 10,000.00 (diez mil dólares de los Estados Unidos de América);</w:t>
      </w:r>
    </w:p>
    <w:p w14:paraId="22145125" w14:textId="77777777" w:rsidR="001B6F20" w:rsidRPr="00E53751" w:rsidRDefault="001B6F20" w:rsidP="005A5029">
      <w:pPr>
        <w:spacing w:after="0" w:line="240" w:lineRule="exact"/>
        <w:ind w:left="284"/>
        <w:contextualSpacing/>
        <w:jc w:val="both"/>
        <w:rPr>
          <w:rFonts w:ascii="Verdana" w:hAnsi="Verdana"/>
          <w:sz w:val="20"/>
          <w:szCs w:val="20"/>
        </w:rPr>
      </w:pPr>
      <w:r w:rsidRPr="00E53751">
        <w:rPr>
          <w:rFonts w:ascii="Verdana" w:hAnsi="Verdana"/>
          <w:sz w:val="20"/>
          <w:szCs w:val="20"/>
        </w:rPr>
        <w:t>1</w:t>
      </w:r>
      <w:r>
        <w:rPr>
          <w:rFonts w:ascii="Verdana" w:hAnsi="Verdana"/>
          <w:sz w:val="20"/>
          <w:szCs w:val="20"/>
        </w:rPr>
        <w:t>4</w:t>
      </w:r>
      <w:r w:rsidRPr="00E53751">
        <w:rPr>
          <w:rFonts w:ascii="Verdana" w:hAnsi="Verdana"/>
          <w:sz w:val="20"/>
          <w:szCs w:val="20"/>
        </w:rPr>
        <w:t>.- Jaqueline Barrios Fernández (cuñada</w:t>
      </w:r>
      <w:r w:rsidRPr="00073041">
        <w:rPr>
          <w:rFonts w:ascii="Verdana" w:hAnsi="Verdana"/>
          <w:sz w:val="20"/>
          <w:szCs w:val="20"/>
          <w:lang w:val="es-ES_tradnl"/>
        </w:rPr>
        <w:t xml:space="preserve"> </w:t>
      </w:r>
      <w:r>
        <w:rPr>
          <w:rFonts w:ascii="Verdana" w:hAnsi="Verdana"/>
          <w:sz w:val="20"/>
          <w:szCs w:val="20"/>
          <w:lang w:val="es-ES_tradnl"/>
        </w:rPr>
        <w:t>de Silvia Reyes</w:t>
      </w:r>
      <w:r w:rsidRPr="00E53751">
        <w:rPr>
          <w:rFonts w:ascii="Verdana" w:hAnsi="Verdana"/>
          <w:sz w:val="20"/>
          <w:szCs w:val="20"/>
        </w:rPr>
        <w:t>): US$ 5,000 (cinco mil dólares de los Estados Unidos de América);</w:t>
      </w:r>
    </w:p>
    <w:p w14:paraId="0079C4DF" w14:textId="77777777" w:rsidR="001B6F20" w:rsidRPr="00E53751" w:rsidRDefault="001B6F20" w:rsidP="005A5029">
      <w:pPr>
        <w:spacing w:after="0" w:line="240" w:lineRule="exact"/>
        <w:ind w:left="284"/>
        <w:contextualSpacing/>
        <w:jc w:val="both"/>
        <w:rPr>
          <w:rFonts w:ascii="Verdana" w:hAnsi="Verdana"/>
          <w:sz w:val="20"/>
          <w:szCs w:val="20"/>
        </w:rPr>
      </w:pPr>
      <w:r w:rsidRPr="00E53751">
        <w:rPr>
          <w:rFonts w:ascii="Verdana" w:hAnsi="Verdana"/>
          <w:sz w:val="20"/>
          <w:szCs w:val="20"/>
        </w:rPr>
        <w:t>1</w:t>
      </w:r>
      <w:r>
        <w:rPr>
          <w:rFonts w:ascii="Verdana" w:hAnsi="Verdana"/>
          <w:sz w:val="20"/>
          <w:szCs w:val="20"/>
        </w:rPr>
        <w:t>5</w:t>
      </w:r>
      <w:r w:rsidRPr="00E53751">
        <w:rPr>
          <w:rFonts w:ascii="Verdana" w:hAnsi="Verdana"/>
          <w:sz w:val="20"/>
          <w:szCs w:val="20"/>
        </w:rPr>
        <w:t>.- Amalia González de González</w:t>
      </w:r>
      <w:r>
        <w:rPr>
          <w:rFonts w:ascii="Verdana" w:hAnsi="Verdana"/>
          <w:sz w:val="20"/>
          <w:szCs w:val="20"/>
        </w:rPr>
        <w:t xml:space="preserve"> (madre de </w:t>
      </w:r>
      <w:r w:rsidRPr="00E53751">
        <w:rPr>
          <w:rFonts w:ascii="Verdana" w:hAnsi="Verdana"/>
          <w:sz w:val="20"/>
          <w:szCs w:val="20"/>
          <w:lang w:val="es-ES_tradnl"/>
        </w:rPr>
        <w:t>Luis Eduardo González González</w:t>
      </w:r>
      <w:r>
        <w:rPr>
          <w:rFonts w:ascii="Verdana" w:hAnsi="Verdana"/>
          <w:sz w:val="20"/>
          <w:szCs w:val="20"/>
          <w:lang w:val="es-ES_tradnl"/>
        </w:rPr>
        <w:t>)</w:t>
      </w:r>
      <w:r w:rsidRPr="00E53751">
        <w:rPr>
          <w:rFonts w:ascii="Verdana" w:hAnsi="Verdana"/>
          <w:sz w:val="20"/>
          <w:szCs w:val="20"/>
        </w:rPr>
        <w:t xml:space="preserve">: </w:t>
      </w:r>
      <w:r w:rsidRPr="00E53751">
        <w:rPr>
          <w:rFonts w:ascii="Verdana" w:hAnsi="Verdana"/>
          <w:sz w:val="20"/>
          <w:szCs w:val="20"/>
          <w:lang w:val="es-ES_tradnl"/>
        </w:rPr>
        <w:t>US$ 40,000.00 (cuarenta mil dólares de los Estados Unidos de América)</w:t>
      </w:r>
      <w:r w:rsidRPr="00E53751">
        <w:rPr>
          <w:rFonts w:ascii="Verdana" w:hAnsi="Verdana"/>
          <w:sz w:val="20"/>
          <w:szCs w:val="20"/>
        </w:rPr>
        <w:t xml:space="preserve">; </w:t>
      </w:r>
    </w:p>
    <w:p w14:paraId="5A825CFA" w14:textId="77777777" w:rsidR="001B6F20" w:rsidRPr="00E53751"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rPr>
        <w:t>1</w:t>
      </w:r>
      <w:r>
        <w:rPr>
          <w:rFonts w:ascii="Verdana" w:hAnsi="Verdana"/>
          <w:sz w:val="20"/>
          <w:szCs w:val="20"/>
        </w:rPr>
        <w:t>6</w:t>
      </w:r>
      <w:r w:rsidRPr="00E53751">
        <w:rPr>
          <w:rFonts w:ascii="Verdana" w:hAnsi="Verdana"/>
          <w:sz w:val="20"/>
          <w:szCs w:val="20"/>
        </w:rPr>
        <w:t>.- Elena Zaffaroni Rocco</w:t>
      </w:r>
      <w:r>
        <w:rPr>
          <w:rFonts w:ascii="Verdana" w:hAnsi="Verdana"/>
          <w:sz w:val="20"/>
          <w:szCs w:val="20"/>
        </w:rPr>
        <w:t xml:space="preserve"> (esposa de </w:t>
      </w:r>
      <w:r w:rsidRPr="00E53751">
        <w:rPr>
          <w:rFonts w:ascii="Verdana" w:hAnsi="Verdana"/>
          <w:sz w:val="20"/>
          <w:szCs w:val="20"/>
          <w:lang w:val="es-ES_tradnl"/>
        </w:rPr>
        <w:t>Luis Eduardo González González</w:t>
      </w:r>
      <w:r>
        <w:rPr>
          <w:rFonts w:ascii="Verdana" w:hAnsi="Verdana"/>
          <w:sz w:val="20"/>
          <w:szCs w:val="20"/>
          <w:lang w:val="es-ES_tradnl"/>
        </w:rPr>
        <w:t>)</w:t>
      </w:r>
      <w:r w:rsidRPr="00E53751">
        <w:rPr>
          <w:rFonts w:ascii="Verdana" w:hAnsi="Verdana"/>
          <w:sz w:val="20"/>
          <w:szCs w:val="20"/>
        </w:rPr>
        <w:t xml:space="preserve">: </w:t>
      </w:r>
      <w:r w:rsidRPr="00E53751">
        <w:rPr>
          <w:rFonts w:ascii="Verdana" w:hAnsi="Verdana"/>
          <w:sz w:val="20"/>
          <w:szCs w:val="20"/>
          <w:lang w:val="es-ES_tradnl"/>
        </w:rPr>
        <w:t>US$ 40,000.00 (cuarenta mil dólares de los Estados Unidos de América);</w:t>
      </w:r>
    </w:p>
    <w:p w14:paraId="5635C4FA" w14:textId="77777777" w:rsidR="001B6F20" w:rsidRPr="00E53751"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1</w:t>
      </w:r>
      <w:r>
        <w:rPr>
          <w:rFonts w:ascii="Verdana" w:hAnsi="Verdana"/>
          <w:sz w:val="20"/>
          <w:szCs w:val="20"/>
          <w:lang w:val="es-ES_tradnl"/>
        </w:rPr>
        <w:t>7</w:t>
      </w:r>
      <w:r w:rsidRPr="00E53751">
        <w:rPr>
          <w:rFonts w:ascii="Verdana" w:hAnsi="Verdana"/>
          <w:sz w:val="20"/>
          <w:szCs w:val="20"/>
          <w:lang w:val="es-ES_tradnl"/>
        </w:rPr>
        <w:t xml:space="preserve">.-Disnarda Ema Flores Soler de </w:t>
      </w:r>
      <w:proofErr w:type="spellStart"/>
      <w:r w:rsidRPr="00E53751">
        <w:rPr>
          <w:rFonts w:ascii="Verdana" w:hAnsi="Verdana"/>
          <w:sz w:val="20"/>
          <w:szCs w:val="20"/>
          <w:lang w:val="es-ES_tradnl"/>
        </w:rPr>
        <w:t>Tassino</w:t>
      </w:r>
      <w:proofErr w:type="spellEnd"/>
      <w:r>
        <w:rPr>
          <w:rFonts w:ascii="Verdana" w:hAnsi="Verdana"/>
          <w:sz w:val="20"/>
          <w:szCs w:val="20"/>
          <w:lang w:val="es-ES_tradnl"/>
        </w:rPr>
        <w:t xml:space="preserve"> (esposa de </w:t>
      </w:r>
      <w:r w:rsidRPr="00E53751">
        <w:rPr>
          <w:rFonts w:ascii="Verdana" w:hAnsi="Verdana"/>
          <w:sz w:val="20"/>
          <w:szCs w:val="20"/>
          <w:lang w:val="es-ES_tradnl"/>
        </w:rPr>
        <w:t xml:space="preserve">Óscar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Asteazu</w:t>
      </w:r>
      <w:proofErr w:type="spellEnd"/>
      <w:r>
        <w:rPr>
          <w:rFonts w:ascii="Verdana" w:hAnsi="Verdana"/>
          <w:sz w:val="20"/>
          <w:szCs w:val="20"/>
          <w:lang w:val="es-ES_tradnl"/>
        </w:rPr>
        <w:t>)</w:t>
      </w:r>
      <w:r w:rsidRPr="00E53751">
        <w:rPr>
          <w:rFonts w:ascii="Verdana" w:hAnsi="Verdana"/>
          <w:sz w:val="20"/>
          <w:szCs w:val="20"/>
          <w:lang w:val="es-ES_tradnl"/>
        </w:rPr>
        <w:t>: US$ 40,000.00 (cuarenta mil dólares de los Estados Unidos de América);</w:t>
      </w:r>
    </w:p>
    <w:p w14:paraId="67D28E2C" w14:textId="77777777" w:rsidR="001B6F20" w:rsidRPr="00E53751" w:rsidRDefault="001B6F20" w:rsidP="005A5029">
      <w:pPr>
        <w:spacing w:after="0" w:line="240" w:lineRule="exact"/>
        <w:ind w:left="284"/>
        <w:contextualSpacing/>
        <w:jc w:val="both"/>
        <w:rPr>
          <w:rFonts w:ascii="Verdana" w:hAnsi="Verdana"/>
          <w:sz w:val="20"/>
          <w:szCs w:val="20"/>
          <w:lang w:val="es-ES_tradnl"/>
        </w:rPr>
      </w:pPr>
      <w:r w:rsidRPr="00E53751">
        <w:rPr>
          <w:rFonts w:ascii="Verdana" w:hAnsi="Verdana"/>
          <w:sz w:val="20"/>
          <w:szCs w:val="20"/>
          <w:lang w:val="es-ES_tradnl"/>
        </w:rPr>
        <w:t>1</w:t>
      </w:r>
      <w:r>
        <w:rPr>
          <w:rFonts w:ascii="Verdana" w:hAnsi="Verdana"/>
          <w:sz w:val="20"/>
          <w:szCs w:val="20"/>
          <w:lang w:val="es-ES_tradnl"/>
        </w:rPr>
        <w:t>8</w:t>
      </w:r>
      <w:r w:rsidRPr="00E53751">
        <w:rPr>
          <w:rFonts w:ascii="Verdana" w:hAnsi="Verdana"/>
          <w:sz w:val="20"/>
          <w:szCs w:val="20"/>
          <w:lang w:val="es-ES_tradnl"/>
        </w:rPr>
        <w:t xml:space="preserve">.- Karina Teresa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(hija</w:t>
      </w:r>
      <w:r>
        <w:rPr>
          <w:rFonts w:ascii="Verdana" w:hAnsi="Verdana"/>
          <w:sz w:val="20"/>
          <w:szCs w:val="20"/>
          <w:lang w:val="es-ES_tradnl"/>
        </w:rPr>
        <w:t xml:space="preserve"> de </w:t>
      </w:r>
      <w:r w:rsidRPr="00E53751">
        <w:rPr>
          <w:rFonts w:ascii="Verdana" w:hAnsi="Verdana"/>
          <w:sz w:val="20"/>
          <w:szCs w:val="20"/>
          <w:lang w:val="es-ES_tradnl"/>
        </w:rPr>
        <w:t xml:space="preserve">Óscar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Asteazu</w:t>
      </w:r>
      <w:proofErr w:type="spellEnd"/>
      <w:r w:rsidRPr="00E53751">
        <w:rPr>
          <w:rFonts w:ascii="Verdana" w:hAnsi="Verdana"/>
          <w:sz w:val="20"/>
          <w:szCs w:val="20"/>
          <w:lang w:val="es-ES_tradnl"/>
        </w:rPr>
        <w:t>): US$ 40,000.00 (cuarenta mil dólares de los Estados Unidos de América);</w:t>
      </w:r>
    </w:p>
    <w:p w14:paraId="13A528A5" w14:textId="77777777" w:rsidR="001B6F20" w:rsidRPr="00E53751" w:rsidRDefault="001B6F20" w:rsidP="005A5029">
      <w:pPr>
        <w:spacing w:after="0" w:line="240" w:lineRule="exact"/>
        <w:ind w:left="284"/>
        <w:contextualSpacing/>
        <w:jc w:val="both"/>
        <w:rPr>
          <w:rFonts w:ascii="Verdana" w:hAnsi="Verdana"/>
          <w:sz w:val="20"/>
          <w:szCs w:val="20"/>
        </w:rPr>
      </w:pPr>
      <w:r w:rsidRPr="00E53751">
        <w:rPr>
          <w:rFonts w:ascii="Verdana" w:hAnsi="Verdana"/>
          <w:sz w:val="20"/>
          <w:szCs w:val="20"/>
          <w:lang w:val="es-ES_tradnl"/>
        </w:rPr>
        <w:t>1</w:t>
      </w:r>
      <w:r>
        <w:rPr>
          <w:rFonts w:ascii="Verdana" w:hAnsi="Verdana"/>
          <w:sz w:val="20"/>
          <w:szCs w:val="20"/>
          <w:lang w:val="es-ES_tradnl"/>
        </w:rPr>
        <w:t>9</w:t>
      </w:r>
      <w:r w:rsidRPr="00E53751">
        <w:rPr>
          <w:rFonts w:ascii="Verdana" w:hAnsi="Verdana"/>
          <w:sz w:val="20"/>
          <w:szCs w:val="20"/>
          <w:lang w:val="es-ES_tradnl"/>
        </w:rPr>
        <w:t>.-</w:t>
      </w:r>
      <w:r w:rsidRPr="00E53751">
        <w:rPr>
          <w:rFonts w:ascii="Verdana" w:hAnsi="Verdana"/>
          <w:sz w:val="20"/>
          <w:szCs w:val="20"/>
        </w:rPr>
        <w:t xml:space="preserve">Javier </w:t>
      </w:r>
      <w:proofErr w:type="spellStart"/>
      <w:r w:rsidRPr="00E53751">
        <w:rPr>
          <w:rFonts w:ascii="Verdana" w:hAnsi="Verdana"/>
          <w:sz w:val="20"/>
          <w:szCs w:val="20"/>
        </w:rPr>
        <w:t>Tassino</w:t>
      </w:r>
      <w:proofErr w:type="spellEnd"/>
      <w:r w:rsidRPr="00E53751">
        <w:rPr>
          <w:rFonts w:ascii="Verdana" w:hAnsi="Verdana"/>
          <w:sz w:val="20"/>
          <w:szCs w:val="20"/>
        </w:rPr>
        <w:t xml:space="preserve"> (hermano</w:t>
      </w:r>
      <w:r>
        <w:rPr>
          <w:rFonts w:ascii="Verdana" w:hAnsi="Verdana"/>
          <w:sz w:val="20"/>
          <w:szCs w:val="20"/>
        </w:rPr>
        <w:t xml:space="preserve"> de </w:t>
      </w:r>
      <w:r w:rsidRPr="00E53751">
        <w:rPr>
          <w:rFonts w:ascii="Verdana" w:hAnsi="Verdana"/>
          <w:sz w:val="20"/>
          <w:szCs w:val="20"/>
          <w:lang w:val="es-ES_tradnl"/>
        </w:rPr>
        <w:t xml:space="preserve">Óscar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Asteazu</w:t>
      </w:r>
      <w:proofErr w:type="spellEnd"/>
      <w:r w:rsidRPr="00E53751">
        <w:rPr>
          <w:rFonts w:ascii="Verdana" w:hAnsi="Verdana"/>
          <w:sz w:val="20"/>
          <w:szCs w:val="20"/>
        </w:rPr>
        <w:t xml:space="preserve">): </w:t>
      </w:r>
      <w:r w:rsidRPr="00E53751">
        <w:rPr>
          <w:rFonts w:ascii="Verdana" w:hAnsi="Verdana"/>
          <w:sz w:val="20"/>
          <w:szCs w:val="20"/>
          <w:lang w:val="es-ES_tradnl"/>
        </w:rPr>
        <w:t>US$ 25,000.00 (veinticinco mil dólares de los Estados Unidos de América);</w:t>
      </w:r>
      <w:r w:rsidRPr="00E53751">
        <w:rPr>
          <w:rFonts w:ascii="Verdana" w:hAnsi="Verdana"/>
          <w:sz w:val="20"/>
          <w:szCs w:val="20"/>
        </w:rPr>
        <w:t xml:space="preserve"> </w:t>
      </w:r>
    </w:p>
    <w:p w14:paraId="421502AE" w14:textId="77777777" w:rsidR="001B6F20" w:rsidRPr="00E53751" w:rsidRDefault="001B6F20" w:rsidP="005A5029">
      <w:pPr>
        <w:spacing w:after="0" w:line="240" w:lineRule="exact"/>
        <w:ind w:left="284"/>
        <w:contextualSpacing/>
        <w:jc w:val="both"/>
        <w:rPr>
          <w:rFonts w:ascii="Verdana" w:hAnsi="Verdana"/>
          <w:sz w:val="20"/>
          <w:szCs w:val="20"/>
        </w:rPr>
      </w:pPr>
      <w:r>
        <w:rPr>
          <w:rFonts w:ascii="Verdana" w:hAnsi="Verdana"/>
          <w:sz w:val="20"/>
          <w:szCs w:val="20"/>
        </w:rPr>
        <w:lastRenderedPageBreak/>
        <w:t>20</w:t>
      </w:r>
      <w:r w:rsidRPr="00E53751">
        <w:rPr>
          <w:rFonts w:ascii="Verdana" w:hAnsi="Verdana"/>
          <w:sz w:val="20"/>
          <w:szCs w:val="20"/>
        </w:rPr>
        <w:t xml:space="preserve">.-Álvaro Luis </w:t>
      </w:r>
      <w:proofErr w:type="spellStart"/>
      <w:r w:rsidRPr="00E53751">
        <w:rPr>
          <w:rFonts w:ascii="Verdana" w:hAnsi="Verdana"/>
          <w:sz w:val="20"/>
          <w:szCs w:val="20"/>
        </w:rPr>
        <w:t>Tassino</w:t>
      </w:r>
      <w:proofErr w:type="spellEnd"/>
      <w:r w:rsidRPr="00E53751">
        <w:rPr>
          <w:rFonts w:ascii="Verdana" w:hAnsi="Verdana"/>
          <w:sz w:val="20"/>
          <w:szCs w:val="20"/>
        </w:rPr>
        <w:t xml:space="preserve"> (hermano</w:t>
      </w:r>
      <w:r>
        <w:rPr>
          <w:rFonts w:ascii="Verdana" w:hAnsi="Verdana"/>
          <w:sz w:val="20"/>
          <w:szCs w:val="20"/>
        </w:rPr>
        <w:t xml:space="preserve"> de </w:t>
      </w:r>
      <w:r w:rsidRPr="00E53751">
        <w:rPr>
          <w:rFonts w:ascii="Verdana" w:hAnsi="Verdana"/>
          <w:sz w:val="20"/>
          <w:szCs w:val="20"/>
          <w:lang w:val="es-ES_tradnl"/>
        </w:rPr>
        <w:t xml:space="preserve">Óscar </w:t>
      </w:r>
      <w:proofErr w:type="spellStart"/>
      <w:r w:rsidRPr="00E53751">
        <w:rPr>
          <w:rFonts w:ascii="Verdana" w:hAnsi="Verdana"/>
          <w:sz w:val="20"/>
          <w:szCs w:val="20"/>
          <w:lang w:val="es-ES_tradnl"/>
        </w:rPr>
        <w:t>Tassino</w:t>
      </w:r>
      <w:proofErr w:type="spellEnd"/>
      <w:r w:rsidRPr="00E53751">
        <w:rPr>
          <w:rFonts w:ascii="Verdana" w:hAnsi="Verdana"/>
          <w:sz w:val="20"/>
          <w:szCs w:val="20"/>
          <w:lang w:val="es-ES_tradnl"/>
        </w:rPr>
        <w:t xml:space="preserve"> </w:t>
      </w:r>
      <w:proofErr w:type="spellStart"/>
      <w:r w:rsidRPr="00E53751">
        <w:rPr>
          <w:rFonts w:ascii="Verdana" w:hAnsi="Verdana"/>
          <w:sz w:val="20"/>
          <w:szCs w:val="20"/>
          <w:lang w:val="es-ES_tradnl"/>
        </w:rPr>
        <w:t>Asteazu</w:t>
      </w:r>
      <w:proofErr w:type="spellEnd"/>
      <w:r w:rsidRPr="00E53751">
        <w:rPr>
          <w:rFonts w:ascii="Verdana" w:hAnsi="Verdana"/>
          <w:sz w:val="20"/>
          <w:szCs w:val="20"/>
        </w:rPr>
        <w:t xml:space="preserve">): </w:t>
      </w:r>
      <w:r w:rsidRPr="00E53751">
        <w:rPr>
          <w:rFonts w:ascii="Verdana" w:hAnsi="Verdana"/>
          <w:sz w:val="20"/>
          <w:szCs w:val="20"/>
          <w:lang w:val="es-ES_tradnl"/>
        </w:rPr>
        <w:t>US$ 25,000.00 (veinticinco mil dólares de los Estados Unidos de América).</w:t>
      </w:r>
    </w:p>
    <w:p w14:paraId="3B14A4A7" w14:textId="77777777" w:rsidR="001B6F20" w:rsidRPr="00E53751" w:rsidRDefault="001B6F20" w:rsidP="005A5029">
      <w:pPr>
        <w:spacing w:after="0" w:line="240" w:lineRule="exact"/>
        <w:contextualSpacing/>
        <w:jc w:val="both"/>
        <w:rPr>
          <w:rFonts w:ascii="Verdana" w:hAnsi="Verdana"/>
          <w:sz w:val="20"/>
          <w:szCs w:val="20"/>
          <w:lang w:val="es-ES_tradnl"/>
        </w:rPr>
      </w:pPr>
    </w:p>
    <w:p w14:paraId="21FD7389" w14:textId="551656E9" w:rsidR="001B6F20" w:rsidRPr="00E53751"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E53751">
        <w:rPr>
          <w:rFonts w:ascii="Verdana" w:hAnsi="Verdana"/>
          <w:sz w:val="20"/>
          <w:szCs w:val="20"/>
        </w:rPr>
        <w:t xml:space="preserve">Los montos que ya hayan sido entregados a víctimas del presente caso a nivel interno en concepto de reparación pecuniaria por hechos considerados violatorios de derechos humanos en la presente </w:t>
      </w:r>
      <w:proofErr w:type="gramStart"/>
      <w:r w:rsidRPr="00E53751">
        <w:rPr>
          <w:rFonts w:ascii="Verdana" w:hAnsi="Verdana"/>
          <w:sz w:val="20"/>
          <w:szCs w:val="20"/>
        </w:rPr>
        <w:t>Sentencia,</w:t>
      </w:r>
      <w:proofErr w:type="gramEnd"/>
      <w:r w:rsidRPr="00E53751">
        <w:rPr>
          <w:rFonts w:ascii="Verdana" w:hAnsi="Verdana"/>
          <w:sz w:val="20"/>
          <w:szCs w:val="20"/>
        </w:rPr>
        <w:t xml:space="preserve"> podrá</w:t>
      </w:r>
      <w:r>
        <w:rPr>
          <w:rFonts w:ascii="Verdana" w:hAnsi="Verdana"/>
          <w:sz w:val="20"/>
          <w:szCs w:val="20"/>
        </w:rPr>
        <w:t>n</w:t>
      </w:r>
      <w:r w:rsidRPr="00E53751">
        <w:rPr>
          <w:rFonts w:ascii="Verdana" w:hAnsi="Verdana"/>
          <w:sz w:val="20"/>
          <w:szCs w:val="20"/>
        </w:rPr>
        <w:t xml:space="preserve"> ser descontado</w:t>
      </w:r>
      <w:r>
        <w:rPr>
          <w:rFonts w:ascii="Verdana" w:hAnsi="Verdana"/>
          <w:sz w:val="20"/>
          <w:szCs w:val="20"/>
        </w:rPr>
        <w:t>s</w:t>
      </w:r>
      <w:r w:rsidRPr="00E53751">
        <w:rPr>
          <w:rFonts w:ascii="Verdana" w:hAnsi="Verdana"/>
          <w:sz w:val="20"/>
          <w:szCs w:val="20"/>
        </w:rPr>
        <w:t xml:space="preserve"> por el Estado de la suma debida a cada víctima en concepto de indemnización en virtud de lo establecido en esta Sentencia. Esto no será de aplicación respecto a reparaciones pecuniarias que el Estado, a nivel interno, hubiere dispuesto a favor de familiares de Diana </w:t>
      </w:r>
      <w:proofErr w:type="spellStart"/>
      <w:r w:rsidRPr="00E53751">
        <w:rPr>
          <w:rFonts w:ascii="Verdana" w:hAnsi="Verdana"/>
          <w:sz w:val="20"/>
          <w:szCs w:val="20"/>
        </w:rPr>
        <w:t>Maidanik</w:t>
      </w:r>
      <w:proofErr w:type="spellEnd"/>
      <w:r w:rsidRPr="00E53751">
        <w:rPr>
          <w:rFonts w:ascii="Verdana" w:hAnsi="Verdana"/>
          <w:sz w:val="20"/>
          <w:szCs w:val="20"/>
        </w:rPr>
        <w:t xml:space="preserve">, Silvia Reyes y Laura Raggio </w:t>
      </w:r>
      <w:proofErr w:type="gramStart"/>
      <w:r w:rsidRPr="00E53751">
        <w:rPr>
          <w:rFonts w:ascii="Verdana" w:hAnsi="Verdana"/>
          <w:sz w:val="20"/>
          <w:szCs w:val="20"/>
        </w:rPr>
        <w:t>en razón de</w:t>
      </w:r>
      <w:proofErr w:type="gramEnd"/>
      <w:r w:rsidRPr="00E53751">
        <w:rPr>
          <w:rFonts w:ascii="Verdana" w:hAnsi="Verdana"/>
          <w:sz w:val="20"/>
          <w:szCs w:val="20"/>
        </w:rPr>
        <w:t xml:space="preserve"> la muerte de ellas tres, ya que ese hecho resulta ajeno a las determinaciones de reparación efectuadas en esta Sentencia. Pese a la información que el Estado ya ha brindado a esta </w:t>
      </w:r>
      <w:r w:rsidRPr="00617293">
        <w:rPr>
          <w:rFonts w:ascii="Verdana" w:hAnsi="Verdana"/>
          <w:sz w:val="20"/>
          <w:szCs w:val="20"/>
        </w:rPr>
        <w:t>Corte (</w:t>
      </w:r>
      <w:r w:rsidRPr="00617293">
        <w:rPr>
          <w:rFonts w:ascii="Verdana" w:hAnsi="Verdana"/>
          <w:i/>
          <w:sz w:val="20"/>
          <w:szCs w:val="20"/>
        </w:rPr>
        <w:t xml:space="preserve">supra </w:t>
      </w:r>
      <w:r w:rsidRPr="00617293">
        <w:rPr>
          <w:rFonts w:ascii="Verdana" w:hAnsi="Verdana"/>
          <w:sz w:val="20"/>
          <w:szCs w:val="20"/>
        </w:rPr>
        <w:t>párr. 273), a efectos de realizar el descuento establecido, corresponde al Estado, en la etapa de supervisión</w:t>
      </w:r>
      <w:r w:rsidRPr="00E53751">
        <w:rPr>
          <w:rFonts w:ascii="Verdana" w:hAnsi="Verdana"/>
          <w:sz w:val="20"/>
          <w:szCs w:val="20"/>
        </w:rPr>
        <w:t xml:space="preserve"> del presente caso, comprobar la entrega efectiva de los montos dispuestos en el ámbito interno</w:t>
      </w:r>
      <w:r w:rsidRPr="00E53751">
        <w:rPr>
          <w:rStyle w:val="Refdenotaalpie"/>
          <w:rFonts w:ascii="Verdana" w:hAnsi="Verdana"/>
        </w:rPr>
        <w:footnoteReference w:id="298"/>
      </w:r>
      <w:r w:rsidRPr="00E53751">
        <w:rPr>
          <w:rFonts w:ascii="Verdana" w:hAnsi="Verdana"/>
          <w:sz w:val="20"/>
          <w:szCs w:val="20"/>
        </w:rPr>
        <w:t>. Por otra parte, en ningún caso podrá entenderse que la asignación a nivel interno de medidas pecuniarias de reparación, fijadas por mecanismos internos judiciales o extrajud</w:t>
      </w:r>
      <w:r w:rsidR="00893F59">
        <w:rPr>
          <w:rFonts w:ascii="Verdana" w:hAnsi="Verdana"/>
          <w:sz w:val="20"/>
          <w:szCs w:val="20"/>
        </w:rPr>
        <w:t>iciales, que pudieren resultar</w:t>
      </w:r>
      <w:r w:rsidRPr="00E53751">
        <w:rPr>
          <w:rFonts w:ascii="Verdana" w:hAnsi="Verdana"/>
          <w:sz w:val="20"/>
          <w:szCs w:val="20"/>
        </w:rPr>
        <w:t xml:space="preserve"> en montos </w:t>
      </w:r>
      <w:r w:rsidR="00893F59">
        <w:rPr>
          <w:rFonts w:ascii="Verdana" w:hAnsi="Verdana"/>
          <w:sz w:val="20"/>
          <w:szCs w:val="20"/>
        </w:rPr>
        <w:t>de dinero</w:t>
      </w:r>
      <w:r w:rsidRPr="00E53751">
        <w:rPr>
          <w:rFonts w:ascii="Verdana" w:hAnsi="Verdana"/>
          <w:sz w:val="20"/>
          <w:szCs w:val="20"/>
        </w:rPr>
        <w:t xml:space="preserve"> mayores a los estipulados en esta Sentencia, podrá implicar un saldo a favor del Estado que las personas beneficiarias estén obligadas a reintegrar. </w:t>
      </w:r>
    </w:p>
    <w:p w14:paraId="13461295" w14:textId="77777777" w:rsidR="001B6F20" w:rsidRPr="00E53751" w:rsidRDefault="001B6F20" w:rsidP="005A5029">
      <w:pPr>
        <w:spacing w:after="0" w:line="240" w:lineRule="exact"/>
        <w:contextualSpacing/>
        <w:jc w:val="both"/>
        <w:rPr>
          <w:rFonts w:ascii="Verdana" w:hAnsi="Verdana"/>
          <w:sz w:val="20"/>
          <w:szCs w:val="20"/>
          <w:lang w:val="es-ES_tradnl"/>
        </w:rPr>
      </w:pPr>
    </w:p>
    <w:p w14:paraId="0243A05F" w14:textId="77777777" w:rsidR="001B6F20"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E53751">
        <w:rPr>
          <w:rFonts w:ascii="Verdana" w:hAnsi="Verdana"/>
          <w:sz w:val="20"/>
          <w:szCs w:val="20"/>
          <w:lang w:val="es-ES_tradnl"/>
        </w:rPr>
        <w:t>Los montos correspondientes en concepto de indemnización (tanto por daños materiales como inmateriales) a favor de</w:t>
      </w:r>
      <w:r>
        <w:rPr>
          <w:rFonts w:ascii="Verdana" w:hAnsi="Verdana"/>
          <w:sz w:val="20"/>
          <w:szCs w:val="20"/>
          <w:lang w:val="es-ES_tradnl"/>
        </w:rPr>
        <w:t xml:space="preserve"> Luis Eduardo González </w:t>
      </w:r>
      <w:proofErr w:type="spellStart"/>
      <w:r>
        <w:rPr>
          <w:rFonts w:ascii="Verdana" w:hAnsi="Verdana"/>
          <w:sz w:val="20"/>
          <w:szCs w:val="20"/>
          <w:lang w:val="es-ES_tradnl"/>
        </w:rPr>
        <w:t>González</w:t>
      </w:r>
      <w:proofErr w:type="spellEnd"/>
      <w:r>
        <w:rPr>
          <w:rFonts w:ascii="Verdana" w:hAnsi="Verdana"/>
          <w:sz w:val="20"/>
          <w:szCs w:val="20"/>
          <w:lang w:val="es-ES_tradnl"/>
        </w:rPr>
        <w:t xml:space="preserve">, de Óscar </w:t>
      </w:r>
      <w:proofErr w:type="spellStart"/>
      <w:r>
        <w:rPr>
          <w:rFonts w:ascii="Verdana" w:hAnsi="Verdana"/>
          <w:sz w:val="20"/>
          <w:szCs w:val="20"/>
          <w:lang w:val="es-ES_tradnl"/>
        </w:rPr>
        <w:t>Tassino</w:t>
      </w:r>
      <w:proofErr w:type="spellEnd"/>
      <w:r>
        <w:rPr>
          <w:rFonts w:ascii="Verdana" w:hAnsi="Verdana"/>
          <w:sz w:val="20"/>
          <w:szCs w:val="20"/>
          <w:lang w:val="es-ES_tradnl"/>
        </w:rPr>
        <w:t xml:space="preserve"> </w:t>
      </w:r>
      <w:proofErr w:type="spellStart"/>
      <w:r>
        <w:rPr>
          <w:rFonts w:ascii="Verdana" w:hAnsi="Verdana"/>
          <w:sz w:val="20"/>
          <w:szCs w:val="20"/>
          <w:lang w:val="es-ES_tradnl"/>
        </w:rPr>
        <w:t>Asteazú</w:t>
      </w:r>
      <w:proofErr w:type="spellEnd"/>
      <w:r>
        <w:rPr>
          <w:rFonts w:ascii="Verdana" w:hAnsi="Verdana"/>
          <w:sz w:val="20"/>
          <w:szCs w:val="20"/>
          <w:lang w:val="es-ES_tradnl"/>
        </w:rPr>
        <w:t xml:space="preserve">, de </w:t>
      </w:r>
      <w:proofErr w:type="spellStart"/>
      <w:r w:rsidRPr="00CA1127">
        <w:rPr>
          <w:rFonts w:ascii="Verdana" w:hAnsi="Verdana"/>
          <w:sz w:val="20"/>
          <w:szCs w:val="20"/>
        </w:rPr>
        <w:t>Whashington</w:t>
      </w:r>
      <w:proofErr w:type="spellEnd"/>
      <w:r w:rsidRPr="00CA1127">
        <w:rPr>
          <w:rFonts w:ascii="Verdana" w:hAnsi="Verdana"/>
          <w:sz w:val="20"/>
          <w:szCs w:val="20"/>
        </w:rPr>
        <w:t xml:space="preserve"> Javier Barrios Fernández</w:t>
      </w:r>
      <w:r>
        <w:rPr>
          <w:rFonts w:ascii="Verdana" w:hAnsi="Verdana"/>
          <w:sz w:val="20"/>
          <w:szCs w:val="20"/>
          <w:lang w:val="es-ES_tradnl"/>
        </w:rPr>
        <w:t xml:space="preserve"> y de aquellas víctimas que hubieran fallecido al momento de emitirse esta Sentencia, serán distribuidos entre sus derechohabientes, de conformidad con el derecho interno aplicable. </w:t>
      </w:r>
    </w:p>
    <w:p w14:paraId="776BFF80" w14:textId="77777777" w:rsidR="001B6F20" w:rsidRPr="0039097A" w:rsidRDefault="001B6F20" w:rsidP="005A5029">
      <w:pPr>
        <w:spacing w:after="0" w:line="240" w:lineRule="exact"/>
        <w:contextualSpacing/>
        <w:jc w:val="both"/>
        <w:rPr>
          <w:rFonts w:ascii="Verdana" w:hAnsi="Verdana"/>
          <w:sz w:val="20"/>
          <w:szCs w:val="20"/>
          <w:lang w:val="es-ES_tradnl"/>
        </w:rPr>
      </w:pPr>
    </w:p>
    <w:p w14:paraId="0535CB0A" w14:textId="77777777" w:rsidR="001B6F20" w:rsidRPr="0039097A" w:rsidRDefault="001B6F20" w:rsidP="00A0786D">
      <w:pPr>
        <w:numPr>
          <w:ilvl w:val="0"/>
          <w:numId w:val="36"/>
        </w:numPr>
        <w:spacing w:after="0" w:line="240" w:lineRule="exact"/>
        <w:ind w:left="284" w:firstLine="0"/>
        <w:contextualSpacing/>
        <w:jc w:val="both"/>
        <w:rPr>
          <w:rFonts w:ascii="Verdana" w:hAnsi="Verdana"/>
          <w:b/>
          <w:i/>
          <w:sz w:val="20"/>
          <w:szCs w:val="20"/>
          <w:lang w:val="es-ES_tradnl"/>
        </w:rPr>
      </w:pPr>
      <w:r w:rsidRPr="0039097A">
        <w:rPr>
          <w:rFonts w:ascii="Verdana" w:hAnsi="Verdana"/>
          <w:b/>
          <w:i/>
          <w:sz w:val="20"/>
          <w:szCs w:val="20"/>
          <w:lang w:val="es-ES_tradnl"/>
        </w:rPr>
        <w:t>Modalidad de cumplimiento de los pagos ordenados</w:t>
      </w:r>
    </w:p>
    <w:p w14:paraId="7BBAFAA6" w14:textId="77777777" w:rsidR="001B6F20" w:rsidRPr="0039097A" w:rsidRDefault="001B6F20" w:rsidP="005A5029">
      <w:pPr>
        <w:spacing w:after="0" w:line="240" w:lineRule="exact"/>
        <w:contextualSpacing/>
        <w:jc w:val="both"/>
        <w:rPr>
          <w:rFonts w:ascii="Verdana" w:hAnsi="Verdana"/>
          <w:sz w:val="20"/>
          <w:szCs w:val="20"/>
          <w:lang w:val="es-ES_tradnl"/>
        </w:rPr>
      </w:pPr>
    </w:p>
    <w:p w14:paraId="4F2E9F1A"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El Estado deberá efectuar el pago de las indemnizaciones ordenadas por concepto de daño material e inmaterial establecido en la presente Sentencia, directamente a las personas beneficiarias, dentro del plazo de un año, contado a partir de la notificación del presente fallo. </w:t>
      </w:r>
    </w:p>
    <w:p w14:paraId="4A9A7865" w14:textId="77777777" w:rsidR="001B6F20" w:rsidRPr="0039097A" w:rsidRDefault="001B6F20" w:rsidP="005A5029">
      <w:pPr>
        <w:spacing w:after="0" w:line="240" w:lineRule="exact"/>
        <w:contextualSpacing/>
        <w:jc w:val="both"/>
        <w:rPr>
          <w:rFonts w:ascii="Verdana" w:hAnsi="Verdana"/>
          <w:sz w:val="20"/>
          <w:szCs w:val="20"/>
          <w:lang w:val="es-ES_tradnl"/>
        </w:rPr>
      </w:pPr>
    </w:p>
    <w:p w14:paraId="23098D44"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En caso de que las personas beneficiaras fallezcan antes de que le sean entregadas las indemnizaciones respectivas, estas se efectuarán directamente a sus derechohabientes, conforme al derecho interno aplicable. </w:t>
      </w:r>
    </w:p>
    <w:p w14:paraId="407D239F" w14:textId="77777777" w:rsidR="001B6F20" w:rsidRPr="0039097A" w:rsidRDefault="001B6F20" w:rsidP="005A5029">
      <w:pPr>
        <w:spacing w:after="0" w:line="240" w:lineRule="exact"/>
        <w:contextualSpacing/>
        <w:rPr>
          <w:rFonts w:ascii="Verdana" w:hAnsi="Verdana"/>
          <w:sz w:val="20"/>
          <w:szCs w:val="20"/>
          <w:lang w:val="es-ES_tradnl"/>
        </w:rPr>
      </w:pPr>
    </w:p>
    <w:p w14:paraId="1BCC7443"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El Estado deberá cumplir con las obligaciones monetarias mediante el pago en dólares de los Estados Unidos de América o su equivalente en moneda nacional, utilizando para el cálculo respectivo el tipo de cambio de mercado publicado o calculado por una autoridad bancaria o financiera pertinente, en la fecha más cercana al día del pago. </w:t>
      </w:r>
    </w:p>
    <w:p w14:paraId="0D94FE97" w14:textId="77777777" w:rsidR="001B6F20" w:rsidRPr="0039097A" w:rsidRDefault="001B6F20" w:rsidP="005A5029">
      <w:pPr>
        <w:spacing w:after="0" w:line="240" w:lineRule="exact"/>
        <w:contextualSpacing/>
        <w:rPr>
          <w:rFonts w:ascii="Verdana" w:hAnsi="Verdana"/>
          <w:sz w:val="20"/>
          <w:szCs w:val="20"/>
          <w:lang w:val="es-ES_tradnl"/>
        </w:rPr>
      </w:pPr>
    </w:p>
    <w:p w14:paraId="27F7AEF0" w14:textId="6343E07E"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Si por causas atribuibles a las personas beneficiarias de las indemnizaciones o a sus derechohabientes no fuese posible el pago de las cantidades determinadas dentro del plazo indicado, el Estado consignará dichos montos a su favor en una cuenta o certificado de depósito en una institución financiera </w:t>
      </w:r>
      <w:r w:rsidR="00BA21F1">
        <w:rPr>
          <w:rFonts w:ascii="Verdana" w:hAnsi="Verdana"/>
          <w:sz w:val="20"/>
          <w:szCs w:val="20"/>
          <w:lang w:val="es-ES_tradnl"/>
        </w:rPr>
        <w:t>uruguaya</w:t>
      </w:r>
      <w:r w:rsidRPr="0039097A">
        <w:rPr>
          <w:rFonts w:ascii="Verdana" w:hAnsi="Verdana"/>
          <w:sz w:val="20"/>
          <w:szCs w:val="20"/>
          <w:lang w:val="es-ES_tradnl"/>
        </w:rPr>
        <w:t xml:space="preserve"> solvente, en dólares de los Estados Unidos de América, y en las condiciones financieras más favorables que permitan la legislación y la práctica bancaria. Si no se reclama la indemnización </w:t>
      </w:r>
      <w:r w:rsidRPr="0039097A">
        <w:rPr>
          <w:rFonts w:ascii="Verdana" w:hAnsi="Verdana"/>
          <w:sz w:val="20"/>
          <w:szCs w:val="20"/>
          <w:lang w:val="es-ES_tradnl"/>
        </w:rPr>
        <w:lastRenderedPageBreak/>
        <w:t xml:space="preserve">correspondiente una vez transcurridos diez años, las cantidades serán devueltas al Estado con los intereses devengados. </w:t>
      </w:r>
    </w:p>
    <w:p w14:paraId="63FEFCFC" w14:textId="77777777" w:rsidR="001B6F20" w:rsidRPr="0039097A" w:rsidRDefault="001B6F20" w:rsidP="005A5029">
      <w:pPr>
        <w:spacing w:after="0" w:line="240" w:lineRule="exact"/>
        <w:contextualSpacing/>
        <w:rPr>
          <w:rFonts w:ascii="Verdana" w:hAnsi="Verdana"/>
          <w:sz w:val="20"/>
          <w:szCs w:val="20"/>
          <w:lang w:val="es-ES_tradnl"/>
        </w:rPr>
      </w:pPr>
    </w:p>
    <w:p w14:paraId="483C3A8B"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 xml:space="preserve">Las cantidades asignadas en la presente Sentencia como indemnización por daños materiales e inmateriales deberán ser entregadas a las personas indicadas en forma íntegra, conforme a lo establecido en esta Sentencia, sin reducciones derivadas de eventuales cargas fiscales. </w:t>
      </w:r>
    </w:p>
    <w:p w14:paraId="499ECF05" w14:textId="77777777" w:rsidR="001B6F20" w:rsidRPr="0039097A" w:rsidRDefault="001B6F20" w:rsidP="005A5029">
      <w:pPr>
        <w:spacing w:after="0" w:line="240" w:lineRule="exact"/>
        <w:contextualSpacing/>
        <w:rPr>
          <w:rFonts w:ascii="Verdana" w:hAnsi="Verdana"/>
          <w:sz w:val="20"/>
          <w:szCs w:val="20"/>
          <w:lang w:val="es-ES_tradnl"/>
        </w:rPr>
      </w:pPr>
    </w:p>
    <w:p w14:paraId="6C78DB90" w14:textId="77777777" w:rsidR="001B6F20" w:rsidRPr="0039097A" w:rsidRDefault="001B6F20" w:rsidP="005A5029">
      <w:pPr>
        <w:numPr>
          <w:ilvl w:val="0"/>
          <w:numId w:val="49"/>
        </w:numPr>
        <w:spacing w:after="0" w:line="240" w:lineRule="exact"/>
        <w:ind w:left="0" w:firstLine="0"/>
        <w:contextualSpacing/>
        <w:jc w:val="both"/>
        <w:rPr>
          <w:rFonts w:ascii="Verdana" w:hAnsi="Verdana"/>
          <w:sz w:val="20"/>
          <w:szCs w:val="20"/>
          <w:lang w:val="es-ES_tradnl"/>
        </w:rPr>
      </w:pPr>
      <w:r w:rsidRPr="0039097A">
        <w:rPr>
          <w:rFonts w:ascii="Verdana" w:hAnsi="Verdana"/>
          <w:sz w:val="20"/>
          <w:szCs w:val="20"/>
          <w:lang w:val="es-ES_tradnl"/>
        </w:rPr>
        <w:t>En caso de que el Estado incurriera en mora, deberá pagar un interés sobre la cantidad adeudada correspondiente al interés bancario moratorio en la República Oriental del Uruguay.</w:t>
      </w:r>
    </w:p>
    <w:p w14:paraId="38D5AB11" w14:textId="55F3D9AC" w:rsidR="001B6F20" w:rsidRDefault="001B6F20" w:rsidP="005A5029">
      <w:pPr>
        <w:spacing w:after="0" w:line="240" w:lineRule="exact"/>
        <w:contextualSpacing/>
        <w:jc w:val="both"/>
        <w:rPr>
          <w:lang w:val="es-ES_tradnl"/>
        </w:rPr>
      </w:pPr>
    </w:p>
    <w:p w14:paraId="06F289A2" w14:textId="77777777" w:rsidR="009274E3" w:rsidRPr="001B6F20" w:rsidRDefault="009274E3" w:rsidP="005A5029">
      <w:pPr>
        <w:spacing w:after="0" w:line="240" w:lineRule="exact"/>
        <w:contextualSpacing/>
        <w:jc w:val="both"/>
        <w:rPr>
          <w:lang w:val="es-ES_tradnl"/>
        </w:rPr>
      </w:pPr>
    </w:p>
    <w:p w14:paraId="0C3544C7" w14:textId="77777777" w:rsidR="009274E3" w:rsidRPr="0039097A" w:rsidRDefault="009274E3" w:rsidP="005A5029">
      <w:pPr>
        <w:shd w:val="clear" w:color="auto" w:fill="FFFFFF"/>
        <w:spacing w:after="0" w:line="240" w:lineRule="exact"/>
        <w:jc w:val="center"/>
        <w:outlineLvl w:val="0"/>
        <w:rPr>
          <w:rFonts w:ascii="Verdana" w:hAnsi="Verdana"/>
          <w:sz w:val="16"/>
          <w:szCs w:val="16"/>
          <w:lang w:val="es-ES_tradnl"/>
        </w:rPr>
      </w:pPr>
      <w:bookmarkStart w:id="90" w:name="_Toc61442617"/>
      <w:bookmarkStart w:id="91" w:name="_Toc62746996"/>
      <w:bookmarkStart w:id="92" w:name="_Toc74225398"/>
      <w:bookmarkStart w:id="93" w:name="_Toc85550446"/>
      <w:r w:rsidRPr="0039097A">
        <w:rPr>
          <w:rFonts w:ascii="Verdana" w:eastAsia="Calibri" w:hAnsi="Verdana" w:cs="Calibri"/>
          <w:b/>
          <w:sz w:val="20"/>
          <w:szCs w:val="20"/>
          <w:lang w:val="es-CO"/>
        </w:rPr>
        <w:t>IX</w:t>
      </w:r>
      <w:r w:rsidRPr="0039097A">
        <w:rPr>
          <w:rFonts w:ascii="Verdana" w:eastAsia="Calibri" w:hAnsi="Verdana" w:cs="Calibri"/>
          <w:b/>
          <w:sz w:val="20"/>
          <w:szCs w:val="20"/>
          <w:lang w:val="es-CO"/>
        </w:rPr>
        <w:br/>
        <w:t>PUNTOS RESOLUTIVOS</w:t>
      </w:r>
      <w:bookmarkEnd w:id="90"/>
      <w:bookmarkEnd w:id="91"/>
      <w:bookmarkEnd w:id="92"/>
      <w:bookmarkEnd w:id="93"/>
    </w:p>
    <w:p w14:paraId="729C4D19" w14:textId="77777777" w:rsidR="009274E3" w:rsidRPr="0039097A" w:rsidRDefault="009274E3" w:rsidP="005A5029">
      <w:pPr>
        <w:spacing w:after="0" w:line="240" w:lineRule="exact"/>
        <w:ind w:left="720"/>
        <w:contextualSpacing/>
        <w:rPr>
          <w:rFonts w:ascii="Verdana" w:hAnsi="Verdana"/>
          <w:sz w:val="16"/>
          <w:szCs w:val="16"/>
          <w:lang w:val="es-ES_tradnl"/>
        </w:rPr>
      </w:pPr>
    </w:p>
    <w:p w14:paraId="7146AADF" w14:textId="77777777" w:rsidR="009274E3" w:rsidRPr="0039097A" w:rsidRDefault="009274E3" w:rsidP="0059179F">
      <w:pPr>
        <w:numPr>
          <w:ilvl w:val="0"/>
          <w:numId w:val="49"/>
        </w:numPr>
        <w:spacing w:before="120" w:after="240" w:line="240" w:lineRule="auto"/>
        <w:ind w:left="0" w:firstLine="0"/>
        <w:jc w:val="both"/>
        <w:rPr>
          <w:rFonts w:ascii="Verdana" w:hAnsi="Verdana"/>
          <w:sz w:val="20"/>
          <w:szCs w:val="20"/>
          <w:lang w:val="es-ES_tradnl"/>
        </w:rPr>
      </w:pPr>
      <w:r w:rsidRPr="0039097A">
        <w:rPr>
          <w:rFonts w:ascii="Verdana" w:hAnsi="Verdana"/>
          <w:sz w:val="20"/>
          <w:szCs w:val="20"/>
          <w:lang w:val="es-ES_tradnl"/>
        </w:rPr>
        <w:t>Por tanto,</w:t>
      </w:r>
    </w:p>
    <w:p w14:paraId="3F161157" w14:textId="77777777" w:rsidR="009274E3" w:rsidRPr="0039097A" w:rsidRDefault="009274E3" w:rsidP="0059179F">
      <w:pPr>
        <w:spacing w:before="120" w:after="240" w:line="240" w:lineRule="auto"/>
        <w:rPr>
          <w:rFonts w:ascii="Verdana" w:hAnsi="Verdana"/>
          <w:sz w:val="20"/>
          <w:szCs w:val="20"/>
          <w:lang w:val="es-CO"/>
        </w:rPr>
      </w:pPr>
    </w:p>
    <w:p w14:paraId="4CA418D6" w14:textId="77777777" w:rsidR="009274E3" w:rsidRPr="0039097A" w:rsidRDefault="009274E3" w:rsidP="0059179F">
      <w:pPr>
        <w:spacing w:before="120" w:after="240" w:line="240" w:lineRule="auto"/>
        <w:jc w:val="both"/>
        <w:rPr>
          <w:rFonts w:ascii="Verdana" w:hAnsi="Verdana"/>
          <w:b/>
          <w:sz w:val="20"/>
          <w:szCs w:val="20"/>
          <w:lang w:val="es-CO"/>
        </w:rPr>
      </w:pPr>
      <w:r w:rsidRPr="0039097A">
        <w:rPr>
          <w:rFonts w:ascii="Verdana" w:hAnsi="Verdana"/>
          <w:b/>
          <w:sz w:val="20"/>
          <w:szCs w:val="20"/>
          <w:lang w:val="es-CO"/>
        </w:rPr>
        <w:t>LA CORTE</w:t>
      </w:r>
    </w:p>
    <w:p w14:paraId="4E59A89A" w14:textId="77777777" w:rsidR="009274E3" w:rsidRDefault="009274E3" w:rsidP="0059179F">
      <w:pPr>
        <w:spacing w:before="120" w:after="240" w:line="240" w:lineRule="auto"/>
        <w:jc w:val="both"/>
        <w:rPr>
          <w:rFonts w:ascii="Verdana" w:hAnsi="Verdana"/>
          <w:b/>
          <w:sz w:val="20"/>
          <w:szCs w:val="20"/>
          <w:lang w:val="es-CO"/>
        </w:rPr>
      </w:pPr>
      <w:r w:rsidRPr="0039097A">
        <w:rPr>
          <w:rFonts w:ascii="Verdana" w:hAnsi="Verdana"/>
          <w:b/>
          <w:sz w:val="20"/>
          <w:szCs w:val="20"/>
          <w:lang w:val="es-CO"/>
        </w:rPr>
        <w:t>DECLARA,</w:t>
      </w:r>
    </w:p>
    <w:p w14:paraId="60A5F422" w14:textId="77777777" w:rsidR="009274E3" w:rsidRPr="0039097A" w:rsidRDefault="009274E3" w:rsidP="0059179F">
      <w:pPr>
        <w:spacing w:before="120" w:after="240" w:line="240" w:lineRule="auto"/>
        <w:jc w:val="both"/>
        <w:rPr>
          <w:rFonts w:ascii="Verdana" w:hAnsi="Verdana"/>
          <w:b/>
          <w:sz w:val="20"/>
          <w:szCs w:val="20"/>
          <w:lang w:val="es-CO"/>
        </w:rPr>
      </w:pPr>
    </w:p>
    <w:p w14:paraId="5993B489" w14:textId="773E6650"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El Estado es responsable por la violación de los derechos al reconocimiento de la personalidad jurídica, a la vida, a la integridad personal y a la libertad personal, reconocidos en los artículos 3, 4.1, 5.1, 5.2, y 7.1 de la Convención Americana sobre Derechos Humanos, en relación con el artículo 1.1 del mismo tratado y con los artículos I</w:t>
      </w:r>
      <w:r>
        <w:rPr>
          <w:rFonts w:ascii="Verdana" w:hAnsi="Verdana"/>
          <w:sz w:val="20"/>
          <w:szCs w:val="20"/>
        </w:rPr>
        <w:t>.</w:t>
      </w:r>
      <w:r w:rsidR="00AF6D95">
        <w:rPr>
          <w:rFonts w:ascii="Verdana" w:hAnsi="Verdana"/>
          <w:sz w:val="20"/>
          <w:szCs w:val="20"/>
        </w:rPr>
        <w:t xml:space="preserve"> </w:t>
      </w:r>
      <w:r>
        <w:rPr>
          <w:rFonts w:ascii="Verdana" w:hAnsi="Verdana"/>
          <w:sz w:val="20"/>
          <w:szCs w:val="20"/>
        </w:rPr>
        <w:t>a</w:t>
      </w:r>
      <w:r w:rsidRPr="0039097A">
        <w:rPr>
          <w:rFonts w:ascii="Verdana" w:hAnsi="Verdana"/>
          <w:sz w:val="20"/>
          <w:szCs w:val="20"/>
        </w:rPr>
        <w:t xml:space="preserve"> y XI de la Convención Interamericana sobe Desaparición Forzada, en perjuicio de Óscar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en los términos de los párrafos </w:t>
      </w:r>
      <w:r>
        <w:rPr>
          <w:rFonts w:ascii="Verdana" w:hAnsi="Verdana"/>
          <w:sz w:val="20"/>
          <w:szCs w:val="20"/>
        </w:rPr>
        <w:t>112</w:t>
      </w:r>
      <w:r w:rsidRPr="0039097A">
        <w:rPr>
          <w:rFonts w:ascii="Verdana" w:hAnsi="Verdana"/>
          <w:sz w:val="20"/>
          <w:szCs w:val="20"/>
        </w:rPr>
        <w:t xml:space="preserve"> a </w:t>
      </w:r>
      <w:r>
        <w:rPr>
          <w:rFonts w:ascii="Verdana" w:hAnsi="Verdana"/>
          <w:sz w:val="20"/>
          <w:szCs w:val="20"/>
        </w:rPr>
        <w:t>125</w:t>
      </w:r>
      <w:r w:rsidRPr="0039097A">
        <w:rPr>
          <w:rFonts w:ascii="Verdana" w:hAnsi="Verdana"/>
          <w:sz w:val="20"/>
          <w:szCs w:val="20"/>
        </w:rPr>
        <w:t xml:space="preserve"> de la presente Sentencia.</w:t>
      </w:r>
    </w:p>
    <w:p w14:paraId="1281D319" w14:textId="77777777" w:rsidR="009274E3" w:rsidRPr="0039097A" w:rsidRDefault="009274E3" w:rsidP="0059179F">
      <w:pPr>
        <w:pStyle w:val="Prrafodelista"/>
        <w:spacing w:before="120" w:after="240" w:line="240" w:lineRule="auto"/>
        <w:ind w:left="0"/>
        <w:contextualSpacing w:val="0"/>
        <w:jc w:val="both"/>
        <w:rPr>
          <w:rFonts w:ascii="Verdana" w:hAnsi="Verdana"/>
          <w:sz w:val="20"/>
          <w:szCs w:val="20"/>
        </w:rPr>
      </w:pPr>
      <w:r w:rsidRPr="0039097A">
        <w:rPr>
          <w:rFonts w:ascii="Verdana" w:hAnsi="Verdana"/>
          <w:sz w:val="20"/>
          <w:szCs w:val="20"/>
        </w:rPr>
        <w:t xml:space="preserve"> </w:t>
      </w:r>
    </w:p>
    <w:p w14:paraId="198C2C11"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 xml:space="preserve"> El Estado es responsable por la violación de los derechos a las garantías judiciales y</w:t>
      </w:r>
      <w:r>
        <w:rPr>
          <w:rFonts w:ascii="Verdana" w:hAnsi="Verdana"/>
          <w:sz w:val="20"/>
          <w:szCs w:val="20"/>
        </w:rPr>
        <w:t xml:space="preserve"> </w:t>
      </w:r>
      <w:r w:rsidRPr="0039097A">
        <w:rPr>
          <w:rFonts w:ascii="Verdana" w:hAnsi="Verdana"/>
          <w:sz w:val="20"/>
          <w:szCs w:val="20"/>
        </w:rPr>
        <w:t>a la protección judicial</w:t>
      </w:r>
      <w:r>
        <w:rPr>
          <w:rFonts w:ascii="Verdana" w:hAnsi="Verdana"/>
          <w:sz w:val="20"/>
          <w:szCs w:val="20"/>
        </w:rPr>
        <w:t xml:space="preserve">, </w:t>
      </w:r>
      <w:r w:rsidRPr="0039097A">
        <w:rPr>
          <w:rFonts w:ascii="Verdana" w:hAnsi="Verdana"/>
          <w:sz w:val="20"/>
          <w:szCs w:val="20"/>
        </w:rPr>
        <w:t xml:space="preserve">reconocidos en los artículos 8.1 y 25.1 de la Convención Americana sobre Derechos Humano, en relación con las obligaciones </w:t>
      </w:r>
      <w:r w:rsidRPr="00617293">
        <w:rPr>
          <w:rFonts w:ascii="Verdana" w:hAnsi="Verdana"/>
          <w:sz w:val="20"/>
          <w:szCs w:val="20"/>
        </w:rPr>
        <w:t>establecidas en los artículos 1.1 y 2 del mismo tratado, y con los artículos I. b) y I. d)</w:t>
      </w:r>
      <w:r w:rsidRPr="0039097A">
        <w:rPr>
          <w:rFonts w:ascii="Verdana" w:hAnsi="Verdana"/>
          <w:sz w:val="20"/>
          <w:szCs w:val="20"/>
        </w:rPr>
        <w:t xml:space="preserve"> de la Convención Interamericana sobre Desaparición Forzada de Personas en perjuicio de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Óscar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sus familiares, Amalia González de González, Elena Zaffaroni Rocco, </w:t>
      </w:r>
      <w:proofErr w:type="spellStart"/>
      <w:r w:rsidRPr="0039097A">
        <w:rPr>
          <w:rFonts w:ascii="Verdana" w:hAnsi="Verdana"/>
          <w:sz w:val="20"/>
          <w:szCs w:val="20"/>
        </w:rPr>
        <w:t>Disnarda</w:t>
      </w:r>
      <w:proofErr w:type="spellEnd"/>
      <w:r w:rsidRPr="0039097A">
        <w:rPr>
          <w:rFonts w:ascii="Verdana" w:hAnsi="Verdana"/>
          <w:sz w:val="20"/>
          <w:szCs w:val="20"/>
        </w:rPr>
        <w:t xml:space="preserve"> Flores de </w:t>
      </w:r>
      <w:proofErr w:type="spellStart"/>
      <w:r w:rsidRPr="0039097A">
        <w:rPr>
          <w:rFonts w:ascii="Verdana" w:hAnsi="Verdana"/>
          <w:sz w:val="20"/>
          <w:szCs w:val="20"/>
        </w:rPr>
        <w:t>Tassino</w:t>
      </w:r>
      <w:proofErr w:type="spellEnd"/>
      <w:r w:rsidRPr="0039097A">
        <w:rPr>
          <w:rFonts w:ascii="Verdana" w:hAnsi="Verdana"/>
          <w:sz w:val="20"/>
          <w:szCs w:val="20"/>
        </w:rPr>
        <w:t xml:space="preserve">, Karina Teresa </w:t>
      </w:r>
      <w:proofErr w:type="spellStart"/>
      <w:r w:rsidRPr="0039097A">
        <w:rPr>
          <w:rFonts w:ascii="Verdana" w:hAnsi="Verdana"/>
          <w:sz w:val="20"/>
          <w:szCs w:val="20"/>
        </w:rPr>
        <w:t>Tassino</w:t>
      </w:r>
      <w:proofErr w:type="spellEnd"/>
      <w:r w:rsidRPr="0039097A">
        <w:rPr>
          <w:rFonts w:ascii="Verdana" w:hAnsi="Verdana"/>
          <w:sz w:val="20"/>
          <w:szCs w:val="20"/>
        </w:rPr>
        <w:t xml:space="preserve">, Javier </w:t>
      </w:r>
      <w:proofErr w:type="spellStart"/>
      <w:r w:rsidRPr="0039097A">
        <w:rPr>
          <w:rFonts w:ascii="Verdana" w:hAnsi="Verdana"/>
          <w:sz w:val="20"/>
          <w:szCs w:val="20"/>
        </w:rPr>
        <w:t>Tassino</w:t>
      </w:r>
      <w:proofErr w:type="spellEnd"/>
      <w:r w:rsidRPr="0039097A">
        <w:rPr>
          <w:rFonts w:ascii="Verdana" w:hAnsi="Verdana"/>
          <w:sz w:val="20"/>
          <w:szCs w:val="20"/>
        </w:rPr>
        <w:t xml:space="preserve"> y Álvaro Luis </w:t>
      </w:r>
      <w:proofErr w:type="spellStart"/>
      <w:r w:rsidRPr="0039097A">
        <w:rPr>
          <w:rFonts w:ascii="Verdana" w:hAnsi="Verdana"/>
          <w:sz w:val="20"/>
          <w:szCs w:val="20"/>
        </w:rPr>
        <w:t>Tassino</w:t>
      </w:r>
      <w:proofErr w:type="spellEnd"/>
      <w:r>
        <w:rPr>
          <w:rFonts w:ascii="Verdana" w:hAnsi="Verdana"/>
          <w:sz w:val="20"/>
          <w:szCs w:val="20"/>
          <w:lang w:val="es-ES_tradnl"/>
        </w:rPr>
        <w:t>. Además, en perjuicio de los familiares nombrados, el Estado violó el derecho a conocer la verdad. Todo lo anterior,</w:t>
      </w:r>
      <w:r w:rsidRPr="0039097A">
        <w:rPr>
          <w:rFonts w:ascii="Verdana" w:hAnsi="Verdana"/>
          <w:sz w:val="20"/>
          <w:szCs w:val="20"/>
          <w:lang w:val="es-ES_tradnl"/>
        </w:rPr>
        <w:t xml:space="preserve"> en los términos de los párrafos </w:t>
      </w:r>
      <w:r>
        <w:rPr>
          <w:rFonts w:ascii="Verdana" w:hAnsi="Verdana"/>
          <w:sz w:val="20"/>
          <w:szCs w:val="20"/>
          <w:lang w:val="es-ES_tradnl"/>
        </w:rPr>
        <w:t>136 a 152 y 172</w:t>
      </w:r>
      <w:r w:rsidRPr="0039097A">
        <w:rPr>
          <w:rFonts w:ascii="Verdana" w:hAnsi="Verdana"/>
          <w:sz w:val="20"/>
          <w:szCs w:val="20"/>
          <w:lang w:val="es-ES_tradnl"/>
        </w:rPr>
        <w:t xml:space="preserve"> a </w:t>
      </w:r>
      <w:r>
        <w:rPr>
          <w:rFonts w:ascii="Verdana" w:hAnsi="Verdana"/>
          <w:sz w:val="20"/>
          <w:szCs w:val="20"/>
          <w:lang w:val="es-ES_tradnl"/>
        </w:rPr>
        <w:t>182</w:t>
      </w:r>
      <w:r w:rsidRPr="0039097A">
        <w:rPr>
          <w:rFonts w:ascii="Verdana" w:hAnsi="Verdana"/>
          <w:sz w:val="20"/>
          <w:szCs w:val="20"/>
          <w:lang w:val="es-ES_tradnl"/>
        </w:rPr>
        <w:t xml:space="preserve"> de la presente Sentencia. </w:t>
      </w:r>
    </w:p>
    <w:p w14:paraId="318354AE" w14:textId="77777777" w:rsidR="009274E3" w:rsidRPr="0039097A" w:rsidRDefault="009274E3" w:rsidP="0059179F">
      <w:pPr>
        <w:pStyle w:val="Prrafodelista"/>
        <w:spacing w:before="120" w:after="240" w:line="240" w:lineRule="auto"/>
        <w:ind w:left="0"/>
        <w:contextualSpacing w:val="0"/>
        <w:jc w:val="both"/>
        <w:rPr>
          <w:rFonts w:ascii="Verdana" w:hAnsi="Verdana"/>
          <w:sz w:val="20"/>
          <w:szCs w:val="20"/>
        </w:rPr>
      </w:pPr>
    </w:p>
    <w:p w14:paraId="16545C26" w14:textId="4129C378"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El Estado es responsable por la violación de los derechos a las garantías judiciales ya la protección judicial</w:t>
      </w:r>
      <w:r>
        <w:rPr>
          <w:rFonts w:ascii="Verdana" w:hAnsi="Verdana"/>
          <w:sz w:val="20"/>
          <w:szCs w:val="20"/>
        </w:rPr>
        <w:t xml:space="preserve">, </w:t>
      </w:r>
      <w:r w:rsidRPr="0039097A">
        <w:rPr>
          <w:rFonts w:ascii="Verdana" w:hAnsi="Verdana"/>
          <w:sz w:val="20"/>
          <w:szCs w:val="20"/>
        </w:rPr>
        <w:t>reconocidos en los artículos 8.1 y 25.1 de la Convención Americana sobre Derechos Humano</w:t>
      </w:r>
      <w:r>
        <w:rPr>
          <w:rFonts w:ascii="Verdana" w:hAnsi="Verdana"/>
          <w:sz w:val="20"/>
          <w:szCs w:val="20"/>
        </w:rPr>
        <w:t>s</w:t>
      </w:r>
      <w:r w:rsidRPr="0039097A">
        <w:rPr>
          <w:rFonts w:ascii="Verdana" w:hAnsi="Verdana"/>
          <w:sz w:val="20"/>
          <w:szCs w:val="20"/>
        </w:rPr>
        <w:t xml:space="preserve">, en relación con las obligaciones establecidas en los artículos 1.1 y 2 del mismo tratado, y del el artículo 7.b de la Convención de Belém </w:t>
      </w:r>
      <w:r w:rsidRPr="0039097A">
        <w:rPr>
          <w:rFonts w:ascii="Verdana" w:hAnsi="Verdana"/>
          <w:sz w:val="20"/>
          <w:szCs w:val="20"/>
        </w:rPr>
        <w:lastRenderedPageBreak/>
        <w:t xml:space="preserve">do Pará en perjuicio de Mónica Raquel </w:t>
      </w:r>
      <w:proofErr w:type="spellStart"/>
      <w:r w:rsidRPr="0039097A">
        <w:rPr>
          <w:rFonts w:ascii="Verdana" w:hAnsi="Verdana"/>
          <w:sz w:val="20"/>
          <w:szCs w:val="20"/>
        </w:rPr>
        <w:t>Wodzislawski</w:t>
      </w:r>
      <w:proofErr w:type="spellEnd"/>
      <w:r w:rsidRPr="0039097A">
        <w:rPr>
          <w:rFonts w:ascii="Verdana" w:hAnsi="Verdana"/>
          <w:sz w:val="20"/>
          <w:szCs w:val="20"/>
        </w:rPr>
        <w:t xml:space="preserve">, Flora </w:t>
      </w:r>
      <w:proofErr w:type="spellStart"/>
      <w:r w:rsidRPr="0039097A">
        <w:rPr>
          <w:rFonts w:ascii="Verdana" w:hAnsi="Verdana"/>
          <w:sz w:val="20"/>
          <w:szCs w:val="20"/>
        </w:rPr>
        <w:t>Potasnik</w:t>
      </w:r>
      <w:proofErr w:type="spellEnd"/>
      <w:r w:rsidRPr="0039097A">
        <w:rPr>
          <w:rFonts w:ascii="Verdana" w:hAnsi="Verdana"/>
          <w:sz w:val="20"/>
          <w:szCs w:val="20"/>
        </w:rPr>
        <w:t xml:space="preserve">, Marta </w:t>
      </w:r>
      <w:proofErr w:type="spellStart"/>
      <w:r w:rsidRPr="0039097A">
        <w:rPr>
          <w:rFonts w:ascii="Verdana" w:hAnsi="Verdana"/>
          <w:sz w:val="20"/>
          <w:szCs w:val="20"/>
        </w:rPr>
        <w:t>Odizzio</w:t>
      </w:r>
      <w:proofErr w:type="spellEnd"/>
      <w:r w:rsidRPr="0039097A">
        <w:rPr>
          <w:rFonts w:ascii="Verdana" w:hAnsi="Verdana"/>
          <w:sz w:val="20"/>
          <w:szCs w:val="20"/>
        </w:rPr>
        <w:t xml:space="preserve"> de Raggio, Horacio Enrique Raggio </w:t>
      </w:r>
      <w:proofErr w:type="spellStart"/>
      <w:r w:rsidRPr="0039097A">
        <w:rPr>
          <w:rFonts w:ascii="Verdana" w:hAnsi="Verdana"/>
          <w:sz w:val="20"/>
          <w:szCs w:val="20"/>
        </w:rPr>
        <w:t>Odizzio</w:t>
      </w:r>
      <w:proofErr w:type="spellEnd"/>
      <w:r w:rsidRPr="0039097A">
        <w:rPr>
          <w:rFonts w:ascii="Verdana" w:hAnsi="Verdana"/>
          <w:sz w:val="20"/>
          <w:szCs w:val="20"/>
        </w:rPr>
        <w:t xml:space="preserve">, Daniel Raggio </w:t>
      </w:r>
      <w:proofErr w:type="spellStart"/>
      <w:r w:rsidRPr="0039097A">
        <w:rPr>
          <w:rFonts w:ascii="Verdana" w:hAnsi="Verdana"/>
          <w:sz w:val="20"/>
          <w:szCs w:val="20"/>
        </w:rPr>
        <w:t>Odizzio</w:t>
      </w:r>
      <w:proofErr w:type="spellEnd"/>
      <w:r w:rsidRPr="0039097A">
        <w:rPr>
          <w:rFonts w:ascii="Verdana" w:hAnsi="Verdana"/>
          <w:sz w:val="20"/>
          <w:szCs w:val="20"/>
        </w:rPr>
        <w:t xml:space="preserve">, </w:t>
      </w:r>
      <w:r>
        <w:rPr>
          <w:rFonts w:ascii="Verdana" w:hAnsi="Verdana"/>
          <w:sz w:val="20"/>
          <w:szCs w:val="20"/>
        </w:rPr>
        <w:t xml:space="preserve">Washington Javier Barrios Fernández, </w:t>
      </w:r>
      <w:r w:rsidR="002965C5">
        <w:rPr>
          <w:rFonts w:ascii="Verdana" w:hAnsi="Verdana"/>
          <w:sz w:val="20"/>
          <w:szCs w:val="20"/>
        </w:rPr>
        <w:t xml:space="preserve">Arturo Ricardo Reyes </w:t>
      </w:r>
      <w:proofErr w:type="spellStart"/>
      <w:r w:rsidR="002965C5">
        <w:rPr>
          <w:rFonts w:ascii="Verdana" w:hAnsi="Verdana"/>
          <w:sz w:val="20"/>
          <w:szCs w:val="20"/>
        </w:rPr>
        <w:t>Gaetán</w:t>
      </w:r>
      <w:proofErr w:type="spellEnd"/>
      <w:r w:rsidRPr="0039097A">
        <w:rPr>
          <w:rFonts w:ascii="Verdana" w:hAnsi="Verdana"/>
          <w:sz w:val="20"/>
          <w:szCs w:val="20"/>
        </w:rPr>
        <w:t xml:space="preserve">, Celia Natividad </w:t>
      </w:r>
      <w:proofErr w:type="spellStart"/>
      <w:r w:rsidRPr="0039097A">
        <w:rPr>
          <w:rFonts w:ascii="Verdana" w:hAnsi="Verdana"/>
          <w:sz w:val="20"/>
          <w:szCs w:val="20"/>
        </w:rPr>
        <w:t>Sedarri</w:t>
      </w:r>
      <w:proofErr w:type="spellEnd"/>
      <w:r w:rsidRPr="0039097A">
        <w:rPr>
          <w:rFonts w:ascii="Verdana" w:hAnsi="Verdana"/>
          <w:sz w:val="20"/>
          <w:szCs w:val="20"/>
        </w:rPr>
        <w:t xml:space="preserve"> Aparicio, Estela Reyes </w:t>
      </w:r>
      <w:proofErr w:type="spellStart"/>
      <w:r w:rsidRPr="0039097A">
        <w:rPr>
          <w:rFonts w:ascii="Verdana" w:hAnsi="Verdana"/>
          <w:sz w:val="20"/>
          <w:szCs w:val="20"/>
        </w:rPr>
        <w:t>Sedarri</w:t>
      </w:r>
      <w:proofErr w:type="spellEnd"/>
      <w:r w:rsidRPr="0039097A">
        <w:rPr>
          <w:rFonts w:ascii="Verdana" w:hAnsi="Verdana"/>
          <w:sz w:val="20"/>
          <w:szCs w:val="20"/>
        </w:rPr>
        <w:t xml:space="preserve">, Washington Barrios, </w:t>
      </w:r>
      <w:r w:rsidR="00CC137B">
        <w:rPr>
          <w:rFonts w:ascii="Verdana" w:hAnsi="Verdana"/>
          <w:sz w:val="20"/>
          <w:szCs w:val="20"/>
        </w:rPr>
        <w:t xml:space="preserve">Hilda </w:t>
      </w:r>
      <w:r w:rsidRPr="0039097A">
        <w:rPr>
          <w:rFonts w:ascii="Verdana" w:hAnsi="Verdana"/>
          <w:sz w:val="20"/>
          <w:szCs w:val="20"/>
        </w:rPr>
        <w:t>María Fern</w:t>
      </w:r>
      <w:r w:rsidR="00CC137B">
        <w:rPr>
          <w:rFonts w:ascii="Verdana" w:hAnsi="Verdana"/>
          <w:sz w:val="20"/>
          <w:szCs w:val="20"/>
        </w:rPr>
        <w:t>ández</w:t>
      </w:r>
      <w:r w:rsidRPr="0039097A">
        <w:rPr>
          <w:rFonts w:ascii="Verdana" w:hAnsi="Verdana"/>
          <w:sz w:val="20"/>
          <w:szCs w:val="20"/>
        </w:rPr>
        <w:t xml:space="preserve"> Rodrígue</w:t>
      </w:r>
      <w:r>
        <w:rPr>
          <w:rFonts w:ascii="Verdana" w:hAnsi="Verdana"/>
          <w:sz w:val="20"/>
          <w:szCs w:val="20"/>
        </w:rPr>
        <w:t>z y Jaqueline Barrios Fernández. Además, en perjuicio de las personas nombradas, el Estado violó el derecho a conocer la verdad. Todo lo anterior,</w:t>
      </w:r>
      <w:r w:rsidRPr="0039097A">
        <w:rPr>
          <w:rFonts w:ascii="Verdana" w:hAnsi="Verdana"/>
          <w:sz w:val="20"/>
          <w:szCs w:val="20"/>
        </w:rPr>
        <w:t xml:space="preserve"> en los términos de los párrafos </w:t>
      </w:r>
      <w:r>
        <w:rPr>
          <w:rFonts w:ascii="Verdana" w:hAnsi="Verdana"/>
          <w:sz w:val="20"/>
          <w:szCs w:val="20"/>
        </w:rPr>
        <w:t xml:space="preserve">136 a 150 y 155 a 182 </w:t>
      </w:r>
      <w:r w:rsidRPr="0039097A">
        <w:rPr>
          <w:rFonts w:ascii="Verdana" w:hAnsi="Verdana"/>
          <w:sz w:val="20"/>
          <w:szCs w:val="20"/>
        </w:rPr>
        <w:t xml:space="preserve">de la presente Sentencia. </w:t>
      </w:r>
    </w:p>
    <w:p w14:paraId="3D5FD57A" w14:textId="77777777" w:rsidR="009274E3" w:rsidRPr="0039097A" w:rsidRDefault="009274E3" w:rsidP="0059179F">
      <w:pPr>
        <w:pStyle w:val="Prrafodelista"/>
        <w:spacing w:before="120" w:after="240" w:line="240" w:lineRule="auto"/>
        <w:ind w:left="0"/>
        <w:contextualSpacing w:val="0"/>
        <w:jc w:val="both"/>
        <w:rPr>
          <w:rFonts w:ascii="Verdana" w:hAnsi="Verdana"/>
          <w:sz w:val="20"/>
          <w:szCs w:val="20"/>
        </w:rPr>
      </w:pPr>
    </w:p>
    <w:p w14:paraId="208D8197" w14:textId="7D176ED0" w:rsidR="009274E3" w:rsidRPr="00617293"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617293">
        <w:rPr>
          <w:rFonts w:ascii="Verdana" w:hAnsi="Verdana"/>
          <w:sz w:val="20"/>
          <w:szCs w:val="20"/>
        </w:rPr>
        <w:t xml:space="preserve">El Estado es responsable por la violación del derecho a la integridad personal, reconocido en el artículo 5.1 de la Convención Americana sobre Derechos Humanos, en relación con el artículo 1.1 del mismo tratado, en perjuicio de Flora </w:t>
      </w:r>
      <w:proofErr w:type="spellStart"/>
      <w:r w:rsidRPr="00617293">
        <w:rPr>
          <w:rFonts w:ascii="Verdana" w:hAnsi="Verdana"/>
          <w:sz w:val="20"/>
          <w:szCs w:val="20"/>
        </w:rPr>
        <w:t>Potasnik</w:t>
      </w:r>
      <w:proofErr w:type="spellEnd"/>
      <w:r w:rsidRPr="00617293">
        <w:rPr>
          <w:rFonts w:ascii="Verdana" w:hAnsi="Verdana"/>
          <w:sz w:val="20"/>
          <w:szCs w:val="20"/>
        </w:rPr>
        <w:t xml:space="preserve">, Mónica Raquel </w:t>
      </w:r>
      <w:proofErr w:type="spellStart"/>
      <w:r w:rsidRPr="00617293">
        <w:rPr>
          <w:rFonts w:ascii="Verdana" w:hAnsi="Verdana"/>
          <w:sz w:val="20"/>
          <w:szCs w:val="20"/>
        </w:rPr>
        <w:t>Wodzislawski</w:t>
      </w:r>
      <w:proofErr w:type="spellEnd"/>
      <w:r w:rsidRPr="00617293">
        <w:rPr>
          <w:rFonts w:ascii="Verdana" w:hAnsi="Verdana"/>
          <w:sz w:val="20"/>
          <w:szCs w:val="20"/>
        </w:rPr>
        <w:t xml:space="preserve">, Marta </w:t>
      </w:r>
      <w:proofErr w:type="spellStart"/>
      <w:r w:rsidRPr="00617293">
        <w:rPr>
          <w:rFonts w:ascii="Verdana" w:hAnsi="Verdana"/>
          <w:sz w:val="20"/>
          <w:szCs w:val="20"/>
        </w:rPr>
        <w:t>Odizzio</w:t>
      </w:r>
      <w:proofErr w:type="spellEnd"/>
      <w:r w:rsidRPr="00617293">
        <w:rPr>
          <w:rFonts w:ascii="Verdana" w:hAnsi="Verdana"/>
          <w:sz w:val="20"/>
          <w:szCs w:val="20"/>
        </w:rPr>
        <w:t xml:space="preserve"> de Raggio, Horacio Enrique Raggio </w:t>
      </w:r>
      <w:proofErr w:type="spellStart"/>
      <w:r w:rsidRPr="00617293">
        <w:rPr>
          <w:rFonts w:ascii="Verdana" w:hAnsi="Verdana"/>
          <w:sz w:val="20"/>
          <w:szCs w:val="20"/>
        </w:rPr>
        <w:t>Odizzio</w:t>
      </w:r>
      <w:proofErr w:type="spellEnd"/>
      <w:r w:rsidRPr="00617293">
        <w:rPr>
          <w:rFonts w:ascii="Verdana" w:hAnsi="Verdana"/>
          <w:sz w:val="20"/>
          <w:szCs w:val="20"/>
        </w:rPr>
        <w:t xml:space="preserve">, Daniel Raggio </w:t>
      </w:r>
      <w:proofErr w:type="spellStart"/>
      <w:r w:rsidRPr="00617293">
        <w:rPr>
          <w:rFonts w:ascii="Verdana" w:hAnsi="Verdana"/>
          <w:sz w:val="20"/>
          <w:szCs w:val="20"/>
        </w:rPr>
        <w:t>Odizzio</w:t>
      </w:r>
      <w:proofErr w:type="spellEnd"/>
      <w:r w:rsidRPr="00617293">
        <w:rPr>
          <w:rFonts w:ascii="Verdana" w:hAnsi="Verdana"/>
          <w:sz w:val="20"/>
          <w:szCs w:val="20"/>
        </w:rPr>
        <w:t xml:space="preserve">, Arturo Ricardo Reyes </w:t>
      </w:r>
      <w:proofErr w:type="spellStart"/>
      <w:r w:rsidRPr="00617293">
        <w:rPr>
          <w:rFonts w:ascii="Verdana" w:hAnsi="Verdana"/>
          <w:sz w:val="20"/>
          <w:szCs w:val="20"/>
        </w:rPr>
        <w:t>Gaetán</w:t>
      </w:r>
      <w:proofErr w:type="spellEnd"/>
      <w:r w:rsidRPr="00617293">
        <w:rPr>
          <w:rFonts w:ascii="Verdana" w:hAnsi="Verdana"/>
          <w:sz w:val="20"/>
          <w:szCs w:val="20"/>
        </w:rPr>
        <w:t xml:space="preserve">, Celia Natividad </w:t>
      </w:r>
      <w:proofErr w:type="spellStart"/>
      <w:r w:rsidRPr="00617293">
        <w:rPr>
          <w:rFonts w:ascii="Verdana" w:hAnsi="Verdana"/>
          <w:sz w:val="20"/>
          <w:szCs w:val="20"/>
        </w:rPr>
        <w:t>Sedarri</w:t>
      </w:r>
      <w:proofErr w:type="spellEnd"/>
      <w:r w:rsidRPr="00617293">
        <w:rPr>
          <w:rFonts w:ascii="Verdana" w:hAnsi="Verdana"/>
          <w:sz w:val="20"/>
          <w:szCs w:val="20"/>
        </w:rPr>
        <w:t xml:space="preserve"> Aparicio, Estela Reyes </w:t>
      </w:r>
      <w:proofErr w:type="spellStart"/>
      <w:r w:rsidRPr="00617293">
        <w:rPr>
          <w:rFonts w:ascii="Verdana" w:hAnsi="Verdana"/>
          <w:sz w:val="20"/>
          <w:szCs w:val="20"/>
        </w:rPr>
        <w:t>Sedarri</w:t>
      </w:r>
      <w:proofErr w:type="spellEnd"/>
      <w:r w:rsidRPr="00617293">
        <w:rPr>
          <w:rFonts w:ascii="Verdana" w:hAnsi="Verdana"/>
          <w:sz w:val="20"/>
          <w:szCs w:val="20"/>
        </w:rPr>
        <w:t xml:space="preserve">, </w:t>
      </w:r>
      <w:proofErr w:type="spellStart"/>
      <w:r w:rsidRPr="00617293">
        <w:rPr>
          <w:rFonts w:ascii="Verdana" w:hAnsi="Verdana"/>
          <w:sz w:val="20"/>
          <w:szCs w:val="20"/>
        </w:rPr>
        <w:t>Whashington</w:t>
      </w:r>
      <w:proofErr w:type="spellEnd"/>
      <w:r w:rsidRPr="00617293">
        <w:rPr>
          <w:rFonts w:ascii="Verdana" w:hAnsi="Verdana"/>
          <w:sz w:val="20"/>
          <w:szCs w:val="20"/>
        </w:rPr>
        <w:t xml:space="preserve"> Javier Barrios Fernández, Washington Barrios, Hilda María Fern</w:t>
      </w:r>
      <w:r w:rsidR="00CC137B">
        <w:rPr>
          <w:rFonts w:ascii="Verdana" w:hAnsi="Verdana"/>
          <w:sz w:val="20"/>
          <w:szCs w:val="20"/>
        </w:rPr>
        <w:t>ández</w:t>
      </w:r>
      <w:r w:rsidRPr="00617293">
        <w:rPr>
          <w:rFonts w:ascii="Verdana" w:hAnsi="Verdana"/>
          <w:sz w:val="20"/>
          <w:szCs w:val="20"/>
        </w:rPr>
        <w:t xml:space="preserve"> Rodríguez, Jaqueline Barrios Fernández, Amalia González de González, Elena Zaffaroni Rocco, </w:t>
      </w:r>
      <w:proofErr w:type="spellStart"/>
      <w:r w:rsidRPr="00617293">
        <w:rPr>
          <w:rFonts w:ascii="Verdana" w:hAnsi="Verdana"/>
          <w:sz w:val="20"/>
          <w:szCs w:val="20"/>
        </w:rPr>
        <w:t>Disnarda</w:t>
      </w:r>
      <w:proofErr w:type="spellEnd"/>
      <w:r w:rsidRPr="00617293">
        <w:rPr>
          <w:rFonts w:ascii="Verdana" w:hAnsi="Verdana"/>
          <w:sz w:val="20"/>
          <w:szCs w:val="20"/>
        </w:rPr>
        <w:t xml:space="preserve"> Ema Flores Soler de </w:t>
      </w:r>
      <w:proofErr w:type="spellStart"/>
      <w:r w:rsidRPr="00617293">
        <w:rPr>
          <w:rFonts w:ascii="Verdana" w:hAnsi="Verdana"/>
          <w:sz w:val="20"/>
          <w:szCs w:val="20"/>
        </w:rPr>
        <w:t>Tassino</w:t>
      </w:r>
      <w:proofErr w:type="spellEnd"/>
      <w:r w:rsidRPr="00617293">
        <w:rPr>
          <w:rFonts w:ascii="Verdana" w:hAnsi="Verdana"/>
          <w:sz w:val="20"/>
          <w:szCs w:val="20"/>
        </w:rPr>
        <w:t xml:space="preserve">, Karina Teresa </w:t>
      </w:r>
      <w:proofErr w:type="spellStart"/>
      <w:r w:rsidRPr="00617293">
        <w:rPr>
          <w:rFonts w:ascii="Verdana" w:hAnsi="Verdana"/>
          <w:sz w:val="20"/>
          <w:szCs w:val="20"/>
        </w:rPr>
        <w:t>Tassino</w:t>
      </w:r>
      <w:proofErr w:type="spellEnd"/>
      <w:r w:rsidRPr="00617293">
        <w:rPr>
          <w:rFonts w:ascii="Verdana" w:hAnsi="Verdana"/>
          <w:sz w:val="20"/>
          <w:szCs w:val="20"/>
        </w:rPr>
        <w:t xml:space="preserve">, Javier </w:t>
      </w:r>
      <w:proofErr w:type="spellStart"/>
      <w:r w:rsidRPr="00617293">
        <w:rPr>
          <w:rFonts w:ascii="Verdana" w:hAnsi="Verdana"/>
          <w:sz w:val="20"/>
          <w:szCs w:val="20"/>
        </w:rPr>
        <w:t>Tassino</w:t>
      </w:r>
      <w:proofErr w:type="spellEnd"/>
      <w:r w:rsidRPr="00617293">
        <w:rPr>
          <w:rFonts w:ascii="Verdana" w:hAnsi="Verdana"/>
          <w:sz w:val="20"/>
          <w:szCs w:val="20"/>
        </w:rPr>
        <w:t xml:space="preserve"> y Álvaro Luis </w:t>
      </w:r>
      <w:proofErr w:type="spellStart"/>
      <w:r w:rsidRPr="00617293">
        <w:rPr>
          <w:rFonts w:ascii="Verdana" w:hAnsi="Verdana"/>
          <w:sz w:val="20"/>
          <w:szCs w:val="20"/>
        </w:rPr>
        <w:t>Tassino</w:t>
      </w:r>
      <w:proofErr w:type="spellEnd"/>
      <w:r w:rsidRPr="00617293">
        <w:rPr>
          <w:rFonts w:ascii="Verdana" w:hAnsi="Verdana"/>
          <w:sz w:val="20"/>
          <w:szCs w:val="20"/>
        </w:rPr>
        <w:t>.</w:t>
      </w:r>
      <w:r>
        <w:rPr>
          <w:rFonts w:ascii="Verdana" w:hAnsi="Verdana"/>
          <w:sz w:val="20"/>
          <w:szCs w:val="20"/>
        </w:rPr>
        <w:t xml:space="preserve"> </w:t>
      </w:r>
      <w:r w:rsidRPr="00617293">
        <w:rPr>
          <w:rFonts w:ascii="Verdana" w:hAnsi="Verdana"/>
          <w:sz w:val="20"/>
          <w:szCs w:val="20"/>
        </w:rPr>
        <w:t>en los términos de los párrafos 18</w:t>
      </w:r>
      <w:r>
        <w:rPr>
          <w:rFonts w:ascii="Verdana" w:hAnsi="Verdana"/>
          <w:sz w:val="20"/>
          <w:szCs w:val="20"/>
        </w:rPr>
        <w:t>5</w:t>
      </w:r>
      <w:r w:rsidRPr="00617293">
        <w:rPr>
          <w:rFonts w:ascii="Verdana" w:hAnsi="Verdana"/>
          <w:sz w:val="20"/>
          <w:szCs w:val="20"/>
        </w:rPr>
        <w:t xml:space="preserve"> a 19</w:t>
      </w:r>
      <w:r>
        <w:rPr>
          <w:rFonts w:ascii="Verdana" w:hAnsi="Verdana"/>
          <w:sz w:val="20"/>
          <w:szCs w:val="20"/>
        </w:rPr>
        <w:t>0</w:t>
      </w:r>
      <w:r w:rsidRPr="00617293">
        <w:rPr>
          <w:rFonts w:ascii="Verdana" w:hAnsi="Verdana"/>
          <w:sz w:val="20"/>
          <w:szCs w:val="20"/>
        </w:rPr>
        <w:t xml:space="preserve"> de la presente Sentencia. </w:t>
      </w:r>
    </w:p>
    <w:p w14:paraId="6FB13048" w14:textId="77777777" w:rsidR="009274E3" w:rsidRPr="0039097A" w:rsidRDefault="009274E3" w:rsidP="0059179F">
      <w:pPr>
        <w:spacing w:before="120" w:after="240" w:line="240" w:lineRule="auto"/>
        <w:rPr>
          <w:rFonts w:ascii="Verdana" w:hAnsi="Verdana"/>
          <w:sz w:val="20"/>
          <w:szCs w:val="20"/>
        </w:rPr>
      </w:pPr>
    </w:p>
    <w:p w14:paraId="7B961D5C" w14:textId="77777777" w:rsidR="009274E3" w:rsidRPr="0039097A" w:rsidRDefault="009274E3" w:rsidP="0059179F">
      <w:pPr>
        <w:spacing w:before="120" w:after="240" w:line="240" w:lineRule="auto"/>
        <w:rPr>
          <w:rFonts w:ascii="Verdana" w:hAnsi="Verdana"/>
          <w:b/>
          <w:sz w:val="20"/>
          <w:szCs w:val="20"/>
        </w:rPr>
      </w:pPr>
      <w:r w:rsidRPr="0039097A">
        <w:rPr>
          <w:rFonts w:ascii="Verdana" w:hAnsi="Verdana"/>
          <w:b/>
          <w:sz w:val="20"/>
          <w:szCs w:val="20"/>
        </w:rPr>
        <w:t xml:space="preserve">Y DISPONE, </w:t>
      </w:r>
    </w:p>
    <w:p w14:paraId="48F13F25" w14:textId="77777777" w:rsidR="009274E3" w:rsidRPr="0039097A" w:rsidRDefault="009274E3" w:rsidP="0059179F">
      <w:pPr>
        <w:spacing w:before="120" w:after="240" w:line="240" w:lineRule="auto"/>
        <w:rPr>
          <w:rFonts w:ascii="Verdana" w:hAnsi="Verdana"/>
          <w:b/>
          <w:sz w:val="20"/>
          <w:szCs w:val="20"/>
        </w:rPr>
      </w:pPr>
    </w:p>
    <w:p w14:paraId="6A10377F"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 xml:space="preserve"> Esta Sentencia constituye, por sí misma, una forma de reparación.</w:t>
      </w:r>
    </w:p>
    <w:p w14:paraId="0B2DE0CD" w14:textId="77777777" w:rsidR="009274E3" w:rsidRPr="0039097A" w:rsidRDefault="009274E3" w:rsidP="0059179F">
      <w:pPr>
        <w:pStyle w:val="Prrafodelista"/>
        <w:spacing w:before="120" w:after="240" w:line="240" w:lineRule="auto"/>
        <w:ind w:left="0"/>
        <w:contextualSpacing w:val="0"/>
        <w:jc w:val="both"/>
        <w:rPr>
          <w:rFonts w:ascii="Verdana" w:hAnsi="Verdana"/>
          <w:sz w:val="20"/>
          <w:szCs w:val="20"/>
        </w:rPr>
      </w:pPr>
    </w:p>
    <w:p w14:paraId="7A15CDE5"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 xml:space="preserve">El Estado </w:t>
      </w:r>
      <w:r w:rsidRPr="0039097A">
        <w:rPr>
          <w:rFonts w:ascii="Verdana" w:hAnsi="Verdana" w:cs="Verdana"/>
          <w:sz w:val="20"/>
          <w:szCs w:val="20"/>
          <w:lang w:val="es-ES_tradnl"/>
        </w:rPr>
        <w:t xml:space="preserve">continuará la investigación de los hechos, a fin de identificar, juzgar y, en su caso, sancionar a los responsables de las ejecuciones extrajudiciales de </w:t>
      </w:r>
      <w:r w:rsidRPr="0039097A">
        <w:rPr>
          <w:rFonts w:ascii="Verdana" w:hAnsi="Verdana"/>
          <w:sz w:val="20"/>
          <w:szCs w:val="20"/>
        </w:rPr>
        <w:t xml:space="preserve">Diana </w:t>
      </w:r>
      <w:proofErr w:type="spellStart"/>
      <w:r w:rsidRPr="0039097A">
        <w:rPr>
          <w:rFonts w:ascii="Verdana" w:hAnsi="Verdana"/>
          <w:sz w:val="20"/>
          <w:szCs w:val="20"/>
        </w:rPr>
        <w:t>Maidanik</w:t>
      </w:r>
      <w:proofErr w:type="spellEnd"/>
      <w:r w:rsidRPr="0039097A">
        <w:rPr>
          <w:rFonts w:ascii="Verdana" w:hAnsi="Verdana"/>
          <w:sz w:val="20"/>
          <w:szCs w:val="20"/>
        </w:rPr>
        <w:t xml:space="preserve">, Silvia Reyes y Laura Raggio, así como de las desapariciones forzadas de Óscar </w:t>
      </w:r>
      <w:proofErr w:type="spellStart"/>
      <w:r w:rsidRPr="0039097A">
        <w:rPr>
          <w:rFonts w:ascii="Verdana" w:hAnsi="Verdana"/>
          <w:sz w:val="20"/>
          <w:szCs w:val="20"/>
        </w:rPr>
        <w:t>Tassino</w:t>
      </w:r>
      <w:proofErr w:type="spellEnd"/>
      <w:r w:rsidRPr="0039097A">
        <w:rPr>
          <w:rFonts w:ascii="Verdana" w:hAnsi="Verdana"/>
          <w:sz w:val="20"/>
          <w:szCs w:val="20"/>
        </w:rPr>
        <w:t xml:space="preserve"> </w:t>
      </w:r>
      <w:proofErr w:type="spellStart"/>
      <w:r w:rsidRPr="0039097A">
        <w:rPr>
          <w:rFonts w:ascii="Verdana" w:hAnsi="Verdana"/>
          <w:sz w:val="20"/>
          <w:szCs w:val="20"/>
        </w:rPr>
        <w:t>Asteazú</w:t>
      </w:r>
      <w:proofErr w:type="spellEnd"/>
      <w:r w:rsidRPr="0039097A">
        <w:rPr>
          <w:rFonts w:ascii="Verdana" w:hAnsi="Verdana"/>
          <w:sz w:val="20"/>
          <w:szCs w:val="20"/>
        </w:rPr>
        <w:t xml:space="preserve"> y Luis Eduardo González </w:t>
      </w:r>
      <w:proofErr w:type="spellStart"/>
      <w:r w:rsidRPr="0039097A">
        <w:rPr>
          <w:rFonts w:ascii="Verdana" w:hAnsi="Verdana"/>
          <w:sz w:val="20"/>
          <w:szCs w:val="20"/>
        </w:rPr>
        <w:t>González</w:t>
      </w:r>
      <w:proofErr w:type="spellEnd"/>
      <w:r w:rsidRPr="0039097A">
        <w:rPr>
          <w:rFonts w:ascii="Verdana" w:hAnsi="Verdana"/>
          <w:sz w:val="20"/>
          <w:szCs w:val="20"/>
        </w:rPr>
        <w:t xml:space="preserve">, en los términos de los párrafos </w:t>
      </w:r>
      <w:r>
        <w:rPr>
          <w:rFonts w:ascii="Verdana" w:hAnsi="Verdana"/>
          <w:sz w:val="20"/>
          <w:szCs w:val="20"/>
        </w:rPr>
        <w:t>203</w:t>
      </w:r>
      <w:r w:rsidRPr="0039097A">
        <w:rPr>
          <w:rFonts w:ascii="Verdana" w:hAnsi="Verdana"/>
          <w:sz w:val="20"/>
          <w:szCs w:val="20"/>
        </w:rPr>
        <w:t xml:space="preserve"> a </w:t>
      </w:r>
      <w:r>
        <w:rPr>
          <w:rFonts w:ascii="Verdana" w:hAnsi="Verdana"/>
          <w:sz w:val="20"/>
          <w:szCs w:val="20"/>
        </w:rPr>
        <w:t>215</w:t>
      </w:r>
      <w:r w:rsidRPr="0039097A">
        <w:rPr>
          <w:rFonts w:ascii="Verdana" w:hAnsi="Verdana"/>
          <w:sz w:val="20"/>
          <w:szCs w:val="20"/>
        </w:rPr>
        <w:t xml:space="preserve"> de la presente Sentencia. </w:t>
      </w:r>
    </w:p>
    <w:p w14:paraId="3188B797"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64F7D6D2"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 xml:space="preserve">El Estado </w:t>
      </w:r>
      <w:r w:rsidRPr="0039097A">
        <w:rPr>
          <w:rFonts w:ascii="Verdana" w:hAnsi="Verdana"/>
          <w:sz w:val="20"/>
          <w:szCs w:val="20"/>
          <w:lang w:val="es-MX"/>
        </w:rPr>
        <w:t xml:space="preserve">continuará con la búsqueda efectiva y la realización de acciones tendientes a la localización inmediata de Luis Eduardo González </w:t>
      </w:r>
      <w:proofErr w:type="spellStart"/>
      <w:r w:rsidRPr="0039097A">
        <w:rPr>
          <w:rFonts w:ascii="Verdana" w:hAnsi="Verdana"/>
          <w:sz w:val="20"/>
          <w:szCs w:val="20"/>
          <w:lang w:val="es-MX"/>
        </w:rPr>
        <w:t>González</w:t>
      </w:r>
      <w:proofErr w:type="spellEnd"/>
      <w:r w:rsidRPr="0039097A">
        <w:rPr>
          <w:rFonts w:ascii="Verdana" w:hAnsi="Verdana"/>
          <w:sz w:val="20"/>
          <w:szCs w:val="20"/>
          <w:lang w:val="es-MX"/>
        </w:rPr>
        <w:t xml:space="preserve"> y Óscar </w:t>
      </w:r>
      <w:proofErr w:type="spellStart"/>
      <w:r w:rsidRPr="0039097A">
        <w:rPr>
          <w:rFonts w:ascii="Verdana" w:hAnsi="Verdana"/>
          <w:sz w:val="20"/>
          <w:szCs w:val="20"/>
          <w:lang w:val="es-MX"/>
        </w:rPr>
        <w:t>Tassino</w:t>
      </w:r>
      <w:proofErr w:type="spellEnd"/>
      <w:r w:rsidRPr="0039097A">
        <w:rPr>
          <w:rFonts w:ascii="Verdana" w:hAnsi="Verdana"/>
          <w:sz w:val="20"/>
          <w:szCs w:val="20"/>
          <w:lang w:val="es-MX"/>
        </w:rPr>
        <w:t xml:space="preserve"> </w:t>
      </w:r>
      <w:proofErr w:type="spellStart"/>
      <w:r w:rsidRPr="0039097A">
        <w:rPr>
          <w:rFonts w:ascii="Verdana" w:hAnsi="Verdana"/>
          <w:sz w:val="20"/>
          <w:szCs w:val="20"/>
          <w:lang w:val="es-MX"/>
        </w:rPr>
        <w:t>Asteazú</w:t>
      </w:r>
      <w:proofErr w:type="spellEnd"/>
      <w:r w:rsidRPr="0039097A">
        <w:rPr>
          <w:rFonts w:ascii="Verdana" w:hAnsi="Verdana"/>
          <w:sz w:val="20"/>
          <w:szCs w:val="20"/>
          <w:lang w:val="es-MX"/>
        </w:rPr>
        <w:t xml:space="preserve">, o de sus restos mortales, en los términos del párrafo </w:t>
      </w:r>
      <w:r>
        <w:rPr>
          <w:rFonts w:ascii="Verdana" w:hAnsi="Verdana"/>
          <w:sz w:val="20"/>
          <w:szCs w:val="20"/>
          <w:lang w:val="es-MX"/>
        </w:rPr>
        <w:t>220</w:t>
      </w:r>
      <w:r w:rsidRPr="0039097A">
        <w:rPr>
          <w:rFonts w:ascii="Verdana" w:hAnsi="Verdana"/>
          <w:sz w:val="20"/>
          <w:szCs w:val="20"/>
          <w:lang w:val="es-MX"/>
        </w:rPr>
        <w:t xml:space="preserve"> de la presente Sentencia. </w:t>
      </w:r>
    </w:p>
    <w:p w14:paraId="12F9349F"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7D6474AD"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El Estado</w:t>
      </w:r>
      <w:r w:rsidRPr="0039097A">
        <w:rPr>
          <w:rFonts w:ascii="Verdana" w:hAnsi="Verdana"/>
          <w:sz w:val="20"/>
          <w:szCs w:val="20"/>
          <w:lang w:val="es-ES_tradnl"/>
        </w:rPr>
        <w:t xml:space="preserve"> proveerá a </w:t>
      </w:r>
      <w:r>
        <w:rPr>
          <w:rFonts w:ascii="Verdana" w:hAnsi="Verdana"/>
          <w:sz w:val="20"/>
          <w:szCs w:val="20"/>
          <w:lang w:val="es-ES_tradnl"/>
        </w:rPr>
        <w:t>las víctimas</w:t>
      </w:r>
      <w:r w:rsidRPr="0039097A">
        <w:rPr>
          <w:rFonts w:ascii="Verdana" w:hAnsi="Verdana"/>
          <w:sz w:val="20"/>
          <w:szCs w:val="20"/>
          <w:lang w:val="es-ES_tradnl"/>
        </w:rPr>
        <w:t xml:space="preserve"> tratamiento psicológico o psiquiátrico, en los términos de los párrafos </w:t>
      </w:r>
      <w:r>
        <w:rPr>
          <w:rFonts w:ascii="Verdana" w:hAnsi="Verdana"/>
          <w:sz w:val="20"/>
          <w:szCs w:val="20"/>
          <w:lang w:val="es-ES_tradnl"/>
        </w:rPr>
        <w:t>226</w:t>
      </w:r>
      <w:r w:rsidRPr="0039097A">
        <w:rPr>
          <w:rFonts w:ascii="Verdana" w:hAnsi="Verdana"/>
          <w:sz w:val="20"/>
          <w:szCs w:val="20"/>
          <w:lang w:val="es-ES_tradnl"/>
        </w:rPr>
        <w:t xml:space="preserve"> a </w:t>
      </w:r>
      <w:r>
        <w:rPr>
          <w:rFonts w:ascii="Verdana" w:hAnsi="Verdana"/>
          <w:sz w:val="20"/>
          <w:szCs w:val="20"/>
          <w:lang w:val="es-ES_tradnl"/>
        </w:rPr>
        <w:t>229</w:t>
      </w:r>
      <w:r w:rsidRPr="0039097A">
        <w:rPr>
          <w:rFonts w:ascii="Verdana" w:hAnsi="Verdana"/>
          <w:sz w:val="20"/>
          <w:szCs w:val="20"/>
          <w:lang w:val="es-ES_tradnl"/>
        </w:rPr>
        <w:t xml:space="preserve"> de la presente Sentencia. </w:t>
      </w:r>
    </w:p>
    <w:p w14:paraId="11DD048A"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6703E6FD"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 xml:space="preserve">El Estado realizará las publicaciones ordenadas en el párrafo </w:t>
      </w:r>
      <w:r>
        <w:rPr>
          <w:rFonts w:ascii="Verdana" w:hAnsi="Verdana"/>
          <w:sz w:val="20"/>
          <w:szCs w:val="20"/>
        </w:rPr>
        <w:t>233</w:t>
      </w:r>
      <w:r w:rsidRPr="0039097A">
        <w:rPr>
          <w:rFonts w:ascii="Verdana" w:hAnsi="Verdana"/>
          <w:sz w:val="20"/>
          <w:szCs w:val="20"/>
        </w:rPr>
        <w:t xml:space="preserve"> de la presente Sentencia. </w:t>
      </w:r>
    </w:p>
    <w:p w14:paraId="1BC17558"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67BF66FD" w14:textId="77777777" w:rsidR="009274E3" w:rsidRPr="00DE69BB"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 xml:space="preserve">El Estado realizará </w:t>
      </w:r>
      <w:r w:rsidRPr="0039097A">
        <w:rPr>
          <w:rFonts w:ascii="Verdana" w:hAnsi="Verdana"/>
          <w:sz w:val="20"/>
          <w:szCs w:val="20"/>
          <w:lang w:val="es-MX"/>
        </w:rPr>
        <w:t xml:space="preserve">un acto público de reconocimiento de responsabilidad internacional en relación con los hechos del presente caso, en los términos del párrafo </w:t>
      </w:r>
      <w:r>
        <w:rPr>
          <w:rFonts w:ascii="Verdana" w:hAnsi="Verdana"/>
          <w:sz w:val="20"/>
          <w:szCs w:val="20"/>
          <w:lang w:val="es-MX"/>
        </w:rPr>
        <w:t>236</w:t>
      </w:r>
      <w:r w:rsidRPr="0039097A">
        <w:rPr>
          <w:rFonts w:ascii="Verdana" w:hAnsi="Verdana"/>
          <w:sz w:val="20"/>
          <w:szCs w:val="20"/>
          <w:lang w:val="es-MX"/>
        </w:rPr>
        <w:t xml:space="preserve"> de la presente Sentencia. </w:t>
      </w:r>
    </w:p>
    <w:p w14:paraId="34DEF6B1"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68AAA4A9"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El Estado adoptará las acciones correspondientes, para fortalecer la capacidad de actuación de la Fiscalía Especializada en Crímenes de Lesa Humanidad, en los términos de</w:t>
      </w:r>
      <w:r>
        <w:rPr>
          <w:rFonts w:ascii="Verdana" w:hAnsi="Verdana"/>
          <w:sz w:val="20"/>
          <w:szCs w:val="20"/>
        </w:rPr>
        <w:t xml:space="preserve"> </w:t>
      </w:r>
      <w:r w:rsidRPr="0039097A">
        <w:rPr>
          <w:rFonts w:ascii="Verdana" w:hAnsi="Verdana"/>
          <w:sz w:val="20"/>
          <w:szCs w:val="20"/>
        </w:rPr>
        <w:t>l</w:t>
      </w:r>
      <w:r>
        <w:rPr>
          <w:rFonts w:ascii="Verdana" w:hAnsi="Verdana"/>
          <w:sz w:val="20"/>
          <w:szCs w:val="20"/>
        </w:rPr>
        <w:t>os</w:t>
      </w:r>
      <w:r w:rsidRPr="0039097A">
        <w:rPr>
          <w:rFonts w:ascii="Verdana" w:hAnsi="Verdana"/>
          <w:sz w:val="20"/>
          <w:szCs w:val="20"/>
        </w:rPr>
        <w:t xml:space="preserve"> párrafo</w:t>
      </w:r>
      <w:r>
        <w:rPr>
          <w:rFonts w:ascii="Verdana" w:hAnsi="Verdana"/>
          <w:sz w:val="20"/>
          <w:szCs w:val="20"/>
        </w:rPr>
        <w:t>s 254 y</w:t>
      </w:r>
      <w:r w:rsidRPr="0039097A">
        <w:rPr>
          <w:rFonts w:ascii="Verdana" w:hAnsi="Verdana"/>
          <w:sz w:val="20"/>
          <w:szCs w:val="20"/>
        </w:rPr>
        <w:t xml:space="preserve"> </w:t>
      </w:r>
      <w:r>
        <w:rPr>
          <w:rFonts w:ascii="Verdana" w:hAnsi="Verdana"/>
          <w:sz w:val="20"/>
          <w:szCs w:val="20"/>
        </w:rPr>
        <w:t>255</w:t>
      </w:r>
      <w:r w:rsidRPr="0039097A">
        <w:rPr>
          <w:rFonts w:ascii="Verdana" w:hAnsi="Verdana"/>
          <w:sz w:val="20"/>
          <w:szCs w:val="20"/>
        </w:rPr>
        <w:t xml:space="preserve"> de la presente Sentencia. </w:t>
      </w:r>
    </w:p>
    <w:p w14:paraId="757BE8B8"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2D9BC851"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 xml:space="preserve">El Estado </w:t>
      </w:r>
      <w:r w:rsidRPr="0039097A">
        <w:rPr>
          <w:rFonts w:ascii="Verdana" w:hAnsi="Verdana"/>
          <w:sz w:val="20"/>
          <w:szCs w:val="20"/>
          <w:lang w:val="es-ES_tradnl"/>
        </w:rPr>
        <w:t xml:space="preserve">adoptará programas permanentes de formación, capacitación y sensibilización a integrantes de las Fuerzas Armadas en relación con derechos humanos, en los términos del párrafo </w:t>
      </w:r>
      <w:r>
        <w:rPr>
          <w:rFonts w:ascii="Verdana" w:hAnsi="Verdana"/>
          <w:sz w:val="20"/>
          <w:szCs w:val="20"/>
          <w:lang w:val="es-ES_tradnl"/>
        </w:rPr>
        <w:t>258</w:t>
      </w:r>
      <w:r w:rsidRPr="0039097A">
        <w:rPr>
          <w:rFonts w:ascii="Verdana" w:hAnsi="Verdana"/>
          <w:sz w:val="20"/>
          <w:szCs w:val="20"/>
          <w:lang w:val="es-ES_tradnl"/>
        </w:rPr>
        <w:t xml:space="preserve"> de la presente Sentencia. </w:t>
      </w:r>
    </w:p>
    <w:p w14:paraId="4C608D70"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2F1EDC80"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 xml:space="preserve">El Estado pagará las cantidades fijadas en </w:t>
      </w:r>
      <w:r>
        <w:rPr>
          <w:rFonts w:ascii="Verdana" w:hAnsi="Verdana"/>
          <w:sz w:val="20"/>
          <w:szCs w:val="20"/>
        </w:rPr>
        <w:t>los</w:t>
      </w:r>
      <w:r w:rsidRPr="0039097A">
        <w:rPr>
          <w:rFonts w:ascii="Verdana" w:hAnsi="Verdana"/>
          <w:sz w:val="20"/>
          <w:szCs w:val="20"/>
        </w:rPr>
        <w:t xml:space="preserve"> párrafos </w:t>
      </w:r>
      <w:r>
        <w:rPr>
          <w:rFonts w:ascii="Verdana" w:hAnsi="Verdana"/>
          <w:sz w:val="20"/>
          <w:szCs w:val="20"/>
        </w:rPr>
        <w:t>275 a 277</w:t>
      </w:r>
      <w:r w:rsidRPr="0039097A">
        <w:rPr>
          <w:rFonts w:ascii="Verdana" w:hAnsi="Verdana"/>
          <w:sz w:val="20"/>
          <w:szCs w:val="20"/>
        </w:rPr>
        <w:t xml:space="preserve"> de la presente Sentencia por concepto de indemnización de los daños materiales e inmateriales, en los términos de los párrafos </w:t>
      </w:r>
      <w:r>
        <w:rPr>
          <w:rFonts w:ascii="Verdana" w:hAnsi="Verdana"/>
          <w:sz w:val="20"/>
          <w:szCs w:val="20"/>
        </w:rPr>
        <w:t>278 a 285</w:t>
      </w:r>
      <w:r w:rsidRPr="0039097A">
        <w:rPr>
          <w:rFonts w:ascii="Verdana" w:hAnsi="Verdana"/>
          <w:sz w:val="20"/>
          <w:szCs w:val="20"/>
        </w:rPr>
        <w:t xml:space="preserve"> del presente Fallo.</w:t>
      </w:r>
    </w:p>
    <w:p w14:paraId="4DFDFA08"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236DF573"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 xml:space="preserve">El Estado, dentro del plazo de un año contado a partir de la notificación de esta Sentencia, rendirá al Tribunal un informe sobre las medidas adoptadas para cumplir con la misma, sin perjuicio de lo establecido en el párrafo </w:t>
      </w:r>
      <w:r>
        <w:rPr>
          <w:rFonts w:ascii="Verdana" w:hAnsi="Verdana"/>
          <w:sz w:val="20"/>
          <w:szCs w:val="20"/>
        </w:rPr>
        <w:t>233</w:t>
      </w:r>
      <w:r w:rsidRPr="0039097A">
        <w:rPr>
          <w:rFonts w:ascii="Verdana" w:hAnsi="Verdana"/>
          <w:sz w:val="20"/>
          <w:szCs w:val="20"/>
        </w:rPr>
        <w:t xml:space="preserve"> de la presente Sentencia. </w:t>
      </w:r>
    </w:p>
    <w:p w14:paraId="4C6E0FDF"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3563C8B6" w14:textId="77777777" w:rsidR="009274E3" w:rsidRPr="0039097A" w:rsidRDefault="009274E3" w:rsidP="0059179F">
      <w:pPr>
        <w:pStyle w:val="Prrafodelista"/>
        <w:numPr>
          <w:ilvl w:val="0"/>
          <w:numId w:val="39"/>
        </w:numPr>
        <w:spacing w:before="120" w:after="240" w:line="240" w:lineRule="auto"/>
        <w:ind w:left="0" w:firstLine="0"/>
        <w:contextualSpacing w:val="0"/>
        <w:jc w:val="both"/>
        <w:rPr>
          <w:rFonts w:ascii="Verdana" w:hAnsi="Verdana"/>
          <w:sz w:val="20"/>
          <w:szCs w:val="20"/>
        </w:rPr>
      </w:pPr>
      <w:r w:rsidRPr="0039097A">
        <w:rPr>
          <w:rFonts w:ascii="Verdana" w:hAnsi="Verdana"/>
          <w:sz w:val="20"/>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w:t>
      </w:r>
      <w:r>
        <w:rPr>
          <w:rFonts w:ascii="Verdana" w:hAnsi="Verdana"/>
          <w:sz w:val="20"/>
          <w:szCs w:val="20"/>
        </w:rPr>
        <w:t xml:space="preserve">to a lo dispuesto en la misma. </w:t>
      </w:r>
    </w:p>
    <w:p w14:paraId="5017BAC5" w14:textId="77777777" w:rsidR="009274E3" w:rsidRPr="0039097A" w:rsidRDefault="009274E3" w:rsidP="0059179F">
      <w:pPr>
        <w:pStyle w:val="Prrafodelista"/>
        <w:spacing w:before="120" w:after="240" w:line="240" w:lineRule="auto"/>
        <w:contextualSpacing w:val="0"/>
        <w:rPr>
          <w:rFonts w:ascii="Verdana" w:hAnsi="Verdana"/>
          <w:sz w:val="20"/>
          <w:szCs w:val="20"/>
        </w:rPr>
      </w:pPr>
    </w:p>
    <w:p w14:paraId="3964EA70" w14:textId="77777777" w:rsidR="009274E3" w:rsidRPr="0039097A" w:rsidRDefault="009274E3" w:rsidP="0059179F">
      <w:pPr>
        <w:pStyle w:val="Prrafodelista"/>
        <w:spacing w:before="120" w:after="240" w:line="240" w:lineRule="auto"/>
        <w:ind w:left="0"/>
        <w:contextualSpacing w:val="0"/>
        <w:jc w:val="both"/>
        <w:rPr>
          <w:rFonts w:ascii="Verdana" w:hAnsi="Verdana"/>
          <w:sz w:val="20"/>
          <w:szCs w:val="20"/>
        </w:rPr>
      </w:pPr>
      <w:r w:rsidRPr="0039097A">
        <w:rPr>
          <w:rFonts w:ascii="Verdana" w:hAnsi="Verdana"/>
          <w:sz w:val="20"/>
          <w:szCs w:val="20"/>
        </w:rPr>
        <w:t xml:space="preserve">Redactada en español en San José, Costa Rica, el </w:t>
      </w:r>
      <w:r>
        <w:rPr>
          <w:rFonts w:ascii="Verdana" w:hAnsi="Verdana"/>
          <w:sz w:val="20"/>
          <w:szCs w:val="20"/>
        </w:rPr>
        <w:t>15</w:t>
      </w:r>
      <w:r w:rsidRPr="0039097A">
        <w:rPr>
          <w:rFonts w:ascii="Verdana" w:hAnsi="Verdana"/>
          <w:sz w:val="20"/>
          <w:szCs w:val="20"/>
        </w:rPr>
        <w:t xml:space="preserve"> de </w:t>
      </w:r>
      <w:r>
        <w:rPr>
          <w:rFonts w:ascii="Verdana" w:hAnsi="Verdana"/>
          <w:sz w:val="20"/>
          <w:szCs w:val="20"/>
        </w:rPr>
        <w:t>noviembre</w:t>
      </w:r>
      <w:r w:rsidRPr="0039097A">
        <w:rPr>
          <w:rFonts w:ascii="Verdana" w:hAnsi="Verdana"/>
          <w:sz w:val="20"/>
          <w:szCs w:val="20"/>
        </w:rPr>
        <w:t xml:space="preserve"> de 2021.</w:t>
      </w:r>
    </w:p>
    <w:p w14:paraId="638054E7" w14:textId="77777777" w:rsidR="00342F65" w:rsidRDefault="00342F65" w:rsidP="005A5029">
      <w:pPr>
        <w:pStyle w:val="Prrafodelista"/>
        <w:spacing w:after="0" w:line="240" w:lineRule="exact"/>
        <w:ind w:left="0"/>
        <w:jc w:val="both"/>
        <w:rPr>
          <w:rFonts w:ascii="Verdana" w:hAnsi="Verdana"/>
          <w:sz w:val="20"/>
          <w:szCs w:val="20"/>
        </w:rPr>
      </w:pPr>
    </w:p>
    <w:p w14:paraId="32CA0BD1" w14:textId="77777777" w:rsidR="002A53BF" w:rsidRPr="000F5A15" w:rsidRDefault="002A53BF" w:rsidP="005A5029">
      <w:pPr>
        <w:pStyle w:val="Prrafodelista"/>
        <w:spacing w:after="0" w:line="240" w:lineRule="exact"/>
        <w:ind w:left="0"/>
        <w:jc w:val="both"/>
        <w:rPr>
          <w:rFonts w:ascii="Verdana" w:hAnsi="Verdana"/>
          <w:sz w:val="20"/>
          <w:szCs w:val="20"/>
        </w:rPr>
      </w:pPr>
    </w:p>
    <w:p w14:paraId="0C342A05" w14:textId="77777777" w:rsidR="002A53BF" w:rsidRDefault="002A53BF" w:rsidP="005A5029">
      <w:pPr>
        <w:spacing w:line="240" w:lineRule="exact"/>
      </w:pPr>
      <w:bookmarkStart w:id="94" w:name="A._Parte_Lesionada"/>
      <w:bookmarkStart w:id="95" w:name="_bookmark185"/>
      <w:bookmarkEnd w:id="94"/>
      <w:bookmarkEnd w:id="95"/>
    </w:p>
    <w:p w14:paraId="61A68785" w14:textId="230179AA" w:rsidR="0059179F" w:rsidRDefault="0059179F">
      <w:r>
        <w:br w:type="page"/>
      </w:r>
    </w:p>
    <w:p w14:paraId="281300BE" w14:textId="77777777" w:rsidR="0059179F" w:rsidRPr="00E13F71" w:rsidRDefault="0059179F" w:rsidP="0059179F">
      <w:pPr>
        <w:keepNext/>
        <w:spacing w:after="0" w:line="240" w:lineRule="auto"/>
        <w:jc w:val="both"/>
        <w:outlineLvl w:val="0"/>
        <w:rPr>
          <w:rFonts w:ascii="Verdana" w:eastAsia="Times" w:hAnsi="Verdana" w:cs="Times"/>
          <w:bCs/>
          <w:i/>
          <w:sz w:val="20"/>
          <w:szCs w:val="20"/>
        </w:rPr>
      </w:pPr>
      <w:r w:rsidRPr="00180731">
        <w:rPr>
          <w:rFonts w:ascii="Verdana" w:eastAsia="Times" w:hAnsi="Verdana" w:cs="Courier New"/>
          <w:noProof/>
          <w:sz w:val="20"/>
          <w:szCs w:val="20"/>
          <w:lang w:val="es-AR"/>
        </w:rPr>
        <w:lastRenderedPageBreak/>
        <w:t xml:space="preserve">Corte IDH. </w:t>
      </w:r>
      <w:r w:rsidRPr="00180731">
        <w:rPr>
          <w:rFonts w:ascii="Verdana" w:eastAsia="Times" w:hAnsi="Verdana" w:cs="Times"/>
          <w:bCs/>
          <w:i/>
          <w:sz w:val="20"/>
          <w:szCs w:val="20"/>
        </w:rPr>
        <w:t xml:space="preserve">Caso </w:t>
      </w:r>
      <w:proofErr w:type="spellStart"/>
      <w:r w:rsidRPr="00180731">
        <w:rPr>
          <w:rFonts w:ascii="Verdana" w:eastAsia="Times" w:hAnsi="Verdana" w:cs="Times"/>
          <w:bCs/>
          <w:i/>
          <w:sz w:val="20"/>
          <w:szCs w:val="20"/>
        </w:rPr>
        <w:t>Ma</w:t>
      </w:r>
      <w:r>
        <w:rPr>
          <w:rFonts w:ascii="Verdana" w:eastAsia="Times" w:hAnsi="Verdana" w:cs="Times"/>
          <w:bCs/>
          <w:i/>
          <w:sz w:val="20"/>
          <w:szCs w:val="20"/>
        </w:rPr>
        <w:t>idanik</w:t>
      </w:r>
      <w:proofErr w:type="spellEnd"/>
      <w:r w:rsidRPr="00180731">
        <w:rPr>
          <w:rFonts w:ascii="Verdana" w:eastAsia="Times" w:hAnsi="Verdana" w:cs="Times"/>
          <w:bCs/>
          <w:i/>
          <w:sz w:val="20"/>
          <w:szCs w:val="20"/>
        </w:rPr>
        <w:t xml:space="preserve"> y otros Vs. </w:t>
      </w:r>
      <w:r>
        <w:rPr>
          <w:rFonts w:ascii="Verdana" w:eastAsia="Times" w:hAnsi="Verdana" w:cs="Times"/>
          <w:bCs/>
          <w:i/>
          <w:sz w:val="20"/>
          <w:szCs w:val="20"/>
        </w:rPr>
        <w:t>Uruguay</w:t>
      </w:r>
      <w:r w:rsidRPr="00180731">
        <w:rPr>
          <w:rFonts w:ascii="Verdana" w:eastAsia="Times" w:hAnsi="Verdana" w:cs="Times"/>
          <w:bCs/>
          <w:i/>
          <w:sz w:val="20"/>
          <w:szCs w:val="20"/>
        </w:rPr>
        <w:t xml:space="preserve">. </w:t>
      </w:r>
      <w:r w:rsidRPr="003A1103">
        <w:rPr>
          <w:rFonts w:ascii="Verdana" w:eastAsia="Times" w:hAnsi="Verdana" w:cs="Times"/>
          <w:bCs/>
          <w:i/>
          <w:sz w:val="20"/>
          <w:szCs w:val="20"/>
        </w:rPr>
        <w:t xml:space="preserve"> </w:t>
      </w:r>
      <w:r>
        <w:rPr>
          <w:rFonts w:ascii="Verdana" w:eastAsia="Times" w:hAnsi="Verdana" w:cs="Courier New"/>
          <w:noProof/>
          <w:sz w:val="20"/>
          <w:szCs w:val="20"/>
          <w:lang w:val="es-ES_tradnl"/>
        </w:rPr>
        <w:t>Fondo y</w:t>
      </w:r>
      <w:r w:rsidRPr="003A1103">
        <w:rPr>
          <w:rFonts w:ascii="Verdana" w:eastAsia="Times" w:hAnsi="Verdana" w:cs="Courier New"/>
          <w:noProof/>
          <w:sz w:val="20"/>
          <w:szCs w:val="20"/>
          <w:lang w:val="es-ES_tradnl"/>
        </w:rPr>
        <w:t xml:space="preserve"> Reparaciones</w:t>
      </w:r>
      <w:r>
        <w:rPr>
          <w:rFonts w:ascii="Verdana" w:eastAsia="Batang" w:hAnsi="Verdana" w:cs="Times"/>
          <w:sz w:val="20"/>
          <w:szCs w:val="20"/>
          <w:lang w:val="es-ES"/>
        </w:rPr>
        <w:t>. Sentencia de 15</w:t>
      </w:r>
      <w:r w:rsidRPr="003A1103">
        <w:rPr>
          <w:rFonts w:ascii="Verdana" w:eastAsia="Batang" w:hAnsi="Verdana" w:cs="Times"/>
          <w:sz w:val="20"/>
          <w:szCs w:val="20"/>
          <w:lang w:val="es-ES"/>
        </w:rPr>
        <w:t xml:space="preserve"> de noviembre de</w:t>
      </w:r>
      <w:r w:rsidRPr="00180731">
        <w:rPr>
          <w:rFonts w:ascii="Verdana" w:eastAsia="Batang" w:hAnsi="Verdana" w:cs="Times"/>
          <w:sz w:val="20"/>
          <w:szCs w:val="20"/>
          <w:lang w:val="es-ES"/>
        </w:rPr>
        <w:t xml:space="preserve"> 2021. </w:t>
      </w:r>
      <w:r w:rsidRPr="00180731">
        <w:rPr>
          <w:rFonts w:ascii="Verdana" w:eastAsia="Batang" w:hAnsi="Verdana" w:cs="Times"/>
          <w:iCs/>
          <w:sz w:val="20"/>
          <w:szCs w:val="20"/>
        </w:rPr>
        <w:t>Sentencia adoptada en San José, Costa Rica por medio de sesión virtual.</w:t>
      </w:r>
    </w:p>
    <w:p w14:paraId="7C104B84" w14:textId="77777777" w:rsidR="0059179F" w:rsidRPr="00180731" w:rsidRDefault="0059179F" w:rsidP="0059179F">
      <w:pPr>
        <w:spacing w:after="0" w:line="240" w:lineRule="auto"/>
        <w:jc w:val="center"/>
        <w:rPr>
          <w:rFonts w:ascii="Verdana" w:eastAsia="Times" w:hAnsi="Verdana" w:cs="Times"/>
          <w:sz w:val="20"/>
          <w:szCs w:val="20"/>
          <w:lang w:val="es-ES"/>
        </w:rPr>
      </w:pPr>
    </w:p>
    <w:p w14:paraId="182E06A2" w14:textId="2730895F" w:rsidR="0059179F" w:rsidRPr="00180731" w:rsidRDefault="0059179F" w:rsidP="0059179F">
      <w:pPr>
        <w:spacing w:after="0" w:line="240" w:lineRule="auto"/>
        <w:jc w:val="center"/>
        <w:rPr>
          <w:rFonts w:ascii="Verdana" w:eastAsia="Times" w:hAnsi="Verdana" w:cs="Times"/>
          <w:sz w:val="20"/>
          <w:szCs w:val="20"/>
          <w:lang w:val="es-ES"/>
        </w:rPr>
      </w:pPr>
    </w:p>
    <w:p w14:paraId="38C13C1C" w14:textId="77777777" w:rsidR="0059179F" w:rsidRPr="00180731" w:rsidRDefault="0059179F" w:rsidP="0059179F">
      <w:pPr>
        <w:spacing w:after="0" w:line="240" w:lineRule="auto"/>
        <w:jc w:val="center"/>
        <w:rPr>
          <w:rFonts w:ascii="Verdana" w:eastAsia="Times" w:hAnsi="Verdana" w:cs="Times"/>
          <w:sz w:val="20"/>
          <w:szCs w:val="20"/>
          <w:lang w:val="es-ES"/>
        </w:rPr>
      </w:pPr>
    </w:p>
    <w:p w14:paraId="682BCE0B" w14:textId="77777777" w:rsidR="0059179F" w:rsidRPr="00180731" w:rsidRDefault="0059179F" w:rsidP="0059179F">
      <w:pPr>
        <w:spacing w:after="0" w:line="240" w:lineRule="auto"/>
        <w:jc w:val="center"/>
        <w:rPr>
          <w:rFonts w:ascii="Verdana" w:eastAsia="Times" w:hAnsi="Verdana" w:cs="Times"/>
          <w:sz w:val="20"/>
          <w:szCs w:val="20"/>
          <w:lang w:val="es-ES"/>
        </w:rPr>
      </w:pPr>
    </w:p>
    <w:p w14:paraId="738C6DF6" w14:textId="77777777" w:rsidR="0059179F" w:rsidRPr="00180731" w:rsidRDefault="0059179F" w:rsidP="0059179F">
      <w:pPr>
        <w:spacing w:after="0" w:line="240" w:lineRule="auto"/>
        <w:jc w:val="center"/>
        <w:rPr>
          <w:rFonts w:ascii="Verdana" w:eastAsia="Times" w:hAnsi="Verdana" w:cs="Times"/>
          <w:sz w:val="20"/>
          <w:szCs w:val="20"/>
          <w:lang w:val="es-ES"/>
        </w:rPr>
      </w:pPr>
    </w:p>
    <w:p w14:paraId="6D635AC5" w14:textId="77777777" w:rsidR="0059179F" w:rsidRPr="00180731" w:rsidRDefault="0059179F" w:rsidP="0059179F">
      <w:pPr>
        <w:spacing w:after="0" w:line="240" w:lineRule="auto"/>
        <w:jc w:val="center"/>
        <w:rPr>
          <w:rFonts w:ascii="Verdana" w:eastAsia="Batang" w:hAnsi="Verdana" w:cs="Times"/>
          <w:sz w:val="20"/>
          <w:szCs w:val="20"/>
          <w:lang w:val="pt-BR"/>
        </w:rPr>
      </w:pPr>
      <w:r w:rsidRPr="00180731">
        <w:rPr>
          <w:rFonts w:ascii="Verdana" w:eastAsia="Batang" w:hAnsi="Verdana" w:cs="Times"/>
          <w:sz w:val="20"/>
          <w:szCs w:val="20"/>
          <w:lang w:val="pt-BR"/>
        </w:rPr>
        <w:t xml:space="preserve">Elizabeth </w:t>
      </w:r>
      <w:proofErr w:type="spellStart"/>
      <w:r w:rsidRPr="00180731">
        <w:rPr>
          <w:rFonts w:ascii="Verdana" w:eastAsia="Batang" w:hAnsi="Verdana" w:cs="Times"/>
          <w:sz w:val="20"/>
          <w:szCs w:val="20"/>
          <w:lang w:val="pt-BR"/>
        </w:rPr>
        <w:t>Odio</w:t>
      </w:r>
      <w:proofErr w:type="spellEnd"/>
      <w:r w:rsidRPr="00180731">
        <w:rPr>
          <w:rFonts w:ascii="Verdana" w:eastAsia="Batang" w:hAnsi="Verdana" w:cs="Times"/>
          <w:sz w:val="20"/>
          <w:szCs w:val="20"/>
          <w:lang w:val="pt-BR"/>
        </w:rPr>
        <w:t xml:space="preserve"> Benito</w:t>
      </w:r>
    </w:p>
    <w:p w14:paraId="179E20B2" w14:textId="77777777" w:rsidR="0059179F" w:rsidRPr="00180731" w:rsidRDefault="0059179F" w:rsidP="0059179F">
      <w:pPr>
        <w:spacing w:after="0" w:line="240" w:lineRule="auto"/>
        <w:jc w:val="center"/>
        <w:rPr>
          <w:rFonts w:ascii="Verdana" w:eastAsia="Batang" w:hAnsi="Verdana" w:cs="Times"/>
          <w:sz w:val="20"/>
          <w:szCs w:val="20"/>
          <w:lang w:val="pt-BR"/>
        </w:rPr>
      </w:pPr>
      <w:r w:rsidRPr="00180731">
        <w:rPr>
          <w:rFonts w:ascii="Verdana" w:eastAsia="Batang" w:hAnsi="Verdana" w:cs="Times"/>
          <w:sz w:val="20"/>
          <w:szCs w:val="20"/>
          <w:lang w:val="pt-BR"/>
        </w:rPr>
        <w:t>Presidenta</w:t>
      </w:r>
    </w:p>
    <w:p w14:paraId="2858FA26" w14:textId="77777777" w:rsidR="0059179F" w:rsidRPr="00180731" w:rsidRDefault="0059179F" w:rsidP="0059179F">
      <w:pPr>
        <w:spacing w:after="0" w:line="240" w:lineRule="auto"/>
        <w:jc w:val="both"/>
        <w:rPr>
          <w:rFonts w:ascii="Verdana" w:eastAsia="Batang" w:hAnsi="Verdana" w:cs="Times"/>
          <w:sz w:val="20"/>
          <w:szCs w:val="20"/>
          <w:lang w:val="pt-BR"/>
        </w:rPr>
      </w:pPr>
    </w:p>
    <w:p w14:paraId="78814118" w14:textId="77BDF237" w:rsidR="0059179F" w:rsidRPr="00180731" w:rsidRDefault="0059179F" w:rsidP="0059179F">
      <w:pPr>
        <w:spacing w:after="0" w:line="240" w:lineRule="auto"/>
        <w:jc w:val="both"/>
        <w:rPr>
          <w:rFonts w:ascii="Verdana" w:eastAsia="Batang" w:hAnsi="Verdana" w:cs="Times"/>
          <w:sz w:val="20"/>
          <w:szCs w:val="20"/>
          <w:lang w:val="pt-BR"/>
        </w:rPr>
      </w:pPr>
    </w:p>
    <w:p w14:paraId="11AB25E4" w14:textId="14A51917" w:rsidR="0059179F" w:rsidRPr="00180731" w:rsidRDefault="0059179F" w:rsidP="0059179F">
      <w:pPr>
        <w:spacing w:after="0" w:line="240" w:lineRule="auto"/>
        <w:jc w:val="both"/>
        <w:rPr>
          <w:rFonts w:ascii="Verdana" w:eastAsia="Batang" w:hAnsi="Verdana" w:cs="Times"/>
          <w:sz w:val="20"/>
          <w:szCs w:val="20"/>
          <w:lang w:val="pt-BR"/>
        </w:rPr>
      </w:pPr>
    </w:p>
    <w:p w14:paraId="6DD94C28" w14:textId="77777777" w:rsidR="0059179F" w:rsidRPr="00180731" w:rsidRDefault="0059179F" w:rsidP="0059179F">
      <w:pPr>
        <w:spacing w:after="0" w:line="240" w:lineRule="auto"/>
        <w:jc w:val="both"/>
        <w:rPr>
          <w:rFonts w:ascii="Verdana" w:eastAsia="Batang" w:hAnsi="Verdana" w:cs="Times"/>
          <w:sz w:val="20"/>
          <w:szCs w:val="20"/>
          <w:lang w:val="pt-BR"/>
        </w:rPr>
      </w:pPr>
    </w:p>
    <w:p w14:paraId="444B7A71" w14:textId="77777777" w:rsidR="0059179F" w:rsidRPr="00180731" w:rsidRDefault="0059179F" w:rsidP="0059179F">
      <w:pPr>
        <w:spacing w:after="0" w:line="240" w:lineRule="auto"/>
        <w:jc w:val="both"/>
        <w:rPr>
          <w:rFonts w:ascii="Verdana" w:eastAsia="Batang" w:hAnsi="Verdana" w:cs="Times"/>
          <w:sz w:val="20"/>
          <w:szCs w:val="20"/>
          <w:lang w:val="pt-BR"/>
        </w:rPr>
      </w:pPr>
    </w:p>
    <w:p w14:paraId="1EA507B6" w14:textId="347166DB" w:rsidR="0059179F" w:rsidRPr="00180731" w:rsidRDefault="0059179F" w:rsidP="0059179F">
      <w:pPr>
        <w:spacing w:after="0" w:line="240" w:lineRule="auto"/>
        <w:jc w:val="both"/>
        <w:rPr>
          <w:rFonts w:ascii="Verdana" w:eastAsia="Batang" w:hAnsi="Verdana" w:cs="Times"/>
          <w:sz w:val="20"/>
          <w:szCs w:val="20"/>
          <w:lang w:val="pt-BR"/>
        </w:rPr>
      </w:pPr>
      <w:r w:rsidRPr="00180731">
        <w:rPr>
          <w:rFonts w:ascii="Verdana" w:eastAsia="Batang" w:hAnsi="Verdana" w:cs="Times"/>
          <w:sz w:val="20"/>
          <w:szCs w:val="20"/>
          <w:lang w:val="pt-BR"/>
        </w:rPr>
        <w:t>L</w:t>
      </w:r>
      <w:r w:rsidR="009376B8">
        <w:rPr>
          <w:rFonts w:ascii="Verdana" w:eastAsia="Batang" w:hAnsi="Verdana" w:cs="Times"/>
          <w:sz w:val="20"/>
          <w:szCs w:val="20"/>
          <w:lang w:val="pt-BR"/>
        </w:rPr>
        <w:t xml:space="preserve">. </w:t>
      </w:r>
      <w:proofErr w:type="spellStart"/>
      <w:r w:rsidR="009376B8">
        <w:rPr>
          <w:rFonts w:ascii="Verdana" w:eastAsia="Batang" w:hAnsi="Verdana" w:cs="Times"/>
          <w:sz w:val="20"/>
          <w:szCs w:val="20"/>
          <w:lang w:val="pt-BR"/>
        </w:rPr>
        <w:t>Patricio</w:t>
      </w:r>
      <w:proofErr w:type="spellEnd"/>
      <w:r w:rsidR="009376B8">
        <w:rPr>
          <w:rFonts w:ascii="Verdana" w:eastAsia="Batang" w:hAnsi="Verdana" w:cs="Times"/>
          <w:sz w:val="20"/>
          <w:szCs w:val="20"/>
          <w:lang w:val="pt-BR"/>
        </w:rPr>
        <w:t xml:space="preserve"> </w:t>
      </w:r>
      <w:proofErr w:type="spellStart"/>
      <w:r w:rsidR="009376B8">
        <w:rPr>
          <w:rFonts w:ascii="Verdana" w:eastAsia="Batang" w:hAnsi="Verdana" w:cs="Times"/>
          <w:sz w:val="20"/>
          <w:szCs w:val="20"/>
          <w:lang w:val="pt-BR"/>
        </w:rPr>
        <w:t>Pazmiño</w:t>
      </w:r>
      <w:proofErr w:type="spellEnd"/>
      <w:r w:rsidR="009376B8">
        <w:rPr>
          <w:rFonts w:ascii="Verdana" w:eastAsia="Batang" w:hAnsi="Verdana" w:cs="Times"/>
          <w:sz w:val="20"/>
          <w:szCs w:val="20"/>
          <w:lang w:val="pt-BR"/>
        </w:rPr>
        <w:t xml:space="preserve"> Freire</w:t>
      </w:r>
      <w:r w:rsidR="009376B8">
        <w:rPr>
          <w:rFonts w:ascii="Verdana" w:eastAsia="Batang" w:hAnsi="Verdana" w:cs="Times"/>
          <w:sz w:val="20"/>
          <w:szCs w:val="20"/>
          <w:lang w:val="pt-BR"/>
        </w:rPr>
        <w:tab/>
      </w:r>
      <w:r w:rsidR="009376B8">
        <w:rPr>
          <w:rFonts w:ascii="Verdana" w:eastAsia="Batang" w:hAnsi="Verdana" w:cs="Times"/>
          <w:sz w:val="20"/>
          <w:szCs w:val="20"/>
          <w:lang w:val="pt-BR"/>
        </w:rPr>
        <w:tab/>
      </w:r>
      <w:r w:rsidR="009376B8">
        <w:rPr>
          <w:rFonts w:ascii="Verdana" w:eastAsia="Batang" w:hAnsi="Verdana" w:cs="Times"/>
          <w:sz w:val="20"/>
          <w:szCs w:val="20"/>
          <w:lang w:val="pt-BR"/>
        </w:rPr>
        <w:tab/>
      </w:r>
      <w:r w:rsidR="009376B8">
        <w:rPr>
          <w:rFonts w:ascii="Verdana" w:eastAsia="Batang" w:hAnsi="Verdana" w:cs="Times"/>
          <w:sz w:val="20"/>
          <w:szCs w:val="20"/>
          <w:lang w:val="pt-BR"/>
        </w:rPr>
        <w:tab/>
      </w:r>
      <w:r w:rsidR="009376B8">
        <w:rPr>
          <w:rFonts w:ascii="Verdana" w:eastAsia="Batang" w:hAnsi="Verdana" w:cs="Times"/>
          <w:sz w:val="20"/>
          <w:szCs w:val="20"/>
          <w:lang w:val="pt-BR"/>
        </w:rPr>
        <w:tab/>
      </w:r>
      <w:r w:rsidR="009376B8">
        <w:rPr>
          <w:rFonts w:ascii="Verdana" w:eastAsia="Batang" w:hAnsi="Verdana" w:cs="Times"/>
          <w:sz w:val="20"/>
          <w:szCs w:val="20"/>
          <w:lang w:val="pt-BR"/>
        </w:rPr>
        <w:tab/>
        <w:t xml:space="preserve">       </w:t>
      </w:r>
      <w:r>
        <w:rPr>
          <w:rFonts w:ascii="Verdana" w:eastAsia="Batang" w:hAnsi="Verdana" w:cs="Times"/>
          <w:sz w:val="20"/>
          <w:szCs w:val="20"/>
          <w:lang w:val="pt-BR"/>
        </w:rPr>
        <w:t xml:space="preserve"> </w:t>
      </w:r>
      <w:r w:rsidRPr="00180731">
        <w:rPr>
          <w:rFonts w:ascii="Verdana" w:eastAsia="Batang" w:hAnsi="Verdana" w:cs="Times"/>
          <w:sz w:val="20"/>
          <w:szCs w:val="20"/>
          <w:lang w:val="pt-BR"/>
        </w:rPr>
        <w:t>Eduardo Vio Grossi</w:t>
      </w:r>
    </w:p>
    <w:p w14:paraId="3C258F9C" w14:textId="755A63EC" w:rsidR="0059179F" w:rsidRPr="00180731" w:rsidRDefault="0059179F" w:rsidP="0059179F">
      <w:pPr>
        <w:spacing w:after="0" w:line="240" w:lineRule="auto"/>
        <w:jc w:val="both"/>
        <w:rPr>
          <w:rFonts w:ascii="Verdana" w:eastAsia="Batang" w:hAnsi="Verdana" w:cs="Times"/>
          <w:sz w:val="20"/>
          <w:szCs w:val="20"/>
          <w:lang w:val="pt-BR"/>
        </w:rPr>
      </w:pPr>
    </w:p>
    <w:p w14:paraId="080319E2" w14:textId="286679FD" w:rsidR="0059179F" w:rsidRPr="00180731" w:rsidRDefault="0059179F" w:rsidP="0059179F">
      <w:pPr>
        <w:spacing w:after="0" w:line="240" w:lineRule="auto"/>
        <w:jc w:val="both"/>
        <w:rPr>
          <w:rFonts w:ascii="Verdana" w:eastAsia="Batang" w:hAnsi="Verdana" w:cs="Times"/>
          <w:sz w:val="20"/>
          <w:szCs w:val="20"/>
          <w:lang w:val="pt-BR"/>
        </w:rPr>
      </w:pPr>
    </w:p>
    <w:p w14:paraId="7A04AE24" w14:textId="77777777" w:rsidR="0059179F" w:rsidRPr="00180731" w:rsidRDefault="0059179F" w:rsidP="0059179F">
      <w:pPr>
        <w:spacing w:after="0" w:line="240" w:lineRule="auto"/>
        <w:jc w:val="both"/>
        <w:rPr>
          <w:rFonts w:ascii="Verdana" w:eastAsia="Batang" w:hAnsi="Verdana" w:cs="Times"/>
          <w:sz w:val="20"/>
          <w:szCs w:val="20"/>
          <w:lang w:val="pt-BR"/>
        </w:rPr>
      </w:pPr>
    </w:p>
    <w:p w14:paraId="2099A061" w14:textId="77777777" w:rsidR="0059179F" w:rsidRPr="00180731" w:rsidRDefault="0059179F" w:rsidP="0059179F">
      <w:pPr>
        <w:spacing w:after="0" w:line="240" w:lineRule="auto"/>
        <w:jc w:val="both"/>
        <w:rPr>
          <w:rFonts w:ascii="Verdana" w:eastAsia="Batang" w:hAnsi="Verdana" w:cs="Times"/>
          <w:sz w:val="20"/>
          <w:szCs w:val="20"/>
          <w:lang w:val="pt-BR"/>
        </w:rPr>
      </w:pPr>
    </w:p>
    <w:p w14:paraId="40AA621C" w14:textId="77777777" w:rsidR="0059179F" w:rsidRPr="00180731" w:rsidRDefault="0059179F" w:rsidP="0059179F">
      <w:pPr>
        <w:spacing w:after="0" w:line="240" w:lineRule="auto"/>
        <w:jc w:val="both"/>
        <w:rPr>
          <w:rFonts w:ascii="Verdana" w:eastAsia="Batang" w:hAnsi="Verdana" w:cs="Times"/>
          <w:sz w:val="20"/>
          <w:szCs w:val="20"/>
          <w:lang w:val="pt-BR"/>
        </w:rPr>
      </w:pPr>
    </w:p>
    <w:p w14:paraId="6382A0D7" w14:textId="40FCEEBA" w:rsidR="0059179F" w:rsidRPr="00180731" w:rsidRDefault="0059179F" w:rsidP="0059179F">
      <w:pPr>
        <w:spacing w:after="0" w:line="240" w:lineRule="auto"/>
        <w:jc w:val="right"/>
        <w:rPr>
          <w:rFonts w:ascii="Verdana" w:eastAsia="Batang" w:hAnsi="Verdana" w:cs="Times"/>
          <w:sz w:val="20"/>
          <w:szCs w:val="20"/>
          <w:lang w:val="pt-BR"/>
        </w:rPr>
      </w:pPr>
      <w:r w:rsidRPr="00180731">
        <w:rPr>
          <w:rFonts w:ascii="Verdana" w:eastAsia="Times" w:hAnsi="Verdana" w:cs="Times"/>
          <w:sz w:val="20"/>
          <w:szCs w:val="20"/>
          <w:lang w:val="pt-BR"/>
        </w:rPr>
        <w:t xml:space="preserve">Humberto </w:t>
      </w:r>
      <w:proofErr w:type="spellStart"/>
      <w:r w:rsidRPr="00180731">
        <w:rPr>
          <w:rFonts w:ascii="Verdana" w:eastAsia="Times" w:hAnsi="Verdana" w:cs="Times"/>
          <w:sz w:val="20"/>
          <w:szCs w:val="20"/>
          <w:lang w:val="pt-BR"/>
        </w:rPr>
        <w:t>Antonio</w:t>
      </w:r>
      <w:proofErr w:type="spellEnd"/>
      <w:r w:rsidRPr="00180731">
        <w:rPr>
          <w:rFonts w:ascii="Verdana" w:eastAsia="Times" w:hAnsi="Verdana" w:cs="Times"/>
          <w:sz w:val="20"/>
          <w:szCs w:val="20"/>
          <w:lang w:val="pt-BR"/>
        </w:rPr>
        <w:t xml:space="preserve"> </w:t>
      </w:r>
      <w:proofErr w:type="spellStart"/>
      <w:r w:rsidRPr="00180731">
        <w:rPr>
          <w:rFonts w:ascii="Verdana" w:eastAsia="Times" w:hAnsi="Verdana" w:cs="Times"/>
          <w:sz w:val="20"/>
          <w:szCs w:val="20"/>
          <w:lang w:val="pt-BR"/>
        </w:rPr>
        <w:t>Sierra</w:t>
      </w:r>
      <w:proofErr w:type="spellEnd"/>
      <w:r w:rsidRPr="00180731">
        <w:rPr>
          <w:rFonts w:ascii="Verdana" w:eastAsia="Times" w:hAnsi="Verdana" w:cs="Times"/>
          <w:sz w:val="20"/>
          <w:szCs w:val="20"/>
          <w:lang w:val="pt-BR"/>
        </w:rPr>
        <w:t xml:space="preserve"> Porto</w:t>
      </w:r>
      <w:r>
        <w:rPr>
          <w:rFonts w:ascii="Verdana" w:eastAsia="Batang" w:hAnsi="Verdana" w:cs="Times"/>
          <w:sz w:val="20"/>
          <w:szCs w:val="20"/>
          <w:lang w:val="pt-BR"/>
        </w:rPr>
        <w:tab/>
      </w:r>
      <w:r>
        <w:rPr>
          <w:rFonts w:ascii="Verdana" w:eastAsia="Batang" w:hAnsi="Verdana" w:cs="Times"/>
          <w:sz w:val="20"/>
          <w:szCs w:val="20"/>
          <w:lang w:val="pt-BR"/>
        </w:rPr>
        <w:tab/>
      </w:r>
      <w:r>
        <w:rPr>
          <w:rFonts w:ascii="Verdana" w:eastAsia="Batang" w:hAnsi="Verdana" w:cs="Times"/>
          <w:sz w:val="20"/>
          <w:szCs w:val="20"/>
          <w:lang w:val="pt-BR"/>
        </w:rPr>
        <w:tab/>
        <w:t xml:space="preserve">      </w:t>
      </w:r>
      <w:r w:rsidRPr="00180731">
        <w:rPr>
          <w:rFonts w:ascii="Verdana" w:eastAsia="Batang" w:hAnsi="Verdana" w:cs="Times"/>
          <w:sz w:val="20"/>
          <w:szCs w:val="20"/>
          <w:lang w:val="pt-BR"/>
        </w:rPr>
        <w:t xml:space="preserve">Eduardo Ferrer </w:t>
      </w:r>
      <w:proofErr w:type="spellStart"/>
      <w:r w:rsidRPr="00180731">
        <w:rPr>
          <w:rFonts w:ascii="Verdana" w:eastAsia="Batang" w:hAnsi="Verdana" w:cs="Times"/>
          <w:sz w:val="20"/>
          <w:szCs w:val="20"/>
          <w:lang w:val="pt-BR"/>
        </w:rPr>
        <w:t>Mac-Gregor</w:t>
      </w:r>
      <w:proofErr w:type="spellEnd"/>
      <w:r w:rsidRPr="00180731">
        <w:rPr>
          <w:rFonts w:ascii="Verdana" w:eastAsia="Batang" w:hAnsi="Verdana" w:cs="Times"/>
          <w:sz w:val="20"/>
          <w:szCs w:val="20"/>
          <w:lang w:val="pt-BR"/>
        </w:rPr>
        <w:t xml:space="preserve"> </w:t>
      </w:r>
      <w:proofErr w:type="spellStart"/>
      <w:r w:rsidRPr="00180731">
        <w:rPr>
          <w:rFonts w:ascii="Verdana" w:eastAsia="Batang" w:hAnsi="Verdana" w:cs="Times"/>
          <w:sz w:val="20"/>
          <w:szCs w:val="20"/>
          <w:lang w:val="pt-BR"/>
        </w:rPr>
        <w:t>Poisot</w:t>
      </w:r>
      <w:proofErr w:type="spellEnd"/>
    </w:p>
    <w:p w14:paraId="25613BB0" w14:textId="340A6D7F" w:rsidR="0059179F" w:rsidRPr="00180731" w:rsidRDefault="0059179F" w:rsidP="0059179F">
      <w:pPr>
        <w:spacing w:after="0" w:line="240" w:lineRule="auto"/>
        <w:jc w:val="both"/>
        <w:rPr>
          <w:rFonts w:ascii="Verdana" w:eastAsia="Batang" w:hAnsi="Verdana" w:cs="Times"/>
          <w:sz w:val="20"/>
          <w:szCs w:val="20"/>
          <w:lang w:val="pt-BR"/>
        </w:rPr>
      </w:pPr>
    </w:p>
    <w:p w14:paraId="1E3B91C7" w14:textId="77777777" w:rsidR="0059179F" w:rsidRPr="00180731" w:rsidRDefault="0059179F" w:rsidP="0059179F">
      <w:pPr>
        <w:spacing w:after="0" w:line="240" w:lineRule="auto"/>
        <w:jc w:val="both"/>
        <w:rPr>
          <w:rFonts w:ascii="Verdana" w:eastAsia="Batang" w:hAnsi="Verdana" w:cs="Times"/>
          <w:sz w:val="20"/>
          <w:szCs w:val="20"/>
          <w:lang w:val="pt-BR"/>
        </w:rPr>
      </w:pPr>
    </w:p>
    <w:p w14:paraId="6E5433AA" w14:textId="77777777" w:rsidR="0059179F" w:rsidRPr="00180731" w:rsidRDefault="0059179F" w:rsidP="0059179F">
      <w:pPr>
        <w:spacing w:after="0" w:line="240" w:lineRule="auto"/>
        <w:jc w:val="both"/>
        <w:rPr>
          <w:rFonts w:ascii="Verdana" w:eastAsia="Batang" w:hAnsi="Verdana" w:cs="Times"/>
          <w:sz w:val="20"/>
          <w:szCs w:val="20"/>
          <w:lang w:val="pt-BR"/>
        </w:rPr>
      </w:pPr>
    </w:p>
    <w:p w14:paraId="2F4EFFB0" w14:textId="77777777" w:rsidR="0059179F" w:rsidRPr="00180731" w:rsidRDefault="0059179F" w:rsidP="0059179F">
      <w:pPr>
        <w:spacing w:after="0" w:line="240" w:lineRule="auto"/>
        <w:jc w:val="both"/>
        <w:rPr>
          <w:rFonts w:ascii="Verdana" w:eastAsia="Batang" w:hAnsi="Verdana" w:cs="Times"/>
          <w:sz w:val="20"/>
          <w:szCs w:val="20"/>
          <w:lang w:val="pt-BR"/>
        </w:rPr>
      </w:pPr>
    </w:p>
    <w:p w14:paraId="04B3D164" w14:textId="77777777" w:rsidR="0059179F" w:rsidRPr="00180731" w:rsidRDefault="0059179F" w:rsidP="0059179F">
      <w:pPr>
        <w:spacing w:after="0" w:line="240" w:lineRule="auto"/>
        <w:jc w:val="both"/>
        <w:rPr>
          <w:rFonts w:ascii="Verdana" w:eastAsia="Batang" w:hAnsi="Verdana" w:cs="Times"/>
          <w:sz w:val="20"/>
          <w:szCs w:val="20"/>
          <w:lang w:val="pt-BR"/>
        </w:rPr>
      </w:pPr>
    </w:p>
    <w:p w14:paraId="0174A3A0" w14:textId="3DB3AE08" w:rsidR="0059179F" w:rsidRPr="00180731" w:rsidRDefault="0059179F" w:rsidP="0059179F">
      <w:pPr>
        <w:spacing w:after="0" w:line="240" w:lineRule="auto"/>
        <w:jc w:val="center"/>
        <w:rPr>
          <w:rFonts w:ascii="Verdana" w:eastAsia="Batang" w:hAnsi="Verdana" w:cs="Times"/>
          <w:sz w:val="20"/>
          <w:szCs w:val="20"/>
          <w:lang w:val="pt-BR"/>
        </w:rPr>
      </w:pPr>
      <w:r w:rsidRPr="00180731">
        <w:rPr>
          <w:rFonts w:ascii="Verdana" w:eastAsia="Batang" w:hAnsi="Verdana" w:cs="Times"/>
          <w:sz w:val="20"/>
          <w:szCs w:val="20"/>
          <w:lang w:val="pt-BR"/>
        </w:rPr>
        <w:t xml:space="preserve">Eugenio </w:t>
      </w:r>
      <w:proofErr w:type="spellStart"/>
      <w:r w:rsidRPr="00180731">
        <w:rPr>
          <w:rFonts w:ascii="Verdana" w:eastAsia="Batang" w:hAnsi="Verdana" w:cs="Times"/>
          <w:sz w:val="20"/>
          <w:szCs w:val="20"/>
          <w:lang w:val="pt-BR"/>
        </w:rPr>
        <w:t>Raúl</w:t>
      </w:r>
      <w:proofErr w:type="spellEnd"/>
      <w:r w:rsidRPr="00180731">
        <w:rPr>
          <w:rFonts w:ascii="Verdana" w:eastAsia="Batang" w:hAnsi="Verdana" w:cs="Times"/>
          <w:sz w:val="20"/>
          <w:szCs w:val="20"/>
          <w:lang w:val="pt-BR"/>
        </w:rPr>
        <w:t xml:space="preserve"> </w:t>
      </w:r>
      <w:proofErr w:type="spellStart"/>
      <w:r w:rsidRPr="00180731">
        <w:rPr>
          <w:rFonts w:ascii="Verdana" w:eastAsia="Batang" w:hAnsi="Verdana" w:cs="Times"/>
          <w:sz w:val="20"/>
          <w:szCs w:val="20"/>
          <w:lang w:val="pt-BR"/>
        </w:rPr>
        <w:t>Zaffaroni</w:t>
      </w:r>
      <w:proofErr w:type="spellEnd"/>
    </w:p>
    <w:p w14:paraId="72B5F0BD" w14:textId="77777777" w:rsidR="0059179F" w:rsidRPr="00180731" w:rsidRDefault="0059179F" w:rsidP="0059179F">
      <w:pPr>
        <w:spacing w:after="0" w:line="240" w:lineRule="auto"/>
        <w:jc w:val="both"/>
        <w:rPr>
          <w:rFonts w:ascii="Verdana" w:eastAsia="Batang" w:hAnsi="Verdana" w:cs="Times"/>
          <w:sz w:val="20"/>
          <w:szCs w:val="20"/>
          <w:lang w:val="pt-BR"/>
        </w:rPr>
      </w:pPr>
    </w:p>
    <w:p w14:paraId="48E164AB" w14:textId="77777777" w:rsidR="0059179F" w:rsidRPr="00180731" w:rsidRDefault="0059179F" w:rsidP="0059179F">
      <w:pPr>
        <w:spacing w:after="0" w:line="240" w:lineRule="auto"/>
        <w:jc w:val="both"/>
        <w:rPr>
          <w:rFonts w:ascii="Verdana" w:eastAsia="Batang" w:hAnsi="Verdana" w:cs="Times"/>
          <w:sz w:val="20"/>
          <w:szCs w:val="20"/>
          <w:lang w:val="pt-BR"/>
        </w:rPr>
      </w:pPr>
    </w:p>
    <w:p w14:paraId="09DFC99E" w14:textId="77777777" w:rsidR="0059179F" w:rsidRPr="00180731" w:rsidRDefault="0059179F" w:rsidP="0059179F">
      <w:pPr>
        <w:spacing w:after="0" w:line="240" w:lineRule="auto"/>
        <w:jc w:val="both"/>
        <w:rPr>
          <w:rFonts w:ascii="Verdana" w:eastAsia="Times" w:hAnsi="Verdana" w:cs="Times"/>
          <w:sz w:val="20"/>
          <w:szCs w:val="20"/>
          <w:lang w:val="pt-BR"/>
        </w:rPr>
      </w:pPr>
    </w:p>
    <w:p w14:paraId="69466F8A" w14:textId="77777777" w:rsidR="0059179F" w:rsidRDefault="0059179F" w:rsidP="0059179F">
      <w:pPr>
        <w:spacing w:after="0" w:line="240" w:lineRule="auto"/>
        <w:jc w:val="both"/>
        <w:rPr>
          <w:rFonts w:ascii="Verdana" w:eastAsia="Times" w:hAnsi="Verdana" w:cs="Times"/>
          <w:sz w:val="20"/>
          <w:szCs w:val="20"/>
          <w:lang w:val="pt-BR"/>
        </w:rPr>
      </w:pPr>
    </w:p>
    <w:p w14:paraId="4E31E35D" w14:textId="77777777" w:rsidR="0059179F" w:rsidRPr="00180731" w:rsidRDefault="0059179F" w:rsidP="0059179F">
      <w:pPr>
        <w:spacing w:after="0" w:line="240" w:lineRule="auto"/>
        <w:jc w:val="both"/>
        <w:rPr>
          <w:rFonts w:ascii="Verdana" w:eastAsia="Times" w:hAnsi="Verdana" w:cs="Times"/>
          <w:sz w:val="20"/>
          <w:szCs w:val="20"/>
          <w:lang w:val="pt-BR"/>
        </w:rPr>
      </w:pPr>
    </w:p>
    <w:p w14:paraId="6AEC45A4" w14:textId="77777777" w:rsidR="0059179F" w:rsidRPr="00180731" w:rsidRDefault="0059179F" w:rsidP="0059179F">
      <w:pPr>
        <w:spacing w:after="0" w:line="240" w:lineRule="auto"/>
        <w:jc w:val="both"/>
        <w:rPr>
          <w:rFonts w:ascii="Verdana" w:eastAsia="Times" w:hAnsi="Verdana" w:cs="Times"/>
          <w:sz w:val="20"/>
          <w:szCs w:val="20"/>
          <w:lang w:val="pt-BR"/>
        </w:rPr>
      </w:pPr>
    </w:p>
    <w:p w14:paraId="0538A323" w14:textId="77777777" w:rsidR="0059179F" w:rsidRPr="00180731" w:rsidRDefault="0059179F" w:rsidP="0059179F">
      <w:pPr>
        <w:spacing w:after="0" w:line="240" w:lineRule="auto"/>
        <w:jc w:val="center"/>
        <w:rPr>
          <w:rFonts w:ascii="Verdana" w:eastAsia="Times" w:hAnsi="Verdana" w:cs="Times"/>
          <w:sz w:val="20"/>
          <w:szCs w:val="20"/>
          <w:lang w:val="pt-BR"/>
        </w:rPr>
      </w:pPr>
      <w:r w:rsidRPr="00180731">
        <w:rPr>
          <w:rFonts w:ascii="Verdana" w:eastAsia="Times" w:hAnsi="Verdana" w:cs="Times"/>
          <w:sz w:val="20"/>
          <w:szCs w:val="20"/>
          <w:lang w:val="pt-BR"/>
        </w:rPr>
        <w:t>Pablo Saavedra Alessandri</w:t>
      </w:r>
    </w:p>
    <w:p w14:paraId="68D7213F" w14:textId="77777777" w:rsidR="0059179F" w:rsidRPr="00180731" w:rsidRDefault="0059179F" w:rsidP="0059179F">
      <w:pPr>
        <w:spacing w:after="0" w:line="240" w:lineRule="auto"/>
        <w:jc w:val="center"/>
        <w:rPr>
          <w:rFonts w:ascii="Verdana" w:eastAsia="Times" w:hAnsi="Verdana" w:cs="Times"/>
          <w:sz w:val="20"/>
          <w:szCs w:val="20"/>
          <w:lang w:val="pt-BR"/>
        </w:rPr>
      </w:pPr>
      <w:r w:rsidRPr="00180731">
        <w:rPr>
          <w:rFonts w:ascii="Verdana" w:eastAsia="Times" w:hAnsi="Verdana" w:cs="Times"/>
          <w:sz w:val="20"/>
          <w:szCs w:val="20"/>
          <w:lang w:val="pt-BR"/>
        </w:rPr>
        <w:t>Secretario</w:t>
      </w:r>
    </w:p>
    <w:p w14:paraId="20235C2F" w14:textId="77777777" w:rsidR="0059179F" w:rsidRPr="00180731" w:rsidRDefault="0059179F" w:rsidP="0059179F">
      <w:pPr>
        <w:spacing w:after="0" w:line="240" w:lineRule="auto"/>
        <w:jc w:val="both"/>
        <w:rPr>
          <w:rFonts w:ascii="Verdana" w:eastAsia="Times" w:hAnsi="Verdana" w:cs="Times"/>
          <w:sz w:val="20"/>
          <w:szCs w:val="20"/>
          <w:lang w:val="pt-BR"/>
        </w:rPr>
      </w:pPr>
    </w:p>
    <w:p w14:paraId="61967996" w14:textId="3DBC2AD3" w:rsidR="0059179F" w:rsidRPr="00180731" w:rsidRDefault="0059179F" w:rsidP="0059179F">
      <w:pPr>
        <w:spacing w:after="0" w:line="240" w:lineRule="auto"/>
        <w:jc w:val="both"/>
        <w:rPr>
          <w:rFonts w:ascii="Verdana" w:eastAsia="Times" w:hAnsi="Verdana" w:cs="Times"/>
          <w:sz w:val="20"/>
          <w:szCs w:val="20"/>
          <w:lang w:val="pt-BR"/>
        </w:rPr>
      </w:pPr>
    </w:p>
    <w:p w14:paraId="64C35F49" w14:textId="2B763800" w:rsidR="0059179F" w:rsidRPr="00180731" w:rsidRDefault="0059179F" w:rsidP="0059179F">
      <w:pPr>
        <w:spacing w:after="0" w:line="240" w:lineRule="auto"/>
        <w:jc w:val="both"/>
        <w:rPr>
          <w:rFonts w:ascii="Verdana" w:eastAsia="Times" w:hAnsi="Verdana" w:cs="Times"/>
          <w:sz w:val="20"/>
          <w:szCs w:val="20"/>
          <w:lang w:val="pt-BR"/>
        </w:rPr>
      </w:pPr>
      <w:proofErr w:type="spellStart"/>
      <w:r w:rsidRPr="00180731">
        <w:rPr>
          <w:rFonts w:ascii="Verdana" w:eastAsia="Times" w:hAnsi="Verdana" w:cs="Times"/>
          <w:sz w:val="20"/>
          <w:szCs w:val="20"/>
          <w:lang w:val="pt-BR"/>
        </w:rPr>
        <w:t>Comuníquese</w:t>
      </w:r>
      <w:proofErr w:type="spellEnd"/>
      <w:r w:rsidRPr="00180731">
        <w:rPr>
          <w:rFonts w:ascii="Verdana" w:eastAsia="Times" w:hAnsi="Verdana" w:cs="Times"/>
          <w:sz w:val="20"/>
          <w:szCs w:val="20"/>
          <w:lang w:val="pt-BR"/>
        </w:rPr>
        <w:t xml:space="preserve"> y </w:t>
      </w:r>
      <w:proofErr w:type="spellStart"/>
      <w:r w:rsidRPr="00180731">
        <w:rPr>
          <w:rFonts w:ascii="Verdana" w:eastAsia="Times" w:hAnsi="Verdana" w:cs="Times"/>
          <w:sz w:val="20"/>
          <w:szCs w:val="20"/>
          <w:lang w:val="pt-BR"/>
        </w:rPr>
        <w:t>ejecútese</w:t>
      </w:r>
      <w:proofErr w:type="spellEnd"/>
      <w:r w:rsidRPr="00180731">
        <w:rPr>
          <w:rFonts w:ascii="Verdana" w:eastAsia="Times" w:hAnsi="Verdana" w:cs="Times"/>
          <w:sz w:val="20"/>
          <w:szCs w:val="20"/>
          <w:lang w:val="pt-BR"/>
        </w:rPr>
        <w:t>,</w:t>
      </w:r>
    </w:p>
    <w:p w14:paraId="12AEDDAD" w14:textId="64141E97" w:rsidR="0059179F" w:rsidRPr="00180731" w:rsidRDefault="0059179F" w:rsidP="0059179F">
      <w:pPr>
        <w:spacing w:after="0" w:line="240" w:lineRule="auto"/>
        <w:jc w:val="both"/>
        <w:rPr>
          <w:rFonts w:ascii="Verdana" w:eastAsia="Times" w:hAnsi="Verdana" w:cs="Times"/>
          <w:sz w:val="20"/>
          <w:szCs w:val="20"/>
          <w:lang w:val="pt-BR"/>
        </w:rPr>
      </w:pPr>
    </w:p>
    <w:p w14:paraId="597ADF35" w14:textId="77777777" w:rsidR="0059179F" w:rsidRPr="00180731" w:rsidRDefault="0059179F" w:rsidP="0059179F">
      <w:pPr>
        <w:spacing w:after="0" w:line="240" w:lineRule="auto"/>
        <w:jc w:val="both"/>
        <w:rPr>
          <w:rFonts w:ascii="Verdana" w:eastAsia="Times" w:hAnsi="Verdana" w:cs="Times"/>
          <w:sz w:val="20"/>
          <w:szCs w:val="20"/>
          <w:lang w:val="pt-BR"/>
        </w:rPr>
      </w:pPr>
    </w:p>
    <w:p w14:paraId="59D1D848" w14:textId="77777777" w:rsidR="0059179F" w:rsidRPr="00180731" w:rsidRDefault="0059179F" w:rsidP="0059179F">
      <w:pPr>
        <w:spacing w:after="0" w:line="240" w:lineRule="auto"/>
        <w:ind w:left="4248" w:firstLine="708"/>
        <w:jc w:val="center"/>
        <w:rPr>
          <w:rFonts w:ascii="Verdana" w:eastAsia="Times" w:hAnsi="Verdana" w:cs="Times"/>
          <w:sz w:val="20"/>
          <w:szCs w:val="20"/>
          <w:lang w:val="pt-BR"/>
        </w:rPr>
      </w:pPr>
      <w:r w:rsidRPr="00180731">
        <w:rPr>
          <w:rFonts w:ascii="Verdana" w:eastAsia="Times" w:hAnsi="Verdana" w:cs="Times"/>
          <w:sz w:val="20"/>
          <w:szCs w:val="20"/>
          <w:lang w:val="pt-BR"/>
        </w:rPr>
        <w:t xml:space="preserve">Elizabeth </w:t>
      </w:r>
      <w:proofErr w:type="spellStart"/>
      <w:r w:rsidRPr="00180731">
        <w:rPr>
          <w:rFonts w:ascii="Verdana" w:eastAsia="Times" w:hAnsi="Verdana" w:cs="Times"/>
          <w:sz w:val="20"/>
          <w:szCs w:val="20"/>
          <w:lang w:val="pt-BR"/>
        </w:rPr>
        <w:t>Odio</w:t>
      </w:r>
      <w:proofErr w:type="spellEnd"/>
      <w:r w:rsidRPr="00180731">
        <w:rPr>
          <w:rFonts w:ascii="Verdana" w:eastAsia="Times" w:hAnsi="Verdana" w:cs="Times"/>
          <w:sz w:val="20"/>
          <w:szCs w:val="20"/>
          <w:lang w:val="pt-BR"/>
        </w:rPr>
        <w:t xml:space="preserve"> Benito</w:t>
      </w:r>
    </w:p>
    <w:p w14:paraId="62632ECD" w14:textId="77777777" w:rsidR="0059179F" w:rsidRPr="00180731" w:rsidRDefault="0059179F" w:rsidP="0059179F">
      <w:pPr>
        <w:spacing w:after="0" w:line="240" w:lineRule="auto"/>
        <w:ind w:left="4248" w:firstLine="708"/>
        <w:jc w:val="center"/>
        <w:rPr>
          <w:rFonts w:ascii="Verdana" w:eastAsia="Times" w:hAnsi="Verdana" w:cs="Times"/>
          <w:sz w:val="20"/>
          <w:szCs w:val="20"/>
          <w:lang w:val="pt-BR"/>
        </w:rPr>
      </w:pPr>
      <w:r w:rsidRPr="00180731">
        <w:rPr>
          <w:rFonts w:ascii="Verdana" w:eastAsia="Times" w:hAnsi="Verdana" w:cs="Times"/>
          <w:sz w:val="20"/>
          <w:szCs w:val="20"/>
          <w:lang w:val="pt-BR"/>
        </w:rPr>
        <w:t>Presidenta</w:t>
      </w:r>
    </w:p>
    <w:p w14:paraId="120756DA" w14:textId="77777777" w:rsidR="0059179F" w:rsidRPr="00180731" w:rsidRDefault="0059179F" w:rsidP="0059179F">
      <w:pPr>
        <w:spacing w:after="0" w:line="240" w:lineRule="auto"/>
        <w:jc w:val="both"/>
        <w:rPr>
          <w:rFonts w:ascii="Verdana" w:eastAsia="Times" w:hAnsi="Verdana" w:cs="Times"/>
          <w:sz w:val="20"/>
          <w:szCs w:val="20"/>
          <w:lang w:val="pt-BR"/>
        </w:rPr>
      </w:pPr>
    </w:p>
    <w:p w14:paraId="3E9B9DA5" w14:textId="77777777" w:rsidR="0059179F" w:rsidRPr="00180731" w:rsidRDefault="0059179F" w:rsidP="0059179F">
      <w:pPr>
        <w:spacing w:after="0" w:line="240" w:lineRule="auto"/>
        <w:jc w:val="both"/>
        <w:rPr>
          <w:rFonts w:ascii="Verdana" w:eastAsia="Times" w:hAnsi="Verdana" w:cs="Times"/>
          <w:sz w:val="20"/>
          <w:szCs w:val="20"/>
          <w:lang w:val="pt-BR"/>
        </w:rPr>
      </w:pPr>
    </w:p>
    <w:p w14:paraId="72FBA279" w14:textId="77777777" w:rsidR="0059179F" w:rsidRPr="00180731" w:rsidRDefault="0059179F" w:rsidP="0059179F">
      <w:pPr>
        <w:spacing w:after="0" w:line="240" w:lineRule="auto"/>
        <w:jc w:val="both"/>
        <w:rPr>
          <w:rFonts w:ascii="Verdana" w:eastAsia="Times" w:hAnsi="Verdana" w:cs="Times"/>
          <w:sz w:val="20"/>
          <w:szCs w:val="20"/>
          <w:lang w:val="pt-BR"/>
        </w:rPr>
      </w:pPr>
    </w:p>
    <w:p w14:paraId="3A94EC80" w14:textId="77777777" w:rsidR="0059179F" w:rsidRPr="00180731" w:rsidRDefault="0059179F" w:rsidP="0059179F">
      <w:pPr>
        <w:spacing w:after="0" w:line="240" w:lineRule="auto"/>
        <w:jc w:val="both"/>
        <w:rPr>
          <w:rFonts w:ascii="Verdana" w:eastAsia="Times" w:hAnsi="Verdana" w:cs="Times"/>
          <w:sz w:val="20"/>
          <w:szCs w:val="20"/>
          <w:lang w:val="pt-BR"/>
        </w:rPr>
      </w:pPr>
    </w:p>
    <w:p w14:paraId="7E41BDBE" w14:textId="77777777" w:rsidR="0059179F" w:rsidRPr="00180731" w:rsidRDefault="0059179F" w:rsidP="0059179F">
      <w:pPr>
        <w:spacing w:after="0" w:line="240" w:lineRule="auto"/>
        <w:jc w:val="both"/>
        <w:rPr>
          <w:rFonts w:ascii="Verdana" w:eastAsia="Times" w:hAnsi="Verdana" w:cs="Times"/>
          <w:sz w:val="20"/>
          <w:szCs w:val="20"/>
          <w:lang w:val="pt-BR"/>
        </w:rPr>
      </w:pPr>
      <w:r w:rsidRPr="00180731">
        <w:rPr>
          <w:rFonts w:ascii="Verdana" w:eastAsia="Times" w:hAnsi="Verdana" w:cs="Times"/>
          <w:sz w:val="20"/>
          <w:szCs w:val="20"/>
          <w:lang w:val="pt-BR"/>
        </w:rPr>
        <w:t>Pablo Saavedra Alessandri</w:t>
      </w:r>
    </w:p>
    <w:p w14:paraId="3B191AA9" w14:textId="77777777" w:rsidR="0059179F" w:rsidRPr="00ED7236" w:rsidRDefault="0059179F" w:rsidP="0059179F">
      <w:pPr>
        <w:spacing w:after="0" w:line="240" w:lineRule="auto"/>
        <w:jc w:val="both"/>
        <w:rPr>
          <w:rFonts w:ascii="Verdana" w:eastAsia="Batang" w:hAnsi="Verdana" w:cs="Times"/>
          <w:sz w:val="20"/>
          <w:szCs w:val="20"/>
          <w:lang w:val="es-ES_tradnl"/>
        </w:rPr>
      </w:pPr>
      <w:r w:rsidRPr="00180731">
        <w:rPr>
          <w:rFonts w:ascii="Verdana" w:eastAsia="Times" w:hAnsi="Verdana" w:cs="Times"/>
          <w:sz w:val="20"/>
          <w:szCs w:val="20"/>
          <w:lang w:val="pt-BR"/>
        </w:rPr>
        <w:tab/>
      </w:r>
      <w:r w:rsidRPr="00180731">
        <w:rPr>
          <w:rFonts w:ascii="Verdana" w:eastAsia="Times" w:hAnsi="Verdana" w:cs="Times"/>
          <w:sz w:val="20"/>
          <w:szCs w:val="20"/>
        </w:rPr>
        <w:t>Secretario</w:t>
      </w:r>
    </w:p>
    <w:p w14:paraId="0AA521DD" w14:textId="77777777" w:rsidR="002A53BF" w:rsidRDefault="002A53BF" w:rsidP="005A5029">
      <w:pPr>
        <w:spacing w:line="240" w:lineRule="exact"/>
      </w:pPr>
    </w:p>
    <w:sectPr w:rsidR="002A53B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3650" w14:textId="77777777" w:rsidR="005462FB" w:rsidRDefault="005462FB" w:rsidP="00FD0466">
      <w:pPr>
        <w:spacing w:after="0" w:line="240" w:lineRule="auto"/>
      </w:pPr>
      <w:r>
        <w:separator/>
      </w:r>
    </w:p>
  </w:endnote>
  <w:endnote w:type="continuationSeparator" w:id="0">
    <w:p w14:paraId="5E2DBD07" w14:textId="77777777" w:rsidR="005462FB" w:rsidRDefault="005462FB" w:rsidP="00FD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4D"/>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Liberation Seri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badi Extra Light">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01933"/>
      <w:docPartObj>
        <w:docPartGallery w:val="Page Numbers (Bottom of Page)"/>
        <w:docPartUnique/>
      </w:docPartObj>
    </w:sdtPr>
    <w:sdtEndPr/>
    <w:sdtContent>
      <w:p w14:paraId="7EC75BF9" w14:textId="4CDC7241" w:rsidR="00DD280C" w:rsidRDefault="00DD280C">
        <w:pPr>
          <w:pStyle w:val="Piedepgina"/>
          <w:jc w:val="center"/>
        </w:pPr>
        <w:r>
          <w:fldChar w:fldCharType="begin"/>
        </w:r>
        <w:r>
          <w:instrText>PAGE   \* MERGEFORMAT</w:instrText>
        </w:r>
        <w:r>
          <w:fldChar w:fldCharType="separate"/>
        </w:r>
        <w:r w:rsidR="009E5E24" w:rsidRPr="009E5E24">
          <w:rPr>
            <w:noProof/>
            <w:lang w:val="es-ES"/>
          </w:rPr>
          <w:t>82</w:t>
        </w:r>
        <w:r>
          <w:fldChar w:fldCharType="end"/>
        </w:r>
      </w:p>
    </w:sdtContent>
  </w:sdt>
  <w:p w14:paraId="383F739E" w14:textId="77777777" w:rsidR="00DD280C" w:rsidRDefault="00DD28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1706" w14:textId="77777777" w:rsidR="005462FB" w:rsidRDefault="005462FB" w:rsidP="00FD0466">
      <w:pPr>
        <w:spacing w:after="0" w:line="240" w:lineRule="auto"/>
      </w:pPr>
      <w:r>
        <w:separator/>
      </w:r>
    </w:p>
  </w:footnote>
  <w:footnote w:type="continuationSeparator" w:id="0">
    <w:p w14:paraId="4BB7A5CF" w14:textId="77777777" w:rsidR="005462FB" w:rsidRDefault="005462FB" w:rsidP="00FD0466">
      <w:pPr>
        <w:spacing w:after="0" w:line="240" w:lineRule="auto"/>
      </w:pPr>
      <w:r>
        <w:continuationSeparator/>
      </w:r>
    </w:p>
  </w:footnote>
  <w:footnote w:id="1">
    <w:p w14:paraId="0FE43372" w14:textId="77777777" w:rsidR="00DD280C" w:rsidRPr="00E229EE" w:rsidRDefault="00DD280C" w:rsidP="00FD0466">
      <w:pPr>
        <w:pStyle w:val="Textonotapie"/>
        <w:jc w:val="both"/>
        <w:rPr>
          <w:rFonts w:ascii="Verdana" w:hAnsi="Verdana"/>
          <w:sz w:val="16"/>
          <w:szCs w:val="16"/>
        </w:rPr>
      </w:pPr>
      <w:r w:rsidRPr="00E229EE">
        <w:rPr>
          <w:rStyle w:val="Refdenotaalpie"/>
          <w:rFonts w:ascii="Verdana" w:hAnsi="Verdana"/>
          <w:sz w:val="16"/>
          <w:szCs w:val="16"/>
        </w:rPr>
        <w:t>*</w:t>
      </w:r>
      <w:r w:rsidRPr="00E229EE">
        <w:rPr>
          <w:rFonts w:ascii="Verdana" w:eastAsia="Times New Roman" w:hAnsi="Verdana"/>
          <w:sz w:val="16"/>
          <w:szCs w:val="16"/>
        </w:rPr>
        <w:tab/>
        <w:t xml:space="preserve">El Juez </w:t>
      </w:r>
      <w:r w:rsidRPr="00E229EE">
        <w:rPr>
          <w:rFonts w:ascii="Verdana" w:eastAsia="Verdana" w:hAnsi="Verdana" w:cs="Verdana"/>
          <w:sz w:val="16"/>
          <w:szCs w:val="16"/>
          <w:lang w:val="es-ES_tradnl"/>
        </w:rPr>
        <w:t>Ricardo Pérez Manrique</w:t>
      </w:r>
      <w:r w:rsidRPr="00E229EE">
        <w:rPr>
          <w:rFonts w:ascii="Verdana" w:eastAsia="Times New Roman" w:hAnsi="Verdana"/>
          <w:sz w:val="16"/>
          <w:szCs w:val="16"/>
        </w:rPr>
        <w:t>, de nacionalidad uruguaya, no participó en la deliberación y firma de la presente Sentencia, de conformidad con lo dispuesto en los artículos 19.2 del Estatuto y 19.1 del Reglamento de la Corte.</w:t>
      </w:r>
    </w:p>
  </w:footnote>
  <w:footnote w:id="2">
    <w:p w14:paraId="40965BBB" w14:textId="77777777" w:rsidR="00DD280C" w:rsidRPr="00E229EE" w:rsidRDefault="00DD280C" w:rsidP="00FD0466">
      <w:pPr>
        <w:pStyle w:val="Textonotapie"/>
        <w:jc w:val="both"/>
        <w:rPr>
          <w:rFonts w:ascii="Verdana" w:hAnsi="Verdana"/>
          <w:sz w:val="16"/>
          <w:szCs w:val="16"/>
          <w:lang w:val="es-ES"/>
        </w:rPr>
      </w:pPr>
      <w:r w:rsidRPr="00E229EE">
        <w:rPr>
          <w:rStyle w:val="Refdenotaalpie"/>
          <w:rFonts w:ascii="Verdana" w:hAnsi="Verdana"/>
          <w:sz w:val="16"/>
          <w:szCs w:val="16"/>
        </w:rPr>
        <w:footnoteRef/>
      </w:r>
      <w:r w:rsidRPr="00E229EE">
        <w:rPr>
          <w:rFonts w:ascii="Verdana" w:hAnsi="Verdana"/>
          <w:sz w:val="16"/>
          <w:szCs w:val="16"/>
        </w:rPr>
        <w:t xml:space="preserve"> </w:t>
      </w:r>
      <w:r w:rsidRPr="00E229EE">
        <w:rPr>
          <w:rFonts w:ascii="Verdana" w:hAnsi="Verdana"/>
          <w:sz w:val="16"/>
          <w:szCs w:val="16"/>
          <w:lang w:val="es-ES"/>
        </w:rPr>
        <w:tab/>
        <w:t>La Comisión concluyó la responsabilidad estatal por la violación de los artículos 3 (derecho a la personalidad jurídica), 4.1 (derecho a la vida), 5.1 (derecho a la integridad personal), 7 (derecho a la libertad personal), 8.1 (derecho a las garantías judiciales) y 25.1 (derecho a la protección judicial) de la Convención Americana, en relación con el artículo 1.1 y 2 del mismo tratado (obligaciones de respetar y garantizar los derechos). También determinó que Uruguay violó los artículos I incisos a) b) y c) de la Convención Interamericana sobre Desaparición Forzada de Personas.</w:t>
      </w:r>
    </w:p>
  </w:footnote>
  <w:footnote w:id="3">
    <w:p w14:paraId="6349DB11" w14:textId="77B63314" w:rsidR="00DD280C" w:rsidRPr="00DE69BB" w:rsidRDefault="00DD280C" w:rsidP="00FD0466">
      <w:pPr>
        <w:pStyle w:val="Textonotapie"/>
        <w:jc w:val="both"/>
        <w:rPr>
          <w:rFonts w:ascii="Verdana" w:hAnsi="Verdana"/>
          <w:sz w:val="16"/>
          <w:szCs w:val="16"/>
        </w:rPr>
      </w:pPr>
      <w:r w:rsidRPr="00DE69BB">
        <w:rPr>
          <w:rStyle w:val="Refdenotaalpie"/>
          <w:rFonts w:ascii="Verdana" w:hAnsi="Verdana"/>
          <w:sz w:val="16"/>
          <w:szCs w:val="16"/>
        </w:rPr>
        <w:footnoteRef/>
      </w:r>
      <w:r w:rsidRPr="00DE69BB">
        <w:rPr>
          <w:rFonts w:ascii="Verdana" w:hAnsi="Verdana"/>
          <w:sz w:val="16"/>
          <w:szCs w:val="16"/>
        </w:rPr>
        <w:t xml:space="preserve">  </w:t>
      </w:r>
      <w:r w:rsidRPr="00DE69BB">
        <w:rPr>
          <w:rFonts w:ascii="Verdana" w:hAnsi="Verdana"/>
          <w:sz w:val="16"/>
          <w:szCs w:val="16"/>
        </w:rPr>
        <w:tab/>
        <w:t>La Comisión especificó que tales hechos incluyen: a) “</w:t>
      </w:r>
      <w:r w:rsidRPr="00DE69BB">
        <w:rPr>
          <w:rFonts w:ascii="Verdana" w:hAnsi="Verdana" w:cs="Cambria"/>
          <w:sz w:val="16"/>
          <w:szCs w:val="16"/>
        </w:rPr>
        <w:t xml:space="preserve">la[s] </w:t>
      </w:r>
      <w:proofErr w:type="spellStart"/>
      <w:r w:rsidRPr="00DE69BB">
        <w:rPr>
          <w:rFonts w:ascii="Verdana" w:hAnsi="Verdana" w:cs="Cambria"/>
          <w:sz w:val="16"/>
          <w:szCs w:val="16"/>
        </w:rPr>
        <w:t>desaparici</w:t>
      </w:r>
      <w:proofErr w:type="spellEnd"/>
      <w:r w:rsidRPr="00DE69BB">
        <w:rPr>
          <w:rFonts w:ascii="Verdana" w:hAnsi="Verdana" w:cs="Cambria"/>
          <w:sz w:val="16"/>
          <w:szCs w:val="16"/>
        </w:rPr>
        <w:t>[</w:t>
      </w:r>
      <w:proofErr w:type="spellStart"/>
      <w:r w:rsidRPr="00DE69BB">
        <w:rPr>
          <w:rFonts w:ascii="Verdana" w:hAnsi="Verdana" w:cs="Cambria"/>
          <w:sz w:val="16"/>
          <w:szCs w:val="16"/>
        </w:rPr>
        <w:t>ones</w:t>
      </w:r>
      <w:proofErr w:type="spellEnd"/>
      <w:r w:rsidRPr="00DE69BB">
        <w:rPr>
          <w:rFonts w:ascii="Verdana" w:hAnsi="Verdana" w:cs="Cambria"/>
          <w:sz w:val="16"/>
          <w:szCs w:val="16"/>
        </w:rPr>
        <w:t>] forzada[s] de Luis</w:t>
      </w:r>
      <w:r>
        <w:rPr>
          <w:rFonts w:ascii="Verdana" w:hAnsi="Verdana" w:cs="Cambria"/>
          <w:sz w:val="16"/>
          <w:szCs w:val="16"/>
        </w:rPr>
        <w:t xml:space="preserve"> </w:t>
      </w:r>
      <w:r w:rsidRPr="00DE69BB">
        <w:rPr>
          <w:rFonts w:ascii="Verdana" w:hAnsi="Verdana" w:cs="Cambria"/>
          <w:sz w:val="16"/>
          <w:szCs w:val="16"/>
        </w:rPr>
        <w:t xml:space="preserve">Eduardo González </w:t>
      </w:r>
      <w:proofErr w:type="spellStart"/>
      <w:r w:rsidRPr="00DE69BB">
        <w:rPr>
          <w:rFonts w:ascii="Verdana" w:hAnsi="Verdana" w:cs="Cambria"/>
          <w:sz w:val="16"/>
          <w:szCs w:val="16"/>
        </w:rPr>
        <w:t>González</w:t>
      </w:r>
      <w:proofErr w:type="spellEnd"/>
      <w:r w:rsidRPr="00DE69BB">
        <w:rPr>
          <w:rFonts w:ascii="Verdana" w:hAnsi="Verdana" w:cs="Cambria"/>
          <w:sz w:val="16"/>
          <w:szCs w:val="16"/>
        </w:rPr>
        <w:t xml:space="preserve"> y </w:t>
      </w:r>
      <w:r>
        <w:rPr>
          <w:rFonts w:ascii="Verdana" w:hAnsi="Verdana" w:cs="Cambria"/>
          <w:sz w:val="16"/>
          <w:szCs w:val="16"/>
        </w:rPr>
        <w:t>Ó</w:t>
      </w:r>
      <w:r w:rsidRPr="00DE69BB">
        <w:rPr>
          <w:rFonts w:ascii="Verdana" w:hAnsi="Verdana" w:cs="Cambria"/>
          <w:sz w:val="16"/>
          <w:szCs w:val="16"/>
        </w:rPr>
        <w:t xml:space="preserve">scar </w:t>
      </w:r>
      <w:proofErr w:type="spellStart"/>
      <w:r w:rsidRPr="00DE69BB">
        <w:rPr>
          <w:rFonts w:ascii="Verdana" w:hAnsi="Verdana" w:cs="Cambria"/>
          <w:sz w:val="16"/>
          <w:szCs w:val="16"/>
        </w:rPr>
        <w:t>Tassino</w:t>
      </w:r>
      <w:proofErr w:type="spellEnd"/>
      <w:r w:rsidRPr="00DE69BB">
        <w:rPr>
          <w:rFonts w:ascii="Verdana" w:hAnsi="Verdana" w:cs="Cambria"/>
          <w:sz w:val="16"/>
          <w:szCs w:val="16"/>
        </w:rPr>
        <w:t xml:space="preserve"> </w:t>
      </w:r>
      <w:proofErr w:type="spellStart"/>
      <w:r w:rsidRPr="00DE69BB">
        <w:rPr>
          <w:rFonts w:ascii="Verdana" w:hAnsi="Verdana" w:cs="Cambria"/>
          <w:sz w:val="16"/>
          <w:szCs w:val="16"/>
        </w:rPr>
        <w:t>Asteazu</w:t>
      </w:r>
      <w:proofErr w:type="spellEnd"/>
      <w:r w:rsidRPr="00DE69BB">
        <w:rPr>
          <w:rFonts w:ascii="Verdana" w:hAnsi="Verdana" w:cs="Cambria"/>
          <w:sz w:val="16"/>
          <w:szCs w:val="16"/>
        </w:rPr>
        <w:t xml:space="preserve">”; b) “la falta de investigación y sanción de dichas desapariciones, así como de las ejecuciones extrajudiciales de Diana </w:t>
      </w:r>
      <w:proofErr w:type="spellStart"/>
      <w:r w:rsidRPr="00DE69BB">
        <w:rPr>
          <w:rFonts w:ascii="Verdana" w:hAnsi="Verdana" w:cs="Cambria"/>
          <w:sz w:val="16"/>
          <w:szCs w:val="16"/>
        </w:rPr>
        <w:t>Maidanik</w:t>
      </w:r>
      <w:proofErr w:type="spellEnd"/>
      <w:r w:rsidRPr="00DE69BB">
        <w:rPr>
          <w:rFonts w:ascii="Verdana" w:hAnsi="Verdana" w:cs="Cambria"/>
          <w:sz w:val="16"/>
          <w:szCs w:val="16"/>
        </w:rPr>
        <w:t xml:space="preserve">, Silvia Reyes y Laura Raggio </w:t>
      </w:r>
      <w:proofErr w:type="spellStart"/>
      <w:r w:rsidRPr="00DE69BB">
        <w:rPr>
          <w:rFonts w:ascii="Verdana" w:hAnsi="Verdana" w:cs="Cambria"/>
          <w:sz w:val="16"/>
          <w:szCs w:val="16"/>
        </w:rPr>
        <w:t>Odizzio</w:t>
      </w:r>
      <w:proofErr w:type="spellEnd"/>
      <w:r w:rsidRPr="00DE69BB">
        <w:rPr>
          <w:rFonts w:ascii="Verdana" w:hAnsi="Verdana" w:cs="Cambria"/>
          <w:sz w:val="16"/>
          <w:szCs w:val="16"/>
        </w:rPr>
        <w:t xml:space="preserve">”, y c) “la falta de reparación adecuada”. </w:t>
      </w:r>
    </w:p>
    <w:p w14:paraId="2365F59E" w14:textId="77777777" w:rsidR="00DD280C" w:rsidRDefault="00DD280C" w:rsidP="00FD0466">
      <w:pPr>
        <w:pStyle w:val="Textonotapie"/>
      </w:pPr>
    </w:p>
  </w:footnote>
  <w:footnote w:id="4">
    <w:p w14:paraId="198C6B18" w14:textId="23D28D23" w:rsidR="00DD280C" w:rsidRPr="00E229EE" w:rsidRDefault="00DD280C" w:rsidP="00FD0466">
      <w:pPr>
        <w:pStyle w:val="Textonotapie"/>
        <w:jc w:val="both"/>
        <w:rPr>
          <w:rFonts w:ascii="Verdana" w:hAnsi="Verdana"/>
          <w:b/>
          <w:sz w:val="16"/>
          <w:szCs w:val="16"/>
        </w:rPr>
      </w:pPr>
      <w:r w:rsidRPr="00E229EE">
        <w:rPr>
          <w:rStyle w:val="Refdenotaalpie"/>
          <w:rFonts w:ascii="Verdana" w:hAnsi="Verdana"/>
          <w:sz w:val="16"/>
          <w:szCs w:val="16"/>
        </w:rPr>
        <w:footnoteRef/>
      </w:r>
      <w:r w:rsidRPr="00E229EE">
        <w:rPr>
          <w:rFonts w:ascii="Verdana" w:hAnsi="Verdana"/>
          <w:sz w:val="16"/>
          <w:szCs w:val="16"/>
        </w:rPr>
        <w:t xml:space="preserve"> </w:t>
      </w:r>
      <w:r w:rsidRPr="00E229EE">
        <w:rPr>
          <w:rFonts w:ascii="Verdana" w:hAnsi="Verdana"/>
          <w:sz w:val="16"/>
          <w:szCs w:val="16"/>
        </w:rPr>
        <w:tab/>
        <w:t xml:space="preserve">La Comisión designó como sus delegados ante la Corte a la Comisionada Julissa Mantilla Falcón y al entonces Secretario Ejecutivo Paulo </w:t>
      </w:r>
      <w:proofErr w:type="spellStart"/>
      <w:r w:rsidRPr="00E229EE">
        <w:rPr>
          <w:rFonts w:ascii="Verdana" w:hAnsi="Verdana"/>
          <w:sz w:val="16"/>
          <w:szCs w:val="16"/>
        </w:rPr>
        <w:t>Abrão</w:t>
      </w:r>
      <w:proofErr w:type="spellEnd"/>
      <w:r w:rsidRPr="00E229EE">
        <w:rPr>
          <w:rFonts w:ascii="Verdana" w:hAnsi="Verdana"/>
          <w:sz w:val="16"/>
          <w:szCs w:val="16"/>
        </w:rPr>
        <w:t xml:space="preserve">, y como asesores legales a la Secretaria Ejecutiva Adjunta Marisol Blanchard Vera y a los abogados Jorge Huberto Meza Flores y Christian González Chacón, de la Secretaría Ejecutiva de la Comisión. </w:t>
      </w:r>
    </w:p>
    <w:p w14:paraId="3AF53024" w14:textId="77777777" w:rsidR="00DD280C" w:rsidRPr="00E229EE" w:rsidRDefault="00DD280C" w:rsidP="00FD0466">
      <w:pPr>
        <w:pStyle w:val="Textonotapie"/>
        <w:jc w:val="both"/>
        <w:rPr>
          <w:rFonts w:ascii="Verdana" w:hAnsi="Verdana"/>
          <w:sz w:val="16"/>
          <w:szCs w:val="16"/>
          <w:lang w:val="es-ES"/>
        </w:rPr>
      </w:pPr>
    </w:p>
  </w:footnote>
  <w:footnote w:id="5">
    <w:p w14:paraId="6B44A64C" w14:textId="77777777" w:rsidR="00DD280C" w:rsidRPr="00E229EE" w:rsidRDefault="00DD280C" w:rsidP="00FD0466">
      <w:pPr>
        <w:pStyle w:val="Textonotapie"/>
        <w:jc w:val="both"/>
        <w:rPr>
          <w:rFonts w:ascii="Verdana" w:hAnsi="Verdana"/>
          <w:sz w:val="16"/>
          <w:szCs w:val="16"/>
        </w:rPr>
      </w:pPr>
      <w:r w:rsidRPr="00E229EE">
        <w:rPr>
          <w:rStyle w:val="Refdenotaalpie"/>
          <w:rFonts w:ascii="Verdana" w:hAnsi="Verdana"/>
          <w:sz w:val="16"/>
          <w:szCs w:val="16"/>
        </w:rPr>
        <w:footnoteRef/>
      </w:r>
      <w:r w:rsidRPr="00E229EE">
        <w:rPr>
          <w:rFonts w:ascii="Verdana" w:hAnsi="Verdana"/>
          <w:sz w:val="16"/>
          <w:szCs w:val="16"/>
        </w:rPr>
        <w:t xml:space="preserve"> </w:t>
      </w:r>
      <w:r w:rsidRPr="00E229EE">
        <w:rPr>
          <w:rFonts w:ascii="Verdana" w:hAnsi="Verdana"/>
          <w:sz w:val="16"/>
          <w:szCs w:val="16"/>
        </w:rPr>
        <w:tab/>
        <w:t xml:space="preserve">La representación de las presuntas víctimas es ejercida por Instituto de Estudios Legales y Sociales del Uruguay (IELSUR). </w:t>
      </w:r>
    </w:p>
    <w:p w14:paraId="43ACADEA" w14:textId="77777777" w:rsidR="00DD280C" w:rsidRPr="00E229EE" w:rsidRDefault="00DD280C" w:rsidP="00FD0466">
      <w:pPr>
        <w:pStyle w:val="Textonotapie"/>
        <w:jc w:val="both"/>
        <w:rPr>
          <w:rFonts w:ascii="Verdana" w:hAnsi="Verdana"/>
          <w:sz w:val="16"/>
          <w:szCs w:val="16"/>
          <w:lang w:val="es-ES"/>
        </w:rPr>
      </w:pPr>
    </w:p>
  </w:footnote>
  <w:footnote w:id="6">
    <w:p w14:paraId="5298D109" w14:textId="5F7D4FC1" w:rsidR="00DD280C" w:rsidRPr="00E229EE" w:rsidRDefault="00DD280C" w:rsidP="00FD0466">
      <w:pPr>
        <w:pStyle w:val="Textonotapie"/>
        <w:jc w:val="both"/>
        <w:rPr>
          <w:rFonts w:ascii="Verdana" w:hAnsi="Verdana"/>
          <w:sz w:val="16"/>
          <w:szCs w:val="16"/>
          <w:lang w:val="es-ES"/>
        </w:rPr>
      </w:pPr>
      <w:r w:rsidRPr="00E229EE">
        <w:rPr>
          <w:rStyle w:val="Refdenotaalpie"/>
          <w:rFonts w:ascii="Verdana" w:hAnsi="Verdana"/>
          <w:sz w:val="16"/>
          <w:szCs w:val="16"/>
        </w:rPr>
        <w:footnoteRef/>
      </w:r>
      <w:r w:rsidRPr="00E229EE">
        <w:rPr>
          <w:rFonts w:ascii="Verdana" w:hAnsi="Verdana"/>
          <w:sz w:val="16"/>
          <w:szCs w:val="16"/>
        </w:rPr>
        <w:t xml:space="preserve"> </w:t>
      </w:r>
      <w:r w:rsidRPr="00E229EE">
        <w:rPr>
          <w:rFonts w:ascii="Verdana" w:hAnsi="Verdana"/>
          <w:sz w:val="16"/>
          <w:szCs w:val="16"/>
          <w:lang w:val="es-ES"/>
        </w:rPr>
        <w:tab/>
        <w:t xml:space="preserve">A esta audiencia comparecieron: a) </w:t>
      </w:r>
      <w:r w:rsidRPr="00DE69BB">
        <w:rPr>
          <w:rFonts w:ascii="Verdana" w:hAnsi="Verdana"/>
          <w:sz w:val="16"/>
          <w:szCs w:val="16"/>
          <w:lang w:val="es-ES"/>
        </w:rPr>
        <w:t xml:space="preserve">por la Comisión Interamericana: Julissa Mantilla Falcón, Marisol Blanchard, Jorge Meza Flores y Erick Acuña; b) por los representantes: Martín Fernández </w:t>
      </w:r>
      <w:proofErr w:type="spellStart"/>
      <w:r w:rsidRPr="00DE69BB">
        <w:rPr>
          <w:rFonts w:ascii="Verdana" w:hAnsi="Verdana"/>
          <w:sz w:val="16"/>
          <w:szCs w:val="16"/>
          <w:lang w:val="es-ES"/>
        </w:rPr>
        <w:t>Chiossoni</w:t>
      </w:r>
      <w:proofErr w:type="spellEnd"/>
      <w:r w:rsidRPr="00DE69BB">
        <w:rPr>
          <w:rFonts w:ascii="Verdana" w:hAnsi="Verdana"/>
          <w:sz w:val="16"/>
          <w:szCs w:val="16"/>
          <w:lang w:val="es-ES"/>
        </w:rPr>
        <w:t xml:space="preserve">, Diego Camaño Viera y Lucía </w:t>
      </w:r>
      <w:proofErr w:type="spellStart"/>
      <w:r w:rsidRPr="00DE69BB">
        <w:rPr>
          <w:rFonts w:ascii="Verdana" w:hAnsi="Verdana"/>
          <w:sz w:val="16"/>
          <w:szCs w:val="16"/>
          <w:lang w:val="es-ES"/>
        </w:rPr>
        <w:t>Giudice</w:t>
      </w:r>
      <w:proofErr w:type="spellEnd"/>
      <w:r w:rsidRPr="00DE69BB">
        <w:rPr>
          <w:rFonts w:ascii="Verdana" w:hAnsi="Verdana"/>
          <w:sz w:val="16"/>
          <w:szCs w:val="16"/>
          <w:lang w:val="es-ES"/>
        </w:rPr>
        <w:t xml:space="preserve"> Graña, c) por el Estado: Carlos Mata </w:t>
      </w:r>
      <w:proofErr w:type="spellStart"/>
      <w:r w:rsidRPr="00DE69BB">
        <w:rPr>
          <w:rFonts w:ascii="Verdana" w:hAnsi="Verdana"/>
          <w:sz w:val="16"/>
          <w:szCs w:val="16"/>
          <w:lang w:val="es-ES"/>
        </w:rPr>
        <w:t>Prates</w:t>
      </w:r>
      <w:proofErr w:type="spellEnd"/>
      <w:r w:rsidRPr="00DE69BB">
        <w:rPr>
          <w:rFonts w:ascii="Verdana" w:hAnsi="Verdana"/>
          <w:sz w:val="16"/>
          <w:szCs w:val="16"/>
          <w:lang w:val="es-ES"/>
        </w:rPr>
        <w:t xml:space="preserve">, Pilar Álvarez, Marcos </w:t>
      </w:r>
      <w:proofErr w:type="spellStart"/>
      <w:r w:rsidRPr="00DE69BB">
        <w:rPr>
          <w:rFonts w:ascii="Verdana" w:hAnsi="Verdana"/>
          <w:sz w:val="16"/>
          <w:szCs w:val="16"/>
          <w:lang w:val="es-ES"/>
        </w:rPr>
        <w:t>Dotta</w:t>
      </w:r>
      <w:proofErr w:type="spellEnd"/>
      <w:r w:rsidRPr="00DE69BB">
        <w:rPr>
          <w:rFonts w:ascii="Verdana" w:hAnsi="Verdana"/>
          <w:sz w:val="16"/>
          <w:szCs w:val="16"/>
          <w:lang w:val="es-ES"/>
        </w:rPr>
        <w:t xml:space="preserve">, Alicia </w:t>
      </w:r>
      <w:proofErr w:type="spellStart"/>
      <w:r w:rsidRPr="00DE69BB">
        <w:rPr>
          <w:rFonts w:ascii="Verdana" w:hAnsi="Verdana"/>
          <w:sz w:val="16"/>
          <w:szCs w:val="16"/>
          <w:lang w:val="es-ES"/>
        </w:rPr>
        <w:t>Arbelbide</w:t>
      </w:r>
      <w:proofErr w:type="spellEnd"/>
      <w:r w:rsidRPr="00DE69BB">
        <w:rPr>
          <w:rFonts w:ascii="Verdana" w:hAnsi="Verdana"/>
          <w:sz w:val="16"/>
          <w:szCs w:val="16"/>
          <w:lang w:val="es-ES"/>
        </w:rPr>
        <w:t xml:space="preserve">, Lucía Laura </w:t>
      </w:r>
      <w:proofErr w:type="spellStart"/>
      <w:r w:rsidRPr="00DE69BB">
        <w:rPr>
          <w:rFonts w:ascii="Verdana" w:hAnsi="Verdana"/>
          <w:sz w:val="16"/>
          <w:szCs w:val="16"/>
          <w:lang w:val="es-ES"/>
        </w:rPr>
        <w:t>Fabbiani</w:t>
      </w:r>
      <w:proofErr w:type="spellEnd"/>
      <w:r w:rsidRPr="00DE69BB">
        <w:rPr>
          <w:rFonts w:ascii="Verdana" w:hAnsi="Verdana"/>
          <w:sz w:val="16"/>
          <w:szCs w:val="16"/>
          <w:lang w:val="es-ES"/>
        </w:rPr>
        <w:t xml:space="preserve"> </w:t>
      </w:r>
      <w:proofErr w:type="spellStart"/>
      <w:r w:rsidRPr="00DE69BB">
        <w:rPr>
          <w:rFonts w:ascii="Verdana" w:hAnsi="Verdana"/>
          <w:sz w:val="16"/>
          <w:szCs w:val="16"/>
          <w:lang w:val="es-ES"/>
        </w:rPr>
        <w:t>Santiñaque</w:t>
      </w:r>
      <w:proofErr w:type="spellEnd"/>
      <w:r w:rsidRPr="00DE69BB">
        <w:rPr>
          <w:rFonts w:ascii="Verdana" w:hAnsi="Verdana"/>
          <w:sz w:val="16"/>
          <w:szCs w:val="16"/>
          <w:lang w:val="es-ES"/>
        </w:rPr>
        <w:t xml:space="preserve"> y Mariana Cabrera. En la audiencia se recibieron las declaraciones orales de una presunta víctima, un testigo y un perito, y se escuchó la presentación del caso por la Comisión Interamericana, así como sus observaciones finales orales y los alegatos finales orales de las partes.</w:t>
      </w:r>
    </w:p>
    <w:p w14:paraId="4B9816BE" w14:textId="77777777" w:rsidR="00DD280C" w:rsidRPr="00E229EE" w:rsidRDefault="00DD280C" w:rsidP="00FD0466">
      <w:pPr>
        <w:pStyle w:val="Textonotapie"/>
        <w:jc w:val="both"/>
        <w:rPr>
          <w:rFonts w:ascii="Verdana" w:hAnsi="Verdana"/>
          <w:sz w:val="16"/>
          <w:szCs w:val="16"/>
          <w:lang w:val="es-ES"/>
        </w:rPr>
      </w:pPr>
    </w:p>
  </w:footnote>
  <w:footnote w:id="7">
    <w:p w14:paraId="3BE0DEF6" w14:textId="755238A3" w:rsidR="005A5029" w:rsidRPr="00E229EE" w:rsidRDefault="00DD280C" w:rsidP="00FD0466">
      <w:pPr>
        <w:pStyle w:val="Textonotapie"/>
        <w:jc w:val="both"/>
        <w:rPr>
          <w:rFonts w:ascii="Verdana" w:hAnsi="Verdana"/>
          <w:sz w:val="16"/>
          <w:szCs w:val="16"/>
        </w:rPr>
      </w:pPr>
      <w:r w:rsidRPr="00E229EE">
        <w:rPr>
          <w:rStyle w:val="Refdenotaalpie"/>
          <w:rFonts w:ascii="Verdana" w:hAnsi="Verdana"/>
          <w:sz w:val="16"/>
          <w:szCs w:val="16"/>
        </w:rPr>
        <w:footnoteRef/>
      </w:r>
      <w:r w:rsidRPr="00E229EE">
        <w:rPr>
          <w:rFonts w:ascii="Verdana" w:hAnsi="Verdana"/>
          <w:sz w:val="16"/>
          <w:szCs w:val="16"/>
        </w:rPr>
        <w:t xml:space="preserve"> </w:t>
      </w:r>
      <w:r w:rsidRPr="00E229EE">
        <w:rPr>
          <w:rFonts w:ascii="Verdana" w:hAnsi="Verdana"/>
          <w:sz w:val="16"/>
          <w:szCs w:val="16"/>
        </w:rPr>
        <w:tab/>
        <w:t>El documento fue firmado por Ariana Magdalena Gutiérrez Eraso, Juan Sebastián López Oñate, Yesika Alejandra Forero Sánchez, Claudia Helena Botina Bolaños, Astrid Lucero Chuy Colonia, Valentina Silva Bautista, María Daniela Díaz Villamil y Xiomara Lorena Romero. Versa sobre “el enfoque de género del derecho a la verdad de las víctimas”.</w:t>
      </w:r>
    </w:p>
    <w:p w14:paraId="287CBA87" w14:textId="77777777" w:rsidR="00DD280C" w:rsidRPr="00E229EE" w:rsidRDefault="00DD280C" w:rsidP="00FD0466">
      <w:pPr>
        <w:pStyle w:val="Textonotapie"/>
        <w:jc w:val="both"/>
        <w:rPr>
          <w:rFonts w:ascii="Verdana" w:hAnsi="Verdana"/>
          <w:sz w:val="16"/>
          <w:szCs w:val="16"/>
        </w:rPr>
      </w:pPr>
    </w:p>
  </w:footnote>
  <w:footnote w:id="8">
    <w:p w14:paraId="540C92CD" w14:textId="2C393E82" w:rsidR="00DD280C" w:rsidRPr="00E229EE" w:rsidRDefault="00DD280C" w:rsidP="00FD0466">
      <w:pPr>
        <w:pStyle w:val="Textonotapie"/>
        <w:jc w:val="both"/>
        <w:rPr>
          <w:rFonts w:ascii="Verdana" w:hAnsi="Verdana"/>
          <w:sz w:val="16"/>
          <w:szCs w:val="16"/>
        </w:rPr>
      </w:pPr>
      <w:r w:rsidRPr="00E229EE">
        <w:rPr>
          <w:rStyle w:val="Refdenotaalpie"/>
          <w:rFonts w:ascii="Verdana" w:hAnsi="Verdana"/>
          <w:sz w:val="16"/>
          <w:szCs w:val="16"/>
        </w:rPr>
        <w:footnoteRef/>
      </w:r>
      <w:r w:rsidRPr="00E229EE">
        <w:rPr>
          <w:rFonts w:ascii="Verdana" w:hAnsi="Verdana"/>
          <w:sz w:val="16"/>
          <w:szCs w:val="16"/>
        </w:rPr>
        <w:t xml:space="preserve"> </w:t>
      </w:r>
      <w:r w:rsidRPr="00E229EE">
        <w:rPr>
          <w:rFonts w:ascii="Verdana" w:hAnsi="Verdana"/>
          <w:sz w:val="16"/>
          <w:szCs w:val="16"/>
        </w:rPr>
        <w:tab/>
        <w:t xml:space="preserve">El documento fue firmado por Leah Anna </w:t>
      </w:r>
      <w:proofErr w:type="spellStart"/>
      <w:r w:rsidRPr="00E229EE">
        <w:rPr>
          <w:rFonts w:ascii="Verdana" w:hAnsi="Verdana"/>
          <w:sz w:val="16"/>
          <w:szCs w:val="16"/>
        </w:rPr>
        <w:t>Spence</w:t>
      </w:r>
      <w:proofErr w:type="spellEnd"/>
      <w:r w:rsidRPr="00E229EE">
        <w:rPr>
          <w:rFonts w:ascii="Verdana" w:hAnsi="Verdana"/>
          <w:sz w:val="16"/>
          <w:szCs w:val="16"/>
        </w:rPr>
        <w:t xml:space="preserve"> Ferrer, Karla Ivett Alonso Robles, María Andrea Correa Pinzón, Juan Camilo Cediel Borrero y Lucía Macarena Aguerre </w:t>
      </w:r>
      <w:proofErr w:type="spellStart"/>
      <w:r w:rsidRPr="00E229EE">
        <w:rPr>
          <w:rFonts w:ascii="Verdana" w:hAnsi="Verdana"/>
          <w:sz w:val="16"/>
          <w:szCs w:val="16"/>
        </w:rPr>
        <w:t>Cazes</w:t>
      </w:r>
      <w:proofErr w:type="spellEnd"/>
      <w:r w:rsidRPr="00E229EE">
        <w:rPr>
          <w:rFonts w:ascii="Verdana" w:hAnsi="Verdana"/>
          <w:sz w:val="16"/>
          <w:szCs w:val="16"/>
        </w:rPr>
        <w:t xml:space="preserve">. Versa sobre “la particularidad que reviste la ley de amnistía y “la importancia de preservar el respeto a la democracia como valor fundamental de toda sociedad”. </w:t>
      </w:r>
    </w:p>
    <w:p w14:paraId="0168A070" w14:textId="77777777" w:rsidR="00DD280C" w:rsidRPr="00E229EE" w:rsidRDefault="00DD280C" w:rsidP="00FD0466">
      <w:pPr>
        <w:pStyle w:val="Textonotapie"/>
        <w:jc w:val="both"/>
        <w:rPr>
          <w:rFonts w:ascii="Verdana" w:hAnsi="Verdana"/>
          <w:sz w:val="16"/>
          <w:szCs w:val="16"/>
        </w:rPr>
      </w:pPr>
    </w:p>
  </w:footnote>
  <w:footnote w:id="9">
    <w:p w14:paraId="25DF93A0" w14:textId="48AB62A0" w:rsidR="00DD280C" w:rsidRPr="000031DD" w:rsidRDefault="00DD280C" w:rsidP="00FD0466">
      <w:pPr>
        <w:pStyle w:val="Textonotapie"/>
        <w:jc w:val="both"/>
        <w:rPr>
          <w:rFonts w:ascii="Verdana" w:hAnsi="Verdana"/>
          <w:sz w:val="16"/>
          <w:szCs w:val="16"/>
          <w:lang w:val="es-ES"/>
        </w:rPr>
      </w:pPr>
      <w:r w:rsidRPr="00E229EE">
        <w:rPr>
          <w:rStyle w:val="Refdenotaalpie"/>
          <w:rFonts w:ascii="Verdana" w:hAnsi="Verdana"/>
          <w:sz w:val="16"/>
          <w:szCs w:val="16"/>
        </w:rPr>
        <w:footnoteRef/>
      </w:r>
      <w:r w:rsidRPr="00E229EE">
        <w:rPr>
          <w:rFonts w:ascii="Verdana" w:hAnsi="Verdana"/>
          <w:sz w:val="16"/>
          <w:szCs w:val="16"/>
        </w:rPr>
        <w:t xml:space="preserve"> </w:t>
      </w:r>
      <w:r w:rsidRPr="00E229EE">
        <w:rPr>
          <w:rFonts w:ascii="Verdana" w:hAnsi="Verdana"/>
          <w:sz w:val="16"/>
          <w:szCs w:val="16"/>
          <w:lang w:val="es-ES"/>
        </w:rPr>
        <w:tab/>
        <w:t>Las observaciones finales escritas de la Comisión y los alegatos finales escritos del Estado y los representantes, así como los anexos a éstos últimos, fueron trasladados a las partes y a la Comisión. Se fijó un plazo, hasta el 30 de julio de 2021, para que las partes y la Comisión remitieran, si lo estimaban conducente, observaciones sobre los anexos aludidos, así como sobre documentaci</w:t>
      </w:r>
      <w:r w:rsidRPr="000031DD">
        <w:rPr>
          <w:rFonts w:ascii="Verdana" w:hAnsi="Verdana"/>
          <w:sz w:val="16"/>
          <w:szCs w:val="16"/>
          <w:lang w:val="es-ES"/>
        </w:rPr>
        <w:t>ón presentada por el Estado el 16 de julio de 2021 por medio de un escrito autónomo (</w:t>
      </w:r>
      <w:r w:rsidRPr="000031DD">
        <w:rPr>
          <w:rFonts w:ascii="Verdana" w:hAnsi="Verdana"/>
          <w:i/>
          <w:sz w:val="16"/>
          <w:szCs w:val="16"/>
          <w:lang w:val="es-ES"/>
        </w:rPr>
        <w:t>infra</w:t>
      </w:r>
      <w:r>
        <w:rPr>
          <w:rFonts w:ascii="Verdana" w:hAnsi="Verdana"/>
          <w:sz w:val="16"/>
          <w:szCs w:val="16"/>
          <w:lang w:val="es-ES"/>
        </w:rPr>
        <w:t xml:space="preserve"> párr</w:t>
      </w:r>
      <w:r w:rsidRPr="000031DD">
        <w:rPr>
          <w:rFonts w:ascii="Verdana" w:hAnsi="Verdana"/>
          <w:sz w:val="16"/>
          <w:szCs w:val="16"/>
          <w:lang w:val="es-ES"/>
        </w:rPr>
        <w:t xml:space="preserve">. </w:t>
      </w:r>
      <w:r>
        <w:rPr>
          <w:rFonts w:ascii="Verdana" w:hAnsi="Verdana"/>
          <w:sz w:val="16"/>
          <w:szCs w:val="16"/>
          <w:lang w:val="es-ES"/>
        </w:rPr>
        <w:t>21</w:t>
      </w:r>
      <w:r w:rsidRPr="000031DD">
        <w:rPr>
          <w:rFonts w:ascii="Verdana" w:hAnsi="Verdana"/>
          <w:sz w:val="16"/>
          <w:szCs w:val="16"/>
          <w:lang w:val="es-ES"/>
        </w:rPr>
        <w:t xml:space="preserve">). El 30 de julio de 2021 los representantes remitieron sus observaciones. En misma fecha, la Comisión informó que no tenía observaciones que formular respecto de los documentos agregados por el Estado. Por su parte el Estado no presentó observaciones. </w:t>
      </w:r>
    </w:p>
    <w:p w14:paraId="0D2F17AD" w14:textId="77777777" w:rsidR="00DD280C" w:rsidRPr="000031DD" w:rsidRDefault="00DD280C" w:rsidP="00FD0466">
      <w:pPr>
        <w:pStyle w:val="Textonotapie"/>
        <w:jc w:val="both"/>
        <w:rPr>
          <w:rFonts w:ascii="Verdana" w:hAnsi="Verdana"/>
          <w:sz w:val="16"/>
          <w:szCs w:val="16"/>
          <w:lang w:val="es-ES"/>
        </w:rPr>
      </w:pPr>
    </w:p>
  </w:footnote>
  <w:footnote w:id="10">
    <w:p w14:paraId="62AC0FD1" w14:textId="77949795" w:rsidR="00DD280C" w:rsidRPr="004B4E03" w:rsidRDefault="00DD280C" w:rsidP="00FD0466">
      <w:pPr>
        <w:pStyle w:val="Textonotapie"/>
        <w:jc w:val="both"/>
        <w:rPr>
          <w:rFonts w:ascii="Verdana" w:hAnsi="Verdana"/>
          <w:sz w:val="16"/>
          <w:szCs w:val="16"/>
        </w:rPr>
      </w:pPr>
      <w:r w:rsidRPr="004B4E03">
        <w:rPr>
          <w:rStyle w:val="Refdenotaalpie"/>
          <w:rFonts w:ascii="Verdana" w:hAnsi="Verdana"/>
          <w:sz w:val="16"/>
          <w:szCs w:val="16"/>
        </w:rPr>
        <w:footnoteRef/>
      </w:r>
      <w:r w:rsidRPr="004B4E03">
        <w:rPr>
          <w:rFonts w:ascii="Verdana" w:hAnsi="Verdana"/>
          <w:sz w:val="16"/>
          <w:szCs w:val="16"/>
        </w:rPr>
        <w:t xml:space="preserve">  </w:t>
      </w:r>
      <w:r w:rsidRPr="004B4E03">
        <w:rPr>
          <w:rFonts w:ascii="Verdana" w:hAnsi="Verdana"/>
          <w:sz w:val="16"/>
          <w:szCs w:val="16"/>
        </w:rPr>
        <w:tab/>
      </w:r>
      <w:r w:rsidRPr="004B4E03">
        <w:rPr>
          <w:rFonts w:ascii="Verdana" w:hAnsi="Verdana"/>
          <w:i/>
          <w:sz w:val="16"/>
          <w:szCs w:val="16"/>
        </w:rPr>
        <w:t>Cfr</w:t>
      </w:r>
      <w:r w:rsidRPr="00CA1127">
        <w:rPr>
          <w:rFonts w:ascii="Verdana" w:hAnsi="Verdana"/>
          <w:sz w:val="16"/>
          <w:szCs w:val="16"/>
        </w:rPr>
        <w:t>.</w:t>
      </w:r>
      <w:r w:rsidRPr="004B4E03">
        <w:rPr>
          <w:rFonts w:ascii="Verdana" w:hAnsi="Verdana"/>
          <w:sz w:val="16"/>
          <w:szCs w:val="16"/>
        </w:rPr>
        <w:t xml:space="preserve"> </w:t>
      </w:r>
      <w:r w:rsidRPr="00CA1127">
        <w:rPr>
          <w:rFonts w:ascii="Verdana" w:hAnsi="Verdana"/>
          <w:i/>
          <w:sz w:val="16"/>
          <w:szCs w:val="16"/>
        </w:rPr>
        <w:t>I</w:t>
      </w:r>
      <w:r w:rsidRPr="00CA1127">
        <w:rPr>
          <w:rFonts w:ascii="Verdana" w:hAnsi="Verdana" w:cs="Open Sans"/>
          <w:i/>
          <w:sz w:val="16"/>
          <w:szCs w:val="16"/>
          <w:shd w:val="clear" w:color="auto" w:fill="FFFFFF"/>
        </w:rPr>
        <w:t>nterpretación de la Declaración Americana de los Derechos y Deberes del Hombre en el marco del artículo 64 de la Convención Americana sobre Derechos Humanos.</w:t>
      </w:r>
      <w:r w:rsidRPr="00CA1127">
        <w:rPr>
          <w:rFonts w:ascii="Verdana" w:hAnsi="Verdana" w:cs="Open Sans"/>
          <w:sz w:val="16"/>
          <w:szCs w:val="16"/>
          <w:shd w:val="clear" w:color="auto" w:fill="FFFFFF"/>
        </w:rPr>
        <w:t xml:space="preserve"> Opinión Consultiva OC-10/89 de 14 de julio de 1989. Serie A No. 10, párr. 46, </w:t>
      </w:r>
      <w:r w:rsidRPr="00CA1127">
        <w:rPr>
          <w:rFonts w:ascii="Verdana" w:hAnsi="Verdana" w:cs="Open Sans"/>
          <w:color w:val="494848"/>
          <w:sz w:val="16"/>
          <w:szCs w:val="16"/>
          <w:shd w:val="clear" w:color="auto" w:fill="FFFFFF"/>
        </w:rPr>
        <w:t xml:space="preserve">y </w:t>
      </w:r>
      <w:r w:rsidRPr="00CA1127">
        <w:rPr>
          <w:rFonts w:ascii="Verdana" w:hAnsi="Verdana"/>
          <w:i/>
          <w:sz w:val="16"/>
          <w:szCs w:val="16"/>
        </w:rPr>
        <w:t>Caso Argüelles y otros Vs. Argentina. Excepciones Preliminares, Fondo, Reparaciones y Costas.</w:t>
      </w:r>
      <w:r w:rsidRPr="004B4E03">
        <w:rPr>
          <w:rFonts w:ascii="Verdana" w:hAnsi="Verdana"/>
          <w:sz w:val="16"/>
          <w:szCs w:val="16"/>
        </w:rPr>
        <w:t xml:space="preserve"> Sentencia de 20 de noviembre de 2014. Serie C No. 288, </w:t>
      </w:r>
      <w:proofErr w:type="spellStart"/>
      <w:r w:rsidRPr="004B4E03">
        <w:rPr>
          <w:rFonts w:ascii="Verdana" w:hAnsi="Verdana"/>
          <w:sz w:val="16"/>
          <w:szCs w:val="16"/>
        </w:rPr>
        <w:t>párrs</w:t>
      </w:r>
      <w:proofErr w:type="spellEnd"/>
      <w:r w:rsidRPr="004B4E03">
        <w:rPr>
          <w:rFonts w:ascii="Verdana" w:hAnsi="Verdana"/>
          <w:sz w:val="16"/>
          <w:szCs w:val="16"/>
        </w:rPr>
        <w:t>. 32 a 38.</w:t>
      </w:r>
    </w:p>
    <w:p w14:paraId="7DE79D73" w14:textId="77777777" w:rsidR="00DD280C" w:rsidRPr="000031DD" w:rsidRDefault="00DD280C" w:rsidP="00FD0466">
      <w:pPr>
        <w:pStyle w:val="Textonotapie"/>
        <w:jc w:val="both"/>
        <w:rPr>
          <w:rFonts w:ascii="Verdana" w:hAnsi="Verdana"/>
          <w:sz w:val="16"/>
          <w:szCs w:val="16"/>
        </w:rPr>
      </w:pPr>
    </w:p>
  </w:footnote>
  <w:footnote w:id="11">
    <w:p w14:paraId="3990491A" w14:textId="7371B9F0" w:rsidR="00DD280C" w:rsidRPr="00CC32E5" w:rsidRDefault="00DD280C" w:rsidP="00E11E49">
      <w:pPr>
        <w:spacing w:after="0"/>
        <w:jc w:val="both"/>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lang w:val="es-ES"/>
        </w:rPr>
        <w:tab/>
      </w:r>
      <w:r w:rsidRPr="000031DD">
        <w:rPr>
          <w:rFonts w:ascii="Verdana" w:hAnsi="Verdana"/>
          <w:i/>
          <w:sz w:val="16"/>
          <w:szCs w:val="16"/>
          <w:lang w:val="es-ES"/>
        </w:rPr>
        <w:t>Cfr. Caso Velásquez Rodríguez Vs. Honduras. Fondo.</w:t>
      </w:r>
      <w:r w:rsidRPr="000031DD">
        <w:rPr>
          <w:rFonts w:ascii="Verdana" w:hAnsi="Verdana"/>
          <w:sz w:val="16"/>
          <w:szCs w:val="16"/>
          <w:lang w:val="es-ES"/>
        </w:rPr>
        <w:t xml:space="preserve"> Sentencia de 29 de julio de 1988. Serie C No. 4, párr. 140, y </w:t>
      </w:r>
      <w:r w:rsidR="00CC32E5" w:rsidRPr="00CC32E5">
        <w:rPr>
          <w:rFonts w:ascii="Verdana" w:hAnsi="Verdana" w:cs="Open Sans"/>
          <w:i/>
          <w:sz w:val="16"/>
          <w:szCs w:val="16"/>
          <w:shd w:val="clear" w:color="auto" w:fill="FFFFFF"/>
        </w:rPr>
        <w:t xml:space="preserve">Caso Pueblos Indígenas Maya Kaqchikel de Sumpango y otros Vs. Guatemala. Fondo, Reparaciones y Costas. </w:t>
      </w:r>
      <w:r w:rsidR="00CC32E5" w:rsidRPr="00CC32E5">
        <w:rPr>
          <w:rFonts w:ascii="Verdana" w:hAnsi="Verdana" w:cs="Open Sans"/>
          <w:sz w:val="16"/>
          <w:szCs w:val="16"/>
          <w:shd w:val="clear" w:color="auto" w:fill="FFFFFF"/>
        </w:rPr>
        <w:t>Sentencia de 6 de octubre de 2021. Serie C No. 440, párr. 31</w:t>
      </w:r>
      <w:r w:rsidR="0027532E" w:rsidRPr="0027532E">
        <w:rPr>
          <w:rFonts w:ascii="Verdana" w:hAnsi="Verdana" w:cs="Open Sans"/>
          <w:sz w:val="16"/>
          <w:szCs w:val="16"/>
          <w:shd w:val="clear" w:color="auto" w:fill="FFFFFF"/>
        </w:rPr>
        <w:t xml:space="preserve">. </w:t>
      </w:r>
      <w:r w:rsidRPr="0027532E">
        <w:rPr>
          <w:rFonts w:ascii="Verdana" w:hAnsi="Verdana"/>
          <w:sz w:val="16"/>
          <w:szCs w:val="16"/>
          <w:lang w:val="es-ES"/>
        </w:rPr>
        <w:t>La prueba documental puede ser presentada, en general y de co</w:t>
      </w:r>
      <w:r w:rsidRPr="00AE1F70">
        <w:rPr>
          <w:rFonts w:ascii="Verdana" w:hAnsi="Verdana"/>
          <w:sz w:val="16"/>
          <w:szCs w:val="16"/>
          <w:lang w:val="es-ES"/>
        </w:rPr>
        <w:t>nformidad con el artículo 57.2 del Reglamento</w:t>
      </w:r>
      <w:r w:rsidRPr="000031DD">
        <w:rPr>
          <w:rFonts w:ascii="Verdana" w:hAnsi="Verdana"/>
          <w:sz w:val="16"/>
          <w:szCs w:val="16"/>
          <w:lang w:val="es-ES"/>
        </w:rPr>
        <w:t>,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w:t>
      </w:r>
    </w:p>
    <w:p w14:paraId="6F513BE4" w14:textId="77777777" w:rsidR="00DD280C" w:rsidRPr="000031DD" w:rsidRDefault="00DD280C" w:rsidP="00E11E49">
      <w:pPr>
        <w:pStyle w:val="Textonotapie"/>
        <w:jc w:val="both"/>
        <w:rPr>
          <w:rFonts w:ascii="Verdana" w:hAnsi="Verdana"/>
          <w:sz w:val="16"/>
          <w:szCs w:val="16"/>
          <w:lang w:val="es-ES"/>
        </w:rPr>
      </w:pPr>
    </w:p>
  </w:footnote>
  <w:footnote w:id="12">
    <w:p w14:paraId="1A7384AE" w14:textId="52481FC4" w:rsidR="00DD280C" w:rsidRPr="000031DD" w:rsidRDefault="00DD280C" w:rsidP="00E11E49">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Según consta en la Resolución de 16 de abril de 2021, se trata de los siguientes expedientes judiciales penales: i) Raggio, Reyes </w:t>
      </w:r>
      <w:proofErr w:type="spellStart"/>
      <w:r w:rsidRPr="000031DD">
        <w:rPr>
          <w:rFonts w:ascii="Verdana" w:hAnsi="Verdana"/>
          <w:sz w:val="16"/>
          <w:szCs w:val="16"/>
        </w:rPr>
        <w:t>Maidanik</w:t>
      </w:r>
      <w:proofErr w:type="spellEnd"/>
      <w:r w:rsidRPr="000031DD">
        <w:rPr>
          <w:rFonts w:ascii="Verdana" w:hAnsi="Verdana"/>
          <w:sz w:val="16"/>
          <w:szCs w:val="16"/>
        </w:rPr>
        <w:t xml:space="preserve">. Juzgado Letrado de Primera Instancia de 26º Turno. IUE 91-841-1986, </w:t>
      </w:r>
      <w:proofErr w:type="spellStart"/>
      <w:r w:rsidRPr="000031DD">
        <w:rPr>
          <w:rFonts w:ascii="Verdana" w:hAnsi="Verdana"/>
          <w:sz w:val="16"/>
          <w:szCs w:val="16"/>
        </w:rPr>
        <w:t>ii</w:t>
      </w:r>
      <w:proofErr w:type="spellEnd"/>
      <w:r w:rsidRPr="000031DD">
        <w:rPr>
          <w:rFonts w:ascii="Verdana" w:hAnsi="Verdana"/>
          <w:sz w:val="16"/>
          <w:szCs w:val="16"/>
        </w:rPr>
        <w:t xml:space="preserve">) Juzgado Letrado de Primera Instancia en lo Penal de 27º Turno. Causa Principal: IUE 97-10149/1985. Pieza 1: 97-324/2017. Pieza 2: 547-396/2018, </w:t>
      </w:r>
      <w:proofErr w:type="spellStart"/>
      <w:r w:rsidRPr="000031DD">
        <w:rPr>
          <w:rFonts w:ascii="Verdana" w:hAnsi="Verdana"/>
          <w:sz w:val="16"/>
          <w:szCs w:val="16"/>
        </w:rPr>
        <w:t>iii</w:t>
      </w:r>
      <w:proofErr w:type="spellEnd"/>
      <w:r w:rsidRPr="000031DD">
        <w:rPr>
          <w:rFonts w:ascii="Verdana" w:hAnsi="Verdana"/>
          <w:sz w:val="16"/>
          <w:szCs w:val="16"/>
        </w:rPr>
        <w:t xml:space="preserve">) Juzgado Letrado de Primera Instancia en lo Penal de 26º Turno. IUE 100-152/2012 y </w:t>
      </w:r>
      <w:proofErr w:type="spellStart"/>
      <w:r w:rsidRPr="000031DD">
        <w:rPr>
          <w:rFonts w:ascii="Verdana" w:hAnsi="Verdana"/>
          <w:sz w:val="16"/>
          <w:szCs w:val="16"/>
        </w:rPr>
        <w:t>iv</w:t>
      </w:r>
      <w:proofErr w:type="spellEnd"/>
      <w:r w:rsidRPr="000031DD">
        <w:rPr>
          <w:rFonts w:ascii="Verdana" w:hAnsi="Verdana"/>
          <w:sz w:val="16"/>
          <w:szCs w:val="16"/>
        </w:rPr>
        <w:t>) Expediente en el que se investigó la muerte de Washington Barrios[.] Juzgado Letrado de Primera Instancia en lo Penal de 19º Turno</w:t>
      </w:r>
      <w:r>
        <w:rPr>
          <w:rFonts w:ascii="Verdana" w:hAnsi="Verdana"/>
          <w:sz w:val="16"/>
          <w:szCs w:val="16"/>
        </w:rPr>
        <w:t xml:space="preserve"> (en adelante se hará referencia a esta documentación como “expedientes remitidos por el Estado”)</w:t>
      </w:r>
      <w:r w:rsidRPr="000031DD">
        <w:rPr>
          <w:rFonts w:ascii="Verdana" w:hAnsi="Verdana"/>
          <w:sz w:val="16"/>
          <w:szCs w:val="16"/>
        </w:rPr>
        <w:t>. Los mismo fueron solicitados a</w:t>
      </w:r>
      <w:r>
        <w:rPr>
          <w:rFonts w:ascii="Verdana" w:hAnsi="Verdana"/>
          <w:sz w:val="16"/>
          <w:szCs w:val="16"/>
        </w:rPr>
        <w:t xml:space="preserve"> Uruguay</w:t>
      </w:r>
      <w:r w:rsidRPr="000031DD">
        <w:rPr>
          <w:rFonts w:ascii="Verdana" w:hAnsi="Verdana"/>
          <w:sz w:val="16"/>
          <w:szCs w:val="16"/>
        </w:rPr>
        <w:t xml:space="preserve"> a partir de un requerimiento de los representantes. Po r otra parte, la Corte observa que el 19 de septiembre de 2020, los representantes señalaron como hecho nuevo la declaración del Senador de la República GMR, relacionados con la “reimplanta[</w:t>
      </w:r>
      <w:proofErr w:type="spellStart"/>
      <w:r w:rsidRPr="000031DD">
        <w:rPr>
          <w:rFonts w:ascii="Verdana" w:hAnsi="Verdana"/>
          <w:sz w:val="16"/>
          <w:szCs w:val="16"/>
        </w:rPr>
        <w:t>ción</w:t>
      </w:r>
      <w:proofErr w:type="spellEnd"/>
      <w:r w:rsidRPr="000031DD">
        <w:rPr>
          <w:rFonts w:ascii="Verdana" w:hAnsi="Verdana"/>
          <w:sz w:val="16"/>
          <w:szCs w:val="16"/>
        </w:rPr>
        <w:t xml:space="preserve">] de la Ley de Caducidad”. Señalaron que estas declaraciones son relevantes dentro del “contexto actual de los derechos humanos en Uruguay”.  En Resolución de 16 de abril de 2021, la Presidenta “no </w:t>
      </w:r>
      <w:proofErr w:type="spellStart"/>
      <w:r w:rsidRPr="000031DD">
        <w:rPr>
          <w:rFonts w:ascii="Verdana" w:hAnsi="Verdana"/>
          <w:sz w:val="16"/>
          <w:szCs w:val="16"/>
        </w:rPr>
        <w:t>advirt</w:t>
      </w:r>
      <w:proofErr w:type="spellEnd"/>
      <w:r w:rsidRPr="000031DD">
        <w:rPr>
          <w:rFonts w:ascii="Verdana" w:hAnsi="Verdana"/>
          <w:sz w:val="16"/>
          <w:szCs w:val="16"/>
        </w:rPr>
        <w:t>[</w:t>
      </w:r>
      <w:proofErr w:type="spellStart"/>
      <w:r w:rsidRPr="000031DD">
        <w:rPr>
          <w:rFonts w:ascii="Verdana" w:hAnsi="Verdana"/>
          <w:sz w:val="16"/>
          <w:szCs w:val="16"/>
        </w:rPr>
        <w:t>ió</w:t>
      </w:r>
      <w:proofErr w:type="spellEnd"/>
      <w:r w:rsidRPr="000031DD">
        <w:rPr>
          <w:rFonts w:ascii="Verdana" w:hAnsi="Verdana"/>
          <w:sz w:val="16"/>
          <w:szCs w:val="16"/>
        </w:rPr>
        <w:t xml:space="preserve">] que, como prueba de hechos relevantes en el caso, resulte necesario que Uruguay allegue a este proceso documentación referida a un proyecto de ley y a declaraciones efectuadas por un senador”.  </w:t>
      </w:r>
    </w:p>
    <w:p w14:paraId="5CB5BB96" w14:textId="77777777" w:rsidR="00DD280C" w:rsidRPr="000031DD" w:rsidRDefault="00DD280C" w:rsidP="00FD0466">
      <w:pPr>
        <w:pStyle w:val="Textonotapie"/>
        <w:jc w:val="both"/>
        <w:rPr>
          <w:rFonts w:ascii="Verdana" w:hAnsi="Verdana"/>
          <w:sz w:val="16"/>
          <w:szCs w:val="16"/>
        </w:rPr>
      </w:pPr>
    </w:p>
  </w:footnote>
  <w:footnote w:id="13">
    <w:p w14:paraId="42EA420F" w14:textId="6065C96A" w:rsidR="00DD280C" w:rsidRPr="00E53751" w:rsidRDefault="00DD280C" w:rsidP="00FD0466">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Ni los representantes ni la Comisión presentaron observaciones sobre los documentos remitidos por el Estado los días 24 de diciembre de 2020 y 14 de mayo de 2021. La Comisión manifestó que no t</w:t>
      </w:r>
      <w:r>
        <w:rPr>
          <w:rFonts w:ascii="Verdana" w:hAnsi="Verdana"/>
          <w:sz w:val="16"/>
          <w:szCs w:val="16"/>
        </w:rPr>
        <w:t>e</w:t>
      </w:r>
      <w:r w:rsidRPr="00E53751">
        <w:rPr>
          <w:rFonts w:ascii="Verdana" w:hAnsi="Verdana"/>
          <w:sz w:val="16"/>
          <w:szCs w:val="16"/>
        </w:rPr>
        <w:t xml:space="preserve">nía observaciones respecto a los documentos presentados el 16 de julio de 2021. Los representantes, al pronunciarse sobre esos documentos, hicieron manifestaciones sobre el valor probatorio de los documentos, no sobre su admisibilidad. Los representantes, en esa oportunidad, también efectuaron </w:t>
      </w:r>
      <w:r w:rsidRPr="000031DD">
        <w:rPr>
          <w:rFonts w:ascii="Verdana" w:hAnsi="Verdana"/>
          <w:sz w:val="16"/>
          <w:szCs w:val="16"/>
        </w:rPr>
        <w:t>consideraciones sobre</w:t>
      </w:r>
      <w:r w:rsidRPr="00E53751">
        <w:rPr>
          <w:rFonts w:ascii="Verdana" w:hAnsi="Verdana"/>
          <w:sz w:val="16"/>
          <w:szCs w:val="16"/>
        </w:rPr>
        <w:t xml:space="preserve"> la responsabilidad del Estado en el caso. Est</w:t>
      </w:r>
      <w:r>
        <w:rPr>
          <w:rFonts w:ascii="Verdana" w:hAnsi="Verdana"/>
          <w:sz w:val="16"/>
          <w:szCs w:val="16"/>
        </w:rPr>
        <w:t>as</w:t>
      </w:r>
      <w:r w:rsidRPr="00E53751">
        <w:rPr>
          <w:rFonts w:ascii="Verdana" w:hAnsi="Verdana"/>
          <w:sz w:val="16"/>
          <w:szCs w:val="16"/>
        </w:rPr>
        <w:t xml:space="preserve"> últim</w:t>
      </w:r>
      <w:r>
        <w:rPr>
          <w:rFonts w:ascii="Verdana" w:hAnsi="Verdana"/>
          <w:sz w:val="16"/>
          <w:szCs w:val="16"/>
        </w:rPr>
        <w:t>as</w:t>
      </w:r>
      <w:r w:rsidRPr="00E53751">
        <w:rPr>
          <w:rFonts w:ascii="Verdana" w:hAnsi="Verdana"/>
          <w:sz w:val="16"/>
          <w:szCs w:val="16"/>
        </w:rPr>
        <w:t xml:space="preserve"> no serán consideradas, pues </w:t>
      </w:r>
      <w:proofErr w:type="gramStart"/>
      <w:r w:rsidRPr="00E53751">
        <w:rPr>
          <w:rFonts w:ascii="Verdana" w:hAnsi="Verdana"/>
          <w:sz w:val="16"/>
          <w:szCs w:val="16"/>
        </w:rPr>
        <w:t>fue</w:t>
      </w:r>
      <w:r>
        <w:rPr>
          <w:rFonts w:ascii="Verdana" w:hAnsi="Verdana"/>
          <w:sz w:val="16"/>
          <w:szCs w:val="16"/>
        </w:rPr>
        <w:t>ros</w:t>
      </w:r>
      <w:r w:rsidRPr="00E53751">
        <w:rPr>
          <w:rFonts w:ascii="Verdana" w:hAnsi="Verdana"/>
          <w:sz w:val="16"/>
          <w:szCs w:val="16"/>
        </w:rPr>
        <w:t xml:space="preserve"> expuest</w:t>
      </w:r>
      <w:r>
        <w:rPr>
          <w:rFonts w:ascii="Verdana" w:hAnsi="Verdana"/>
          <w:sz w:val="16"/>
          <w:szCs w:val="16"/>
        </w:rPr>
        <w:t>as</w:t>
      </w:r>
      <w:proofErr w:type="gramEnd"/>
      <w:r w:rsidRPr="00E53751">
        <w:rPr>
          <w:rFonts w:ascii="Verdana" w:hAnsi="Verdana"/>
          <w:sz w:val="16"/>
          <w:szCs w:val="16"/>
        </w:rPr>
        <w:t xml:space="preserve"> en un acto procesal que no tenía por objeto la recepción de alegatos. La documentación presentada por el Estado el 24 de diciembre de 2020 es la que se indica </w:t>
      </w:r>
      <w:r>
        <w:rPr>
          <w:rFonts w:ascii="Verdana" w:hAnsi="Verdana"/>
          <w:sz w:val="16"/>
          <w:szCs w:val="16"/>
        </w:rPr>
        <w:t xml:space="preserve">a continuación </w:t>
      </w:r>
      <w:r w:rsidRPr="00E53751">
        <w:rPr>
          <w:rFonts w:ascii="Verdana" w:hAnsi="Verdana"/>
          <w:sz w:val="16"/>
          <w:szCs w:val="16"/>
        </w:rPr>
        <w:t xml:space="preserve">como documentos a) y b); la presentada el </w:t>
      </w:r>
      <w:r>
        <w:rPr>
          <w:rFonts w:ascii="Verdana" w:hAnsi="Verdana"/>
          <w:sz w:val="16"/>
          <w:szCs w:val="16"/>
        </w:rPr>
        <w:t>14 de mayo</w:t>
      </w:r>
      <w:r w:rsidRPr="00E53751">
        <w:rPr>
          <w:rFonts w:ascii="Verdana" w:hAnsi="Verdana"/>
          <w:sz w:val="16"/>
          <w:szCs w:val="16"/>
        </w:rPr>
        <w:t xml:space="preserve"> de 2021, la referida como documento c). El resto de los documentos aludidos fueron presentados el 16 de julio de 2021. La </w:t>
      </w:r>
      <w:r>
        <w:rPr>
          <w:rFonts w:ascii="Verdana" w:hAnsi="Verdana"/>
          <w:sz w:val="16"/>
          <w:szCs w:val="16"/>
        </w:rPr>
        <w:t xml:space="preserve">documentación </w:t>
      </w:r>
      <w:r w:rsidRPr="00E53751">
        <w:rPr>
          <w:rFonts w:ascii="Verdana" w:hAnsi="Verdana"/>
          <w:sz w:val="16"/>
          <w:szCs w:val="16"/>
        </w:rPr>
        <w:t>es la siguiente:</w:t>
      </w:r>
      <w:r>
        <w:rPr>
          <w:rFonts w:ascii="Verdana" w:hAnsi="Verdana"/>
          <w:sz w:val="16"/>
          <w:szCs w:val="16"/>
        </w:rPr>
        <w:t xml:space="preserve"> a) </w:t>
      </w:r>
      <w:r w:rsidRPr="00E53751">
        <w:rPr>
          <w:rFonts w:ascii="Verdana" w:hAnsi="Verdana"/>
          <w:sz w:val="16"/>
          <w:szCs w:val="16"/>
        </w:rPr>
        <w:t>l</w:t>
      </w:r>
      <w:r>
        <w:rPr>
          <w:rFonts w:ascii="Verdana" w:hAnsi="Verdana"/>
          <w:sz w:val="16"/>
          <w:szCs w:val="16"/>
        </w:rPr>
        <w:t>a “</w:t>
      </w:r>
      <w:r w:rsidRPr="00E53751">
        <w:rPr>
          <w:rFonts w:ascii="Verdana" w:hAnsi="Verdana"/>
          <w:sz w:val="16"/>
          <w:szCs w:val="16"/>
        </w:rPr>
        <w:t>[p]</w:t>
      </w:r>
      <w:proofErr w:type="spellStart"/>
      <w:r w:rsidRPr="00E53751">
        <w:rPr>
          <w:rFonts w:ascii="Verdana" w:hAnsi="Verdana"/>
          <w:sz w:val="16"/>
          <w:szCs w:val="16"/>
        </w:rPr>
        <w:t>resentación</w:t>
      </w:r>
      <w:proofErr w:type="spellEnd"/>
      <w:r w:rsidRPr="00E53751">
        <w:rPr>
          <w:rFonts w:ascii="Verdana" w:hAnsi="Verdana"/>
          <w:sz w:val="16"/>
          <w:szCs w:val="16"/>
        </w:rPr>
        <w:t xml:space="preserve"> de enjuiciamiento y prisión</w:t>
      </w:r>
      <w:r>
        <w:rPr>
          <w:rFonts w:ascii="Verdana" w:hAnsi="Verdana"/>
          <w:sz w:val="16"/>
          <w:szCs w:val="16"/>
        </w:rPr>
        <w:t>” de</w:t>
      </w:r>
      <w:r w:rsidRPr="00E53751">
        <w:rPr>
          <w:rFonts w:ascii="Verdana" w:hAnsi="Verdana"/>
          <w:sz w:val="16"/>
          <w:szCs w:val="16"/>
        </w:rPr>
        <w:t xml:space="preserve"> 17 de diciembre [de 2020], por los homicidios de Silvia Reyes, Laura Raggio y Diana </w:t>
      </w:r>
      <w:proofErr w:type="spellStart"/>
      <w:r w:rsidRPr="00E53751">
        <w:rPr>
          <w:rFonts w:ascii="Verdana" w:hAnsi="Verdana"/>
          <w:sz w:val="16"/>
          <w:szCs w:val="16"/>
        </w:rPr>
        <w:t>Maidanik</w:t>
      </w:r>
      <w:proofErr w:type="spellEnd"/>
      <w:r w:rsidRPr="00E53751">
        <w:rPr>
          <w:rFonts w:ascii="Verdana" w:hAnsi="Verdana"/>
          <w:sz w:val="16"/>
          <w:szCs w:val="16"/>
        </w:rPr>
        <w:t xml:space="preserve">; </w:t>
      </w:r>
      <w:r>
        <w:rPr>
          <w:rFonts w:ascii="Verdana" w:hAnsi="Verdana"/>
          <w:sz w:val="16"/>
          <w:szCs w:val="16"/>
        </w:rPr>
        <w:t>b) una</w:t>
      </w:r>
      <w:r w:rsidRPr="00E53751">
        <w:rPr>
          <w:rFonts w:ascii="Verdana" w:hAnsi="Verdana"/>
          <w:sz w:val="16"/>
          <w:szCs w:val="16"/>
        </w:rPr>
        <w:t xml:space="preserve"> “[r]</w:t>
      </w:r>
      <w:proofErr w:type="spellStart"/>
      <w:r w:rsidRPr="00E53751">
        <w:rPr>
          <w:rFonts w:ascii="Verdana" w:hAnsi="Verdana"/>
          <w:sz w:val="16"/>
          <w:szCs w:val="16"/>
        </w:rPr>
        <w:t>esolución</w:t>
      </w:r>
      <w:proofErr w:type="spellEnd"/>
      <w:r w:rsidRPr="00E53751">
        <w:rPr>
          <w:rFonts w:ascii="Verdana" w:hAnsi="Verdana"/>
          <w:sz w:val="16"/>
          <w:szCs w:val="16"/>
        </w:rPr>
        <w:t xml:space="preserve"> de procesamiento y prisión</w:t>
      </w:r>
      <w:r>
        <w:rPr>
          <w:rFonts w:ascii="Verdana" w:hAnsi="Verdana"/>
          <w:sz w:val="16"/>
          <w:szCs w:val="16"/>
        </w:rPr>
        <w:t>” de</w:t>
      </w:r>
      <w:r w:rsidRPr="00E53751">
        <w:rPr>
          <w:rFonts w:ascii="Verdana" w:hAnsi="Verdana"/>
          <w:sz w:val="16"/>
          <w:szCs w:val="16"/>
        </w:rPr>
        <w:t xml:space="preserve"> 14 de diciembre de 2020</w:t>
      </w:r>
      <w:r w:rsidRPr="00E53751">
        <w:rPr>
          <w:rFonts w:ascii="Verdana" w:eastAsia="Verdana" w:hAnsi="Verdana" w:cs="Verdana"/>
          <w:sz w:val="16"/>
          <w:szCs w:val="16"/>
        </w:rPr>
        <w:t>; c)</w:t>
      </w:r>
      <w:r>
        <w:rPr>
          <w:rFonts w:ascii="Verdana" w:eastAsia="Verdana" w:hAnsi="Verdana" w:cs="Verdana"/>
          <w:sz w:val="16"/>
          <w:szCs w:val="16"/>
        </w:rPr>
        <w:t xml:space="preserve"> </w:t>
      </w:r>
      <w:r w:rsidRPr="00E53751">
        <w:rPr>
          <w:rFonts w:ascii="Verdana" w:eastAsia="Verdana" w:hAnsi="Verdana" w:cs="Verdana"/>
          <w:sz w:val="16"/>
          <w:szCs w:val="16"/>
        </w:rPr>
        <w:t>documentos relativos a la entrega por parte del P</w:t>
      </w:r>
      <w:r>
        <w:rPr>
          <w:rFonts w:ascii="Verdana" w:eastAsia="Verdana" w:hAnsi="Verdana" w:cs="Verdana"/>
          <w:sz w:val="16"/>
          <w:szCs w:val="16"/>
        </w:rPr>
        <w:t>oder Ejecutivo</w:t>
      </w:r>
      <w:r w:rsidRPr="00E53751">
        <w:rPr>
          <w:rFonts w:ascii="Verdana" w:eastAsia="Verdana" w:hAnsi="Verdana" w:cs="Verdana"/>
          <w:sz w:val="16"/>
          <w:szCs w:val="16"/>
        </w:rPr>
        <w:t xml:space="preserve"> al “Fiscal de Corte</w:t>
      </w:r>
      <w:r>
        <w:rPr>
          <w:rFonts w:ascii="Verdana" w:eastAsia="Verdana" w:hAnsi="Verdana" w:cs="Verdana"/>
          <w:sz w:val="16"/>
          <w:szCs w:val="16"/>
        </w:rPr>
        <w:t>” y a la</w:t>
      </w:r>
      <w:r w:rsidRPr="00E53751">
        <w:rPr>
          <w:rFonts w:ascii="Verdana" w:eastAsia="Verdana" w:hAnsi="Verdana" w:cs="Verdana"/>
          <w:sz w:val="16"/>
          <w:szCs w:val="16"/>
        </w:rPr>
        <w:t xml:space="preserve"> Institución Nacional de Derechos Humanos</w:t>
      </w:r>
      <w:r>
        <w:rPr>
          <w:rFonts w:ascii="Verdana" w:eastAsia="Verdana" w:hAnsi="Verdana" w:cs="Verdana"/>
          <w:sz w:val="16"/>
          <w:szCs w:val="16"/>
        </w:rPr>
        <w:t xml:space="preserve"> de</w:t>
      </w:r>
      <w:r w:rsidRPr="00E53751">
        <w:rPr>
          <w:rFonts w:ascii="Verdana" w:eastAsia="Verdana" w:hAnsi="Verdana" w:cs="Verdana"/>
          <w:sz w:val="16"/>
          <w:szCs w:val="16"/>
        </w:rPr>
        <w:t xml:space="preserve"> documentación encontrada en el Grupo de Artillería número 5 del Ejército;</w:t>
      </w:r>
      <w:r w:rsidRPr="00E53751">
        <w:rPr>
          <w:rFonts w:ascii="Verdana" w:eastAsia="Verdana" w:hAnsi="Verdana" w:cs="Verdana"/>
          <w:b/>
          <w:sz w:val="16"/>
          <w:szCs w:val="16"/>
        </w:rPr>
        <w:t xml:space="preserve"> </w:t>
      </w:r>
      <w:r w:rsidRPr="00E53751">
        <w:rPr>
          <w:rFonts w:ascii="Verdana" w:eastAsia="Verdana" w:hAnsi="Verdana" w:cs="Verdana"/>
          <w:sz w:val="16"/>
          <w:szCs w:val="16"/>
        </w:rPr>
        <w:t>d) “[n]</w:t>
      </w:r>
      <w:proofErr w:type="spellStart"/>
      <w:r w:rsidRPr="00E53751">
        <w:rPr>
          <w:rFonts w:ascii="Verdana" w:eastAsia="Verdana" w:hAnsi="Verdana" w:cs="Verdana"/>
          <w:sz w:val="16"/>
          <w:szCs w:val="16"/>
        </w:rPr>
        <w:t>ota</w:t>
      </w:r>
      <w:proofErr w:type="spellEnd"/>
      <w:r w:rsidRPr="00E53751">
        <w:rPr>
          <w:rFonts w:ascii="Verdana" w:eastAsia="Verdana" w:hAnsi="Verdana" w:cs="Verdana"/>
          <w:sz w:val="16"/>
          <w:szCs w:val="16"/>
        </w:rPr>
        <w:t xml:space="preserve"> de la </w:t>
      </w:r>
      <w:r w:rsidRPr="00E53751">
        <w:rPr>
          <w:rFonts w:ascii="Verdana" w:hAnsi="Verdana"/>
          <w:sz w:val="16"/>
          <w:szCs w:val="16"/>
        </w:rPr>
        <w:t>Suprema Corte de Justicia del 7 de julio de 2021 y sus anexos, relativos a las presentes actuaciones</w:t>
      </w:r>
      <w:r>
        <w:rPr>
          <w:rFonts w:ascii="Verdana" w:hAnsi="Verdana"/>
          <w:sz w:val="16"/>
          <w:szCs w:val="16"/>
        </w:rPr>
        <w:t>”</w:t>
      </w:r>
      <w:r w:rsidRPr="00E53751">
        <w:rPr>
          <w:rFonts w:ascii="Verdana" w:hAnsi="Verdana"/>
          <w:sz w:val="16"/>
          <w:szCs w:val="16"/>
        </w:rPr>
        <w:t xml:space="preserve">; </w:t>
      </w:r>
      <w:r>
        <w:rPr>
          <w:rFonts w:ascii="Verdana" w:hAnsi="Verdana"/>
          <w:sz w:val="16"/>
          <w:szCs w:val="16"/>
        </w:rPr>
        <w:t xml:space="preserve">e) </w:t>
      </w:r>
      <w:r w:rsidRPr="00E53751">
        <w:rPr>
          <w:rFonts w:ascii="Verdana" w:hAnsi="Verdana"/>
          <w:sz w:val="16"/>
          <w:szCs w:val="16"/>
        </w:rPr>
        <w:t>[s]</w:t>
      </w:r>
      <w:proofErr w:type="spellStart"/>
      <w:r w:rsidRPr="00E53751">
        <w:rPr>
          <w:rFonts w:ascii="Verdana" w:hAnsi="Verdana"/>
          <w:sz w:val="16"/>
          <w:szCs w:val="16"/>
        </w:rPr>
        <w:t>entencia</w:t>
      </w:r>
      <w:proofErr w:type="spellEnd"/>
      <w:r w:rsidRPr="00E53751">
        <w:rPr>
          <w:rFonts w:ascii="Verdana" w:hAnsi="Verdana"/>
          <w:sz w:val="16"/>
          <w:szCs w:val="16"/>
        </w:rPr>
        <w:t xml:space="preserve"> </w:t>
      </w:r>
      <w:proofErr w:type="spellStart"/>
      <w:r w:rsidRPr="00E53751">
        <w:rPr>
          <w:rFonts w:ascii="Verdana" w:hAnsi="Verdana"/>
          <w:sz w:val="16"/>
          <w:szCs w:val="16"/>
        </w:rPr>
        <w:t>N°</w:t>
      </w:r>
      <w:proofErr w:type="spellEnd"/>
      <w:r w:rsidRPr="00E53751">
        <w:rPr>
          <w:rFonts w:ascii="Verdana" w:hAnsi="Verdana"/>
          <w:sz w:val="16"/>
          <w:szCs w:val="16"/>
        </w:rPr>
        <w:t xml:space="preserve"> 539/2021 </w:t>
      </w:r>
      <w:r>
        <w:rPr>
          <w:rFonts w:ascii="Verdana" w:hAnsi="Verdana"/>
          <w:sz w:val="16"/>
          <w:szCs w:val="16"/>
        </w:rPr>
        <w:t xml:space="preserve">de </w:t>
      </w:r>
      <w:r w:rsidRPr="00E53751">
        <w:rPr>
          <w:rFonts w:ascii="Verdana" w:hAnsi="Verdana"/>
          <w:sz w:val="16"/>
          <w:szCs w:val="16"/>
        </w:rPr>
        <w:t>3 de junio de 2021</w:t>
      </w:r>
      <w:r>
        <w:rPr>
          <w:rFonts w:ascii="Verdana" w:hAnsi="Verdana"/>
          <w:sz w:val="16"/>
          <w:szCs w:val="16"/>
        </w:rPr>
        <w:t>; f) un In</w:t>
      </w:r>
      <w:r w:rsidRPr="00E53751">
        <w:rPr>
          <w:rFonts w:ascii="Verdana" w:hAnsi="Verdana"/>
          <w:sz w:val="16"/>
          <w:szCs w:val="16"/>
        </w:rPr>
        <w:t>forme de la Embajada</w:t>
      </w:r>
      <w:r>
        <w:rPr>
          <w:rFonts w:ascii="Verdana" w:hAnsi="Verdana"/>
          <w:sz w:val="16"/>
          <w:szCs w:val="16"/>
        </w:rPr>
        <w:t xml:space="preserve"> de Uruguay en Italia</w:t>
      </w:r>
      <w:r w:rsidRPr="00E53751">
        <w:rPr>
          <w:rFonts w:ascii="Verdana" w:hAnsi="Verdana"/>
          <w:sz w:val="16"/>
          <w:szCs w:val="16"/>
        </w:rPr>
        <w:t xml:space="preserve">, referido a la sentencia definitiva dictada el 8 de julio </w:t>
      </w:r>
      <w:r>
        <w:rPr>
          <w:rFonts w:ascii="Verdana" w:hAnsi="Verdana"/>
          <w:sz w:val="16"/>
          <w:szCs w:val="16"/>
        </w:rPr>
        <w:t xml:space="preserve">de 2021 </w:t>
      </w:r>
      <w:r w:rsidRPr="00E53751">
        <w:rPr>
          <w:rFonts w:ascii="Verdana" w:hAnsi="Verdana"/>
          <w:sz w:val="16"/>
          <w:szCs w:val="16"/>
        </w:rPr>
        <w:t xml:space="preserve">por la Suprema Corte de Casación de Italia en el marco del proceso desarrollado en virtud del denominado “Plan Cóndor” y, </w:t>
      </w:r>
      <w:r>
        <w:rPr>
          <w:rFonts w:ascii="Verdana" w:hAnsi="Verdana"/>
          <w:sz w:val="16"/>
          <w:szCs w:val="16"/>
        </w:rPr>
        <w:t>g) “</w:t>
      </w:r>
      <w:r w:rsidRPr="00E53751">
        <w:rPr>
          <w:rFonts w:ascii="Verdana" w:hAnsi="Verdana"/>
          <w:sz w:val="16"/>
          <w:szCs w:val="16"/>
        </w:rPr>
        <w:t>[t]ercer Informe sobre la búsqueda de detenidos desaparecidos</w:t>
      </w:r>
      <w:r>
        <w:rPr>
          <w:rFonts w:ascii="Verdana" w:hAnsi="Verdana"/>
          <w:sz w:val="16"/>
          <w:szCs w:val="16"/>
        </w:rPr>
        <w:t>”,</w:t>
      </w:r>
      <w:r w:rsidRPr="00E53751">
        <w:rPr>
          <w:rFonts w:ascii="Verdana" w:hAnsi="Verdana"/>
          <w:sz w:val="16"/>
          <w:szCs w:val="16"/>
        </w:rPr>
        <w:t xml:space="preserve"> de 24 de junio de 2021.</w:t>
      </w:r>
    </w:p>
    <w:p w14:paraId="2FF507C0" w14:textId="77777777" w:rsidR="00DD280C" w:rsidRPr="00E53751" w:rsidRDefault="00DD280C" w:rsidP="00FD0466">
      <w:pPr>
        <w:pStyle w:val="Textonotapie"/>
        <w:jc w:val="both"/>
        <w:rPr>
          <w:rFonts w:ascii="Verdana" w:hAnsi="Verdana"/>
          <w:sz w:val="16"/>
          <w:szCs w:val="16"/>
        </w:rPr>
      </w:pPr>
      <w:r w:rsidRPr="00E53751">
        <w:rPr>
          <w:rFonts w:ascii="Verdana" w:hAnsi="Verdana"/>
          <w:sz w:val="16"/>
          <w:szCs w:val="16"/>
        </w:rPr>
        <w:t xml:space="preserve">   </w:t>
      </w:r>
    </w:p>
  </w:footnote>
  <w:footnote w:id="14">
    <w:p w14:paraId="66372378" w14:textId="3BECC95D" w:rsidR="00DD280C" w:rsidRPr="000031DD" w:rsidRDefault="00DD280C" w:rsidP="00FD0466">
      <w:pPr>
        <w:pStyle w:val="Textonotapie"/>
        <w:jc w:val="both"/>
        <w:rPr>
          <w:rFonts w:ascii="Verdana" w:hAnsi="Verdana" w:cs="Arial"/>
          <w:sz w:val="16"/>
          <w:szCs w:val="16"/>
        </w:rPr>
      </w:pPr>
      <w:r w:rsidRPr="000031DD">
        <w:rPr>
          <w:rStyle w:val="Refdenotaalpie"/>
          <w:rFonts w:ascii="Verdana" w:hAnsi="Verdana"/>
          <w:sz w:val="16"/>
          <w:szCs w:val="16"/>
        </w:rPr>
        <w:footnoteRef/>
      </w:r>
      <w:r w:rsidRPr="000031DD">
        <w:rPr>
          <w:rFonts w:ascii="Verdana" w:hAnsi="Verdana"/>
          <w:sz w:val="16"/>
          <w:szCs w:val="16"/>
          <w:lang w:val="pt-BR"/>
        </w:rPr>
        <w:t xml:space="preserve">  </w:t>
      </w:r>
      <w:r w:rsidRPr="000031DD">
        <w:rPr>
          <w:rFonts w:ascii="Verdana" w:hAnsi="Verdana"/>
          <w:sz w:val="16"/>
          <w:szCs w:val="16"/>
          <w:lang w:val="pt-BR"/>
        </w:rPr>
        <w:tab/>
      </w:r>
      <w:proofErr w:type="spellStart"/>
      <w:r w:rsidRPr="000031DD">
        <w:rPr>
          <w:rFonts w:ascii="Verdana" w:hAnsi="Verdana" w:cs="Arial"/>
          <w:bCs/>
          <w:sz w:val="16"/>
          <w:szCs w:val="16"/>
          <w:lang w:val="pt-BR"/>
        </w:rPr>
        <w:t>Juzgado</w:t>
      </w:r>
      <w:proofErr w:type="spellEnd"/>
      <w:r w:rsidRPr="000031DD">
        <w:rPr>
          <w:rFonts w:ascii="Verdana" w:hAnsi="Verdana" w:cs="Arial"/>
          <w:bCs/>
          <w:sz w:val="16"/>
          <w:szCs w:val="16"/>
          <w:lang w:val="pt-BR"/>
        </w:rPr>
        <w:t xml:space="preserve"> </w:t>
      </w:r>
      <w:proofErr w:type="spellStart"/>
      <w:r w:rsidRPr="000031DD">
        <w:rPr>
          <w:rFonts w:ascii="Verdana" w:hAnsi="Verdana" w:cs="Arial"/>
          <w:bCs/>
          <w:sz w:val="16"/>
          <w:szCs w:val="16"/>
          <w:lang w:val="pt-BR"/>
        </w:rPr>
        <w:t>Ldo</w:t>
      </w:r>
      <w:proofErr w:type="spellEnd"/>
      <w:r w:rsidRPr="000031DD">
        <w:rPr>
          <w:rFonts w:ascii="Verdana" w:hAnsi="Verdana" w:cs="Arial"/>
          <w:bCs/>
          <w:sz w:val="16"/>
          <w:szCs w:val="16"/>
          <w:lang w:val="pt-BR"/>
        </w:rPr>
        <w:t>. Penal de 26° turno.</w:t>
      </w:r>
      <w:r w:rsidRPr="000031DD">
        <w:rPr>
          <w:rFonts w:ascii="Verdana" w:hAnsi="Verdana" w:cs="Arial"/>
          <w:b/>
          <w:bCs/>
          <w:sz w:val="16"/>
          <w:szCs w:val="16"/>
          <w:lang w:val="pt-BR"/>
        </w:rPr>
        <w:t xml:space="preserve"> </w:t>
      </w:r>
      <w:r w:rsidRPr="000031DD">
        <w:rPr>
          <w:rFonts w:ascii="Verdana" w:hAnsi="Verdana" w:cs="Arial"/>
          <w:sz w:val="16"/>
          <w:szCs w:val="16"/>
          <w:lang w:val="pt-BR"/>
        </w:rPr>
        <w:t xml:space="preserve">C. N° 391/2021. </w:t>
      </w:r>
      <w:r w:rsidRPr="000031DD">
        <w:rPr>
          <w:rFonts w:ascii="Verdana" w:hAnsi="Verdana" w:cs="Arial"/>
          <w:sz w:val="16"/>
          <w:szCs w:val="16"/>
        </w:rPr>
        <w:t xml:space="preserve">Autos caratulados Ricardo Reyes </w:t>
      </w:r>
      <w:proofErr w:type="spellStart"/>
      <w:r w:rsidRPr="000031DD">
        <w:rPr>
          <w:rFonts w:ascii="Verdana" w:hAnsi="Verdana" w:cs="Arial"/>
          <w:sz w:val="16"/>
          <w:szCs w:val="16"/>
        </w:rPr>
        <w:t>Gaetán</w:t>
      </w:r>
      <w:proofErr w:type="spellEnd"/>
      <w:r w:rsidRPr="000031DD">
        <w:rPr>
          <w:rFonts w:ascii="Verdana" w:hAnsi="Verdana" w:cs="Arial"/>
          <w:sz w:val="16"/>
          <w:szCs w:val="16"/>
        </w:rPr>
        <w:t xml:space="preserve">, Marta </w:t>
      </w:r>
      <w:proofErr w:type="spellStart"/>
      <w:r w:rsidRPr="000031DD">
        <w:rPr>
          <w:rFonts w:ascii="Verdana" w:hAnsi="Verdana" w:cs="Arial"/>
          <w:sz w:val="16"/>
          <w:szCs w:val="16"/>
        </w:rPr>
        <w:t>Odizzio</w:t>
      </w:r>
      <w:proofErr w:type="spellEnd"/>
      <w:r w:rsidRPr="000031DD">
        <w:rPr>
          <w:rFonts w:ascii="Verdana" w:hAnsi="Verdana" w:cs="Arial"/>
          <w:sz w:val="16"/>
          <w:szCs w:val="16"/>
        </w:rPr>
        <w:t xml:space="preserve"> de Raggio y Flora </w:t>
      </w:r>
      <w:proofErr w:type="spellStart"/>
      <w:proofErr w:type="gramStart"/>
      <w:r w:rsidRPr="000031DD">
        <w:rPr>
          <w:rFonts w:ascii="Verdana" w:hAnsi="Verdana" w:cs="Arial"/>
          <w:sz w:val="16"/>
          <w:szCs w:val="16"/>
        </w:rPr>
        <w:t>Potasnik</w:t>
      </w:r>
      <w:proofErr w:type="spellEnd"/>
      <w:r w:rsidRPr="000031DD">
        <w:rPr>
          <w:rFonts w:ascii="Verdana" w:hAnsi="Verdana" w:cs="Arial"/>
          <w:sz w:val="16"/>
          <w:szCs w:val="16"/>
        </w:rPr>
        <w:t>.-</w:t>
      </w:r>
      <w:proofErr w:type="spellStart"/>
      <w:proofErr w:type="gramEnd"/>
      <w:r w:rsidRPr="000031DD">
        <w:rPr>
          <w:rFonts w:ascii="Verdana" w:hAnsi="Verdana" w:cs="Arial"/>
          <w:sz w:val="16"/>
          <w:szCs w:val="16"/>
        </w:rPr>
        <w:t>Dcia</w:t>
      </w:r>
      <w:proofErr w:type="spellEnd"/>
      <w:r w:rsidRPr="000031DD">
        <w:rPr>
          <w:rFonts w:ascii="Verdana" w:hAnsi="Verdana" w:cs="Arial"/>
          <w:sz w:val="16"/>
          <w:szCs w:val="16"/>
        </w:rPr>
        <w:t>. Cedulón. 15 de julio de 2021 (expediente de prueba, f. 7655).</w:t>
      </w:r>
    </w:p>
    <w:p w14:paraId="6C58A0D0" w14:textId="77777777" w:rsidR="00DD280C" w:rsidRPr="000031DD" w:rsidRDefault="00DD280C" w:rsidP="00FD0466">
      <w:pPr>
        <w:pStyle w:val="Textonotapie"/>
        <w:jc w:val="both"/>
        <w:rPr>
          <w:rFonts w:ascii="Verdana" w:hAnsi="Verdana" w:cs="Arial"/>
          <w:sz w:val="16"/>
          <w:szCs w:val="16"/>
        </w:rPr>
      </w:pPr>
    </w:p>
  </w:footnote>
  <w:footnote w:id="15">
    <w:p w14:paraId="1F1E2CD2" w14:textId="7BC44763" w:rsidR="00DD280C" w:rsidRPr="000031DD" w:rsidRDefault="00DD280C" w:rsidP="00FD0466">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La Corte recibió, en el plazo fijado al efecto en la Resolución de la Presidenta de la Corte de 16 de abril de 2021 (</w:t>
      </w:r>
      <w:r w:rsidRPr="000031DD">
        <w:rPr>
          <w:rFonts w:ascii="Verdana" w:hAnsi="Verdana"/>
          <w:i/>
          <w:sz w:val="16"/>
          <w:szCs w:val="16"/>
        </w:rPr>
        <w:t>supra</w:t>
      </w:r>
      <w:r w:rsidRPr="000031DD">
        <w:rPr>
          <w:rFonts w:ascii="Verdana" w:hAnsi="Verdana"/>
          <w:sz w:val="16"/>
          <w:szCs w:val="16"/>
        </w:rPr>
        <w:t xml:space="preserve"> párr. </w:t>
      </w:r>
      <w:r>
        <w:rPr>
          <w:rFonts w:ascii="Verdana" w:hAnsi="Verdana"/>
          <w:sz w:val="16"/>
          <w:szCs w:val="16"/>
        </w:rPr>
        <w:t>8</w:t>
      </w:r>
      <w:r w:rsidRPr="000031DD">
        <w:rPr>
          <w:rFonts w:ascii="Verdana" w:hAnsi="Verdana"/>
          <w:sz w:val="16"/>
          <w:szCs w:val="16"/>
        </w:rPr>
        <w:t>), en español y rendidas ante fedatario público, las declaraciones</w:t>
      </w:r>
      <w:r>
        <w:rPr>
          <w:rFonts w:ascii="Verdana" w:hAnsi="Verdana"/>
          <w:sz w:val="16"/>
          <w:szCs w:val="16"/>
        </w:rPr>
        <w:t xml:space="preserve"> testimoniales</w:t>
      </w:r>
      <w:r w:rsidRPr="000031DD">
        <w:rPr>
          <w:rFonts w:ascii="Verdana" w:hAnsi="Verdana"/>
          <w:sz w:val="16"/>
          <w:szCs w:val="16"/>
        </w:rPr>
        <w:t xml:space="preserve">, propuestas por los representantes, de </w:t>
      </w:r>
      <w:proofErr w:type="spellStart"/>
      <w:r w:rsidRPr="000031DD">
        <w:rPr>
          <w:rFonts w:ascii="Verdana" w:hAnsi="Verdana"/>
          <w:sz w:val="16"/>
          <w:szCs w:val="16"/>
        </w:rPr>
        <w:t>Aidee</w:t>
      </w:r>
      <w:proofErr w:type="spellEnd"/>
      <w:r w:rsidRPr="000031DD">
        <w:rPr>
          <w:rFonts w:ascii="Verdana" w:hAnsi="Verdana"/>
          <w:sz w:val="16"/>
          <w:szCs w:val="16"/>
        </w:rPr>
        <w:t xml:space="preserve"> Rossana Santo, Ana </w:t>
      </w:r>
      <w:proofErr w:type="spellStart"/>
      <w:r w:rsidRPr="000031DD">
        <w:rPr>
          <w:rFonts w:ascii="Verdana" w:hAnsi="Verdana"/>
          <w:sz w:val="16"/>
          <w:szCs w:val="16"/>
        </w:rPr>
        <w:t>Guliak</w:t>
      </w:r>
      <w:proofErr w:type="spellEnd"/>
      <w:r w:rsidRPr="000031DD">
        <w:rPr>
          <w:rFonts w:ascii="Verdana" w:hAnsi="Verdana"/>
          <w:sz w:val="16"/>
          <w:szCs w:val="16"/>
        </w:rPr>
        <w:t xml:space="preserve"> </w:t>
      </w:r>
      <w:proofErr w:type="spellStart"/>
      <w:r w:rsidRPr="000031DD">
        <w:rPr>
          <w:rFonts w:ascii="Verdana" w:hAnsi="Verdana"/>
          <w:sz w:val="16"/>
          <w:szCs w:val="16"/>
        </w:rPr>
        <w:t>Potasnik</w:t>
      </w:r>
      <w:proofErr w:type="spellEnd"/>
      <w:r w:rsidRPr="000031DD">
        <w:rPr>
          <w:rFonts w:ascii="Verdana" w:hAnsi="Verdana"/>
          <w:sz w:val="16"/>
          <w:szCs w:val="16"/>
        </w:rPr>
        <w:t xml:space="preserve">, Juan Quiñones, Silvana Elizabeth </w:t>
      </w:r>
      <w:proofErr w:type="spellStart"/>
      <w:r w:rsidRPr="000031DD">
        <w:rPr>
          <w:rFonts w:ascii="Verdana" w:hAnsi="Verdana"/>
          <w:sz w:val="16"/>
          <w:szCs w:val="16"/>
        </w:rPr>
        <w:t>Bocage</w:t>
      </w:r>
      <w:proofErr w:type="spellEnd"/>
      <w:r w:rsidRPr="000031DD">
        <w:rPr>
          <w:rFonts w:ascii="Verdana" w:hAnsi="Verdana"/>
          <w:sz w:val="16"/>
          <w:szCs w:val="16"/>
        </w:rPr>
        <w:t xml:space="preserve"> y Walter Pérez </w:t>
      </w:r>
      <w:proofErr w:type="spellStart"/>
      <w:r w:rsidRPr="000031DD">
        <w:rPr>
          <w:rFonts w:ascii="Verdana" w:hAnsi="Verdana"/>
          <w:sz w:val="16"/>
          <w:szCs w:val="16"/>
        </w:rPr>
        <w:t>Giampedraglia</w:t>
      </w:r>
      <w:proofErr w:type="spellEnd"/>
      <w:r w:rsidRPr="000031DD">
        <w:rPr>
          <w:rFonts w:ascii="Verdana" w:hAnsi="Verdana"/>
          <w:sz w:val="16"/>
          <w:szCs w:val="16"/>
        </w:rPr>
        <w:t xml:space="preserve">. </w:t>
      </w:r>
    </w:p>
    <w:p w14:paraId="63AA456F" w14:textId="77777777" w:rsidR="00DD280C" w:rsidRPr="000031DD" w:rsidRDefault="00DD280C" w:rsidP="00FD0466">
      <w:pPr>
        <w:pStyle w:val="Textonotapie"/>
        <w:jc w:val="both"/>
        <w:rPr>
          <w:rFonts w:ascii="Verdana" w:hAnsi="Verdana"/>
          <w:sz w:val="16"/>
          <w:szCs w:val="16"/>
          <w:lang w:val="es-ES"/>
        </w:rPr>
      </w:pPr>
    </w:p>
  </w:footnote>
  <w:footnote w:id="16">
    <w:p w14:paraId="1636A8AA" w14:textId="77777777" w:rsidR="00DD280C" w:rsidRPr="000031DD" w:rsidRDefault="00DD280C" w:rsidP="00FD0466">
      <w:pPr>
        <w:pStyle w:val="Textonotapie"/>
        <w:jc w:val="both"/>
        <w:rPr>
          <w:rFonts w:ascii="Verdana" w:hAnsi="Verdana" w:cs="Arial"/>
          <w:sz w:val="16"/>
          <w:szCs w:val="16"/>
          <w:shd w:val="clear" w:color="auto" w:fill="FFFFFF"/>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Arial"/>
          <w:i/>
          <w:sz w:val="16"/>
          <w:szCs w:val="16"/>
          <w:shd w:val="clear" w:color="auto" w:fill="FFFFFF"/>
        </w:rPr>
        <w:t>Caso Gelman Vs. Uruguay. Fondo y Reparaciones</w:t>
      </w:r>
      <w:r w:rsidRPr="000031DD">
        <w:rPr>
          <w:rFonts w:ascii="Verdana" w:hAnsi="Verdana" w:cs="Arial"/>
          <w:sz w:val="16"/>
          <w:szCs w:val="16"/>
          <w:shd w:val="clear" w:color="auto" w:fill="FFFFFF"/>
        </w:rPr>
        <w:t xml:space="preserve">. Sentencia de 24 de febrero de 2011. Serie C No. 221, </w:t>
      </w:r>
      <w:proofErr w:type="spellStart"/>
      <w:r w:rsidRPr="000031DD">
        <w:rPr>
          <w:rFonts w:ascii="Verdana" w:hAnsi="Verdana" w:cs="Arial"/>
          <w:sz w:val="16"/>
          <w:szCs w:val="16"/>
          <w:shd w:val="clear" w:color="auto" w:fill="FFFFFF"/>
        </w:rPr>
        <w:t>párrs</w:t>
      </w:r>
      <w:proofErr w:type="spellEnd"/>
      <w:r w:rsidRPr="000031DD">
        <w:rPr>
          <w:rFonts w:ascii="Verdana" w:hAnsi="Verdana" w:cs="Arial"/>
          <w:sz w:val="16"/>
          <w:szCs w:val="16"/>
          <w:shd w:val="clear" w:color="auto" w:fill="FFFFFF"/>
        </w:rPr>
        <w:t>. 44 a 63.</w:t>
      </w:r>
    </w:p>
    <w:p w14:paraId="49F14677" w14:textId="77777777" w:rsidR="00DD280C" w:rsidRPr="000031DD" w:rsidRDefault="00DD280C" w:rsidP="00FD0466">
      <w:pPr>
        <w:pStyle w:val="Textonotapie"/>
        <w:jc w:val="both"/>
        <w:rPr>
          <w:rFonts w:ascii="Verdana" w:hAnsi="Verdana"/>
          <w:sz w:val="16"/>
          <w:szCs w:val="16"/>
        </w:rPr>
      </w:pPr>
    </w:p>
  </w:footnote>
  <w:footnote w:id="17">
    <w:p w14:paraId="482932B9" w14:textId="77D1957C" w:rsidR="00DD280C" w:rsidRPr="000031DD" w:rsidRDefault="00DD280C" w:rsidP="00FD0466">
      <w:pPr>
        <w:pStyle w:val="Textonotapie"/>
        <w:jc w:val="both"/>
        <w:rPr>
          <w:rFonts w:ascii="Verdana" w:hAnsi="Verdana" w:cs="Arial"/>
          <w:sz w:val="16"/>
          <w:szCs w:val="16"/>
          <w:shd w:val="clear" w:color="auto" w:fill="FFFFFF"/>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Arial"/>
          <w:i/>
          <w:sz w:val="16"/>
          <w:szCs w:val="16"/>
          <w:shd w:val="clear" w:color="auto" w:fill="FFFFFF"/>
        </w:rPr>
        <w:t>Caso Gelman Vs. Uruguay. Fondo y Reparaciones</w:t>
      </w:r>
      <w:r w:rsidRPr="000031DD">
        <w:rPr>
          <w:rFonts w:ascii="Verdana" w:hAnsi="Verdana" w:cs="Arial"/>
          <w:sz w:val="16"/>
          <w:szCs w:val="16"/>
          <w:shd w:val="clear" w:color="auto" w:fill="FFFFFF"/>
        </w:rPr>
        <w:t>, párr. 44.</w:t>
      </w:r>
    </w:p>
    <w:p w14:paraId="6F8BC7D5" w14:textId="77777777" w:rsidR="00DD280C" w:rsidRPr="000031DD" w:rsidRDefault="00DD280C" w:rsidP="00FD0466">
      <w:pPr>
        <w:pStyle w:val="Textonotapie"/>
        <w:jc w:val="both"/>
        <w:rPr>
          <w:rFonts w:ascii="Verdana" w:hAnsi="Verdana"/>
          <w:sz w:val="16"/>
          <w:szCs w:val="16"/>
        </w:rPr>
      </w:pPr>
    </w:p>
  </w:footnote>
  <w:footnote w:id="18">
    <w:p w14:paraId="607E3468" w14:textId="77777777" w:rsidR="00DD280C" w:rsidRPr="000031DD" w:rsidRDefault="00DD280C" w:rsidP="00FD0466">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Informe sobre la situación de los derechos humanos en Uruguay, OEA/</w:t>
      </w:r>
      <w:proofErr w:type="spellStart"/>
      <w:r w:rsidRPr="000031DD">
        <w:rPr>
          <w:rFonts w:ascii="Verdana" w:hAnsi="Verdana" w:cs="Times New Roman"/>
          <w:sz w:val="16"/>
          <w:szCs w:val="16"/>
        </w:rPr>
        <w:t>Ser.L</w:t>
      </w:r>
      <w:proofErr w:type="spellEnd"/>
      <w:r w:rsidRPr="000031DD">
        <w:rPr>
          <w:rFonts w:ascii="Verdana" w:hAnsi="Verdana" w:cs="Times New Roman"/>
          <w:sz w:val="16"/>
          <w:szCs w:val="16"/>
        </w:rPr>
        <w:t xml:space="preserve">/V / 11.43 doc.19 </w:t>
      </w:r>
      <w:proofErr w:type="spellStart"/>
      <w:proofErr w:type="gramStart"/>
      <w:r w:rsidRPr="000031DD">
        <w:rPr>
          <w:rFonts w:ascii="Verdana" w:hAnsi="Verdana" w:cs="Times New Roman"/>
          <w:sz w:val="16"/>
          <w:szCs w:val="16"/>
        </w:rPr>
        <w:t>corr.l</w:t>
      </w:r>
      <w:proofErr w:type="spellEnd"/>
      <w:proofErr w:type="gramEnd"/>
      <w:r w:rsidRPr="000031DD">
        <w:rPr>
          <w:rFonts w:ascii="Verdana" w:hAnsi="Verdana" w:cs="Times New Roman"/>
          <w:sz w:val="16"/>
          <w:szCs w:val="16"/>
        </w:rPr>
        <w:t>, 31 de enero de 1978, párr.</w:t>
      </w:r>
      <w:r>
        <w:rPr>
          <w:rFonts w:ascii="Verdana" w:hAnsi="Verdana" w:cs="Times New Roman"/>
          <w:sz w:val="16"/>
          <w:szCs w:val="16"/>
        </w:rPr>
        <w:t xml:space="preserve"> </w:t>
      </w:r>
      <w:r w:rsidRPr="000031DD">
        <w:rPr>
          <w:rFonts w:ascii="Verdana" w:hAnsi="Verdana" w:cs="Times New Roman"/>
          <w:sz w:val="16"/>
          <w:szCs w:val="16"/>
        </w:rPr>
        <w:t>3.</w:t>
      </w:r>
    </w:p>
    <w:p w14:paraId="64AD67B3" w14:textId="77777777" w:rsidR="00DD280C" w:rsidRPr="000031DD" w:rsidRDefault="00DD280C" w:rsidP="00FD0466">
      <w:pPr>
        <w:pStyle w:val="Textonotapie"/>
        <w:jc w:val="both"/>
        <w:rPr>
          <w:rFonts w:ascii="Verdana" w:hAnsi="Verdana"/>
          <w:sz w:val="16"/>
          <w:szCs w:val="16"/>
        </w:rPr>
      </w:pPr>
    </w:p>
  </w:footnote>
  <w:footnote w:id="19">
    <w:p w14:paraId="6B7029C6" w14:textId="7D9930AF" w:rsidR="00DD280C" w:rsidRPr="000031DD" w:rsidRDefault="00DD280C" w:rsidP="00FD0466">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rPr>
        <w:t>Caso Gelman vs. Uruguay, Fondo y Reparaciones</w:t>
      </w:r>
      <w:r w:rsidRPr="000031DD">
        <w:rPr>
          <w:rFonts w:ascii="Verdana" w:hAnsi="Verdana"/>
          <w:sz w:val="16"/>
          <w:szCs w:val="16"/>
        </w:rPr>
        <w:t xml:space="preserve">, </w:t>
      </w:r>
      <w:proofErr w:type="spellStart"/>
      <w:r w:rsidRPr="000031DD">
        <w:rPr>
          <w:rFonts w:ascii="Verdana" w:hAnsi="Verdana"/>
          <w:sz w:val="16"/>
          <w:szCs w:val="16"/>
        </w:rPr>
        <w:t>párr</w:t>
      </w:r>
      <w:r>
        <w:rPr>
          <w:rFonts w:ascii="Verdana" w:hAnsi="Verdana"/>
          <w:sz w:val="16"/>
          <w:szCs w:val="16"/>
        </w:rPr>
        <w:t>s</w:t>
      </w:r>
      <w:proofErr w:type="spellEnd"/>
      <w:r w:rsidRPr="000031DD">
        <w:rPr>
          <w:rFonts w:ascii="Verdana" w:hAnsi="Verdana"/>
          <w:sz w:val="16"/>
          <w:szCs w:val="16"/>
        </w:rPr>
        <w:t>. 58, 59 y 60.</w:t>
      </w:r>
    </w:p>
    <w:p w14:paraId="48FF7269" w14:textId="77777777" w:rsidR="00DD280C" w:rsidRPr="000031DD" w:rsidRDefault="00DD280C" w:rsidP="00FD0466">
      <w:pPr>
        <w:pStyle w:val="Textonotapie"/>
        <w:jc w:val="both"/>
        <w:rPr>
          <w:rFonts w:ascii="Verdana" w:hAnsi="Verdana"/>
          <w:sz w:val="16"/>
          <w:szCs w:val="16"/>
        </w:rPr>
      </w:pPr>
    </w:p>
  </w:footnote>
  <w:footnote w:id="20">
    <w:p w14:paraId="0AD50C20"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Téngase presente que la Constitución de la República Oriental del Uruguay, en su artículo 120 prevé que: “</w:t>
      </w:r>
      <w:r w:rsidRPr="000031DD">
        <w:rPr>
          <w:rFonts w:ascii="Verdana" w:hAnsi="Verdana" w:cs="Times New Roman"/>
          <w:iCs/>
          <w:sz w:val="16"/>
          <w:szCs w:val="16"/>
        </w:rPr>
        <w:t>Las Cámaras podrán nombrar comisiones parlamentarias de investigación o para suministrar datos con fines legislativos</w:t>
      </w:r>
      <w:r w:rsidRPr="000031DD">
        <w:rPr>
          <w:rFonts w:ascii="Verdana" w:hAnsi="Verdana" w:cs="Times New Roman"/>
          <w:sz w:val="16"/>
          <w:szCs w:val="16"/>
        </w:rPr>
        <w:t>.”</w:t>
      </w:r>
    </w:p>
    <w:p w14:paraId="2A3EE345"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21">
    <w:p w14:paraId="49A19805" w14:textId="33F38A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Diario de Sesiones de la Cámara de Representantes. XLII ª Legislatura. Primer Periodo Ordinario. 13ª Sesión. Número 1805, tomo 617, p. 63. Ver también: Diario de Sesiones de la Cámara de Representantes. XLII ª Legislatura. Primer Periodo Ordinario. 2ª Sesión. Número 1794, tomo 616. 20 de febrero de 1985, p. 80 (expediente de prueba, anexo XXXVII al escrito de contestación, fs</w:t>
      </w:r>
      <w:r>
        <w:rPr>
          <w:rFonts w:ascii="Verdana" w:hAnsi="Verdana" w:cs="Times New Roman"/>
          <w:sz w:val="16"/>
          <w:szCs w:val="16"/>
        </w:rPr>
        <w:t>.</w:t>
      </w:r>
      <w:r w:rsidRPr="000031DD">
        <w:rPr>
          <w:rFonts w:ascii="Verdana" w:hAnsi="Verdana" w:cs="Times New Roman"/>
          <w:sz w:val="16"/>
          <w:szCs w:val="16"/>
        </w:rPr>
        <w:t xml:space="preserve"> 4074 a 5198).</w:t>
      </w:r>
    </w:p>
    <w:p w14:paraId="5751DC5E"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22">
    <w:p w14:paraId="7A7FF935" w14:textId="4CB0FD8D"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Informe Final Sobre Situación de Personas Desaparecidas y Hechos que la Motivaron de la Comisión Investigadora Parlamentaria de la Cámara de Representantes</w:t>
      </w:r>
      <w:r>
        <w:rPr>
          <w:rFonts w:ascii="Verdana" w:hAnsi="Verdana" w:cs="Times New Roman"/>
          <w:sz w:val="16"/>
          <w:szCs w:val="16"/>
        </w:rPr>
        <w:t xml:space="preserve"> (expediente de prueba, anexo XXXVII, fs. 4074 a 5198)</w:t>
      </w:r>
      <w:r w:rsidRPr="000031DD">
        <w:rPr>
          <w:rFonts w:ascii="Verdana" w:hAnsi="Verdana" w:cs="Times New Roman"/>
          <w:sz w:val="16"/>
          <w:szCs w:val="16"/>
        </w:rPr>
        <w:t>.</w:t>
      </w:r>
    </w:p>
    <w:p w14:paraId="1A885826"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23">
    <w:p w14:paraId="7BAA60E0" w14:textId="22F70C01" w:rsidR="00DD280C" w:rsidRPr="000031DD" w:rsidRDefault="00DD280C" w:rsidP="00FD0466">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Resolución Presidencial </w:t>
      </w:r>
      <w:proofErr w:type="spellStart"/>
      <w:r w:rsidRPr="000031DD">
        <w:rPr>
          <w:rFonts w:ascii="Verdana" w:hAnsi="Verdana" w:cs="Times New Roman"/>
          <w:sz w:val="16"/>
          <w:szCs w:val="16"/>
        </w:rPr>
        <w:t>N°</w:t>
      </w:r>
      <w:proofErr w:type="spellEnd"/>
      <w:r w:rsidRPr="000031DD">
        <w:rPr>
          <w:rFonts w:ascii="Verdana" w:hAnsi="Verdana" w:cs="Times New Roman"/>
          <w:sz w:val="16"/>
          <w:szCs w:val="16"/>
        </w:rPr>
        <w:t xml:space="preserve"> 858/000, de 9 de agosto de 2000 (expediente de prueba, anexo XLIV al escrito de contestación, fs</w:t>
      </w:r>
      <w:r>
        <w:rPr>
          <w:rFonts w:ascii="Verdana" w:hAnsi="Verdana" w:cs="Times New Roman"/>
          <w:sz w:val="16"/>
          <w:szCs w:val="16"/>
        </w:rPr>
        <w:t>.</w:t>
      </w:r>
      <w:r w:rsidRPr="000031DD">
        <w:rPr>
          <w:rFonts w:ascii="Verdana" w:hAnsi="Verdana" w:cs="Times New Roman"/>
          <w:sz w:val="16"/>
          <w:szCs w:val="16"/>
        </w:rPr>
        <w:t xml:space="preserve"> 5337 a 5517)</w:t>
      </w:r>
      <w:r>
        <w:rPr>
          <w:rFonts w:ascii="Verdana" w:hAnsi="Verdana" w:cs="Times New Roman"/>
          <w:sz w:val="16"/>
          <w:szCs w:val="16"/>
        </w:rPr>
        <w:t>.</w:t>
      </w:r>
      <w:r w:rsidRPr="000031DD">
        <w:rPr>
          <w:rFonts w:ascii="Verdana" w:hAnsi="Verdana" w:cs="Times New Roman"/>
          <w:sz w:val="16"/>
          <w:szCs w:val="16"/>
        </w:rPr>
        <w:t xml:space="preserve"> </w:t>
      </w:r>
    </w:p>
    <w:p w14:paraId="52535E9F" w14:textId="77777777" w:rsidR="00DD280C" w:rsidRPr="000031DD" w:rsidRDefault="00DD280C" w:rsidP="00FD0466">
      <w:pPr>
        <w:pStyle w:val="Textonotapie"/>
        <w:jc w:val="both"/>
        <w:rPr>
          <w:rFonts w:ascii="Verdana" w:hAnsi="Verdana"/>
          <w:sz w:val="16"/>
          <w:szCs w:val="16"/>
        </w:rPr>
      </w:pPr>
    </w:p>
  </w:footnote>
  <w:footnote w:id="24">
    <w:p w14:paraId="6361CD4E" w14:textId="25748D2A" w:rsidR="00DD280C" w:rsidRPr="000031DD" w:rsidRDefault="00DD280C" w:rsidP="00FD0466">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Informe Final de la Comisión para la Paz, 10 de abril de 2003, parr.42 y ss. (expediente de prueba, anexo XXXVI al escrito de contestación, fs</w:t>
      </w:r>
      <w:r>
        <w:rPr>
          <w:rFonts w:ascii="Verdana" w:hAnsi="Verdana" w:cs="Times New Roman"/>
          <w:sz w:val="16"/>
          <w:szCs w:val="16"/>
        </w:rPr>
        <w:t>.</w:t>
      </w:r>
      <w:r w:rsidRPr="000031DD">
        <w:rPr>
          <w:rFonts w:ascii="Verdana" w:hAnsi="Verdana" w:cs="Times New Roman"/>
          <w:sz w:val="16"/>
          <w:szCs w:val="16"/>
        </w:rPr>
        <w:t xml:space="preserve"> 3989 a 4070)</w:t>
      </w:r>
      <w:r>
        <w:rPr>
          <w:rFonts w:ascii="Verdana" w:hAnsi="Verdana" w:cs="Times New Roman"/>
          <w:sz w:val="16"/>
          <w:szCs w:val="16"/>
        </w:rPr>
        <w:t>.</w:t>
      </w:r>
      <w:r w:rsidRPr="000031DD">
        <w:rPr>
          <w:rFonts w:ascii="Verdana" w:hAnsi="Verdana" w:cs="Times New Roman"/>
          <w:sz w:val="16"/>
          <w:szCs w:val="16"/>
        </w:rPr>
        <w:t xml:space="preserve"> </w:t>
      </w:r>
    </w:p>
    <w:p w14:paraId="3A0E177B" w14:textId="77777777" w:rsidR="00DD280C" w:rsidRPr="000031DD" w:rsidRDefault="00DD280C" w:rsidP="00FD0466">
      <w:pPr>
        <w:pStyle w:val="Textonotapie"/>
        <w:jc w:val="both"/>
        <w:rPr>
          <w:rFonts w:ascii="Verdana" w:hAnsi="Verdana"/>
          <w:sz w:val="16"/>
          <w:szCs w:val="16"/>
        </w:rPr>
      </w:pPr>
    </w:p>
  </w:footnote>
  <w:footnote w:id="25">
    <w:p w14:paraId="49A7A3F9" w14:textId="0864ACC4" w:rsidR="00DD280C" w:rsidRDefault="00DD280C" w:rsidP="00FD0466">
      <w:pPr>
        <w:pStyle w:val="Textonotapie"/>
        <w:jc w:val="both"/>
        <w:rPr>
          <w:rFonts w:ascii="Verdana" w:hAnsi="Verdana" w:cs="Times New Roman"/>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Informe Final de la Comisión para la Paz, 10 de abril de 2003, párr.52</w:t>
      </w:r>
      <w:r>
        <w:rPr>
          <w:rFonts w:ascii="Verdana" w:hAnsi="Verdana" w:cs="Times New Roman"/>
          <w:sz w:val="16"/>
          <w:szCs w:val="16"/>
        </w:rPr>
        <w:t>.</w:t>
      </w:r>
      <w:r w:rsidRPr="000031DD">
        <w:rPr>
          <w:rFonts w:ascii="Verdana" w:hAnsi="Verdana" w:cs="Times New Roman"/>
          <w:sz w:val="16"/>
          <w:szCs w:val="16"/>
        </w:rPr>
        <w:t xml:space="preserve"> </w:t>
      </w:r>
    </w:p>
    <w:p w14:paraId="3F4A5C93" w14:textId="77777777" w:rsidR="00DD280C" w:rsidRPr="000031DD" w:rsidRDefault="00DD280C" w:rsidP="00FD0466">
      <w:pPr>
        <w:pStyle w:val="Textonotapie"/>
        <w:jc w:val="both"/>
        <w:rPr>
          <w:rFonts w:ascii="Verdana" w:hAnsi="Verdana"/>
          <w:sz w:val="16"/>
          <w:szCs w:val="16"/>
        </w:rPr>
      </w:pPr>
    </w:p>
  </w:footnote>
  <w:footnote w:id="26">
    <w:p w14:paraId="2080C550" w14:textId="2603DAE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Informe de la Comisión Investigadora sobre el Destino Final de 33 Ciudadanos Detenidos en el Periodo Comprendido entre el 27 de junio de 1973 y el 1 de marzo de 1985 (expediente de prueba, anexo 4 al Informe de Fondo, fs</w:t>
      </w:r>
      <w:r>
        <w:rPr>
          <w:rFonts w:ascii="Verdana" w:hAnsi="Verdana" w:cs="Times New Roman"/>
          <w:sz w:val="16"/>
          <w:szCs w:val="16"/>
        </w:rPr>
        <w:t>.</w:t>
      </w:r>
      <w:r w:rsidRPr="000031DD">
        <w:rPr>
          <w:rFonts w:ascii="Verdana" w:hAnsi="Verdana" w:cs="Times New Roman"/>
          <w:sz w:val="16"/>
          <w:szCs w:val="16"/>
        </w:rPr>
        <w:t xml:space="preserve"> 1118 a 1135). </w:t>
      </w:r>
    </w:p>
    <w:p w14:paraId="071E5180"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27">
    <w:p w14:paraId="5C7027C3" w14:textId="3204CE4E" w:rsidR="00DD280C" w:rsidRDefault="00DD280C">
      <w:pPr>
        <w:pStyle w:val="Textonotapie"/>
      </w:pPr>
      <w:r>
        <w:rPr>
          <w:rStyle w:val="Refdenotaalpie"/>
        </w:rPr>
        <w:footnoteRef/>
      </w:r>
      <w:r>
        <w:t xml:space="preserve">  </w:t>
      </w:r>
      <w:r>
        <w:tab/>
        <w:t>Ley 19.822 (expediente de prueba, anexo XLIV a la contestación, fs. 5384 a 5389).</w:t>
      </w:r>
    </w:p>
    <w:p w14:paraId="7D6B536F" w14:textId="77777777" w:rsidR="00DD280C" w:rsidRDefault="00DD280C">
      <w:pPr>
        <w:pStyle w:val="Textonotapie"/>
      </w:pPr>
    </w:p>
  </w:footnote>
  <w:footnote w:id="28">
    <w:p w14:paraId="58350E7C" w14:textId="35D61306" w:rsidR="00DD280C" w:rsidRDefault="00DD280C" w:rsidP="00FD0466">
      <w:pPr>
        <w:autoSpaceDE w:val="0"/>
        <w:autoSpaceDN w:val="0"/>
        <w:adjustRightInd w:val="0"/>
        <w:spacing w:after="0" w:line="240" w:lineRule="auto"/>
        <w:jc w:val="both"/>
        <w:rPr>
          <w:rFonts w:ascii="Verdana" w:hAnsi="Verdana" w:cs="ArialMT"/>
          <w:sz w:val="16"/>
          <w:szCs w:val="16"/>
        </w:rPr>
      </w:pPr>
      <w:r w:rsidRPr="00F137AF">
        <w:rPr>
          <w:rStyle w:val="Refdenotaalpie"/>
          <w:rFonts w:ascii="Verdana" w:hAnsi="Verdana"/>
          <w:sz w:val="16"/>
          <w:szCs w:val="16"/>
        </w:rPr>
        <w:footnoteRef/>
      </w:r>
      <w:r w:rsidRPr="00F137AF">
        <w:rPr>
          <w:rFonts w:ascii="Verdana" w:hAnsi="Verdana"/>
          <w:sz w:val="16"/>
          <w:szCs w:val="16"/>
        </w:rPr>
        <w:t xml:space="preserve"> </w:t>
      </w:r>
      <w:r w:rsidRPr="00F137AF">
        <w:rPr>
          <w:rFonts w:ascii="Verdana" w:hAnsi="Verdana"/>
          <w:sz w:val="16"/>
          <w:szCs w:val="16"/>
        </w:rPr>
        <w:tab/>
        <w:t>De acuerdo con el Segundo Informe sobre la búsqueda de desaparecidos Ley 19.822 de 7 de octubre de 2020, el Informe Final del Grupo de Trabajo por Verdad y Justicia de 14 de octubre de 2019</w:t>
      </w:r>
      <w:r>
        <w:rPr>
          <w:rFonts w:ascii="Verdana" w:hAnsi="Verdana"/>
          <w:sz w:val="16"/>
          <w:szCs w:val="16"/>
        </w:rPr>
        <w:t xml:space="preserve"> y</w:t>
      </w:r>
      <w:r w:rsidRPr="00F137AF">
        <w:rPr>
          <w:rFonts w:ascii="Verdana" w:hAnsi="Verdana"/>
          <w:sz w:val="16"/>
          <w:szCs w:val="16"/>
        </w:rPr>
        <w:t xml:space="preserve"> el Informe de actividades de Investigaciones Antropológicas sobre detenidos desaparecidos en la última dictadura cívico-militar 2013-2014, se hallaron los restos de: i) </w:t>
      </w:r>
      <w:r w:rsidRPr="00F137AF">
        <w:rPr>
          <w:rFonts w:ascii="Verdana" w:hAnsi="Verdana" w:cs="ArialMT"/>
          <w:sz w:val="16"/>
          <w:szCs w:val="16"/>
        </w:rPr>
        <w:t>E</w:t>
      </w:r>
      <w:r>
        <w:rPr>
          <w:rFonts w:ascii="Verdana" w:hAnsi="Verdana" w:cs="ArialMT"/>
          <w:sz w:val="16"/>
          <w:szCs w:val="16"/>
        </w:rPr>
        <w:t>.B.</w:t>
      </w:r>
      <w:r w:rsidRPr="00F137AF">
        <w:rPr>
          <w:rFonts w:ascii="Verdana" w:hAnsi="Verdana" w:cs="ArialMT"/>
          <w:sz w:val="16"/>
          <w:szCs w:val="16"/>
        </w:rPr>
        <w:t xml:space="preserve">, los cuales fueron hallados el 27 de agosto de 2019 en la denominada "Zona 4 2017" del ex Batallón 13; </w:t>
      </w:r>
      <w:proofErr w:type="spellStart"/>
      <w:r w:rsidRPr="00F137AF">
        <w:rPr>
          <w:rFonts w:ascii="Verdana" w:hAnsi="Verdana" w:cs="ArialMT"/>
          <w:sz w:val="16"/>
          <w:szCs w:val="16"/>
        </w:rPr>
        <w:t>ii</w:t>
      </w:r>
      <w:proofErr w:type="spellEnd"/>
      <w:r w:rsidRPr="00F137AF">
        <w:rPr>
          <w:rFonts w:ascii="Verdana" w:hAnsi="Verdana" w:cs="ArialMT"/>
          <w:sz w:val="16"/>
          <w:szCs w:val="16"/>
        </w:rPr>
        <w:t xml:space="preserve">) </w:t>
      </w:r>
      <w:r>
        <w:rPr>
          <w:rFonts w:ascii="Verdana" w:hAnsi="Verdana" w:cs="ArialMT"/>
          <w:sz w:val="16"/>
          <w:szCs w:val="16"/>
        </w:rPr>
        <w:t>J.C.</w:t>
      </w:r>
      <w:r w:rsidRPr="00F137AF">
        <w:rPr>
          <w:rFonts w:ascii="Verdana" w:hAnsi="Verdana" w:cs="ArialMT"/>
          <w:sz w:val="16"/>
          <w:szCs w:val="16"/>
        </w:rPr>
        <w:t xml:space="preserve"> en 2011, en el Batallón 14 y, </w:t>
      </w:r>
      <w:proofErr w:type="spellStart"/>
      <w:r w:rsidRPr="00F137AF">
        <w:rPr>
          <w:rFonts w:ascii="Verdana" w:hAnsi="Verdana" w:cs="ArialMT"/>
          <w:sz w:val="16"/>
          <w:szCs w:val="16"/>
        </w:rPr>
        <w:t>iii</w:t>
      </w:r>
      <w:proofErr w:type="spellEnd"/>
      <w:r w:rsidRPr="00F137AF">
        <w:rPr>
          <w:rFonts w:ascii="Verdana" w:hAnsi="Verdana" w:cs="ArialMT"/>
          <w:sz w:val="16"/>
          <w:szCs w:val="16"/>
        </w:rPr>
        <w:t xml:space="preserve">) </w:t>
      </w:r>
      <w:r>
        <w:rPr>
          <w:rFonts w:ascii="Verdana" w:hAnsi="Verdana" w:cs="ArialMT"/>
          <w:sz w:val="16"/>
          <w:szCs w:val="16"/>
        </w:rPr>
        <w:t>R.B.</w:t>
      </w:r>
      <w:r w:rsidRPr="00F137AF">
        <w:rPr>
          <w:rFonts w:ascii="Verdana" w:hAnsi="Verdana" w:cs="ArialMT"/>
          <w:sz w:val="16"/>
          <w:szCs w:val="16"/>
        </w:rPr>
        <w:t xml:space="preserve"> en 2012, en el Batallón 14; </w:t>
      </w:r>
      <w:proofErr w:type="spellStart"/>
      <w:r w:rsidRPr="00F137AF">
        <w:rPr>
          <w:rFonts w:ascii="Verdana" w:hAnsi="Verdana" w:cs="ArialMT"/>
          <w:sz w:val="16"/>
          <w:szCs w:val="16"/>
        </w:rPr>
        <w:t>iv</w:t>
      </w:r>
      <w:proofErr w:type="spellEnd"/>
      <w:r w:rsidRPr="00F137AF">
        <w:rPr>
          <w:rFonts w:ascii="Verdana" w:hAnsi="Verdana" w:cs="ArialMT"/>
          <w:sz w:val="16"/>
          <w:szCs w:val="16"/>
        </w:rPr>
        <w:t xml:space="preserve">) </w:t>
      </w:r>
      <w:r>
        <w:rPr>
          <w:rFonts w:ascii="Verdana" w:hAnsi="Verdana" w:cs="ArialMT"/>
          <w:sz w:val="16"/>
          <w:szCs w:val="16"/>
        </w:rPr>
        <w:t>d</w:t>
      </w:r>
      <w:r w:rsidRPr="00F137AF">
        <w:rPr>
          <w:rFonts w:ascii="Verdana" w:hAnsi="Verdana" w:cs="ArialMT"/>
          <w:sz w:val="16"/>
          <w:szCs w:val="16"/>
        </w:rPr>
        <w:t>os víctimas del Plan Cóndor, detenidas desaparecidas; v)</w:t>
      </w:r>
      <w:r>
        <w:rPr>
          <w:rFonts w:ascii="Verdana" w:hAnsi="Verdana" w:cs="ArialMT"/>
          <w:sz w:val="16"/>
          <w:szCs w:val="16"/>
        </w:rPr>
        <w:t xml:space="preserve"> J.C.P.</w:t>
      </w:r>
      <w:r w:rsidRPr="00F137AF">
        <w:rPr>
          <w:rFonts w:ascii="Verdana" w:hAnsi="Verdana" w:cs="ArialMT"/>
          <w:sz w:val="16"/>
          <w:szCs w:val="16"/>
        </w:rPr>
        <w:t xml:space="preserve">, en el batallón en la Zona III; vi) </w:t>
      </w:r>
      <w:r>
        <w:rPr>
          <w:rFonts w:ascii="Verdana" w:hAnsi="Verdana" w:cs="ArialMT"/>
          <w:sz w:val="16"/>
          <w:szCs w:val="16"/>
        </w:rPr>
        <w:t>R.B.V.</w:t>
      </w:r>
      <w:r w:rsidRPr="00F137AF">
        <w:rPr>
          <w:rFonts w:ascii="Verdana" w:hAnsi="Verdana" w:cs="ArialMT"/>
          <w:sz w:val="16"/>
          <w:szCs w:val="16"/>
        </w:rPr>
        <w:t xml:space="preserve">, en el batallón en la Zona III; </w:t>
      </w:r>
      <w:proofErr w:type="spellStart"/>
      <w:r w:rsidRPr="00F137AF">
        <w:rPr>
          <w:rFonts w:ascii="Verdana" w:hAnsi="Verdana" w:cs="ArialMT"/>
          <w:sz w:val="16"/>
          <w:szCs w:val="16"/>
        </w:rPr>
        <w:t>vii</w:t>
      </w:r>
      <w:proofErr w:type="spellEnd"/>
      <w:r w:rsidRPr="00F137AF">
        <w:rPr>
          <w:rFonts w:ascii="Verdana" w:hAnsi="Verdana" w:cs="ArialMT"/>
          <w:sz w:val="16"/>
          <w:szCs w:val="16"/>
        </w:rPr>
        <w:t xml:space="preserve">) </w:t>
      </w:r>
      <w:r>
        <w:rPr>
          <w:rFonts w:ascii="Verdana" w:hAnsi="Verdana" w:cs="ArialMT"/>
          <w:sz w:val="16"/>
          <w:szCs w:val="16"/>
        </w:rPr>
        <w:t>F.M.</w:t>
      </w:r>
      <w:r w:rsidRPr="00F137AF">
        <w:rPr>
          <w:rFonts w:ascii="Verdana" w:hAnsi="Verdana" w:cs="ArialMT"/>
          <w:sz w:val="16"/>
          <w:szCs w:val="16"/>
        </w:rPr>
        <w:t>, en el ex Batallón Nº13</w:t>
      </w:r>
      <w:r>
        <w:rPr>
          <w:rFonts w:ascii="Verdana" w:hAnsi="Verdana" w:cs="ArialMT"/>
          <w:sz w:val="16"/>
          <w:szCs w:val="16"/>
        </w:rPr>
        <w:t>,</w:t>
      </w:r>
      <w:r w:rsidRPr="00F137AF">
        <w:rPr>
          <w:rFonts w:ascii="Verdana" w:hAnsi="Verdana" w:cs="ArialMT"/>
          <w:sz w:val="16"/>
          <w:szCs w:val="16"/>
        </w:rPr>
        <w:t xml:space="preserve"> </w:t>
      </w:r>
      <w:r>
        <w:rPr>
          <w:rFonts w:ascii="Verdana" w:hAnsi="Verdana" w:cs="ArialMT"/>
          <w:sz w:val="16"/>
          <w:szCs w:val="16"/>
        </w:rPr>
        <w:t xml:space="preserve">y </w:t>
      </w:r>
      <w:proofErr w:type="spellStart"/>
      <w:r w:rsidRPr="00F137AF">
        <w:rPr>
          <w:rFonts w:ascii="Verdana" w:hAnsi="Verdana" w:cs="ArialMT"/>
          <w:sz w:val="16"/>
          <w:szCs w:val="16"/>
        </w:rPr>
        <w:t>vii</w:t>
      </w:r>
      <w:proofErr w:type="spellEnd"/>
      <w:r w:rsidRPr="00F137AF">
        <w:rPr>
          <w:rFonts w:ascii="Verdana" w:hAnsi="Verdana" w:cs="ArialMT"/>
          <w:sz w:val="16"/>
          <w:szCs w:val="16"/>
        </w:rPr>
        <w:t xml:space="preserve">) una persona en el Batallón </w:t>
      </w:r>
      <w:proofErr w:type="spellStart"/>
      <w:r w:rsidRPr="00F137AF">
        <w:rPr>
          <w:rFonts w:ascii="Verdana" w:hAnsi="Verdana" w:cs="ArialMT"/>
          <w:sz w:val="16"/>
          <w:szCs w:val="16"/>
        </w:rPr>
        <w:t>N°</w:t>
      </w:r>
      <w:proofErr w:type="spellEnd"/>
      <w:r w:rsidRPr="00F137AF">
        <w:rPr>
          <w:rFonts w:ascii="Verdana" w:hAnsi="Verdana" w:cs="ArialMT"/>
          <w:sz w:val="16"/>
          <w:szCs w:val="16"/>
        </w:rPr>
        <w:t xml:space="preserve"> 13</w:t>
      </w:r>
      <w:r>
        <w:rPr>
          <w:rFonts w:ascii="Verdana" w:hAnsi="Verdana" w:cs="ArialMT"/>
          <w:sz w:val="16"/>
          <w:szCs w:val="16"/>
        </w:rPr>
        <w:t xml:space="preserve"> (expediente de prueba, anexos XV, XIX, XXII y XXIII, fs.</w:t>
      </w:r>
      <w:r w:rsidRPr="00F137AF">
        <w:rPr>
          <w:rFonts w:ascii="Verdana" w:hAnsi="Verdana" w:cs="ArialMT"/>
          <w:sz w:val="16"/>
          <w:szCs w:val="16"/>
        </w:rPr>
        <w:t xml:space="preserve"> </w:t>
      </w:r>
      <w:r w:rsidRPr="00CA1127">
        <w:rPr>
          <w:rFonts w:ascii="Verdana" w:hAnsi="Verdana" w:cs="ArialMT"/>
          <w:sz w:val="16"/>
          <w:szCs w:val="16"/>
        </w:rPr>
        <w:t>2682, 2683, 2992, 3120, 3175, 3373).</w:t>
      </w:r>
      <w:r>
        <w:rPr>
          <w:rFonts w:ascii="Verdana" w:hAnsi="Verdana" w:cs="ArialMT"/>
          <w:sz w:val="16"/>
          <w:szCs w:val="16"/>
        </w:rPr>
        <w:t xml:space="preserve"> Se aclara que en la presente Sentencia se utilizan siglas para señalar a personas distintas a aquellas que han comparecido ante la Corte en el marco del trámite del caso o que han sido señaladas como presuntas víctimas o beneficiaras de medidas de reparación por las partes o la Comisión Interamericana. </w:t>
      </w:r>
    </w:p>
    <w:p w14:paraId="067987F6" w14:textId="77777777" w:rsidR="00DD280C" w:rsidRPr="0083074D" w:rsidRDefault="00DD280C" w:rsidP="00FD0466">
      <w:pPr>
        <w:autoSpaceDE w:val="0"/>
        <w:autoSpaceDN w:val="0"/>
        <w:adjustRightInd w:val="0"/>
        <w:spacing w:after="0" w:line="240" w:lineRule="auto"/>
        <w:jc w:val="both"/>
      </w:pPr>
    </w:p>
  </w:footnote>
  <w:footnote w:id="29">
    <w:p w14:paraId="7F61A4D5" w14:textId="35666E5F" w:rsidR="00DD280C" w:rsidRPr="000031DD" w:rsidRDefault="00DD280C" w:rsidP="00FD0466">
      <w:pPr>
        <w:autoSpaceDE w:val="0"/>
        <w:autoSpaceDN w:val="0"/>
        <w:adjustRightInd w:val="0"/>
        <w:spacing w:after="0" w:line="240" w:lineRule="auto"/>
        <w:jc w:val="both"/>
        <w:rPr>
          <w:rFonts w:ascii="Verdana" w:hAnsi="Verdana" w:cs="ArialNarrow"/>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Pr>
          <w:rFonts w:ascii="Verdana" w:hAnsi="Verdana"/>
          <w:sz w:val="16"/>
          <w:szCs w:val="16"/>
        </w:rPr>
        <w:t xml:space="preserve">Es pertinente destacar que antes, en 1985, se promulgó la </w:t>
      </w:r>
      <w:r>
        <w:rPr>
          <w:rFonts w:ascii="Verdana" w:hAnsi="Verdana" w:cs="ArialNarrow"/>
          <w:sz w:val="16"/>
          <w:szCs w:val="16"/>
        </w:rPr>
        <w:t>l</w:t>
      </w:r>
      <w:r w:rsidRPr="000031DD">
        <w:rPr>
          <w:rFonts w:ascii="Verdana" w:hAnsi="Verdana" w:cs="ArialNarrow"/>
          <w:sz w:val="16"/>
          <w:szCs w:val="16"/>
        </w:rPr>
        <w:t>ey 15.737, denominada, “Ley de amnistía a los perseguidos políticos y sindicales” o también conocida</w:t>
      </w:r>
      <w:r>
        <w:rPr>
          <w:rFonts w:ascii="Verdana" w:hAnsi="Verdana" w:cs="ArialNarrow"/>
          <w:sz w:val="16"/>
          <w:szCs w:val="16"/>
        </w:rPr>
        <w:t>, conforme señalaron los representantes,</w:t>
      </w:r>
      <w:r w:rsidRPr="000031DD">
        <w:rPr>
          <w:rFonts w:ascii="Verdana" w:hAnsi="Verdana" w:cs="ArialNarrow"/>
          <w:sz w:val="16"/>
          <w:szCs w:val="16"/>
        </w:rPr>
        <w:t xml:space="preserve"> como la “Ley de Pacificación Nacional”, </w:t>
      </w:r>
      <w:r>
        <w:rPr>
          <w:rFonts w:ascii="Verdana" w:hAnsi="Verdana" w:cs="ArialNarrow"/>
          <w:sz w:val="16"/>
          <w:szCs w:val="16"/>
        </w:rPr>
        <w:t xml:space="preserve">que </w:t>
      </w:r>
      <w:r w:rsidRPr="000031DD">
        <w:rPr>
          <w:rFonts w:ascii="Verdana" w:hAnsi="Verdana" w:cs="ArialNarrow"/>
          <w:sz w:val="16"/>
          <w:szCs w:val="16"/>
        </w:rPr>
        <w:t>en e</w:t>
      </w:r>
      <w:r>
        <w:rPr>
          <w:rFonts w:ascii="Verdana" w:hAnsi="Verdana" w:cs="ArialNarrow"/>
          <w:sz w:val="16"/>
          <w:szCs w:val="16"/>
        </w:rPr>
        <w:t>l artículo 5 excluyo de la amnistía que adoptaba a</w:t>
      </w:r>
      <w:r w:rsidRPr="000031DD">
        <w:rPr>
          <w:rFonts w:ascii="Verdana" w:hAnsi="Verdana" w:cs="ArialNarrow"/>
          <w:sz w:val="16"/>
          <w:szCs w:val="16"/>
        </w:rPr>
        <w:t xml:space="preserve"> </w:t>
      </w:r>
      <w:r>
        <w:rPr>
          <w:rFonts w:ascii="Verdana" w:hAnsi="Verdana" w:cs="ArialNarrow"/>
          <w:sz w:val="16"/>
          <w:szCs w:val="16"/>
        </w:rPr>
        <w:t xml:space="preserve">“delitos cometidos por funcionarios policiales o militares, equiparados o asimilados, que fueran autores, coautores o cómplices de </w:t>
      </w:r>
      <w:r w:rsidRPr="000031DD">
        <w:rPr>
          <w:rFonts w:ascii="Verdana" w:hAnsi="Verdana" w:cs="ArialNarrow"/>
          <w:sz w:val="16"/>
          <w:szCs w:val="16"/>
        </w:rPr>
        <w:t xml:space="preserve">tratamientos, inhumanos, crueles o degradantes, o de la detención de personas luego desaparecidas, </w:t>
      </w:r>
      <w:r>
        <w:rPr>
          <w:rFonts w:ascii="Verdana" w:hAnsi="Verdana" w:cs="ArialNarrow"/>
          <w:sz w:val="16"/>
          <w:szCs w:val="16"/>
        </w:rPr>
        <w:t>y por quienes hubieren encubierto cualquiera de dichas conductas”. La disposición normativa agregaba que “[e]</w:t>
      </w:r>
      <w:proofErr w:type="spellStart"/>
      <w:r>
        <w:rPr>
          <w:rFonts w:ascii="Verdana" w:hAnsi="Verdana" w:cs="ArialNarrow"/>
          <w:sz w:val="16"/>
          <w:szCs w:val="16"/>
        </w:rPr>
        <w:t>sta</w:t>
      </w:r>
      <w:proofErr w:type="spellEnd"/>
      <w:r>
        <w:rPr>
          <w:rFonts w:ascii="Verdana" w:hAnsi="Verdana" w:cs="ArialNarrow"/>
          <w:sz w:val="16"/>
          <w:szCs w:val="16"/>
        </w:rPr>
        <w:t xml:space="preserve"> exclusión de extiende asimismo a todos los delitos cometidos por móviles políticos, por personas que hubieren actuado amparadas por el poder del Estado en cualquier forma o desde cargos de gobierno”</w:t>
      </w:r>
      <w:r w:rsidRPr="000031DD">
        <w:rPr>
          <w:rFonts w:ascii="Verdana" w:hAnsi="Verdana" w:cs="ArialNarrow"/>
          <w:sz w:val="16"/>
          <w:szCs w:val="16"/>
        </w:rPr>
        <w:t xml:space="preserve"> </w:t>
      </w:r>
      <w:r>
        <w:rPr>
          <w:rFonts w:ascii="Verdana" w:hAnsi="Verdana" w:cs="ArialNarrow-Italic"/>
          <w:iCs/>
          <w:sz w:val="16"/>
          <w:szCs w:val="16"/>
        </w:rPr>
        <w:t>(</w:t>
      </w:r>
      <w:r w:rsidRPr="00CA1127">
        <w:rPr>
          <w:rFonts w:ascii="Verdana" w:hAnsi="Verdana" w:cs="ArialNarrow-Italic"/>
          <w:i/>
          <w:iCs/>
          <w:sz w:val="16"/>
          <w:szCs w:val="16"/>
        </w:rPr>
        <w:t>cfr.</w:t>
      </w:r>
      <w:r>
        <w:rPr>
          <w:rFonts w:ascii="Verdana" w:hAnsi="Verdana" w:cs="ArialNarrow-Italic"/>
          <w:iCs/>
          <w:sz w:val="16"/>
          <w:szCs w:val="16"/>
        </w:rPr>
        <w:t xml:space="preserve"> ley 15.737 (expediente de prueba, anexo XLIV a la contestación, fs. 5478 a 5485))</w:t>
      </w:r>
      <w:r w:rsidRPr="000031DD">
        <w:rPr>
          <w:rFonts w:ascii="Verdana" w:hAnsi="Verdana" w:cs="ArialNarrow-Italic"/>
          <w:i/>
          <w:iCs/>
          <w:sz w:val="16"/>
          <w:szCs w:val="16"/>
        </w:rPr>
        <w:t>.</w:t>
      </w:r>
      <w:r w:rsidRPr="000031DD">
        <w:rPr>
          <w:rFonts w:ascii="Verdana" w:hAnsi="Verdana" w:cs="ArialNarrow"/>
          <w:sz w:val="16"/>
          <w:szCs w:val="16"/>
        </w:rPr>
        <w:t xml:space="preserve"> </w:t>
      </w:r>
    </w:p>
    <w:p w14:paraId="5FFD6F9F" w14:textId="77777777" w:rsidR="00DD280C" w:rsidRPr="000031DD" w:rsidRDefault="00DD280C" w:rsidP="00FD0466">
      <w:pPr>
        <w:autoSpaceDE w:val="0"/>
        <w:autoSpaceDN w:val="0"/>
        <w:adjustRightInd w:val="0"/>
        <w:spacing w:after="0" w:line="240" w:lineRule="auto"/>
        <w:jc w:val="both"/>
        <w:rPr>
          <w:rFonts w:ascii="Verdana" w:hAnsi="Verdana" w:cs="ArialNarrow"/>
          <w:sz w:val="16"/>
          <w:szCs w:val="16"/>
        </w:rPr>
      </w:pPr>
    </w:p>
  </w:footnote>
  <w:footnote w:id="30">
    <w:p w14:paraId="18B00480" w14:textId="173C715B" w:rsidR="00DD280C" w:rsidRPr="000031DD" w:rsidRDefault="00DD280C" w:rsidP="00FD0466">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Ley 15.848 de 22 de diciembre de 1986 (expediente de prueba, anexo XLIV al escrito de contestación, fs</w:t>
      </w:r>
      <w:r>
        <w:rPr>
          <w:rFonts w:ascii="Verdana" w:hAnsi="Verdana" w:cs="Times New Roman"/>
          <w:sz w:val="16"/>
          <w:szCs w:val="16"/>
        </w:rPr>
        <w:t>.</w:t>
      </w:r>
      <w:r w:rsidRPr="000031DD">
        <w:rPr>
          <w:rFonts w:ascii="Verdana" w:hAnsi="Verdana" w:cs="Times New Roman"/>
          <w:sz w:val="16"/>
          <w:szCs w:val="16"/>
        </w:rPr>
        <w:t xml:space="preserve"> 5337 a 5517). </w:t>
      </w:r>
    </w:p>
    <w:p w14:paraId="33A95EE5" w14:textId="77777777" w:rsidR="00DD280C" w:rsidRPr="000031DD" w:rsidRDefault="00DD280C" w:rsidP="00FD0466">
      <w:pPr>
        <w:pStyle w:val="Textonotapie"/>
        <w:jc w:val="both"/>
        <w:rPr>
          <w:rFonts w:ascii="Verdana" w:hAnsi="Verdana"/>
          <w:sz w:val="16"/>
          <w:szCs w:val="16"/>
        </w:rPr>
      </w:pPr>
    </w:p>
  </w:footnote>
  <w:footnote w:id="31">
    <w:p w14:paraId="03AA3A1B" w14:textId="439C06AD"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CA1127">
        <w:rPr>
          <w:rFonts w:ascii="Verdana" w:hAnsi="Verdana"/>
          <w:sz w:val="16"/>
          <w:szCs w:val="16"/>
          <w:lang w:val="pt-BR"/>
        </w:rPr>
        <w:t xml:space="preserve"> </w:t>
      </w:r>
      <w:r w:rsidRPr="00CA1127">
        <w:rPr>
          <w:rFonts w:ascii="Verdana" w:hAnsi="Verdana"/>
          <w:sz w:val="16"/>
          <w:szCs w:val="16"/>
          <w:lang w:val="pt-BR"/>
        </w:rPr>
        <w:tab/>
      </w:r>
      <w:r w:rsidRPr="00CA1127">
        <w:rPr>
          <w:rFonts w:ascii="Verdana" w:hAnsi="Verdana" w:cs="Times New Roman"/>
          <w:sz w:val="16"/>
          <w:szCs w:val="16"/>
          <w:lang w:val="pt-BR"/>
        </w:rPr>
        <w:t xml:space="preserve">Suprema Corte de </w:t>
      </w:r>
      <w:proofErr w:type="spellStart"/>
      <w:r w:rsidRPr="00CA1127">
        <w:rPr>
          <w:rFonts w:ascii="Verdana" w:hAnsi="Verdana" w:cs="Times New Roman"/>
          <w:sz w:val="16"/>
          <w:szCs w:val="16"/>
          <w:lang w:val="pt-BR"/>
        </w:rPr>
        <w:t>Justicia</w:t>
      </w:r>
      <w:proofErr w:type="spellEnd"/>
      <w:r w:rsidRPr="00CA1127">
        <w:rPr>
          <w:rFonts w:ascii="Verdana" w:hAnsi="Verdana" w:cs="Times New Roman"/>
          <w:sz w:val="16"/>
          <w:szCs w:val="16"/>
          <w:lang w:val="pt-BR"/>
        </w:rPr>
        <w:t xml:space="preserve">. Sentencia </w:t>
      </w:r>
      <w:r w:rsidRPr="00CA1127">
        <w:rPr>
          <w:rFonts w:ascii="Verdana" w:hAnsi="Verdana" w:cs="Arial"/>
          <w:sz w:val="16"/>
          <w:szCs w:val="16"/>
          <w:lang w:val="pt-BR"/>
        </w:rPr>
        <w:t xml:space="preserve">No. </w:t>
      </w:r>
      <w:r w:rsidRPr="00CA1127">
        <w:rPr>
          <w:rFonts w:ascii="Verdana" w:hAnsi="Verdana" w:cs="Times New Roman"/>
          <w:sz w:val="16"/>
          <w:szCs w:val="16"/>
          <w:lang w:val="pt-BR"/>
        </w:rPr>
        <w:t xml:space="preserve">365. </w:t>
      </w:r>
      <w:r w:rsidRPr="000031DD">
        <w:rPr>
          <w:rFonts w:ascii="Verdana" w:hAnsi="Verdana" w:cs="Times New Roman"/>
          <w:sz w:val="16"/>
          <w:szCs w:val="16"/>
        </w:rPr>
        <w:t xml:space="preserve">Sabalsagaray </w:t>
      </w:r>
      <w:proofErr w:type="spellStart"/>
      <w:r w:rsidRPr="000031DD">
        <w:rPr>
          <w:rFonts w:ascii="Verdana" w:hAnsi="Verdana" w:cs="Times New Roman"/>
          <w:sz w:val="16"/>
          <w:szCs w:val="16"/>
        </w:rPr>
        <w:t>Curutchet</w:t>
      </w:r>
      <w:proofErr w:type="spellEnd"/>
      <w:r w:rsidRPr="000031DD">
        <w:rPr>
          <w:rFonts w:ascii="Verdana" w:hAnsi="Verdana" w:cs="Times New Roman"/>
          <w:sz w:val="16"/>
          <w:szCs w:val="16"/>
        </w:rPr>
        <w:t xml:space="preserve">. Blanca Stela. Denuncia. Excepción de </w:t>
      </w:r>
      <w:proofErr w:type="spellStart"/>
      <w:r w:rsidRPr="000031DD">
        <w:rPr>
          <w:rFonts w:ascii="Verdana" w:hAnsi="Verdana" w:cs="Times New Roman"/>
          <w:sz w:val="16"/>
          <w:szCs w:val="16"/>
        </w:rPr>
        <w:t>lnconstitucionalidad</w:t>
      </w:r>
      <w:proofErr w:type="spellEnd"/>
      <w:r w:rsidRPr="000031DD">
        <w:rPr>
          <w:rFonts w:ascii="Verdana" w:hAnsi="Verdana" w:cs="Times New Roman"/>
          <w:sz w:val="16"/>
          <w:szCs w:val="16"/>
        </w:rPr>
        <w:t xml:space="preserve"> Arts. </w:t>
      </w:r>
      <w:r>
        <w:rPr>
          <w:rFonts w:ascii="Verdana" w:hAnsi="Verdana" w:cs="Times New Roman"/>
          <w:sz w:val="16"/>
          <w:szCs w:val="16"/>
        </w:rPr>
        <w:t>1</w:t>
      </w:r>
      <w:r w:rsidRPr="000031DD">
        <w:rPr>
          <w:rFonts w:ascii="Verdana" w:hAnsi="Verdana" w:cs="Times New Roman"/>
          <w:sz w:val="16"/>
          <w:szCs w:val="16"/>
        </w:rPr>
        <w:t>, 3 y 4 de la Ley No.15.848, Ficha 97-397 /2004 (expediente de prueba, anexo I al escrito de contestación, fs</w:t>
      </w:r>
      <w:r>
        <w:rPr>
          <w:rFonts w:ascii="Verdana" w:hAnsi="Verdana" w:cs="Times New Roman"/>
          <w:sz w:val="16"/>
          <w:szCs w:val="16"/>
        </w:rPr>
        <w:t>.</w:t>
      </w:r>
      <w:r w:rsidRPr="000031DD">
        <w:rPr>
          <w:rFonts w:ascii="Verdana" w:hAnsi="Verdana" w:cs="Times New Roman"/>
          <w:sz w:val="16"/>
          <w:szCs w:val="16"/>
        </w:rPr>
        <w:t xml:space="preserve"> 2258 a 2313</w:t>
      </w:r>
      <w:r w:rsidRPr="008E796A">
        <w:rPr>
          <w:rFonts w:ascii="Verdana" w:hAnsi="Verdana" w:cs="Times New Roman"/>
          <w:sz w:val="16"/>
          <w:szCs w:val="16"/>
        </w:rPr>
        <w:t>). Ver</w:t>
      </w:r>
      <w:r w:rsidRPr="000031DD">
        <w:rPr>
          <w:rFonts w:ascii="Verdana" w:hAnsi="Verdana" w:cs="Times New Roman"/>
          <w:sz w:val="16"/>
          <w:szCs w:val="16"/>
        </w:rPr>
        <w:t xml:space="preserve"> también </w:t>
      </w:r>
      <w:r w:rsidRPr="00CA1127">
        <w:rPr>
          <w:rFonts w:ascii="Verdana" w:hAnsi="Verdana" w:cs="Times New Roman"/>
          <w:i/>
          <w:sz w:val="16"/>
          <w:szCs w:val="16"/>
        </w:rPr>
        <w:t>Caso Gelman vs. Uruguay</w:t>
      </w:r>
      <w:r>
        <w:rPr>
          <w:rFonts w:ascii="Verdana" w:hAnsi="Verdana" w:cs="Times New Roman"/>
          <w:i/>
          <w:sz w:val="16"/>
          <w:szCs w:val="16"/>
        </w:rPr>
        <w:t>.</w:t>
      </w:r>
      <w:r w:rsidRPr="00CA1127">
        <w:rPr>
          <w:rFonts w:ascii="Verdana" w:hAnsi="Verdana" w:cs="Times New Roman"/>
          <w:i/>
          <w:sz w:val="16"/>
          <w:szCs w:val="16"/>
        </w:rPr>
        <w:t xml:space="preserve"> Fondo y Reparaciones</w:t>
      </w:r>
      <w:r w:rsidRPr="000031DD">
        <w:rPr>
          <w:rFonts w:ascii="Verdana" w:hAnsi="Verdana" w:cs="Times New Roman"/>
          <w:sz w:val="16"/>
          <w:szCs w:val="16"/>
        </w:rPr>
        <w:t>, párr. 219.</w:t>
      </w:r>
    </w:p>
    <w:p w14:paraId="3483D927"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32">
    <w:p w14:paraId="412E819D" w14:textId="035F3F2B" w:rsidR="00DD280C" w:rsidRPr="000031DD" w:rsidRDefault="00DD280C" w:rsidP="00FD0466">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i/>
          <w:sz w:val="16"/>
          <w:szCs w:val="16"/>
        </w:rPr>
        <w:t>Caso Gelman vs. Uruguay, Fondo y Reparaciones</w:t>
      </w:r>
      <w:r w:rsidRPr="000031DD">
        <w:rPr>
          <w:rFonts w:ascii="Verdana" w:hAnsi="Verdana" w:cs="Times New Roman"/>
          <w:sz w:val="16"/>
          <w:szCs w:val="16"/>
        </w:rPr>
        <w:t>, párr. 232.</w:t>
      </w:r>
    </w:p>
    <w:p w14:paraId="302F32B6" w14:textId="77777777" w:rsidR="00DD280C" w:rsidRPr="000031DD" w:rsidRDefault="00DD280C" w:rsidP="00FD0466">
      <w:pPr>
        <w:pStyle w:val="Textonotapie"/>
        <w:jc w:val="both"/>
        <w:rPr>
          <w:rFonts w:ascii="Verdana" w:hAnsi="Verdana"/>
          <w:sz w:val="16"/>
          <w:szCs w:val="16"/>
        </w:rPr>
      </w:pPr>
    </w:p>
  </w:footnote>
  <w:footnote w:id="33">
    <w:p w14:paraId="1DB93F52" w14:textId="7AF4FFF1" w:rsidR="00DD280C" w:rsidRPr="000031DD" w:rsidRDefault="00DD280C" w:rsidP="00FD0466">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Ley </w:t>
      </w:r>
      <w:proofErr w:type="spellStart"/>
      <w:r w:rsidRPr="000031DD">
        <w:rPr>
          <w:rFonts w:ascii="Verdana" w:hAnsi="Verdana" w:cs="Times New Roman"/>
          <w:sz w:val="16"/>
          <w:szCs w:val="16"/>
        </w:rPr>
        <w:t>N°</w:t>
      </w:r>
      <w:proofErr w:type="spellEnd"/>
      <w:r w:rsidRPr="000031DD">
        <w:rPr>
          <w:rFonts w:ascii="Verdana" w:hAnsi="Verdana" w:cs="Times New Roman"/>
          <w:sz w:val="16"/>
          <w:szCs w:val="16"/>
        </w:rPr>
        <w:t xml:space="preserve"> 18.831 del 1 de noviembre de 2011, expedida por la República Oriental del Uruguay (expediente de prueba, anexo XLIV al escrito de contestación, folios 5337 a 5517). </w:t>
      </w:r>
    </w:p>
    <w:p w14:paraId="66BEE00A" w14:textId="77777777" w:rsidR="00DD280C" w:rsidRPr="000031DD" w:rsidRDefault="00DD280C" w:rsidP="00FD0466">
      <w:pPr>
        <w:pStyle w:val="Textonotapie"/>
        <w:jc w:val="both"/>
        <w:rPr>
          <w:rFonts w:ascii="Verdana" w:hAnsi="Verdana"/>
          <w:sz w:val="16"/>
          <w:szCs w:val="16"/>
        </w:rPr>
      </w:pPr>
    </w:p>
  </w:footnote>
  <w:footnote w:id="34">
    <w:p w14:paraId="43A5C2C3" w14:textId="55E55675"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617293">
        <w:rPr>
          <w:rFonts w:ascii="Verdana" w:hAnsi="Verdana"/>
          <w:i/>
          <w:sz w:val="16"/>
          <w:szCs w:val="16"/>
        </w:rPr>
        <w:t xml:space="preserve">Cfr. </w:t>
      </w:r>
      <w:r w:rsidRPr="00617293">
        <w:rPr>
          <w:rFonts w:ascii="Verdana" w:hAnsi="Verdana" w:cs="Open Sans"/>
          <w:i/>
          <w:sz w:val="16"/>
          <w:szCs w:val="16"/>
          <w:shd w:val="clear" w:color="auto" w:fill="FFFFFF"/>
        </w:rPr>
        <w:t xml:space="preserve">Caso Gelman Vs. Uruguay. Supervisión de Cumplimiento de Sentencia. </w:t>
      </w:r>
      <w:r w:rsidRPr="00617293">
        <w:rPr>
          <w:rFonts w:ascii="Verdana" w:hAnsi="Verdana" w:cs="Open Sans"/>
          <w:sz w:val="16"/>
          <w:szCs w:val="16"/>
          <w:shd w:val="clear" w:color="auto" w:fill="FFFFFF"/>
        </w:rPr>
        <w:t>Resolución de la Corte Interamericana de Derechos Humanos de 20 de marzo de 2013, Considerando</w:t>
      </w:r>
      <w:r>
        <w:rPr>
          <w:rFonts w:ascii="Verdana" w:hAnsi="Verdana" w:cs="Times New Roman"/>
          <w:sz w:val="16"/>
          <w:szCs w:val="16"/>
        </w:rPr>
        <w:t>s 28 y</w:t>
      </w:r>
      <w:r w:rsidRPr="000031DD">
        <w:rPr>
          <w:rFonts w:ascii="Verdana" w:hAnsi="Verdana" w:cs="Times New Roman"/>
          <w:sz w:val="16"/>
          <w:szCs w:val="16"/>
        </w:rPr>
        <w:t xml:space="preserve"> 43.</w:t>
      </w:r>
    </w:p>
    <w:p w14:paraId="492D9898"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35">
    <w:p w14:paraId="7543CC51" w14:textId="64C5100D" w:rsidR="00DD280C" w:rsidRPr="004B4E03" w:rsidRDefault="00DD280C" w:rsidP="00FD0466">
      <w:pPr>
        <w:pStyle w:val="Textonotapie"/>
        <w:jc w:val="both"/>
        <w:rPr>
          <w:rFonts w:ascii="Verdana" w:hAnsi="Verdana" w:cs="Times New Roman"/>
          <w:sz w:val="16"/>
          <w:szCs w:val="16"/>
        </w:rPr>
      </w:pPr>
      <w:r w:rsidRPr="004B4E03">
        <w:rPr>
          <w:rStyle w:val="Refdenotaalpie"/>
          <w:rFonts w:ascii="Verdana" w:hAnsi="Verdana"/>
          <w:sz w:val="16"/>
          <w:szCs w:val="16"/>
        </w:rPr>
        <w:footnoteRef/>
      </w:r>
      <w:r w:rsidRPr="004B4E03">
        <w:rPr>
          <w:rFonts w:ascii="Verdana" w:hAnsi="Verdana"/>
          <w:sz w:val="16"/>
          <w:szCs w:val="16"/>
        </w:rPr>
        <w:t xml:space="preserve"> </w:t>
      </w:r>
      <w:r w:rsidRPr="004B4E03">
        <w:rPr>
          <w:rFonts w:ascii="Verdana" w:hAnsi="Verdana"/>
          <w:sz w:val="16"/>
          <w:szCs w:val="16"/>
        </w:rPr>
        <w:tab/>
      </w:r>
      <w:r w:rsidRPr="00CA1127">
        <w:rPr>
          <w:rFonts w:ascii="Verdana" w:hAnsi="Verdana"/>
          <w:i/>
          <w:sz w:val="16"/>
          <w:szCs w:val="16"/>
        </w:rPr>
        <w:t xml:space="preserve">Cfr. </w:t>
      </w:r>
      <w:r w:rsidRPr="00CA1127">
        <w:rPr>
          <w:rFonts w:ascii="Verdana" w:hAnsi="Verdana" w:cs="Open Sans"/>
          <w:i/>
          <w:sz w:val="16"/>
          <w:szCs w:val="16"/>
          <w:shd w:val="clear" w:color="auto" w:fill="FFFFFF"/>
        </w:rPr>
        <w:t xml:space="preserve">Caso Gelman Vs. Uruguay. Supervisión de Cumplimiento de Sentencia. </w:t>
      </w:r>
      <w:r w:rsidRPr="00CA1127">
        <w:rPr>
          <w:rFonts w:ascii="Verdana" w:hAnsi="Verdana" w:cs="Open Sans"/>
          <w:sz w:val="16"/>
          <w:szCs w:val="16"/>
          <w:shd w:val="clear" w:color="auto" w:fill="FFFFFF"/>
        </w:rPr>
        <w:t>Resolución de la Corte Interamericana de Derechos Humanos de 20 de marzo de 2013, Considerando 47.</w:t>
      </w:r>
    </w:p>
    <w:p w14:paraId="45023C1B" w14:textId="77777777" w:rsidR="00DD280C" w:rsidRPr="00CA1127" w:rsidRDefault="00DD280C" w:rsidP="00FD0466">
      <w:pPr>
        <w:pStyle w:val="Textonotapie"/>
        <w:jc w:val="both"/>
        <w:rPr>
          <w:rFonts w:ascii="Verdana" w:hAnsi="Verdana"/>
          <w:sz w:val="16"/>
          <w:szCs w:val="16"/>
        </w:rPr>
      </w:pPr>
    </w:p>
  </w:footnote>
  <w:footnote w:id="36">
    <w:p w14:paraId="01C8BB3E" w14:textId="685B241D" w:rsidR="00DD280C" w:rsidRPr="004B4E03" w:rsidRDefault="00DD280C" w:rsidP="00CC0AF1">
      <w:pPr>
        <w:autoSpaceDE w:val="0"/>
        <w:autoSpaceDN w:val="0"/>
        <w:adjustRightInd w:val="0"/>
        <w:spacing w:after="0" w:line="240" w:lineRule="auto"/>
        <w:jc w:val="both"/>
        <w:rPr>
          <w:rFonts w:ascii="Verdana" w:hAnsi="Verdana" w:cs="Times New Roman"/>
          <w:sz w:val="16"/>
          <w:szCs w:val="16"/>
        </w:rPr>
      </w:pPr>
      <w:r w:rsidRPr="004B4E03">
        <w:rPr>
          <w:rStyle w:val="Refdenotaalpie"/>
          <w:rFonts w:ascii="Verdana" w:hAnsi="Verdana"/>
          <w:sz w:val="16"/>
          <w:szCs w:val="16"/>
        </w:rPr>
        <w:footnoteRef/>
      </w:r>
      <w:r w:rsidRPr="004B4E03">
        <w:rPr>
          <w:rFonts w:ascii="Verdana" w:hAnsi="Verdana"/>
          <w:sz w:val="16"/>
          <w:szCs w:val="16"/>
        </w:rPr>
        <w:t xml:space="preserve"> </w:t>
      </w:r>
      <w:r w:rsidRPr="004B4E03">
        <w:rPr>
          <w:rFonts w:ascii="Verdana" w:hAnsi="Verdana"/>
          <w:sz w:val="16"/>
          <w:szCs w:val="16"/>
        </w:rPr>
        <w:tab/>
      </w:r>
      <w:r>
        <w:rPr>
          <w:rFonts w:ascii="Verdana" w:hAnsi="Verdana"/>
          <w:sz w:val="16"/>
          <w:szCs w:val="16"/>
        </w:rPr>
        <w:t xml:space="preserve">Al respecto, </w:t>
      </w:r>
      <w:r w:rsidRPr="004B4E03">
        <w:rPr>
          <w:rFonts w:ascii="Verdana" w:hAnsi="Verdana"/>
          <w:sz w:val="16"/>
          <w:szCs w:val="16"/>
        </w:rPr>
        <w:t>l</w:t>
      </w:r>
      <w:r w:rsidRPr="00CA1127">
        <w:rPr>
          <w:rFonts w:ascii="Verdana" w:hAnsi="Verdana"/>
          <w:sz w:val="16"/>
          <w:szCs w:val="16"/>
        </w:rPr>
        <w:t>a Comisión</w:t>
      </w:r>
      <w:r>
        <w:rPr>
          <w:rFonts w:ascii="Verdana" w:hAnsi="Verdana"/>
          <w:sz w:val="16"/>
          <w:szCs w:val="16"/>
        </w:rPr>
        <w:t xml:space="preserve"> Interamericana</w:t>
      </w:r>
      <w:r w:rsidRPr="00CA1127">
        <w:rPr>
          <w:rFonts w:ascii="Verdana" w:hAnsi="Verdana"/>
          <w:sz w:val="16"/>
          <w:szCs w:val="16"/>
        </w:rPr>
        <w:t>, en el Informe de Fondo, citó lo siguiente “</w:t>
      </w:r>
      <w:r w:rsidRPr="00CA1127">
        <w:rPr>
          <w:rFonts w:ascii="Verdana" w:hAnsi="Verdana" w:cs="Times New Roman"/>
          <w:sz w:val="16"/>
          <w:szCs w:val="16"/>
        </w:rPr>
        <w:t>Ladiaria.com.uy, Nueva Sentencia de la SCJ declaró inconstitucional la imprescriptibilidad de delitos de lesa humanidad en desaparición de Eduardo Pérez, 9 de febrero de 2018; ver también Suprema Corte de Justicia. Sentencia 680/2017 de 25 de septiembre de 2017”. Por otra parte, la Corte Interamericana</w:t>
      </w:r>
      <w:r w:rsidRPr="004B4E03">
        <w:rPr>
          <w:rFonts w:ascii="Verdana" w:hAnsi="Verdana" w:cs="Times New Roman"/>
          <w:sz w:val="16"/>
          <w:szCs w:val="16"/>
        </w:rPr>
        <w:t xml:space="preserve"> efectu</w:t>
      </w:r>
      <w:r>
        <w:rPr>
          <w:rFonts w:ascii="Verdana" w:hAnsi="Verdana" w:cs="Times New Roman"/>
          <w:sz w:val="16"/>
          <w:szCs w:val="16"/>
        </w:rPr>
        <w:t>ó constataciones en el mismo sentido (</w:t>
      </w:r>
      <w:r>
        <w:rPr>
          <w:rFonts w:ascii="Verdana" w:hAnsi="Verdana" w:cs="Times New Roman"/>
          <w:i/>
          <w:sz w:val="16"/>
          <w:szCs w:val="16"/>
        </w:rPr>
        <w:t xml:space="preserve">infra </w:t>
      </w:r>
      <w:r>
        <w:rPr>
          <w:rFonts w:ascii="Verdana" w:hAnsi="Verdana" w:cs="Times New Roman"/>
          <w:sz w:val="16"/>
          <w:szCs w:val="16"/>
        </w:rPr>
        <w:t>párr. 48).</w:t>
      </w:r>
      <w:r w:rsidRPr="004B4E03">
        <w:rPr>
          <w:rFonts w:ascii="Verdana" w:hAnsi="Verdana" w:cs="Times New Roman"/>
          <w:sz w:val="16"/>
          <w:szCs w:val="16"/>
        </w:rPr>
        <w:t xml:space="preserve"> </w:t>
      </w:r>
    </w:p>
    <w:p w14:paraId="0CC3EE6D"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37">
    <w:p w14:paraId="539E8837" w14:textId="371DF046" w:rsidR="00DD280C" w:rsidRPr="00E53751" w:rsidRDefault="00DD280C" w:rsidP="00FD0466">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r>
      <w:r w:rsidRPr="00CA1127">
        <w:rPr>
          <w:rFonts w:ascii="Verdana" w:hAnsi="Verdana"/>
          <w:i/>
          <w:sz w:val="16"/>
          <w:szCs w:val="16"/>
        </w:rPr>
        <w:t>Cfr.</w:t>
      </w:r>
      <w:r w:rsidRPr="00E53751">
        <w:rPr>
          <w:rFonts w:ascii="Verdana" w:hAnsi="Verdana"/>
          <w:sz w:val="16"/>
          <w:szCs w:val="16"/>
        </w:rPr>
        <w:t xml:space="preserve"> </w:t>
      </w:r>
      <w:r>
        <w:rPr>
          <w:rFonts w:ascii="Verdana" w:hAnsi="Verdana"/>
          <w:sz w:val="16"/>
          <w:szCs w:val="16"/>
        </w:rPr>
        <w:t>Anteproyecto y exposición de motivos de la ley 19.550 (</w:t>
      </w:r>
      <w:r w:rsidRPr="00E53751">
        <w:rPr>
          <w:rFonts w:ascii="Verdana" w:hAnsi="Verdana"/>
          <w:sz w:val="16"/>
          <w:szCs w:val="16"/>
        </w:rPr>
        <w:t>expediente de prueba, anexo</w:t>
      </w:r>
      <w:r>
        <w:rPr>
          <w:rFonts w:ascii="Verdana" w:hAnsi="Verdana"/>
          <w:sz w:val="16"/>
          <w:szCs w:val="16"/>
        </w:rPr>
        <w:t xml:space="preserve"> XXV</w:t>
      </w:r>
      <w:r w:rsidRPr="00E53751">
        <w:rPr>
          <w:rFonts w:ascii="Verdana" w:hAnsi="Verdana"/>
          <w:sz w:val="16"/>
          <w:szCs w:val="16"/>
        </w:rPr>
        <w:t xml:space="preserve"> a la contestación, fs. 3775 a 3793</w:t>
      </w:r>
      <w:r>
        <w:rPr>
          <w:rFonts w:ascii="Verdana" w:hAnsi="Verdana"/>
          <w:sz w:val="16"/>
          <w:szCs w:val="16"/>
        </w:rPr>
        <w:t>)</w:t>
      </w:r>
      <w:r w:rsidRPr="00E53751">
        <w:rPr>
          <w:rFonts w:ascii="Verdana" w:hAnsi="Verdana"/>
          <w:sz w:val="16"/>
          <w:szCs w:val="16"/>
        </w:rPr>
        <w:t xml:space="preserve">. </w:t>
      </w:r>
    </w:p>
    <w:p w14:paraId="03DC94CB" w14:textId="77777777" w:rsidR="00DD280C" w:rsidRPr="00E53751" w:rsidRDefault="00DD280C" w:rsidP="00FD0466">
      <w:pPr>
        <w:pStyle w:val="Textonotapie"/>
        <w:jc w:val="both"/>
        <w:rPr>
          <w:rFonts w:ascii="Verdana" w:hAnsi="Verdana"/>
          <w:sz w:val="16"/>
          <w:szCs w:val="16"/>
        </w:rPr>
      </w:pPr>
    </w:p>
  </w:footnote>
  <w:footnote w:id="38">
    <w:p w14:paraId="4044ECBD" w14:textId="1A3F6F5D" w:rsidR="00DD280C" w:rsidRPr="00F137AF"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Pr>
          <w:rFonts w:ascii="Verdana" w:hAnsi="Verdana"/>
          <w:sz w:val="16"/>
          <w:szCs w:val="16"/>
        </w:rPr>
        <w:t>Conforme indicó la Comisión, e</w:t>
      </w:r>
      <w:r w:rsidRPr="000031DD">
        <w:rPr>
          <w:rFonts w:ascii="Verdana" w:hAnsi="Verdana"/>
          <w:sz w:val="16"/>
          <w:szCs w:val="16"/>
        </w:rPr>
        <w:t>n 2019 tomó nota</w:t>
      </w:r>
      <w:r>
        <w:rPr>
          <w:rFonts w:ascii="Verdana" w:hAnsi="Verdana"/>
          <w:sz w:val="16"/>
          <w:szCs w:val="16"/>
        </w:rPr>
        <w:t>,</w:t>
      </w:r>
      <w:r w:rsidRPr="000031DD">
        <w:rPr>
          <w:rFonts w:ascii="Verdana" w:hAnsi="Verdana"/>
          <w:sz w:val="16"/>
          <w:szCs w:val="16"/>
        </w:rPr>
        <w:t xml:space="preserve"> mediante un comunicado de prensa, que el 30 de mayo de 2019</w:t>
      </w:r>
      <w:r>
        <w:rPr>
          <w:rFonts w:ascii="Verdana" w:hAnsi="Verdana"/>
          <w:sz w:val="16"/>
          <w:szCs w:val="16"/>
        </w:rPr>
        <w:t xml:space="preserve"> </w:t>
      </w:r>
      <w:r w:rsidRPr="000031DD">
        <w:rPr>
          <w:rFonts w:ascii="Verdana" w:hAnsi="Verdana"/>
          <w:sz w:val="16"/>
          <w:szCs w:val="16"/>
        </w:rPr>
        <w:t xml:space="preserve">la Suprema Corte de Justicia desestimó por unanimidad un recurso de casación interpuesto por la defensa en </w:t>
      </w:r>
      <w:r>
        <w:rPr>
          <w:rFonts w:ascii="Verdana" w:hAnsi="Verdana"/>
          <w:sz w:val="16"/>
          <w:szCs w:val="16"/>
        </w:rPr>
        <w:t>un</w:t>
      </w:r>
      <w:r w:rsidRPr="000031DD">
        <w:rPr>
          <w:rFonts w:ascii="Verdana" w:hAnsi="Verdana"/>
          <w:sz w:val="16"/>
          <w:szCs w:val="16"/>
        </w:rPr>
        <w:t xml:space="preserve"> caso de “homicidio muy especialmente agravado”. En la fundamentación, </w:t>
      </w:r>
      <w:r>
        <w:rPr>
          <w:rFonts w:ascii="Verdana" w:hAnsi="Verdana"/>
          <w:sz w:val="16"/>
          <w:szCs w:val="16"/>
        </w:rPr>
        <w:t>la Suprema Corte de Justicia</w:t>
      </w:r>
      <w:r w:rsidRPr="000031DD">
        <w:rPr>
          <w:rFonts w:ascii="Verdana" w:hAnsi="Verdana"/>
          <w:sz w:val="16"/>
          <w:szCs w:val="16"/>
        </w:rPr>
        <w:t xml:space="preserve"> consideró que “no es computable el período del régimen de facto para calcular el plazo de prescripción de la acción penal, ya que durante ese tiempo su titular estuvo impedido de promover las investigaciones correspondientes”</w:t>
      </w:r>
      <w:r>
        <w:rPr>
          <w:rFonts w:ascii="Verdana" w:hAnsi="Verdana"/>
          <w:sz w:val="16"/>
          <w:szCs w:val="16"/>
        </w:rPr>
        <w:t xml:space="preserve"> (</w:t>
      </w:r>
      <w:r w:rsidRPr="000031DD">
        <w:rPr>
          <w:rFonts w:ascii="Verdana" w:hAnsi="Verdana" w:cs="Times New Roman"/>
          <w:sz w:val="16"/>
          <w:szCs w:val="16"/>
        </w:rPr>
        <w:t xml:space="preserve">Comunicado </w:t>
      </w:r>
      <w:r w:rsidRPr="00F137AF">
        <w:rPr>
          <w:rFonts w:ascii="Verdana" w:hAnsi="Verdana" w:cs="Times New Roman"/>
          <w:sz w:val="16"/>
          <w:szCs w:val="16"/>
        </w:rPr>
        <w:t xml:space="preserve">de prensa de 24 de julio de 2019, </w:t>
      </w:r>
      <w:r w:rsidRPr="00CA1127">
        <w:rPr>
          <w:rFonts w:ascii="Verdana" w:hAnsi="Verdana" w:cs="Times New Roman"/>
          <w:i/>
          <w:sz w:val="16"/>
          <w:szCs w:val="16"/>
        </w:rPr>
        <w:t>CIDH toma nota de decisión judicial en Uruguay que limita la aplicación de la prescripción en crimen cometido durante la dictadura cívico militar</w:t>
      </w:r>
      <w:r w:rsidRPr="00CA1127">
        <w:rPr>
          <w:rFonts w:ascii="Verdana" w:hAnsi="Verdana" w:cs="Times New Roman"/>
          <w:sz w:val="16"/>
          <w:szCs w:val="16"/>
        </w:rPr>
        <w:t>).</w:t>
      </w:r>
    </w:p>
    <w:p w14:paraId="2F3AE2F5" w14:textId="77777777" w:rsidR="00DD280C" w:rsidRPr="00F137AF" w:rsidRDefault="00DD280C" w:rsidP="00FD0466">
      <w:pPr>
        <w:autoSpaceDE w:val="0"/>
        <w:autoSpaceDN w:val="0"/>
        <w:adjustRightInd w:val="0"/>
        <w:spacing w:after="0" w:line="240" w:lineRule="auto"/>
        <w:jc w:val="both"/>
        <w:rPr>
          <w:rFonts w:ascii="Verdana" w:hAnsi="Verdana" w:cs="Times New Roman"/>
          <w:sz w:val="16"/>
          <w:szCs w:val="16"/>
        </w:rPr>
      </w:pPr>
    </w:p>
  </w:footnote>
  <w:footnote w:id="39">
    <w:p w14:paraId="012191BF" w14:textId="0EA004E0" w:rsidR="00DD280C" w:rsidRDefault="00DD280C" w:rsidP="00FD0466">
      <w:pPr>
        <w:pStyle w:val="Textonotapie"/>
        <w:rPr>
          <w:rFonts w:ascii="Verdana" w:hAnsi="Verdana" w:cs="Times New Roman"/>
          <w:sz w:val="16"/>
          <w:szCs w:val="16"/>
        </w:rPr>
      </w:pPr>
      <w:r w:rsidRPr="00F137AF">
        <w:rPr>
          <w:rStyle w:val="Refdenotaalpie"/>
        </w:rPr>
        <w:footnoteRef/>
      </w:r>
      <w:r w:rsidRPr="005A5029">
        <w:t xml:space="preserve">  </w:t>
      </w:r>
      <w:r w:rsidRPr="005A5029">
        <w:tab/>
      </w:r>
      <w:r w:rsidRPr="005A5029">
        <w:rPr>
          <w:rFonts w:ascii="Verdana" w:hAnsi="Verdana" w:cs="Times New Roman"/>
          <w:i/>
          <w:sz w:val="16"/>
          <w:szCs w:val="16"/>
        </w:rPr>
        <w:t xml:space="preserve">Cfr. Caso Gelman Vs. Uruguay. </w:t>
      </w:r>
      <w:r w:rsidRPr="00F137AF">
        <w:rPr>
          <w:rFonts w:ascii="Verdana" w:hAnsi="Verdana" w:cs="Times New Roman"/>
          <w:i/>
          <w:sz w:val="16"/>
          <w:szCs w:val="16"/>
        </w:rPr>
        <w:t>Supervisión de Cumplimiento de Sentencia.</w:t>
      </w:r>
      <w:r w:rsidRPr="00F137AF">
        <w:rPr>
          <w:rFonts w:ascii="Verdana" w:hAnsi="Verdana" w:cs="Times New Roman"/>
          <w:sz w:val="16"/>
          <w:szCs w:val="16"/>
        </w:rPr>
        <w:t xml:space="preserve"> Resolución de la Corte Interamericana de Derechos Humanos de 19 de noviembre de 2020, Considerando 30.</w:t>
      </w:r>
    </w:p>
    <w:p w14:paraId="7FE0FD76" w14:textId="77777777" w:rsidR="00DD280C" w:rsidRDefault="00DD280C" w:rsidP="00FD0466">
      <w:pPr>
        <w:pStyle w:val="Textonotapie"/>
      </w:pPr>
    </w:p>
  </w:footnote>
  <w:footnote w:id="40">
    <w:p w14:paraId="75689718" w14:textId="156C4CCD"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 15 de octubre de 1986 por el "homicidio" de Laura Raggio, Silvia Reyes y Diana </w:t>
      </w:r>
      <w:proofErr w:type="spellStart"/>
      <w:r w:rsidRPr="000031DD">
        <w:rPr>
          <w:rFonts w:ascii="Verdana" w:hAnsi="Verdana" w:cs="Times New Roman"/>
          <w:sz w:val="16"/>
          <w:szCs w:val="16"/>
        </w:rPr>
        <w:t>Maidanik</w:t>
      </w:r>
      <w:proofErr w:type="spellEnd"/>
      <w:r w:rsidRPr="000031DD">
        <w:rPr>
          <w:rFonts w:ascii="Verdana" w:hAnsi="Verdana" w:cs="Times New Roman"/>
          <w:sz w:val="16"/>
          <w:szCs w:val="16"/>
        </w:rPr>
        <w:t xml:space="preserve"> (expediente de prueba, anexo 2.1 al Informe de Fondo, fs</w:t>
      </w:r>
      <w:r>
        <w:rPr>
          <w:rFonts w:ascii="Verdana" w:hAnsi="Verdana" w:cs="Times New Roman"/>
          <w:sz w:val="16"/>
          <w:szCs w:val="16"/>
        </w:rPr>
        <w:t>.</w:t>
      </w:r>
      <w:r w:rsidRPr="000031DD">
        <w:rPr>
          <w:rFonts w:ascii="Verdana" w:hAnsi="Verdana" w:cs="Times New Roman"/>
          <w:sz w:val="16"/>
          <w:szCs w:val="16"/>
        </w:rPr>
        <w:t xml:space="preserve"> 269 a 274)</w:t>
      </w:r>
      <w:r>
        <w:rPr>
          <w:rFonts w:ascii="Verdana" w:hAnsi="Verdana" w:cs="Times New Roman"/>
          <w:sz w:val="16"/>
          <w:szCs w:val="16"/>
        </w:rPr>
        <w:t>.</w:t>
      </w:r>
      <w:r w:rsidRPr="000031DD">
        <w:rPr>
          <w:rFonts w:ascii="Verdana" w:hAnsi="Verdana" w:cs="Times New Roman"/>
          <w:sz w:val="16"/>
          <w:szCs w:val="16"/>
        </w:rPr>
        <w:t xml:space="preserve"> </w:t>
      </w:r>
    </w:p>
    <w:p w14:paraId="4879696E"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41">
    <w:p w14:paraId="74CE8895" w14:textId="1FBEE00E"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 15 de octubre de 1986 por el "homicidio" de Laura Raggio, Silvia Reyes y Diana </w:t>
      </w:r>
      <w:proofErr w:type="spellStart"/>
      <w:r w:rsidRPr="000031DD">
        <w:rPr>
          <w:rFonts w:ascii="Verdana" w:hAnsi="Verdana" w:cs="Times New Roman"/>
          <w:sz w:val="16"/>
          <w:szCs w:val="16"/>
        </w:rPr>
        <w:t>Maidanik</w:t>
      </w:r>
      <w:proofErr w:type="spellEnd"/>
      <w:r>
        <w:rPr>
          <w:rFonts w:ascii="Verdana" w:hAnsi="Verdana" w:cs="Times New Roman"/>
          <w:sz w:val="16"/>
          <w:szCs w:val="16"/>
        </w:rPr>
        <w:t>.</w:t>
      </w:r>
      <w:r w:rsidRPr="000031DD">
        <w:rPr>
          <w:rFonts w:ascii="Verdana" w:hAnsi="Verdana" w:cs="Times New Roman"/>
          <w:sz w:val="16"/>
          <w:szCs w:val="16"/>
        </w:rPr>
        <w:t xml:space="preserve"> </w:t>
      </w:r>
    </w:p>
    <w:p w14:paraId="325AC45A"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42">
    <w:p w14:paraId="2896AABD" w14:textId="6F222D56"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 15 de octubre de 1986 por el "homicidio" de Laura Raggio, Silvia Reyes y Diana </w:t>
      </w:r>
      <w:proofErr w:type="spellStart"/>
      <w:r w:rsidRPr="000031DD">
        <w:rPr>
          <w:rFonts w:ascii="Verdana" w:hAnsi="Verdana" w:cs="Times New Roman"/>
          <w:sz w:val="16"/>
          <w:szCs w:val="16"/>
        </w:rPr>
        <w:t>Maidanik</w:t>
      </w:r>
      <w:proofErr w:type="spellEnd"/>
      <w:r>
        <w:rPr>
          <w:rFonts w:ascii="Verdana" w:hAnsi="Verdana" w:cs="Times New Roman"/>
          <w:sz w:val="16"/>
          <w:szCs w:val="16"/>
        </w:rPr>
        <w:t>.</w:t>
      </w:r>
      <w:r w:rsidRPr="000031DD">
        <w:rPr>
          <w:rFonts w:ascii="Verdana" w:hAnsi="Verdana" w:cs="Times New Roman"/>
          <w:sz w:val="16"/>
          <w:szCs w:val="16"/>
        </w:rPr>
        <w:t xml:space="preserve"> </w:t>
      </w:r>
      <w:r>
        <w:rPr>
          <w:rFonts w:ascii="Verdana" w:hAnsi="Verdana" w:cs="Times New Roman"/>
          <w:sz w:val="16"/>
          <w:szCs w:val="16"/>
        </w:rPr>
        <w:t xml:space="preserve">Los representantes señalaron que Washington Javier Barrios Fernández se encuentra desaparecido. Los hechos relativos a la señalada desaparición del señor Barrios Fernández no fueron sometidos a conocimiento de este Tribunal. </w:t>
      </w:r>
    </w:p>
    <w:p w14:paraId="3720E7FB"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43">
    <w:p w14:paraId="0470616D" w14:textId="71A3CDE4"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Denuncia presentada por Amalia González de González por la desaparición de su hijo Luis Eduardo González ante el Juzgado Letrado de Primera Instancia en lo Penal de 10º Turno (expediente de prueba, anexo 1.1 al Informe de Fondo, fs</w:t>
      </w:r>
      <w:r>
        <w:rPr>
          <w:rFonts w:ascii="Verdana" w:hAnsi="Verdana" w:cs="Times New Roman"/>
          <w:sz w:val="16"/>
          <w:szCs w:val="16"/>
        </w:rPr>
        <w:t>.</w:t>
      </w:r>
      <w:r w:rsidRPr="000031DD">
        <w:rPr>
          <w:rFonts w:ascii="Verdana" w:hAnsi="Verdana" w:cs="Times New Roman"/>
          <w:sz w:val="16"/>
          <w:szCs w:val="16"/>
        </w:rPr>
        <w:t xml:space="preserve"> 7 a 20)</w:t>
      </w:r>
      <w:r>
        <w:rPr>
          <w:rFonts w:ascii="Verdana" w:hAnsi="Verdana" w:cs="Times New Roman"/>
          <w:sz w:val="16"/>
          <w:szCs w:val="16"/>
        </w:rPr>
        <w:t>.</w:t>
      </w:r>
    </w:p>
    <w:p w14:paraId="665652E2"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44">
    <w:p w14:paraId="18B6A276" w14:textId="275C16E5" w:rsidR="00DD280C" w:rsidRDefault="00DD280C" w:rsidP="00FD0466">
      <w:pPr>
        <w:autoSpaceDE w:val="0"/>
        <w:autoSpaceDN w:val="0"/>
        <w:adjustRightInd w:val="0"/>
        <w:spacing w:after="0" w:line="240" w:lineRule="auto"/>
        <w:jc w:val="both"/>
        <w:rPr>
          <w:rFonts w:ascii="Verdana" w:hAnsi="Verdana" w:cs="Times New Roman"/>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 </w:t>
      </w:r>
      <w:proofErr w:type="spellStart"/>
      <w:r w:rsidRPr="000031DD">
        <w:rPr>
          <w:rFonts w:ascii="Verdana" w:hAnsi="Verdana" w:cs="Times New Roman"/>
          <w:sz w:val="16"/>
          <w:szCs w:val="16"/>
        </w:rPr>
        <w:t>Disnarda</w:t>
      </w:r>
      <w:proofErr w:type="spellEnd"/>
      <w:r w:rsidRPr="000031DD">
        <w:rPr>
          <w:rFonts w:ascii="Verdana" w:hAnsi="Verdana" w:cs="Times New Roman"/>
          <w:sz w:val="16"/>
          <w:szCs w:val="16"/>
        </w:rPr>
        <w:t xml:space="preserve"> Flores por la desaparición de </w:t>
      </w:r>
      <w:r>
        <w:rPr>
          <w:rFonts w:ascii="Verdana" w:hAnsi="Verdana" w:cs="Times New Roman"/>
          <w:sz w:val="16"/>
          <w:szCs w:val="16"/>
        </w:rPr>
        <w:t>Ó</w:t>
      </w:r>
      <w:r w:rsidRPr="000031DD">
        <w:rPr>
          <w:rFonts w:ascii="Verdana" w:hAnsi="Verdana" w:cs="Times New Roman"/>
          <w:sz w:val="16"/>
          <w:szCs w:val="16"/>
        </w:rPr>
        <w:t xml:space="preserve">scar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w:t>
      </w:r>
      <w:proofErr w:type="spellStart"/>
      <w:r w:rsidRPr="000031DD">
        <w:rPr>
          <w:rFonts w:ascii="Verdana" w:hAnsi="Verdana" w:cs="Times New Roman"/>
          <w:sz w:val="16"/>
          <w:szCs w:val="16"/>
        </w:rPr>
        <w:t>Asteazu</w:t>
      </w:r>
      <w:proofErr w:type="spellEnd"/>
      <w:r w:rsidRPr="000031DD">
        <w:rPr>
          <w:rFonts w:ascii="Verdana" w:hAnsi="Verdana" w:cs="Times New Roman"/>
          <w:sz w:val="16"/>
          <w:szCs w:val="16"/>
        </w:rPr>
        <w:t xml:space="preserve"> (expediente de prueba, anexo 1.1 al Informe de Fondo, fs</w:t>
      </w:r>
      <w:r>
        <w:rPr>
          <w:rFonts w:ascii="Verdana" w:hAnsi="Verdana" w:cs="Times New Roman"/>
          <w:sz w:val="16"/>
          <w:szCs w:val="16"/>
        </w:rPr>
        <w:t>.</w:t>
      </w:r>
      <w:r w:rsidRPr="000031DD">
        <w:rPr>
          <w:rFonts w:ascii="Verdana" w:hAnsi="Verdana" w:cs="Times New Roman"/>
          <w:sz w:val="16"/>
          <w:szCs w:val="16"/>
        </w:rPr>
        <w:t xml:space="preserve"> 970 a 982)</w:t>
      </w:r>
      <w:r>
        <w:rPr>
          <w:rFonts w:ascii="Verdana" w:hAnsi="Verdana" w:cs="Times New Roman"/>
          <w:sz w:val="16"/>
          <w:szCs w:val="16"/>
        </w:rPr>
        <w:t>.</w:t>
      </w:r>
      <w:r w:rsidRPr="000031DD">
        <w:rPr>
          <w:rFonts w:ascii="Verdana" w:hAnsi="Verdana" w:cs="Times New Roman"/>
          <w:sz w:val="16"/>
          <w:szCs w:val="16"/>
        </w:rPr>
        <w:t xml:space="preserve"> </w:t>
      </w:r>
    </w:p>
    <w:p w14:paraId="31835419"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45">
    <w:p w14:paraId="163E04A6" w14:textId="53183C96"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del 15 de octubre de 1986 por el "homicidio" de Laura Raggio, Silvia Reyes y Diana </w:t>
      </w:r>
      <w:proofErr w:type="spellStart"/>
      <w:r w:rsidRPr="000031DD">
        <w:rPr>
          <w:rFonts w:ascii="Verdana" w:hAnsi="Verdana" w:cs="Times New Roman"/>
          <w:sz w:val="16"/>
          <w:szCs w:val="16"/>
        </w:rPr>
        <w:t>Maidanik</w:t>
      </w:r>
      <w:proofErr w:type="spellEnd"/>
      <w:r>
        <w:rPr>
          <w:rFonts w:ascii="Verdana" w:hAnsi="Verdana" w:cs="Times New Roman"/>
          <w:sz w:val="16"/>
          <w:szCs w:val="16"/>
        </w:rPr>
        <w:t>.</w:t>
      </w:r>
    </w:p>
    <w:p w14:paraId="6445054E"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46">
    <w:p w14:paraId="46E97999" w14:textId="4E8ADF4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del 15 de octubre de 1986 por el "homicidio" de Laura Raggio, Silvia Reyes y Diana </w:t>
      </w:r>
      <w:proofErr w:type="spellStart"/>
      <w:r w:rsidRPr="000031DD">
        <w:rPr>
          <w:rFonts w:ascii="Verdana" w:hAnsi="Verdana" w:cs="Times New Roman"/>
          <w:sz w:val="16"/>
          <w:szCs w:val="16"/>
        </w:rPr>
        <w:t>Maidanik</w:t>
      </w:r>
      <w:proofErr w:type="spellEnd"/>
      <w:r>
        <w:rPr>
          <w:rFonts w:ascii="Verdana" w:hAnsi="Verdana" w:cs="Times New Roman"/>
          <w:sz w:val="16"/>
          <w:szCs w:val="16"/>
        </w:rPr>
        <w:t>.</w:t>
      </w:r>
      <w:r w:rsidRPr="000031DD">
        <w:rPr>
          <w:rFonts w:ascii="Verdana" w:hAnsi="Verdana" w:cs="Times New Roman"/>
          <w:sz w:val="16"/>
          <w:szCs w:val="16"/>
        </w:rPr>
        <w:t xml:space="preserve"> </w:t>
      </w:r>
    </w:p>
    <w:p w14:paraId="05EAAA84"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47">
    <w:p w14:paraId="169C4BD1" w14:textId="1AC8F132"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Testimonio </w:t>
      </w:r>
      <w:r>
        <w:rPr>
          <w:rFonts w:ascii="Verdana" w:hAnsi="Verdana" w:cs="Times New Roman"/>
          <w:sz w:val="16"/>
          <w:szCs w:val="16"/>
        </w:rPr>
        <w:t>H.C.</w:t>
      </w:r>
      <w:r w:rsidRPr="000031DD">
        <w:rPr>
          <w:rFonts w:ascii="Verdana" w:hAnsi="Verdana" w:cs="Times New Roman"/>
          <w:sz w:val="16"/>
          <w:szCs w:val="16"/>
        </w:rPr>
        <w:t xml:space="preserve"> vecino de Silvia Reyes sobre los hechos relacionados a la muerte de Silvia Reyes, Laura Raggio y Diana </w:t>
      </w:r>
      <w:proofErr w:type="spellStart"/>
      <w:r w:rsidRPr="000031DD">
        <w:rPr>
          <w:rFonts w:ascii="Verdana" w:hAnsi="Verdana" w:cs="Times New Roman"/>
          <w:sz w:val="16"/>
          <w:szCs w:val="16"/>
        </w:rPr>
        <w:t>Maidanik</w:t>
      </w:r>
      <w:proofErr w:type="spellEnd"/>
      <w:r w:rsidRPr="000031DD">
        <w:rPr>
          <w:rFonts w:ascii="Verdana" w:hAnsi="Verdana" w:cs="Times New Roman"/>
          <w:sz w:val="16"/>
          <w:szCs w:val="16"/>
        </w:rPr>
        <w:t xml:space="preserve"> (expediente de prueba, anexo 2.21 al Informe de Fondo, fs</w:t>
      </w:r>
      <w:r>
        <w:rPr>
          <w:rFonts w:ascii="Verdana" w:hAnsi="Verdana" w:cs="Times New Roman"/>
          <w:sz w:val="16"/>
          <w:szCs w:val="16"/>
        </w:rPr>
        <w:t>.</w:t>
      </w:r>
      <w:r w:rsidRPr="000031DD">
        <w:rPr>
          <w:rFonts w:ascii="Verdana" w:hAnsi="Verdana" w:cs="Times New Roman"/>
          <w:sz w:val="16"/>
          <w:szCs w:val="16"/>
        </w:rPr>
        <w:t xml:space="preserve"> 941 a 946). </w:t>
      </w:r>
      <w:r w:rsidRPr="00F1664E">
        <w:rPr>
          <w:rFonts w:ascii="Verdana" w:hAnsi="Verdana" w:cs="Times New Roman"/>
          <w:sz w:val="16"/>
          <w:szCs w:val="16"/>
        </w:rPr>
        <w:t>Consta</w:t>
      </w:r>
      <w:r>
        <w:rPr>
          <w:rFonts w:ascii="Verdana" w:hAnsi="Verdana" w:cs="Times New Roman"/>
          <w:sz w:val="16"/>
          <w:szCs w:val="16"/>
        </w:rPr>
        <w:t xml:space="preserve"> también</w:t>
      </w:r>
      <w:r w:rsidRPr="00F1664E">
        <w:rPr>
          <w:rFonts w:ascii="Verdana" w:hAnsi="Verdana" w:cs="Times New Roman"/>
          <w:sz w:val="16"/>
          <w:szCs w:val="16"/>
        </w:rPr>
        <w:t xml:space="preserve"> la declaración de Hilda María Fernández Rodríguez, suegra de Silvia Reyes, quien se encontraba presente cuando ocurrieron los hechos, en la residencia que estaba frente al apartamento en que estaban las tres jóvenes que murieron (</w:t>
      </w:r>
      <w:r w:rsidRPr="006C29E8">
        <w:rPr>
          <w:rFonts w:ascii="Verdana" w:hAnsi="Verdana" w:cs="Times New Roman"/>
          <w:i/>
          <w:sz w:val="16"/>
          <w:szCs w:val="16"/>
        </w:rPr>
        <w:t xml:space="preserve">cfr. </w:t>
      </w:r>
      <w:r w:rsidRPr="00F1664E">
        <w:rPr>
          <w:rFonts w:ascii="Verdana" w:hAnsi="Verdana" w:cs="Times New Roman"/>
          <w:sz w:val="16"/>
          <w:szCs w:val="16"/>
        </w:rPr>
        <w:t>declaración de Hilda María Fernández Rodríguez de 22 de octubre de 1986 (expediente de prueba, anexo 2.4 al Informe de Fondo, fs. 294 a 302)). La señora Fernández Rodriguez entre otros señalamientos, manifestó que en el curso de los acontecimientos mencionó</w:t>
      </w:r>
      <w:r w:rsidR="0094586F">
        <w:rPr>
          <w:rFonts w:ascii="Verdana" w:hAnsi="Verdana" w:cs="Times New Roman"/>
          <w:sz w:val="16"/>
          <w:szCs w:val="16"/>
        </w:rPr>
        <w:t xml:space="preserve"> que su nuera estaba embarazada</w:t>
      </w:r>
      <w:r w:rsidRPr="00F1664E">
        <w:rPr>
          <w:rFonts w:ascii="Verdana" w:hAnsi="Verdana" w:cs="Times New Roman"/>
          <w:sz w:val="16"/>
          <w:szCs w:val="16"/>
        </w:rPr>
        <w:t>. Al respecto, también c</w:t>
      </w:r>
      <w:r>
        <w:rPr>
          <w:rFonts w:ascii="Verdana" w:hAnsi="Verdana" w:cs="Times New Roman"/>
          <w:sz w:val="16"/>
          <w:szCs w:val="16"/>
        </w:rPr>
        <w:t>onsta la declaración de Jaqueline</w:t>
      </w:r>
      <w:r w:rsidRPr="00F1664E">
        <w:rPr>
          <w:rFonts w:ascii="Verdana" w:hAnsi="Verdana" w:cs="Times New Roman"/>
          <w:sz w:val="16"/>
          <w:szCs w:val="16"/>
        </w:rPr>
        <w:t xml:space="preserve"> Barrios Fernández, quien señaló que, por la sangre que vio en el lugar con posterioridad a los hechos, advirtió que las tres jóvenes fueron ultimadas “detrás de la puerta” de la residencia, pues solo en un lugar de la misma había sangre, y era, a juicio de la declarante, el único lugar en el que ellas “podían re</w:t>
      </w:r>
      <w:r>
        <w:rPr>
          <w:rFonts w:ascii="Verdana" w:hAnsi="Verdana" w:cs="Times New Roman"/>
          <w:sz w:val="16"/>
          <w:szCs w:val="16"/>
        </w:rPr>
        <w:t>fugiarse” (</w:t>
      </w:r>
      <w:r w:rsidRPr="005269FF">
        <w:rPr>
          <w:rFonts w:ascii="Verdana" w:hAnsi="Verdana" w:cs="Times New Roman"/>
          <w:i/>
          <w:sz w:val="16"/>
          <w:szCs w:val="16"/>
        </w:rPr>
        <w:t>cfr.</w:t>
      </w:r>
      <w:r>
        <w:rPr>
          <w:rFonts w:ascii="Verdana" w:hAnsi="Verdana" w:cs="Times New Roman"/>
          <w:sz w:val="16"/>
          <w:szCs w:val="16"/>
        </w:rPr>
        <w:t xml:space="preserve"> declaración de Jaqueline</w:t>
      </w:r>
      <w:r w:rsidRPr="00F1664E">
        <w:rPr>
          <w:rFonts w:ascii="Verdana" w:hAnsi="Verdana" w:cs="Times New Roman"/>
          <w:sz w:val="16"/>
          <w:szCs w:val="16"/>
        </w:rPr>
        <w:t xml:space="preserve"> Barrios Fernández de 22 de octubre de 1986 (expediente de prueba, anexo 2.3 al In</w:t>
      </w:r>
      <w:r w:rsidR="0094586F">
        <w:rPr>
          <w:rFonts w:ascii="Verdana" w:hAnsi="Verdana" w:cs="Times New Roman"/>
          <w:sz w:val="16"/>
          <w:szCs w:val="16"/>
        </w:rPr>
        <w:t>forme de Fondo, fs. 286 a 292))</w:t>
      </w:r>
      <w:r w:rsidRPr="00F1664E">
        <w:rPr>
          <w:rFonts w:ascii="Verdana" w:hAnsi="Verdana" w:cs="Times New Roman"/>
          <w:sz w:val="16"/>
          <w:szCs w:val="16"/>
        </w:rPr>
        <w:t>.</w:t>
      </w:r>
    </w:p>
    <w:p w14:paraId="05155DCE"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48">
    <w:p w14:paraId="1FBC6940" w14:textId="6AFAE08D"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del 15 de octubre de 1986 por el "homicidio" de Laura Raggio, Silvia Reyes y Diana </w:t>
      </w:r>
      <w:proofErr w:type="spellStart"/>
      <w:r w:rsidRPr="000031DD">
        <w:rPr>
          <w:rFonts w:ascii="Verdana" w:hAnsi="Verdana" w:cs="Times New Roman"/>
          <w:sz w:val="16"/>
          <w:szCs w:val="16"/>
        </w:rPr>
        <w:t>Maidanik</w:t>
      </w:r>
      <w:proofErr w:type="spellEnd"/>
      <w:r w:rsidRPr="000031DD">
        <w:rPr>
          <w:rFonts w:ascii="Verdana" w:hAnsi="Verdana" w:cs="Times New Roman"/>
          <w:sz w:val="16"/>
          <w:szCs w:val="16"/>
        </w:rPr>
        <w:t xml:space="preserve">. </w:t>
      </w:r>
    </w:p>
    <w:p w14:paraId="1A1E85AF" w14:textId="77777777" w:rsidR="00DD280C" w:rsidRPr="000031DD" w:rsidRDefault="00DD280C" w:rsidP="00FD0466">
      <w:pPr>
        <w:pStyle w:val="Textonotapie"/>
        <w:jc w:val="both"/>
        <w:rPr>
          <w:rFonts w:ascii="Verdana" w:hAnsi="Verdana"/>
          <w:sz w:val="16"/>
          <w:szCs w:val="16"/>
        </w:rPr>
      </w:pPr>
    </w:p>
  </w:footnote>
  <w:footnote w:id="49">
    <w:p w14:paraId="1FFB3E5A" w14:textId="0C31D443" w:rsidR="00DD280C" w:rsidRPr="000031DD" w:rsidRDefault="00DD280C" w:rsidP="00FD0466">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del 15 de octubre de 1986 por el "homicidio" de Laura Raggio, Silvia Reyes y Diana </w:t>
      </w:r>
      <w:proofErr w:type="spellStart"/>
      <w:r w:rsidRPr="000031DD">
        <w:rPr>
          <w:rFonts w:ascii="Verdana" w:hAnsi="Verdana" w:cs="Times New Roman"/>
          <w:sz w:val="16"/>
          <w:szCs w:val="16"/>
        </w:rPr>
        <w:t>Maidanik</w:t>
      </w:r>
      <w:proofErr w:type="spellEnd"/>
      <w:r w:rsidRPr="000031DD">
        <w:rPr>
          <w:rFonts w:ascii="Verdana" w:hAnsi="Verdana" w:cs="Times New Roman"/>
          <w:sz w:val="16"/>
          <w:szCs w:val="16"/>
        </w:rPr>
        <w:t xml:space="preserve">. </w:t>
      </w:r>
    </w:p>
    <w:p w14:paraId="0493C9E2" w14:textId="77777777" w:rsidR="00DD280C" w:rsidRPr="000031DD" w:rsidRDefault="00DD280C" w:rsidP="00FD0466">
      <w:pPr>
        <w:pStyle w:val="Textonotapie"/>
        <w:jc w:val="both"/>
        <w:rPr>
          <w:rFonts w:ascii="Verdana" w:hAnsi="Verdana"/>
          <w:sz w:val="16"/>
          <w:szCs w:val="16"/>
        </w:rPr>
      </w:pPr>
    </w:p>
  </w:footnote>
  <w:footnote w:id="50">
    <w:p w14:paraId="34B485A5" w14:textId="12868A0C" w:rsidR="00DD280C" w:rsidRPr="000031DD" w:rsidRDefault="00DD280C" w:rsidP="00FD0466">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del 15 de octubre de 1986 por el "homicidio" de Laura Raggio, Silvia Reyes y Diana </w:t>
      </w:r>
      <w:proofErr w:type="spellStart"/>
      <w:r w:rsidRPr="000031DD">
        <w:rPr>
          <w:rFonts w:ascii="Verdana" w:hAnsi="Verdana" w:cs="Times New Roman"/>
          <w:sz w:val="16"/>
          <w:szCs w:val="16"/>
        </w:rPr>
        <w:t>Maidanik</w:t>
      </w:r>
      <w:proofErr w:type="spellEnd"/>
      <w:r>
        <w:rPr>
          <w:rFonts w:ascii="Verdana" w:hAnsi="Verdana" w:cs="Times New Roman"/>
          <w:sz w:val="16"/>
          <w:szCs w:val="16"/>
        </w:rPr>
        <w:t xml:space="preserve">; </w:t>
      </w:r>
      <w:r>
        <w:rPr>
          <w:rFonts w:ascii="Verdana" w:hAnsi="Verdana"/>
          <w:sz w:val="16"/>
          <w:szCs w:val="16"/>
        </w:rPr>
        <w:t>t</w:t>
      </w:r>
      <w:r w:rsidRPr="000031DD">
        <w:rPr>
          <w:rFonts w:ascii="Verdana" w:hAnsi="Verdana"/>
          <w:sz w:val="16"/>
          <w:szCs w:val="16"/>
        </w:rPr>
        <w:t xml:space="preserve">estimonio de Jacqueline Barrios Fernández, cuñada de Silvia Reyes sobre los hechos relacionados a la muerte de Silvia Reyes, Laura Raggio y Diana </w:t>
      </w:r>
      <w:proofErr w:type="spellStart"/>
      <w:r w:rsidRPr="000031DD">
        <w:rPr>
          <w:rFonts w:ascii="Verdana" w:hAnsi="Verdana"/>
          <w:sz w:val="16"/>
          <w:szCs w:val="16"/>
        </w:rPr>
        <w:t>Maidanik</w:t>
      </w:r>
      <w:proofErr w:type="spellEnd"/>
      <w:r w:rsidRPr="000031DD">
        <w:rPr>
          <w:rFonts w:ascii="Verdana" w:hAnsi="Verdana" w:cs="Times New Roman"/>
          <w:sz w:val="16"/>
          <w:szCs w:val="16"/>
        </w:rPr>
        <w:t xml:space="preserve"> (expediente de prueba, anexo 2.</w:t>
      </w:r>
      <w:r>
        <w:rPr>
          <w:rFonts w:ascii="Verdana" w:hAnsi="Verdana" w:cs="Times New Roman"/>
          <w:sz w:val="16"/>
          <w:szCs w:val="16"/>
        </w:rPr>
        <w:t>3</w:t>
      </w:r>
      <w:r w:rsidRPr="000031DD">
        <w:rPr>
          <w:rFonts w:ascii="Verdana" w:hAnsi="Verdana" w:cs="Times New Roman"/>
          <w:sz w:val="16"/>
          <w:szCs w:val="16"/>
        </w:rPr>
        <w:t xml:space="preserve"> al Informe de Fondo, fs</w:t>
      </w:r>
      <w:r>
        <w:rPr>
          <w:rFonts w:ascii="Verdana" w:hAnsi="Verdana" w:cs="Times New Roman"/>
          <w:sz w:val="16"/>
          <w:szCs w:val="16"/>
        </w:rPr>
        <w:t>.</w:t>
      </w:r>
      <w:r w:rsidRPr="000031DD">
        <w:rPr>
          <w:rFonts w:ascii="Verdana" w:hAnsi="Verdana" w:cs="Times New Roman"/>
          <w:sz w:val="16"/>
          <w:szCs w:val="16"/>
        </w:rPr>
        <w:t xml:space="preserve"> 287 a 292)</w:t>
      </w:r>
      <w:r w:rsidRPr="000031DD">
        <w:rPr>
          <w:rFonts w:ascii="Verdana" w:hAnsi="Verdana"/>
          <w:sz w:val="16"/>
          <w:szCs w:val="16"/>
        </w:rPr>
        <w:t xml:space="preserve">; Segundo testimonio de Jacqueline Barrios Fernández, cuñada de Silvia Reyes sobre los hechos relacionados a la muerte de Silvia Reyes, Laura Raggio y Diana </w:t>
      </w:r>
      <w:proofErr w:type="spellStart"/>
      <w:r w:rsidRPr="000031DD">
        <w:rPr>
          <w:rFonts w:ascii="Verdana" w:hAnsi="Verdana"/>
          <w:sz w:val="16"/>
          <w:szCs w:val="16"/>
        </w:rPr>
        <w:t>Maidanik</w:t>
      </w:r>
      <w:proofErr w:type="spellEnd"/>
      <w:r w:rsidRPr="000031DD">
        <w:rPr>
          <w:rFonts w:ascii="Verdana" w:hAnsi="Verdana"/>
          <w:sz w:val="16"/>
          <w:szCs w:val="16"/>
        </w:rPr>
        <w:t xml:space="preserve"> </w:t>
      </w:r>
      <w:r w:rsidRPr="000031DD">
        <w:rPr>
          <w:rFonts w:ascii="Verdana" w:hAnsi="Verdana" w:cs="Times New Roman"/>
          <w:sz w:val="16"/>
          <w:szCs w:val="16"/>
        </w:rPr>
        <w:t>(expediente de prueba, anexo 2.1</w:t>
      </w:r>
      <w:r>
        <w:rPr>
          <w:rFonts w:ascii="Verdana" w:hAnsi="Verdana" w:cs="Times New Roman"/>
          <w:sz w:val="16"/>
          <w:szCs w:val="16"/>
        </w:rPr>
        <w:t>7</w:t>
      </w:r>
      <w:r w:rsidRPr="000031DD">
        <w:rPr>
          <w:rFonts w:ascii="Verdana" w:hAnsi="Verdana" w:cs="Times New Roman"/>
          <w:sz w:val="16"/>
          <w:szCs w:val="16"/>
        </w:rPr>
        <w:t xml:space="preserve"> al Informe de Fondo, fs</w:t>
      </w:r>
      <w:r>
        <w:rPr>
          <w:rFonts w:ascii="Verdana" w:hAnsi="Verdana" w:cs="Times New Roman"/>
          <w:sz w:val="16"/>
          <w:szCs w:val="16"/>
        </w:rPr>
        <w:t>.</w:t>
      </w:r>
      <w:r w:rsidRPr="000031DD">
        <w:rPr>
          <w:rFonts w:ascii="Verdana" w:hAnsi="Verdana" w:cs="Times New Roman"/>
          <w:sz w:val="16"/>
          <w:szCs w:val="16"/>
        </w:rPr>
        <w:t xml:space="preserve"> 894 a 912).</w:t>
      </w:r>
    </w:p>
    <w:p w14:paraId="0C77DAAB" w14:textId="77777777" w:rsidR="00DD280C" w:rsidRPr="000031DD" w:rsidRDefault="00DD280C" w:rsidP="00FD0466">
      <w:pPr>
        <w:pStyle w:val="Textonotapie"/>
        <w:jc w:val="both"/>
        <w:rPr>
          <w:rFonts w:ascii="Verdana" w:hAnsi="Verdana"/>
          <w:sz w:val="16"/>
          <w:szCs w:val="16"/>
        </w:rPr>
      </w:pPr>
    </w:p>
  </w:footnote>
  <w:footnote w:id="51">
    <w:p w14:paraId="6D0C8FC9" w14:textId="6D68565E" w:rsidR="00DD280C" w:rsidRPr="000031DD" w:rsidRDefault="00DD280C" w:rsidP="00FD0466">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Testimonio </w:t>
      </w:r>
      <w:r w:rsidR="00894ABB">
        <w:rPr>
          <w:rFonts w:ascii="Verdana" w:hAnsi="Verdana" w:cs="Times New Roman"/>
          <w:sz w:val="16"/>
          <w:szCs w:val="16"/>
        </w:rPr>
        <w:t xml:space="preserve">Hilda </w:t>
      </w:r>
      <w:r w:rsidRPr="000031DD">
        <w:rPr>
          <w:rFonts w:ascii="Verdana" w:hAnsi="Verdana" w:cs="Times New Roman"/>
          <w:sz w:val="16"/>
          <w:szCs w:val="16"/>
        </w:rPr>
        <w:t xml:space="preserve">María Fernández Rodríguez, suegra de Silvia Reyes sobre los hechos relacionados a la muerte de Silvia Reyes, Laura Raggio y Diana </w:t>
      </w:r>
      <w:proofErr w:type="spellStart"/>
      <w:r w:rsidRPr="000031DD">
        <w:rPr>
          <w:rFonts w:ascii="Verdana" w:hAnsi="Verdana" w:cs="Times New Roman"/>
          <w:sz w:val="16"/>
          <w:szCs w:val="16"/>
        </w:rPr>
        <w:t>Maidanik</w:t>
      </w:r>
      <w:proofErr w:type="spellEnd"/>
      <w:r w:rsidRPr="000031DD">
        <w:rPr>
          <w:rFonts w:ascii="Verdana" w:hAnsi="Verdana" w:cs="Times New Roman"/>
          <w:sz w:val="16"/>
          <w:szCs w:val="16"/>
        </w:rPr>
        <w:t xml:space="preserve"> (expediente de prueba, anexo 2.4 al Informe de Fondo, fs</w:t>
      </w:r>
      <w:r>
        <w:rPr>
          <w:rFonts w:ascii="Verdana" w:hAnsi="Verdana" w:cs="Times New Roman"/>
          <w:sz w:val="16"/>
          <w:szCs w:val="16"/>
        </w:rPr>
        <w:t>.</w:t>
      </w:r>
      <w:r w:rsidRPr="000031DD">
        <w:rPr>
          <w:rFonts w:ascii="Verdana" w:hAnsi="Verdana" w:cs="Times New Roman"/>
          <w:sz w:val="16"/>
          <w:szCs w:val="16"/>
        </w:rPr>
        <w:t xml:space="preserve"> 293 a 302).</w:t>
      </w:r>
    </w:p>
    <w:p w14:paraId="15F4FEAB"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52">
    <w:p w14:paraId="72DAA848" w14:textId="2C8BF94D"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Comunicado </w:t>
      </w:r>
      <w:proofErr w:type="spellStart"/>
      <w:r w:rsidRPr="000031DD">
        <w:rPr>
          <w:rFonts w:ascii="Verdana" w:hAnsi="Verdana" w:cs="Times New Roman"/>
          <w:sz w:val="16"/>
          <w:szCs w:val="16"/>
        </w:rPr>
        <w:t>N</w:t>
      </w:r>
      <w:r>
        <w:rPr>
          <w:rFonts w:ascii="Verdana" w:hAnsi="Verdana" w:cs="Times New Roman"/>
          <w:sz w:val="16"/>
          <w:szCs w:val="16"/>
        </w:rPr>
        <w:t>°</w:t>
      </w:r>
      <w:proofErr w:type="spellEnd"/>
      <w:r w:rsidRPr="000031DD">
        <w:rPr>
          <w:rFonts w:ascii="Verdana" w:hAnsi="Verdana" w:cs="Times New Roman"/>
          <w:sz w:val="16"/>
          <w:szCs w:val="16"/>
        </w:rPr>
        <w:t xml:space="preserve"> 1090 de la Oficina de Prensa de las fuerzas Conjuntas que relata la versión de los hechos sobre la muerte de Silvia Reyes, Laura Raggio y Diana </w:t>
      </w:r>
      <w:proofErr w:type="spellStart"/>
      <w:r w:rsidRPr="000031DD">
        <w:rPr>
          <w:rFonts w:ascii="Verdana" w:hAnsi="Verdana" w:cs="Times New Roman"/>
          <w:sz w:val="16"/>
          <w:szCs w:val="16"/>
        </w:rPr>
        <w:t>Maidanik</w:t>
      </w:r>
      <w:proofErr w:type="spellEnd"/>
      <w:r w:rsidRPr="000031DD">
        <w:rPr>
          <w:rFonts w:ascii="Verdana" w:hAnsi="Verdana" w:cs="Times New Roman"/>
          <w:sz w:val="16"/>
          <w:szCs w:val="16"/>
        </w:rPr>
        <w:t xml:space="preserve"> (expediente de prueba, anexo 2.11 al Informe de Fondo, fs</w:t>
      </w:r>
      <w:r>
        <w:rPr>
          <w:rFonts w:ascii="Verdana" w:hAnsi="Verdana" w:cs="Times New Roman"/>
          <w:sz w:val="16"/>
          <w:szCs w:val="16"/>
        </w:rPr>
        <w:t>.</w:t>
      </w:r>
      <w:r w:rsidRPr="000031DD">
        <w:rPr>
          <w:rFonts w:ascii="Verdana" w:hAnsi="Verdana" w:cs="Times New Roman"/>
          <w:sz w:val="16"/>
          <w:szCs w:val="16"/>
        </w:rPr>
        <w:t xml:space="preserve"> 375 a 377). </w:t>
      </w:r>
    </w:p>
    <w:p w14:paraId="4976BAE8" w14:textId="77777777" w:rsidR="00DD280C" w:rsidRPr="000031DD" w:rsidRDefault="00DD280C" w:rsidP="00FD0466">
      <w:pPr>
        <w:autoSpaceDE w:val="0"/>
        <w:autoSpaceDN w:val="0"/>
        <w:adjustRightInd w:val="0"/>
        <w:spacing w:after="0" w:line="240" w:lineRule="auto"/>
        <w:jc w:val="both"/>
        <w:rPr>
          <w:rFonts w:ascii="Verdana" w:hAnsi="Verdana" w:cs="Times New Roman"/>
          <w:sz w:val="16"/>
          <w:szCs w:val="16"/>
        </w:rPr>
      </w:pPr>
    </w:p>
  </w:footnote>
  <w:footnote w:id="53">
    <w:p w14:paraId="6AED2DB8" w14:textId="10E7DCDC" w:rsidR="00DD280C" w:rsidRPr="00E53751" w:rsidRDefault="00DD280C" w:rsidP="00FD0466">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r>
      <w:r w:rsidRPr="00CA1127">
        <w:rPr>
          <w:rFonts w:ascii="Verdana" w:hAnsi="Verdana"/>
          <w:i/>
          <w:sz w:val="16"/>
          <w:szCs w:val="16"/>
        </w:rPr>
        <w:t>Cfr</w:t>
      </w:r>
      <w:r w:rsidRPr="00E53751">
        <w:rPr>
          <w:rFonts w:ascii="Verdana" w:hAnsi="Verdana"/>
          <w:sz w:val="16"/>
          <w:szCs w:val="16"/>
        </w:rPr>
        <w:t>. Informe del Fiscal Especializado, sin fecha (expediente de prueba, anexo</w:t>
      </w:r>
      <w:r>
        <w:rPr>
          <w:rFonts w:ascii="Verdana" w:hAnsi="Verdana"/>
          <w:sz w:val="16"/>
          <w:szCs w:val="16"/>
        </w:rPr>
        <w:t xml:space="preserve"> XXVIII</w:t>
      </w:r>
      <w:r w:rsidRPr="00E53751">
        <w:rPr>
          <w:rFonts w:ascii="Verdana" w:hAnsi="Verdana"/>
          <w:sz w:val="16"/>
          <w:szCs w:val="16"/>
        </w:rPr>
        <w:t xml:space="preserve"> a la contestación, f</w:t>
      </w:r>
      <w:r>
        <w:rPr>
          <w:rFonts w:ascii="Verdana" w:hAnsi="Verdana"/>
          <w:sz w:val="16"/>
          <w:szCs w:val="16"/>
        </w:rPr>
        <w:t>s</w:t>
      </w:r>
      <w:r w:rsidRPr="00E53751">
        <w:rPr>
          <w:rFonts w:ascii="Verdana" w:hAnsi="Verdana"/>
          <w:sz w:val="16"/>
          <w:szCs w:val="16"/>
        </w:rPr>
        <w:t xml:space="preserve">. </w:t>
      </w:r>
      <w:r>
        <w:rPr>
          <w:rFonts w:ascii="Verdana" w:hAnsi="Verdana"/>
          <w:sz w:val="16"/>
          <w:szCs w:val="16"/>
        </w:rPr>
        <w:t xml:space="preserve">3837 a </w:t>
      </w:r>
      <w:r w:rsidRPr="00E53751">
        <w:rPr>
          <w:rFonts w:ascii="Verdana" w:hAnsi="Verdana"/>
          <w:sz w:val="16"/>
          <w:szCs w:val="16"/>
        </w:rPr>
        <w:t>3848).</w:t>
      </w:r>
    </w:p>
    <w:p w14:paraId="27FFEB13" w14:textId="77777777" w:rsidR="00DD280C" w:rsidRPr="00E53751" w:rsidRDefault="00DD280C" w:rsidP="00FD0466">
      <w:pPr>
        <w:pStyle w:val="Textonotapie"/>
        <w:jc w:val="both"/>
        <w:rPr>
          <w:rFonts w:ascii="Verdana" w:hAnsi="Verdana"/>
          <w:sz w:val="16"/>
          <w:szCs w:val="16"/>
        </w:rPr>
      </w:pPr>
    </w:p>
  </w:footnote>
  <w:footnote w:id="54">
    <w:p w14:paraId="483CB42B" w14:textId="69F5100C" w:rsidR="00DD280C" w:rsidRPr="00E40C37" w:rsidRDefault="00DD280C" w:rsidP="002A53BF">
      <w:pPr>
        <w:autoSpaceDE w:val="0"/>
        <w:autoSpaceDN w:val="0"/>
        <w:adjustRightInd w:val="0"/>
        <w:spacing w:after="0" w:line="240" w:lineRule="auto"/>
        <w:jc w:val="both"/>
        <w:rPr>
          <w:rFonts w:ascii="Verdana" w:hAnsi="Verdana" w:cs="Times New Roman"/>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B56F6">
        <w:rPr>
          <w:rFonts w:ascii="Verdana" w:hAnsi="Verdana" w:cs="Times New Roman"/>
          <w:sz w:val="16"/>
          <w:szCs w:val="16"/>
        </w:rPr>
        <w:t xml:space="preserve">Denuncia de 15 de octubre de 1986 por el "homicidio" de Laura Raggio, Silvia Reyes y Diana </w:t>
      </w:r>
      <w:proofErr w:type="spellStart"/>
      <w:r w:rsidRPr="00EB56F6">
        <w:rPr>
          <w:rFonts w:ascii="Verdana" w:hAnsi="Verdana" w:cs="Times New Roman"/>
          <w:sz w:val="16"/>
          <w:szCs w:val="16"/>
        </w:rPr>
        <w:t>Maidanik</w:t>
      </w:r>
      <w:proofErr w:type="spellEnd"/>
      <w:r w:rsidRPr="00E40C37">
        <w:rPr>
          <w:rFonts w:ascii="Verdana" w:hAnsi="Verdana" w:cs="Times New Roman"/>
          <w:sz w:val="16"/>
          <w:szCs w:val="16"/>
        </w:rPr>
        <w:t xml:space="preserve">. </w:t>
      </w:r>
      <w:r w:rsidRPr="00AC608C">
        <w:rPr>
          <w:rFonts w:ascii="Verdana" w:hAnsi="Verdana" w:cs="Times New Roman"/>
          <w:sz w:val="16"/>
          <w:szCs w:val="16"/>
        </w:rPr>
        <w:t>Es preciso dejar sentado que</w:t>
      </w:r>
      <w:r w:rsidRPr="00AC608C">
        <w:rPr>
          <w:rFonts w:ascii="Verdana" w:hAnsi="Verdana" w:cs="Times New Roman"/>
          <w:b/>
          <w:sz w:val="16"/>
          <w:szCs w:val="16"/>
        </w:rPr>
        <w:t xml:space="preserve"> </w:t>
      </w:r>
      <w:r w:rsidRPr="00685170">
        <w:rPr>
          <w:rFonts w:ascii="Verdana" w:hAnsi="Verdana" w:cs="Times New Roman"/>
          <w:sz w:val="16"/>
          <w:szCs w:val="16"/>
        </w:rPr>
        <w:t>los representantes afirmaron que la primera denuncia penal presentada respecto de las muertes violentas de las tres jóvenes se realizó el 20 de mayo de 1985.</w:t>
      </w:r>
      <w:r w:rsidRPr="0039097A">
        <w:rPr>
          <w:rFonts w:ascii="Verdana" w:hAnsi="Verdana" w:cs="Times New Roman"/>
          <w:sz w:val="20"/>
          <w:szCs w:val="20"/>
        </w:rPr>
        <w:t xml:space="preserve"> </w:t>
      </w:r>
    </w:p>
    <w:p w14:paraId="5BD8B1DB" w14:textId="77777777" w:rsidR="00DD280C" w:rsidRPr="00E40C37" w:rsidRDefault="00DD280C" w:rsidP="002A53BF">
      <w:pPr>
        <w:autoSpaceDE w:val="0"/>
        <w:autoSpaceDN w:val="0"/>
        <w:adjustRightInd w:val="0"/>
        <w:spacing w:after="0" w:line="240" w:lineRule="auto"/>
        <w:jc w:val="both"/>
        <w:rPr>
          <w:rFonts w:ascii="Verdana" w:hAnsi="Verdana" w:cs="Times New Roman"/>
          <w:sz w:val="16"/>
          <w:szCs w:val="16"/>
        </w:rPr>
      </w:pPr>
    </w:p>
  </w:footnote>
  <w:footnote w:id="55">
    <w:p w14:paraId="232C0F67"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Pr>
          <w:rFonts w:ascii="Verdana" w:hAnsi="Verdana"/>
          <w:sz w:val="16"/>
          <w:szCs w:val="16"/>
        </w:rPr>
        <w:t>Excepción</w:t>
      </w:r>
      <w:r w:rsidRPr="00E40C37">
        <w:rPr>
          <w:rFonts w:ascii="Verdana" w:hAnsi="Verdana"/>
          <w:sz w:val="16"/>
          <w:szCs w:val="16"/>
        </w:rPr>
        <w:t xml:space="preserve"> de </w:t>
      </w:r>
      <w:r>
        <w:rPr>
          <w:rFonts w:ascii="Verdana" w:hAnsi="Verdana"/>
          <w:sz w:val="16"/>
          <w:szCs w:val="16"/>
        </w:rPr>
        <w:t>in</w:t>
      </w:r>
      <w:r w:rsidRPr="00E40C37">
        <w:rPr>
          <w:rFonts w:ascii="Verdana" w:hAnsi="Verdana"/>
          <w:sz w:val="16"/>
          <w:szCs w:val="16"/>
        </w:rPr>
        <w:t xml:space="preserve">constitucionalidad interpuesta </w:t>
      </w:r>
      <w:r>
        <w:rPr>
          <w:rFonts w:ascii="Verdana" w:hAnsi="Verdana"/>
          <w:sz w:val="16"/>
          <w:szCs w:val="16"/>
        </w:rPr>
        <w:t xml:space="preserve">ante el Juzgado Letrado de Primera Instancia en lo Penal de 8º tuno </w:t>
      </w:r>
      <w:r w:rsidRPr="00E40C37">
        <w:rPr>
          <w:rFonts w:ascii="Verdana" w:hAnsi="Verdana"/>
          <w:sz w:val="16"/>
          <w:szCs w:val="16"/>
        </w:rPr>
        <w:t xml:space="preserve">por Arturo R. Reyes, Flora </w:t>
      </w:r>
      <w:proofErr w:type="spellStart"/>
      <w:r w:rsidRPr="00E40C37">
        <w:rPr>
          <w:rFonts w:ascii="Verdana" w:hAnsi="Verdana"/>
          <w:sz w:val="16"/>
          <w:szCs w:val="16"/>
        </w:rPr>
        <w:t>Potasnik</w:t>
      </w:r>
      <w:proofErr w:type="spellEnd"/>
      <w:r w:rsidRPr="00E40C37">
        <w:rPr>
          <w:rFonts w:ascii="Verdana" w:hAnsi="Verdana"/>
          <w:sz w:val="16"/>
          <w:szCs w:val="16"/>
        </w:rPr>
        <w:t xml:space="preserve"> y Marta O. de Raggio </w:t>
      </w:r>
      <w:r w:rsidRPr="00E40C37">
        <w:rPr>
          <w:rFonts w:ascii="Verdana" w:hAnsi="Verdana" w:cs="Times New Roman"/>
          <w:sz w:val="16"/>
          <w:szCs w:val="16"/>
        </w:rPr>
        <w:t>(expediente de prueba, anexo 2.5 al Informe de Fondo, fs</w:t>
      </w:r>
      <w:r>
        <w:rPr>
          <w:rFonts w:ascii="Verdana" w:hAnsi="Verdana" w:cs="Times New Roman"/>
          <w:sz w:val="16"/>
          <w:szCs w:val="16"/>
        </w:rPr>
        <w:t>.</w:t>
      </w:r>
      <w:r w:rsidRPr="00E40C37">
        <w:rPr>
          <w:rFonts w:ascii="Verdana" w:hAnsi="Verdana" w:cs="Times New Roman"/>
          <w:sz w:val="16"/>
          <w:szCs w:val="16"/>
        </w:rPr>
        <w:t xml:space="preserve"> 303 a 316).</w:t>
      </w:r>
      <w:r w:rsidRPr="00E40C37">
        <w:rPr>
          <w:rFonts w:ascii="Verdana" w:hAnsi="Verdana" w:cs="Times New Roman"/>
          <w:b/>
          <w:sz w:val="16"/>
          <w:szCs w:val="16"/>
        </w:rPr>
        <w:t xml:space="preserve"> </w:t>
      </w:r>
    </w:p>
    <w:p w14:paraId="6C57AB05" w14:textId="77777777" w:rsidR="00DD280C" w:rsidRPr="00E40C37" w:rsidRDefault="00DD280C" w:rsidP="002A53BF">
      <w:pPr>
        <w:pStyle w:val="Textonotapie"/>
        <w:jc w:val="both"/>
        <w:rPr>
          <w:rFonts w:ascii="Verdana" w:hAnsi="Verdana"/>
          <w:sz w:val="16"/>
          <w:szCs w:val="16"/>
        </w:rPr>
      </w:pPr>
    </w:p>
  </w:footnote>
  <w:footnote w:id="56">
    <w:p w14:paraId="7A48DF64" w14:textId="77777777" w:rsidR="00DD280C" w:rsidRPr="00E40C37" w:rsidRDefault="00DD280C" w:rsidP="002A53BF">
      <w:pPr>
        <w:autoSpaceDE w:val="0"/>
        <w:autoSpaceDN w:val="0"/>
        <w:adjustRightInd w:val="0"/>
        <w:spacing w:after="0" w:line="240" w:lineRule="auto"/>
        <w:jc w:val="both"/>
        <w:rPr>
          <w:rFonts w:ascii="Verdana" w:hAnsi="Verdana" w:cs="Times New Roman"/>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Pr>
          <w:rFonts w:ascii="Verdana" w:hAnsi="Verdana" w:cs="Times New Roman"/>
          <w:sz w:val="16"/>
          <w:szCs w:val="16"/>
        </w:rPr>
        <w:t>Sentencia</w:t>
      </w:r>
      <w:r w:rsidRPr="00E40C37">
        <w:rPr>
          <w:rFonts w:ascii="Verdana" w:hAnsi="Verdana" w:cs="Times New Roman"/>
          <w:sz w:val="16"/>
          <w:szCs w:val="16"/>
        </w:rPr>
        <w:t xml:space="preserve"> de la Suprema Corte de Justicia </w:t>
      </w:r>
      <w:r>
        <w:rPr>
          <w:rFonts w:ascii="Verdana" w:hAnsi="Verdana" w:cs="Times New Roman"/>
          <w:sz w:val="16"/>
          <w:szCs w:val="16"/>
        </w:rPr>
        <w:t xml:space="preserve">de 10 de agosto de 1988, en autos caratulados “Arturo Ricardo Reyes </w:t>
      </w:r>
      <w:proofErr w:type="spellStart"/>
      <w:r>
        <w:rPr>
          <w:rFonts w:ascii="Verdana" w:hAnsi="Verdana" w:cs="Times New Roman"/>
          <w:sz w:val="16"/>
          <w:szCs w:val="16"/>
        </w:rPr>
        <w:t>Gaetán</w:t>
      </w:r>
      <w:proofErr w:type="spellEnd"/>
      <w:r>
        <w:rPr>
          <w:rFonts w:ascii="Verdana" w:hAnsi="Verdana" w:cs="Times New Roman"/>
          <w:sz w:val="16"/>
          <w:szCs w:val="16"/>
        </w:rPr>
        <w:t xml:space="preserve">, Marta </w:t>
      </w:r>
      <w:proofErr w:type="spellStart"/>
      <w:r>
        <w:rPr>
          <w:rFonts w:ascii="Verdana" w:hAnsi="Verdana" w:cs="Times New Roman"/>
          <w:sz w:val="16"/>
          <w:szCs w:val="16"/>
        </w:rPr>
        <w:t>Odizzio</w:t>
      </w:r>
      <w:proofErr w:type="spellEnd"/>
      <w:r>
        <w:rPr>
          <w:rFonts w:ascii="Verdana" w:hAnsi="Verdana" w:cs="Times New Roman"/>
          <w:sz w:val="16"/>
          <w:szCs w:val="16"/>
        </w:rPr>
        <w:t xml:space="preserve"> de Raggio, Flora </w:t>
      </w:r>
      <w:proofErr w:type="spellStart"/>
      <w:r>
        <w:rPr>
          <w:rFonts w:ascii="Verdana" w:hAnsi="Verdana" w:cs="Times New Roman"/>
          <w:sz w:val="16"/>
          <w:szCs w:val="16"/>
        </w:rPr>
        <w:t>Potasnik</w:t>
      </w:r>
      <w:proofErr w:type="spellEnd"/>
      <w:r>
        <w:rPr>
          <w:rFonts w:ascii="Verdana" w:hAnsi="Verdana" w:cs="Times New Roman"/>
          <w:sz w:val="16"/>
          <w:szCs w:val="16"/>
        </w:rPr>
        <w:t xml:space="preserve"> – Denuncia. Inconstitucionalidad”</w:t>
      </w:r>
      <w:r w:rsidRPr="00E40C37">
        <w:rPr>
          <w:rFonts w:ascii="Verdana" w:hAnsi="Verdana"/>
          <w:sz w:val="16"/>
          <w:szCs w:val="16"/>
        </w:rPr>
        <w:t xml:space="preserve"> </w:t>
      </w:r>
      <w:r w:rsidRPr="00E40C37">
        <w:rPr>
          <w:rFonts w:ascii="Verdana" w:hAnsi="Verdana" w:cs="Times New Roman"/>
          <w:sz w:val="16"/>
          <w:szCs w:val="16"/>
        </w:rPr>
        <w:t>(expediente de prueba, anexo 2.7 al Informe de Fondo, fs</w:t>
      </w:r>
      <w:r>
        <w:rPr>
          <w:rFonts w:ascii="Verdana" w:hAnsi="Verdana" w:cs="Times New Roman"/>
          <w:sz w:val="16"/>
          <w:szCs w:val="16"/>
        </w:rPr>
        <w:t>.</w:t>
      </w:r>
      <w:r w:rsidRPr="00E40C37">
        <w:rPr>
          <w:rFonts w:ascii="Verdana" w:hAnsi="Verdana" w:cs="Times New Roman"/>
          <w:sz w:val="16"/>
          <w:szCs w:val="16"/>
        </w:rPr>
        <w:t xml:space="preserve"> 343 a 348). </w:t>
      </w:r>
    </w:p>
    <w:p w14:paraId="58AEF3D7" w14:textId="77777777" w:rsidR="00DD280C" w:rsidRPr="00E40C37" w:rsidRDefault="00DD280C" w:rsidP="002A53BF">
      <w:pPr>
        <w:autoSpaceDE w:val="0"/>
        <w:autoSpaceDN w:val="0"/>
        <w:adjustRightInd w:val="0"/>
        <w:spacing w:after="0" w:line="240" w:lineRule="auto"/>
        <w:jc w:val="both"/>
        <w:rPr>
          <w:rFonts w:ascii="Verdana" w:hAnsi="Verdana" w:cs="Times New Roman"/>
          <w:sz w:val="16"/>
          <w:szCs w:val="16"/>
        </w:rPr>
      </w:pPr>
    </w:p>
  </w:footnote>
  <w:footnote w:id="57">
    <w:p w14:paraId="4ACD6A54" w14:textId="77777777" w:rsidR="00DD280C" w:rsidRPr="00E40C37" w:rsidRDefault="00DD280C" w:rsidP="002A53BF">
      <w:pPr>
        <w:autoSpaceDE w:val="0"/>
        <w:autoSpaceDN w:val="0"/>
        <w:adjustRightInd w:val="0"/>
        <w:spacing w:after="0" w:line="240" w:lineRule="auto"/>
        <w:jc w:val="both"/>
        <w:rPr>
          <w:rFonts w:ascii="Verdana" w:hAnsi="Verdana" w:cs="Times New Roman"/>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sz w:val="16"/>
          <w:szCs w:val="16"/>
        </w:rPr>
        <w:t>Comunica</w:t>
      </w:r>
      <w:r>
        <w:rPr>
          <w:rFonts w:ascii="Verdana" w:hAnsi="Verdana" w:cs="Times New Roman"/>
          <w:sz w:val="16"/>
          <w:szCs w:val="16"/>
        </w:rPr>
        <w:t>ción del Secretario Letrado</w:t>
      </w:r>
      <w:r w:rsidRPr="00E40C37">
        <w:rPr>
          <w:rFonts w:ascii="Verdana" w:hAnsi="Verdana" w:cs="Times New Roman"/>
          <w:sz w:val="16"/>
          <w:szCs w:val="16"/>
        </w:rPr>
        <w:t xml:space="preserve"> de la Suprema</w:t>
      </w:r>
      <w:r>
        <w:rPr>
          <w:rFonts w:ascii="Verdana" w:hAnsi="Verdana" w:cs="Times New Roman"/>
          <w:sz w:val="16"/>
          <w:szCs w:val="16"/>
        </w:rPr>
        <w:t xml:space="preserve"> Corte</w:t>
      </w:r>
      <w:r w:rsidRPr="00E40C37">
        <w:rPr>
          <w:rFonts w:ascii="Verdana" w:hAnsi="Verdana" w:cs="Times New Roman"/>
          <w:sz w:val="16"/>
          <w:szCs w:val="16"/>
        </w:rPr>
        <w:t xml:space="preserve"> de Justicia al Juzgado Letrado de Primera Instancia en lo Penal de 8° Turno</w:t>
      </w:r>
      <w:r w:rsidRPr="00E40C37">
        <w:rPr>
          <w:rFonts w:ascii="Verdana" w:hAnsi="Verdana"/>
          <w:sz w:val="16"/>
          <w:szCs w:val="16"/>
        </w:rPr>
        <w:t xml:space="preserve"> </w:t>
      </w:r>
      <w:r w:rsidRPr="00E40C37">
        <w:rPr>
          <w:rFonts w:ascii="Verdana" w:hAnsi="Verdana" w:cs="Times New Roman"/>
          <w:sz w:val="16"/>
          <w:szCs w:val="16"/>
        </w:rPr>
        <w:t>(expediente de prueba, anexo 2.8 al Informe de Fondo, fs</w:t>
      </w:r>
      <w:r>
        <w:rPr>
          <w:rFonts w:ascii="Verdana" w:hAnsi="Verdana" w:cs="Times New Roman"/>
          <w:sz w:val="16"/>
          <w:szCs w:val="16"/>
        </w:rPr>
        <w:t>.</w:t>
      </w:r>
      <w:r w:rsidRPr="00E40C37">
        <w:rPr>
          <w:rFonts w:ascii="Verdana" w:hAnsi="Verdana" w:cs="Times New Roman"/>
          <w:sz w:val="16"/>
          <w:szCs w:val="16"/>
        </w:rPr>
        <w:t xml:space="preserve"> 3</w:t>
      </w:r>
      <w:r>
        <w:rPr>
          <w:rFonts w:ascii="Verdana" w:hAnsi="Verdana" w:cs="Times New Roman"/>
          <w:sz w:val="16"/>
          <w:szCs w:val="16"/>
        </w:rPr>
        <w:t xml:space="preserve">50 </w:t>
      </w:r>
      <w:r w:rsidRPr="00E40C37">
        <w:rPr>
          <w:rFonts w:ascii="Verdana" w:hAnsi="Verdana" w:cs="Times New Roman"/>
          <w:sz w:val="16"/>
          <w:szCs w:val="16"/>
        </w:rPr>
        <w:t xml:space="preserve">a 353). </w:t>
      </w:r>
    </w:p>
    <w:p w14:paraId="4574EF95" w14:textId="77777777" w:rsidR="00DD280C" w:rsidRPr="00E40C37" w:rsidRDefault="00DD280C" w:rsidP="002A53BF">
      <w:pPr>
        <w:autoSpaceDE w:val="0"/>
        <w:autoSpaceDN w:val="0"/>
        <w:adjustRightInd w:val="0"/>
        <w:spacing w:after="0" w:line="240" w:lineRule="auto"/>
        <w:jc w:val="both"/>
        <w:rPr>
          <w:rFonts w:ascii="Verdana" w:hAnsi="Verdana" w:cs="Times New Roman"/>
          <w:sz w:val="16"/>
          <w:szCs w:val="16"/>
        </w:rPr>
      </w:pPr>
    </w:p>
  </w:footnote>
  <w:footnote w:id="58">
    <w:p w14:paraId="32180384" w14:textId="77777777" w:rsidR="00DD280C" w:rsidRPr="0039097A" w:rsidRDefault="00DD280C" w:rsidP="002A53BF">
      <w:pPr>
        <w:pStyle w:val="Prrafodelista"/>
        <w:autoSpaceDE w:val="0"/>
        <w:autoSpaceDN w:val="0"/>
        <w:adjustRightInd w:val="0"/>
        <w:spacing w:after="0" w:line="240" w:lineRule="auto"/>
        <w:ind w:left="0"/>
        <w:jc w:val="both"/>
        <w:rPr>
          <w:rFonts w:ascii="Verdana" w:hAnsi="Verdana" w:cs="Times New Roman"/>
          <w:sz w:val="20"/>
          <w:szCs w:val="20"/>
        </w:rPr>
      </w:pPr>
      <w:r w:rsidRPr="00EB56F6">
        <w:rPr>
          <w:rStyle w:val="Refdenotaalpie"/>
          <w:rFonts w:ascii="Verdana" w:hAnsi="Verdana"/>
          <w:sz w:val="16"/>
          <w:szCs w:val="16"/>
        </w:rPr>
        <w:footnoteRef/>
      </w:r>
      <w:r w:rsidRPr="00EB56F6">
        <w:rPr>
          <w:rFonts w:ascii="Verdana" w:hAnsi="Verdana"/>
          <w:sz w:val="16"/>
          <w:szCs w:val="16"/>
        </w:rPr>
        <w:t xml:space="preserve"> </w:t>
      </w:r>
      <w:r w:rsidRPr="00EB56F6">
        <w:rPr>
          <w:rFonts w:ascii="Verdana" w:hAnsi="Verdana"/>
          <w:sz w:val="16"/>
          <w:szCs w:val="16"/>
        </w:rPr>
        <w:tab/>
      </w:r>
      <w:r w:rsidRPr="00EB56F6">
        <w:rPr>
          <w:rFonts w:ascii="Verdana" w:hAnsi="Verdana" w:cs="Times New Roman"/>
          <w:sz w:val="16"/>
          <w:szCs w:val="16"/>
        </w:rPr>
        <w:t xml:space="preserve">Solicitud de reapertura del proceso penal por la muerte de Silvia Reyes, Laura Raggio y Diana </w:t>
      </w:r>
      <w:proofErr w:type="spellStart"/>
      <w:r w:rsidRPr="00EB56F6">
        <w:rPr>
          <w:rFonts w:ascii="Verdana" w:hAnsi="Verdana" w:cs="Times New Roman"/>
          <w:sz w:val="16"/>
          <w:szCs w:val="16"/>
        </w:rPr>
        <w:t>Maidanik</w:t>
      </w:r>
      <w:proofErr w:type="spellEnd"/>
      <w:r w:rsidRPr="00EB56F6">
        <w:rPr>
          <w:rFonts w:ascii="Verdana" w:hAnsi="Verdana" w:cs="Times New Roman"/>
          <w:sz w:val="16"/>
          <w:szCs w:val="16"/>
        </w:rPr>
        <w:t xml:space="preserve"> (expediente de prueba, anexo 2.9 al Informe de Fondo, f</w:t>
      </w:r>
      <w:r>
        <w:rPr>
          <w:rFonts w:ascii="Verdana" w:hAnsi="Verdana" w:cs="Times New Roman"/>
          <w:sz w:val="16"/>
          <w:szCs w:val="16"/>
        </w:rPr>
        <w:t>s.</w:t>
      </w:r>
      <w:r w:rsidRPr="00EB56F6">
        <w:rPr>
          <w:rFonts w:ascii="Verdana" w:hAnsi="Verdana" w:cs="Times New Roman"/>
          <w:sz w:val="16"/>
          <w:szCs w:val="16"/>
        </w:rPr>
        <w:t xml:space="preserve"> 354 a 370).</w:t>
      </w:r>
      <w:r w:rsidRPr="00EB56F6">
        <w:rPr>
          <w:rFonts w:ascii="Verdana" w:hAnsi="Verdana" w:cs="Times New Roman"/>
          <w:b/>
          <w:sz w:val="16"/>
          <w:szCs w:val="16"/>
        </w:rPr>
        <w:t xml:space="preserve"> </w:t>
      </w:r>
      <w:r w:rsidRPr="00EB56F6">
        <w:rPr>
          <w:rFonts w:ascii="Verdana" w:hAnsi="Verdana" w:cs="Times New Roman"/>
          <w:sz w:val="16"/>
          <w:szCs w:val="16"/>
        </w:rPr>
        <w:t>Luego de la solicitud de los familiares, el Juzgado Letrado de Primera Instancia de 8º turno consultó al Presidente de la República s</w:t>
      </w:r>
      <w:r>
        <w:rPr>
          <w:rFonts w:ascii="Verdana" w:hAnsi="Verdana" w:cs="Times New Roman"/>
          <w:sz w:val="16"/>
          <w:szCs w:val="16"/>
        </w:rPr>
        <w:t>obre la aplicabilidad al caso de</w:t>
      </w:r>
      <w:r w:rsidRPr="00EB56F6">
        <w:rPr>
          <w:rFonts w:ascii="Verdana" w:hAnsi="Verdana" w:cs="Times New Roman"/>
          <w:sz w:val="16"/>
          <w:szCs w:val="16"/>
        </w:rPr>
        <w:t xml:space="preserve"> la Ley de Caducidad. El 12 de diciembre de 2005 el Presidente de la República indicó que no</w:t>
      </w:r>
      <w:r>
        <w:rPr>
          <w:rFonts w:ascii="Verdana" w:hAnsi="Verdana" w:cs="Times New Roman"/>
          <w:sz w:val="16"/>
          <w:szCs w:val="16"/>
        </w:rPr>
        <w:t xml:space="preserve"> contaba con “elementos de juicio suficientes” para declarar el caso comprendido en la ley señalada, y que no</w:t>
      </w:r>
      <w:r w:rsidRPr="00EB56F6">
        <w:rPr>
          <w:rFonts w:ascii="Verdana" w:hAnsi="Verdana" w:cs="Times New Roman"/>
          <w:sz w:val="16"/>
          <w:szCs w:val="16"/>
        </w:rPr>
        <w:t xml:space="preserve"> tenía facultades para “impedir la búsqueda de la verdad” (Respuesta de la Presidencia del Estado de Uruguay </w:t>
      </w:r>
      <w:r>
        <w:rPr>
          <w:rFonts w:ascii="Verdana" w:hAnsi="Verdana" w:cs="Times New Roman"/>
          <w:sz w:val="16"/>
          <w:szCs w:val="16"/>
        </w:rPr>
        <w:t>al</w:t>
      </w:r>
      <w:r w:rsidRPr="00EB56F6">
        <w:rPr>
          <w:rFonts w:ascii="Verdana" w:hAnsi="Verdana" w:cs="Times New Roman"/>
          <w:sz w:val="16"/>
          <w:szCs w:val="16"/>
        </w:rPr>
        <w:t xml:space="preserve"> Juzgado Letrado de Primera Instancia en lo Penal de 8° turno</w:t>
      </w:r>
      <w:r>
        <w:rPr>
          <w:rFonts w:ascii="Verdana" w:hAnsi="Verdana" w:cs="Times New Roman"/>
          <w:sz w:val="16"/>
          <w:szCs w:val="16"/>
        </w:rPr>
        <w:t xml:space="preserve"> de 9 de diciembre de 2005</w:t>
      </w:r>
      <w:r w:rsidRPr="00EB56F6">
        <w:rPr>
          <w:rFonts w:ascii="Verdana" w:hAnsi="Verdana" w:cs="Times New Roman"/>
          <w:sz w:val="16"/>
          <w:szCs w:val="16"/>
        </w:rPr>
        <w:t xml:space="preserve"> (expediente de prueba, anexo 2.10 al Informe de Fondo, f</w:t>
      </w:r>
      <w:r>
        <w:rPr>
          <w:rFonts w:ascii="Verdana" w:hAnsi="Verdana" w:cs="Times New Roman"/>
          <w:sz w:val="16"/>
          <w:szCs w:val="16"/>
        </w:rPr>
        <w:t>s.</w:t>
      </w:r>
      <w:r w:rsidRPr="00EB56F6">
        <w:rPr>
          <w:rFonts w:ascii="Verdana" w:hAnsi="Verdana" w:cs="Times New Roman"/>
          <w:sz w:val="16"/>
          <w:szCs w:val="16"/>
        </w:rPr>
        <w:t xml:space="preserve"> 37</w:t>
      </w:r>
      <w:r>
        <w:rPr>
          <w:rFonts w:ascii="Verdana" w:hAnsi="Verdana" w:cs="Times New Roman"/>
          <w:sz w:val="16"/>
          <w:szCs w:val="16"/>
        </w:rPr>
        <w:t>2</w:t>
      </w:r>
      <w:r w:rsidRPr="00EB56F6">
        <w:rPr>
          <w:rFonts w:ascii="Verdana" w:hAnsi="Verdana" w:cs="Times New Roman"/>
          <w:sz w:val="16"/>
          <w:szCs w:val="16"/>
        </w:rPr>
        <w:t xml:space="preserve"> a 374)</w:t>
      </w:r>
      <w:r>
        <w:rPr>
          <w:rFonts w:ascii="Verdana" w:hAnsi="Verdana" w:cs="Times New Roman"/>
          <w:sz w:val="16"/>
          <w:szCs w:val="16"/>
        </w:rPr>
        <w:t>)</w:t>
      </w:r>
      <w:r w:rsidRPr="00EB56F6">
        <w:rPr>
          <w:rFonts w:ascii="Verdana" w:hAnsi="Verdana" w:cs="Times New Roman"/>
          <w:sz w:val="16"/>
          <w:szCs w:val="16"/>
        </w:rPr>
        <w:t>.</w:t>
      </w:r>
      <w:r>
        <w:rPr>
          <w:rFonts w:ascii="Verdana" w:hAnsi="Verdana" w:cs="Times New Roman"/>
          <w:sz w:val="20"/>
          <w:szCs w:val="20"/>
        </w:rPr>
        <w:t xml:space="preserve"> </w:t>
      </w:r>
    </w:p>
    <w:p w14:paraId="5E4BB75E" w14:textId="77777777" w:rsidR="00DD280C" w:rsidRPr="00E40C37" w:rsidRDefault="00DD280C" w:rsidP="002A53BF">
      <w:pPr>
        <w:autoSpaceDE w:val="0"/>
        <w:autoSpaceDN w:val="0"/>
        <w:adjustRightInd w:val="0"/>
        <w:spacing w:after="0" w:line="240" w:lineRule="auto"/>
        <w:jc w:val="both"/>
        <w:rPr>
          <w:rFonts w:ascii="Verdana" w:hAnsi="Verdana" w:cs="Times New Roman"/>
          <w:sz w:val="16"/>
          <w:szCs w:val="16"/>
        </w:rPr>
      </w:pPr>
    </w:p>
  </w:footnote>
  <w:footnote w:id="59">
    <w:p w14:paraId="19C677E1" w14:textId="77777777" w:rsidR="00DD280C"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i/>
          <w:sz w:val="16"/>
          <w:szCs w:val="16"/>
        </w:rPr>
        <w:t>Cfr</w:t>
      </w:r>
      <w:r w:rsidRPr="00E40C37">
        <w:rPr>
          <w:rFonts w:ascii="Verdana" w:hAnsi="Verdana"/>
          <w:sz w:val="16"/>
          <w:szCs w:val="16"/>
        </w:rPr>
        <w:t xml:space="preserve">., </w:t>
      </w:r>
      <w:r>
        <w:rPr>
          <w:rFonts w:ascii="Verdana" w:hAnsi="Verdana"/>
          <w:sz w:val="16"/>
          <w:szCs w:val="16"/>
        </w:rPr>
        <w:t>Actas de declaración de los días 13 y 17 de marzo de 2006, de J.R y J.S., en la primera fecha, y de J.G., en la segunda (</w:t>
      </w:r>
      <w:r w:rsidRPr="00E40C37">
        <w:rPr>
          <w:rFonts w:ascii="Verdana" w:hAnsi="Verdana"/>
          <w:sz w:val="16"/>
          <w:szCs w:val="16"/>
        </w:rPr>
        <w:t>expediente de prueba, expedientes remitidos por el Estado, fs. 5674 a 5679</w:t>
      </w:r>
      <w:r>
        <w:rPr>
          <w:rFonts w:ascii="Verdana" w:hAnsi="Verdana"/>
          <w:sz w:val="16"/>
          <w:szCs w:val="16"/>
        </w:rPr>
        <w:t>,</w:t>
      </w:r>
      <w:r w:rsidRPr="00E40C37">
        <w:rPr>
          <w:rFonts w:ascii="Verdana" w:hAnsi="Verdana"/>
          <w:sz w:val="16"/>
          <w:szCs w:val="16"/>
        </w:rPr>
        <w:t xml:space="preserve"> 5705 a 5709</w:t>
      </w:r>
      <w:r>
        <w:rPr>
          <w:rFonts w:ascii="Verdana" w:hAnsi="Verdana"/>
          <w:sz w:val="16"/>
          <w:szCs w:val="16"/>
        </w:rPr>
        <w:t xml:space="preserve"> y</w:t>
      </w:r>
      <w:r w:rsidRPr="00E40C37">
        <w:rPr>
          <w:rFonts w:ascii="Verdana" w:hAnsi="Verdana"/>
          <w:sz w:val="16"/>
          <w:szCs w:val="16"/>
        </w:rPr>
        <w:t xml:space="preserve"> 5710 a 5716</w:t>
      </w:r>
      <w:r>
        <w:rPr>
          <w:rFonts w:ascii="Verdana" w:hAnsi="Verdana"/>
          <w:sz w:val="16"/>
          <w:szCs w:val="16"/>
        </w:rPr>
        <w:t>, respectivamente)</w:t>
      </w:r>
      <w:r w:rsidRPr="00E40C37">
        <w:rPr>
          <w:rFonts w:ascii="Verdana" w:hAnsi="Verdana"/>
          <w:sz w:val="16"/>
          <w:szCs w:val="16"/>
        </w:rPr>
        <w:t>.</w:t>
      </w:r>
    </w:p>
    <w:p w14:paraId="6DF1A756" w14:textId="77777777" w:rsidR="00DD280C" w:rsidRPr="00E40C37" w:rsidRDefault="00DD280C" w:rsidP="002A53BF">
      <w:pPr>
        <w:pStyle w:val="Textonotapie"/>
        <w:jc w:val="both"/>
        <w:rPr>
          <w:rFonts w:ascii="Verdana" w:hAnsi="Verdana"/>
          <w:sz w:val="16"/>
          <w:szCs w:val="16"/>
        </w:rPr>
      </w:pPr>
    </w:p>
  </w:footnote>
  <w:footnote w:id="60">
    <w:p w14:paraId="6AAD7BB6"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i/>
          <w:sz w:val="16"/>
          <w:szCs w:val="16"/>
        </w:rPr>
        <w:t>Cfr</w:t>
      </w:r>
      <w:r w:rsidRPr="00E40C37">
        <w:rPr>
          <w:rFonts w:ascii="Verdana" w:hAnsi="Verdana"/>
          <w:sz w:val="16"/>
          <w:szCs w:val="16"/>
        </w:rPr>
        <w:t xml:space="preserve">. </w:t>
      </w:r>
      <w:r>
        <w:rPr>
          <w:rFonts w:ascii="Verdana" w:hAnsi="Verdana"/>
          <w:sz w:val="16"/>
          <w:szCs w:val="16"/>
        </w:rPr>
        <w:t xml:space="preserve">Actas de declaración testimonial de los días 28, 29, 30 y 31 de marzo de 2006 de </w:t>
      </w:r>
      <w:r w:rsidRPr="00685170">
        <w:rPr>
          <w:rFonts w:ascii="Verdana" w:hAnsi="Verdana"/>
          <w:sz w:val="16"/>
          <w:szCs w:val="16"/>
        </w:rPr>
        <w:t>Jaqueline Barrios Fernández,</w:t>
      </w:r>
      <w:r>
        <w:rPr>
          <w:rFonts w:ascii="Verdana" w:hAnsi="Verdana"/>
          <w:sz w:val="16"/>
          <w:szCs w:val="16"/>
        </w:rPr>
        <w:t xml:space="preserve"> en la primera fecha, </w:t>
      </w:r>
      <w:r w:rsidRPr="00685170">
        <w:rPr>
          <w:rFonts w:ascii="Verdana" w:hAnsi="Verdana"/>
          <w:sz w:val="16"/>
          <w:szCs w:val="16"/>
        </w:rPr>
        <w:t>Hilda María Fernández Rodríguez</w:t>
      </w:r>
      <w:r>
        <w:rPr>
          <w:rFonts w:ascii="Verdana" w:hAnsi="Verdana"/>
          <w:sz w:val="16"/>
          <w:szCs w:val="16"/>
        </w:rPr>
        <w:t>, en la segunda, R.K. y S.Q.</w:t>
      </w:r>
      <w:r w:rsidRPr="00685170">
        <w:rPr>
          <w:rFonts w:ascii="Verdana" w:hAnsi="Verdana"/>
          <w:sz w:val="16"/>
          <w:szCs w:val="16"/>
        </w:rPr>
        <w:t>, en la tercera</w:t>
      </w:r>
      <w:r>
        <w:rPr>
          <w:rFonts w:ascii="Verdana" w:hAnsi="Verdana"/>
          <w:sz w:val="16"/>
          <w:szCs w:val="16"/>
        </w:rPr>
        <w:t>, y H.C.</w:t>
      </w:r>
      <w:r w:rsidRPr="00685170">
        <w:rPr>
          <w:rFonts w:ascii="Verdana" w:hAnsi="Verdana"/>
          <w:sz w:val="16"/>
          <w:szCs w:val="16"/>
        </w:rPr>
        <w:t>, en la cuarta</w:t>
      </w:r>
      <w:r>
        <w:rPr>
          <w:rFonts w:ascii="Verdana" w:hAnsi="Verdana"/>
          <w:sz w:val="16"/>
          <w:szCs w:val="16"/>
        </w:rPr>
        <w:t xml:space="preserve"> (</w:t>
      </w:r>
      <w:r w:rsidRPr="00E40C37">
        <w:rPr>
          <w:rFonts w:ascii="Verdana" w:hAnsi="Verdana"/>
          <w:sz w:val="16"/>
          <w:szCs w:val="16"/>
        </w:rPr>
        <w:t>expediente de prueba, expedientes remitidos por el Estado, fs. 5719 a 5734</w:t>
      </w:r>
      <w:r>
        <w:rPr>
          <w:rFonts w:ascii="Verdana" w:hAnsi="Verdana"/>
          <w:sz w:val="16"/>
          <w:szCs w:val="16"/>
        </w:rPr>
        <w:t>,</w:t>
      </w:r>
      <w:r w:rsidRPr="00E40C37">
        <w:rPr>
          <w:rFonts w:ascii="Verdana" w:hAnsi="Verdana"/>
          <w:sz w:val="16"/>
          <w:szCs w:val="16"/>
        </w:rPr>
        <w:t xml:space="preserve"> 5735 a 5748</w:t>
      </w:r>
      <w:r>
        <w:rPr>
          <w:rFonts w:ascii="Verdana" w:hAnsi="Verdana"/>
          <w:sz w:val="16"/>
          <w:szCs w:val="16"/>
        </w:rPr>
        <w:t>,</w:t>
      </w:r>
      <w:r w:rsidRPr="00E40C37">
        <w:rPr>
          <w:rFonts w:ascii="Verdana" w:hAnsi="Verdana"/>
          <w:sz w:val="16"/>
          <w:szCs w:val="16"/>
        </w:rPr>
        <w:t xml:space="preserve"> 5749 a 5752, 5753 a 5756</w:t>
      </w:r>
      <w:r>
        <w:rPr>
          <w:rFonts w:ascii="Verdana" w:hAnsi="Verdana"/>
          <w:sz w:val="16"/>
          <w:szCs w:val="16"/>
        </w:rPr>
        <w:t xml:space="preserve"> y</w:t>
      </w:r>
      <w:r w:rsidRPr="00E40C37">
        <w:rPr>
          <w:rFonts w:ascii="Verdana" w:hAnsi="Verdana"/>
          <w:sz w:val="16"/>
          <w:szCs w:val="16"/>
        </w:rPr>
        <w:t xml:space="preserve"> 5757 a5761</w:t>
      </w:r>
      <w:r>
        <w:rPr>
          <w:rFonts w:ascii="Verdana" w:hAnsi="Verdana"/>
          <w:sz w:val="16"/>
          <w:szCs w:val="16"/>
        </w:rPr>
        <w:t xml:space="preserve">, respectivamente). </w:t>
      </w:r>
    </w:p>
    <w:p w14:paraId="1C6FDD7F" w14:textId="77777777" w:rsidR="00DD280C" w:rsidRPr="00E40C37" w:rsidRDefault="00DD280C" w:rsidP="002A53BF">
      <w:pPr>
        <w:pStyle w:val="Textonotapie"/>
        <w:jc w:val="both"/>
        <w:rPr>
          <w:rFonts w:ascii="Verdana" w:hAnsi="Verdana"/>
          <w:sz w:val="16"/>
          <w:szCs w:val="16"/>
        </w:rPr>
      </w:pPr>
    </w:p>
  </w:footnote>
  <w:footnote w:id="61">
    <w:p w14:paraId="0A910597" w14:textId="77777777" w:rsidR="00DD280C" w:rsidRPr="00A46353" w:rsidRDefault="00DD280C" w:rsidP="002A53BF">
      <w:pPr>
        <w:pStyle w:val="Textonotapie"/>
        <w:jc w:val="both"/>
        <w:rPr>
          <w:rFonts w:ascii="Verdana" w:hAnsi="Verdana"/>
          <w:sz w:val="16"/>
          <w:szCs w:val="16"/>
        </w:rPr>
      </w:pPr>
      <w:r w:rsidRPr="00A46353">
        <w:rPr>
          <w:rStyle w:val="Refdenotaalpie"/>
          <w:rFonts w:ascii="Verdana" w:hAnsi="Verdana"/>
          <w:sz w:val="16"/>
          <w:szCs w:val="16"/>
        </w:rPr>
        <w:footnoteRef/>
      </w:r>
      <w:r w:rsidRPr="00A46353">
        <w:rPr>
          <w:rFonts w:ascii="Verdana" w:hAnsi="Verdana"/>
          <w:sz w:val="16"/>
          <w:szCs w:val="16"/>
        </w:rPr>
        <w:t xml:space="preserve"> </w:t>
      </w:r>
      <w:r w:rsidRPr="00A46353">
        <w:rPr>
          <w:rFonts w:ascii="Verdana" w:hAnsi="Verdana"/>
          <w:sz w:val="16"/>
          <w:szCs w:val="16"/>
        </w:rPr>
        <w:tab/>
      </w:r>
      <w:r w:rsidRPr="00A46353">
        <w:rPr>
          <w:rFonts w:ascii="Verdana" w:hAnsi="Verdana"/>
          <w:i/>
          <w:sz w:val="16"/>
          <w:szCs w:val="16"/>
        </w:rPr>
        <w:t>Cfr</w:t>
      </w:r>
      <w:r w:rsidRPr="00A46353">
        <w:rPr>
          <w:rFonts w:ascii="Verdana" w:hAnsi="Verdana"/>
          <w:sz w:val="16"/>
          <w:szCs w:val="16"/>
        </w:rPr>
        <w:t xml:space="preserve">. </w:t>
      </w:r>
      <w:r w:rsidRPr="00685170">
        <w:rPr>
          <w:rFonts w:ascii="Verdana" w:hAnsi="Verdana"/>
          <w:sz w:val="16"/>
          <w:szCs w:val="16"/>
        </w:rPr>
        <w:t>Oficio No. 108 de 8 de mayo de 2006, remitido por el Juzgado Letrado de Primera Instancia en lo Penal de 8º turno al Juez Letrado de Primera Instancia en lo Penal de 10º turno (</w:t>
      </w:r>
      <w:r w:rsidRPr="00A46353">
        <w:rPr>
          <w:rFonts w:ascii="Verdana" w:hAnsi="Verdana"/>
          <w:sz w:val="16"/>
          <w:szCs w:val="16"/>
        </w:rPr>
        <w:t>expediente de prueba, expedientes remitidos por el Estado, f. 576</w:t>
      </w:r>
      <w:r w:rsidRPr="00685170">
        <w:rPr>
          <w:rFonts w:ascii="Verdana" w:hAnsi="Verdana"/>
          <w:sz w:val="16"/>
          <w:szCs w:val="16"/>
        </w:rPr>
        <w:t>5)</w:t>
      </w:r>
      <w:r w:rsidRPr="00A46353">
        <w:rPr>
          <w:rFonts w:ascii="Verdana" w:hAnsi="Verdana"/>
          <w:sz w:val="16"/>
          <w:szCs w:val="16"/>
        </w:rPr>
        <w:t xml:space="preserve">.  </w:t>
      </w:r>
    </w:p>
    <w:p w14:paraId="78902B06" w14:textId="77777777" w:rsidR="00DD280C" w:rsidRPr="00A46353" w:rsidRDefault="00DD280C" w:rsidP="002A53BF">
      <w:pPr>
        <w:pStyle w:val="Textonotapie"/>
        <w:jc w:val="both"/>
        <w:rPr>
          <w:rFonts w:ascii="Verdana" w:hAnsi="Verdana"/>
          <w:sz w:val="16"/>
          <w:szCs w:val="16"/>
        </w:rPr>
      </w:pPr>
    </w:p>
  </w:footnote>
  <w:footnote w:id="62">
    <w:p w14:paraId="4DCF75B9" w14:textId="77777777" w:rsidR="00DD280C" w:rsidRPr="00E40C37" w:rsidRDefault="00DD280C" w:rsidP="002A53BF">
      <w:pPr>
        <w:pStyle w:val="Textonotapie"/>
        <w:jc w:val="both"/>
        <w:rPr>
          <w:rFonts w:ascii="Verdana" w:hAnsi="Verdana"/>
          <w:sz w:val="16"/>
          <w:szCs w:val="16"/>
        </w:rPr>
      </w:pPr>
      <w:r w:rsidRPr="00A46353">
        <w:rPr>
          <w:rStyle w:val="Refdenotaalpie"/>
          <w:rFonts w:ascii="Verdana" w:hAnsi="Verdana"/>
          <w:sz w:val="16"/>
          <w:szCs w:val="16"/>
        </w:rPr>
        <w:footnoteRef/>
      </w:r>
      <w:r w:rsidRPr="00A46353">
        <w:rPr>
          <w:rFonts w:ascii="Verdana" w:hAnsi="Verdana"/>
          <w:sz w:val="16"/>
          <w:szCs w:val="16"/>
        </w:rPr>
        <w:t xml:space="preserve"> </w:t>
      </w:r>
      <w:r w:rsidRPr="00A46353">
        <w:rPr>
          <w:rFonts w:ascii="Verdana" w:hAnsi="Verdana"/>
          <w:sz w:val="16"/>
          <w:szCs w:val="16"/>
        </w:rPr>
        <w:tab/>
      </w:r>
      <w:r w:rsidRPr="00A46353">
        <w:rPr>
          <w:rFonts w:ascii="Verdana" w:hAnsi="Verdana"/>
          <w:i/>
          <w:sz w:val="16"/>
          <w:szCs w:val="16"/>
        </w:rPr>
        <w:t>Cfr</w:t>
      </w:r>
      <w:r w:rsidRPr="00A46353">
        <w:rPr>
          <w:rFonts w:ascii="Verdana" w:hAnsi="Verdana"/>
          <w:sz w:val="16"/>
          <w:szCs w:val="16"/>
        </w:rPr>
        <w:t xml:space="preserve">. </w:t>
      </w:r>
      <w:r w:rsidRPr="00685170">
        <w:rPr>
          <w:rFonts w:ascii="Verdana" w:hAnsi="Verdana"/>
          <w:sz w:val="16"/>
          <w:szCs w:val="16"/>
        </w:rPr>
        <w:t xml:space="preserve">Constancia de realización de documentación </w:t>
      </w:r>
      <w:proofErr w:type="spellStart"/>
      <w:r w:rsidRPr="00685170">
        <w:rPr>
          <w:rFonts w:ascii="Verdana" w:hAnsi="Verdana"/>
          <w:sz w:val="16"/>
          <w:szCs w:val="16"/>
        </w:rPr>
        <w:t>fotoplanimétrica</w:t>
      </w:r>
      <w:proofErr w:type="spellEnd"/>
      <w:r w:rsidRPr="00685170">
        <w:rPr>
          <w:rFonts w:ascii="Verdana" w:hAnsi="Verdana"/>
          <w:sz w:val="16"/>
          <w:szCs w:val="16"/>
        </w:rPr>
        <w:t>, expedida por la Dirección Nacional de Policía Técnica el 4 de diciembre de 2006(</w:t>
      </w:r>
      <w:r w:rsidRPr="00A46353">
        <w:rPr>
          <w:rFonts w:ascii="Verdana" w:hAnsi="Verdana"/>
          <w:sz w:val="16"/>
          <w:szCs w:val="16"/>
        </w:rPr>
        <w:t>expediente de prueba, expedientes remitidos por el Estado, fs. 5782 a 57</w:t>
      </w:r>
      <w:r w:rsidRPr="00685170">
        <w:rPr>
          <w:rFonts w:ascii="Verdana" w:hAnsi="Verdana"/>
          <w:sz w:val="16"/>
          <w:szCs w:val="16"/>
        </w:rPr>
        <w:t>8</w:t>
      </w:r>
      <w:r w:rsidRPr="00A46353">
        <w:rPr>
          <w:rFonts w:ascii="Verdana" w:hAnsi="Verdana"/>
          <w:sz w:val="16"/>
          <w:szCs w:val="16"/>
        </w:rPr>
        <w:t>9</w:t>
      </w:r>
      <w:r w:rsidRPr="00685170">
        <w:rPr>
          <w:rFonts w:ascii="Verdana" w:hAnsi="Verdana"/>
          <w:sz w:val="16"/>
          <w:szCs w:val="16"/>
        </w:rPr>
        <w:t>)</w:t>
      </w:r>
      <w:r w:rsidRPr="00A46353">
        <w:rPr>
          <w:rFonts w:ascii="Verdana" w:hAnsi="Verdana"/>
          <w:sz w:val="16"/>
          <w:szCs w:val="16"/>
        </w:rPr>
        <w:t>.</w:t>
      </w:r>
    </w:p>
    <w:p w14:paraId="2AE40D74" w14:textId="77777777" w:rsidR="00DD280C" w:rsidRPr="00E40C37" w:rsidRDefault="00DD280C" w:rsidP="002A53BF">
      <w:pPr>
        <w:pStyle w:val="Textonotapie"/>
        <w:jc w:val="both"/>
        <w:rPr>
          <w:rFonts w:ascii="Verdana" w:hAnsi="Verdana"/>
          <w:sz w:val="16"/>
          <w:szCs w:val="16"/>
        </w:rPr>
      </w:pPr>
    </w:p>
  </w:footnote>
  <w:footnote w:id="63">
    <w:p w14:paraId="09E4ED6A" w14:textId="77777777" w:rsidR="00DD280C" w:rsidRPr="005D65BF" w:rsidRDefault="00DD280C" w:rsidP="002A53BF">
      <w:pPr>
        <w:pStyle w:val="Textonotapie"/>
        <w:jc w:val="both"/>
        <w:rPr>
          <w:rFonts w:ascii="Verdana" w:hAnsi="Verdana"/>
          <w:sz w:val="16"/>
          <w:szCs w:val="16"/>
        </w:rPr>
      </w:pPr>
      <w:r w:rsidRPr="005D65BF">
        <w:rPr>
          <w:rStyle w:val="Refdenotaalpie"/>
          <w:rFonts w:ascii="Verdana" w:hAnsi="Verdana"/>
          <w:sz w:val="16"/>
          <w:szCs w:val="16"/>
        </w:rPr>
        <w:footnoteRef/>
      </w:r>
      <w:r w:rsidRPr="005D65BF">
        <w:rPr>
          <w:rFonts w:ascii="Verdana" w:hAnsi="Verdana"/>
          <w:sz w:val="16"/>
          <w:szCs w:val="16"/>
        </w:rPr>
        <w:t xml:space="preserve"> </w:t>
      </w:r>
      <w:r w:rsidRPr="005D65BF">
        <w:rPr>
          <w:rFonts w:ascii="Verdana" w:hAnsi="Verdana"/>
          <w:sz w:val="16"/>
          <w:szCs w:val="16"/>
        </w:rPr>
        <w:tab/>
      </w:r>
      <w:r w:rsidRPr="005D65BF">
        <w:rPr>
          <w:rFonts w:ascii="Verdana" w:hAnsi="Verdana"/>
          <w:i/>
          <w:sz w:val="16"/>
          <w:szCs w:val="16"/>
        </w:rPr>
        <w:t>Cfr</w:t>
      </w:r>
      <w:r w:rsidRPr="005D65BF">
        <w:rPr>
          <w:rFonts w:ascii="Verdana" w:hAnsi="Verdana"/>
          <w:sz w:val="16"/>
          <w:szCs w:val="16"/>
        </w:rPr>
        <w:t xml:space="preserve">. </w:t>
      </w:r>
      <w:r>
        <w:rPr>
          <w:rFonts w:ascii="Verdana" w:hAnsi="Verdana"/>
          <w:sz w:val="16"/>
          <w:szCs w:val="16"/>
        </w:rPr>
        <w:t>Escrito del Fiscal Nacional en lo Penal de 4to Turno al Juez interviniente de 15 de febrero de 2007, y Resolución de éste del día siguiente (</w:t>
      </w:r>
      <w:r w:rsidRPr="005D65BF">
        <w:rPr>
          <w:rFonts w:ascii="Verdana" w:hAnsi="Verdana"/>
          <w:sz w:val="16"/>
          <w:szCs w:val="16"/>
        </w:rPr>
        <w:t>expediente de prueba, expedientes remitidos por el Estado, fs. 5791 a 5793</w:t>
      </w:r>
      <w:r>
        <w:rPr>
          <w:rFonts w:ascii="Verdana" w:hAnsi="Verdana"/>
          <w:sz w:val="16"/>
          <w:szCs w:val="16"/>
        </w:rPr>
        <w:t>)</w:t>
      </w:r>
      <w:r w:rsidRPr="005D65BF">
        <w:rPr>
          <w:rFonts w:ascii="Verdana" w:hAnsi="Verdana"/>
          <w:sz w:val="16"/>
          <w:szCs w:val="16"/>
        </w:rPr>
        <w:t xml:space="preserve">. </w:t>
      </w:r>
    </w:p>
    <w:p w14:paraId="2E74BFEB" w14:textId="77777777" w:rsidR="00DD280C" w:rsidRPr="00E40C37" w:rsidRDefault="00DD280C" w:rsidP="002A53BF">
      <w:pPr>
        <w:pStyle w:val="Textonotapie"/>
        <w:jc w:val="both"/>
        <w:rPr>
          <w:rFonts w:ascii="Verdana" w:hAnsi="Verdana"/>
          <w:sz w:val="16"/>
          <w:szCs w:val="16"/>
        </w:rPr>
      </w:pPr>
    </w:p>
  </w:footnote>
  <w:footnote w:id="64">
    <w:p w14:paraId="4FF36DFE"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Resolución del Presidente de la República Oriental del Urug</w:t>
      </w:r>
      <w:r>
        <w:rPr>
          <w:rFonts w:ascii="Verdana" w:hAnsi="Verdana"/>
          <w:sz w:val="16"/>
          <w:szCs w:val="16"/>
        </w:rPr>
        <w:t>uay de 30 de junio de 2011 (e</w:t>
      </w:r>
      <w:r w:rsidRPr="00E40C37">
        <w:rPr>
          <w:rFonts w:ascii="Verdana" w:hAnsi="Verdana"/>
          <w:sz w:val="16"/>
          <w:szCs w:val="16"/>
        </w:rPr>
        <w:t>xpediente de prueba, expedientes remitidos por el Estado, fs. 5835 a 583</w:t>
      </w:r>
      <w:r>
        <w:rPr>
          <w:rFonts w:ascii="Verdana" w:hAnsi="Verdana"/>
          <w:sz w:val="16"/>
          <w:szCs w:val="16"/>
        </w:rPr>
        <w:t>9)</w:t>
      </w:r>
      <w:r w:rsidRPr="00E40C37">
        <w:rPr>
          <w:rFonts w:ascii="Verdana" w:hAnsi="Verdana"/>
          <w:sz w:val="16"/>
          <w:szCs w:val="16"/>
        </w:rPr>
        <w:t>.</w:t>
      </w:r>
    </w:p>
    <w:p w14:paraId="48CF7806" w14:textId="77777777" w:rsidR="00DD280C" w:rsidRPr="00E40C37" w:rsidRDefault="00DD280C" w:rsidP="002A53BF">
      <w:pPr>
        <w:pStyle w:val="Textonotapie"/>
        <w:jc w:val="both"/>
        <w:rPr>
          <w:rFonts w:ascii="Verdana" w:hAnsi="Verdana"/>
          <w:sz w:val="16"/>
          <w:szCs w:val="16"/>
        </w:rPr>
      </w:pPr>
      <w:r w:rsidRPr="00E40C37">
        <w:rPr>
          <w:rFonts w:ascii="Verdana" w:hAnsi="Verdana"/>
          <w:sz w:val="16"/>
          <w:szCs w:val="16"/>
        </w:rPr>
        <w:t xml:space="preserve">  </w:t>
      </w:r>
    </w:p>
  </w:footnote>
  <w:footnote w:id="65">
    <w:p w14:paraId="5A3C5459"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 xml:space="preserve">Escrito del Fiscal Nacional Letrado en lo Penal de Cuarto Turno de 24 de octubre de 2011, dirigido al </w:t>
      </w:r>
      <w:r w:rsidRPr="00685170">
        <w:rPr>
          <w:rFonts w:ascii="Verdana" w:hAnsi="Verdana" w:cs="Times New Roman"/>
          <w:sz w:val="16"/>
          <w:szCs w:val="16"/>
        </w:rPr>
        <w:t>Juzgado Letrado</w:t>
      </w:r>
      <w:r>
        <w:rPr>
          <w:rFonts w:ascii="Verdana" w:hAnsi="Verdana" w:cs="Times New Roman"/>
          <w:sz w:val="16"/>
          <w:szCs w:val="16"/>
        </w:rPr>
        <w:t xml:space="preserve"> de Primera Instancia en lo Penal de 8º Turno (</w:t>
      </w:r>
      <w:r w:rsidRPr="00E40C37">
        <w:rPr>
          <w:rFonts w:ascii="Verdana" w:hAnsi="Verdana"/>
          <w:sz w:val="16"/>
          <w:szCs w:val="16"/>
        </w:rPr>
        <w:t>expediente de prueba, expedientes remitidos por el Estado, fs. 5808 a 5812</w:t>
      </w:r>
      <w:r>
        <w:rPr>
          <w:rFonts w:ascii="Verdana" w:hAnsi="Verdana"/>
          <w:sz w:val="16"/>
          <w:szCs w:val="16"/>
        </w:rPr>
        <w:t>)</w:t>
      </w:r>
      <w:r w:rsidRPr="00E40C37">
        <w:rPr>
          <w:rFonts w:ascii="Verdana" w:hAnsi="Verdana"/>
          <w:sz w:val="16"/>
          <w:szCs w:val="16"/>
        </w:rPr>
        <w:t>.</w:t>
      </w:r>
    </w:p>
    <w:p w14:paraId="577CAFD3" w14:textId="77777777" w:rsidR="00DD280C" w:rsidRPr="00E40C37" w:rsidRDefault="00DD280C" w:rsidP="002A53BF">
      <w:pPr>
        <w:pStyle w:val="Textonotapie"/>
        <w:jc w:val="both"/>
        <w:rPr>
          <w:rFonts w:ascii="Verdana" w:hAnsi="Verdana"/>
          <w:sz w:val="16"/>
          <w:szCs w:val="16"/>
        </w:rPr>
      </w:pPr>
      <w:r w:rsidRPr="00E40C37">
        <w:rPr>
          <w:rFonts w:ascii="Verdana" w:hAnsi="Verdana"/>
          <w:sz w:val="16"/>
          <w:szCs w:val="16"/>
        </w:rPr>
        <w:t xml:space="preserve">  </w:t>
      </w:r>
    </w:p>
  </w:footnote>
  <w:footnote w:id="66">
    <w:p w14:paraId="65721528" w14:textId="5DDFED71" w:rsidR="00DD280C" w:rsidRPr="00CD384E"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Decreto No 1702/2011 del Juzgado Letrado de Primera Instancia en lo Penal de 8º Turno, de 26 de octubre de 2011 (</w:t>
      </w:r>
      <w:r w:rsidRPr="00E40C37">
        <w:rPr>
          <w:rFonts w:ascii="Verdana" w:hAnsi="Verdana"/>
          <w:sz w:val="16"/>
          <w:szCs w:val="16"/>
        </w:rPr>
        <w:t>expediente de prueba, expedientes remitido</w:t>
      </w:r>
      <w:r>
        <w:rPr>
          <w:rFonts w:ascii="Verdana" w:hAnsi="Verdana"/>
          <w:sz w:val="16"/>
          <w:szCs w:val="16"/>
        </w:rPr>
        <w:t>s por el Estado, fs. 5814). Luego de lo señalado</w:t>
      </w:r>
      <w:r w:rsidRPr="00CD384E">
        <w:rPr>
          <w:rFonts w:ascii="Verdana" w:hAnsi="Verdana"/>
          <w:sz w:val="16"/>
          <w:szCs w:val="16"/>
        </w:rPr>
        <w:t xml:space="preserve">, </w:t>
      </w:r>
      <w:r w:rsidRPr="00685170">
        <w:rPr>
          <w:rFonts w:ascii="Verdana" w:hAnsi="Verdana"/>
          <w:sz w:val="16"/>
          <w:szCs w:val="16"/>
        </w:rPr>
        <w:t xml:space="preserve">el 31 de octubre de 2011, familiares de Diana </w:t>
      </w:r>
      <w:proofErr w:type="spellStart"/>
      <w:r w:rsidRPr="00685170">
        <w:rPr>
          <w:rFonts w:ascii="Verdana" w:hAnsi="Verdana"/>
          <w:sz w:val="16"/>
          <w:szCs w:val="16"/>
        </w:rPr>
        <w:t>Maidanik</w:t>
      </w:r>
      <w:proofErr w:type="spellEnd"/>
      <w:r w:rsidRPr="00685170">
        <w:rPr>
          <w:rFonts w:ascii="Verdana" w:hAnsi="Verdana"/>
          <w:sz w:val="16"/>
          <w:szCs w:val="16"/>
        </w:rPr>
        <w:t>, Silvia Reyes y Laura Raggio también solicitaron la reapertura de las investigaciones (</w:t>
      </w:r>
      <w:r>
        <w:rPr>
          <w:rFonts w:ascii="Verdana" w:hAnsi="Verdana" w:cs="Times New Roman"/>
          <w:i/>
          <w:sz w:val="16"/>
          <w:szCs w:val="16"/>
        </w:rPr>
        <w:t>c</w:t>
      </w:r>
      <w:r w:rsidRPr="00CD384E">
        <w:rPr>
          <w:rFonts w:ascii="Verdana" w:hAnsi="Verdana" w:cs="Times New Roman"/>
          <w:i/>
          <w:sz w:val="16"/>
          <w:szCs w:val="16"/>
        </w:rPr>
        <w:t>fr.</w:t>
      </w:r>
      <w:r w:rsidRPr="00CD384E">
        <w:rPr>
          <w:rFonts w:ascii="Verdana" w:hAnsi="Verdana" w:cs="Times New Roman"/>
          <w:sz w:val="16"/>
          <w:szCs w:val="16"/>
        </w:rPr>
        <w:t xml:space="preserve"> Escrito de Flora </w:t>
      </w:r>
      <w:proofErr w:type="spellStart"/>
      <w:r w:rsidRPr="00CD384E">
        <w:rPr>
          <w:rFonts w:ascii="Verdana" w:hAnsi="Verdana" w:cs="Times New Roman"/>
          <w:sz w:val="16"/>
          <w:szCs w:val="16"/>
        </w:rPr>
        <w:t>Potasnik</w:t>
      </w:r>
      <w:proofErr w:type="spellEnd"/>
      <w:r w:rsidRPr="00CD384E">
        <w:rPr>
          <w:rFonts w:ascii="Verdana" w:hAnsi="Verdana" w:cs="Times New Roman"/>
          <w:sz w:val="16"/>
          <w:szCs w:val="16"/>
        </w:rPr>
        <w:t xml:space="preserve">, Daniel Raggio </w:t>
      </w:r>
      <w:proofErr w:type="spellStart"/>
      <w:r w:rsidRPr="00CD384E">
        <w:rPr>
          <w:rFonts w:ascii="Verdana" w:hAnsi="Verdana" w:cs="Times New Roman"/>
          <w:sz w:val="16"/>
          <w:szCs w:val="16"/>
        </w:rPr>
        <w:t>Odizzio</w:t>
      </w:r>
      <w:proofErr w:type="spellEnd"/>
      <w:r w:rsidRPr="00CD384E">
        <w:rPr>
          <w:rFonts w:ascii="Verdana" w:hAnsi="Verdana" w:cs="Times New Roman"/>
          <w:sz w:val="16"/>
          <w:szCs w:val="16"/>
        </w:rPr>
        <w:t xml:space="preserve">, Horacio Enrique Raggio </w:t>
      </w:r>
      <w:proofErr w:type="spellStart"/>
      <w:r w:rsidRPr="00CD384E">
        <w:rPr>
          <w:rFonts w:ascii="Verdana" w:hAnsi="Verdana" w:cs="Times New Roman"/>
          <w:sz w:val="16"/>
          <w:szCs w:val="16"/>
        </w:rPr>
        <w:t>Odizzio</w:t>
      </w:r>
      <w:proofErr w:type="spellEnd"/>
      <w:r w:rsidRPr="00CD384E">
        <w:rPr>
          <w:rFonts w:ascii="Verdana" w:hAnsi="Verdana" w:cs="Times New Roman"/>
          <w:sz w:val="16"/>
          <w:szCs w:val="16"/>
        </w:rPr>
        <w:t xml:space="preserve">, y Stella Reyes de 31 de octubre de 2011, </w:t>
      </w:r>
      <w:r w:rsidRPr="00685170">
        <w:rPr>
          <w:rFonts w:ascii="Verdana" w:hAnsi="Verdana" w:cs="Times New Roman"/>
          <w:sz w:val="16"/>
          <w:szCs w:val="16"/>
        </w:rPr>
        <w:t>dirigido al Juzgado Letrado de Primera Instancia en lo Penal de 8º Turno (</w:t>
      </w:r>
      <w:r w:rsidRPr="00685170">
        <w:rPr>
          <w:rFonts w:ascii="Verdana" w:hAnsi="Verdana"/>
          <w:sz w:val="16"/>
          <w:szCs w:val="16"/>
        </w:rPr>
        <w:t>expediente de prueba, expedientes remitidos por el Estado</w:t>
      </w:r>
      <w:r w:rsidRPr="00CD384E">
        <w:rPr>
          <w:rFonts w:ascii="Verdana" w:hAnsi="Verdana"/>
          <w:sz w:val="16"/>
          <w:szCs w:val="16"/>
        </w:rPr>
        <w:t>, fs. 5815 a 5817)</w:t>
      </w:r>
      <w:r>
        <w:rPr>
          <w:rFonts w:ascii="Verdana" w:hAnsi="Verdana"/>
          <w:sz w:val="16"/>
          <w:szCs w:val="16"/>
        </w:rPr>
        <w:t>)</w:t>
      </w:r>
      <w:r w:rsidRPr="00CD384E">
        <w:rPr>
          <w:rFonts w:ascii="Verdana" w:hAnsi="Verdana"/>
          <w:sz w:val="16"/>
          <w:szCs w:val="16"/>
        </w:rPr>
        <w:t>.</w:t>
      </w:r>
    </w:p>
    <w:p w14:paraId="64A281C3" w14:textId="77777777" w:rsidR="00DD280C" w:rsidRPr="00E40C37" w:rsidRDefault="00DD280C" w:rsidP="002A53BF">
      <w:pPr>
        <w:pStyle w:val="Textonotapie"/>
        <w:jc w:val="both"/>
        <w:rPr>
          <w:rFonts w:ascii="Verdana" w:hAnsi="Verdana"/>
          <w:sz w:val="16"/>
          <w:szCs w:val="16"/>
        </w:rPr>
      </w:pPr>
    </w:p>
  </w:footnote>
  <w:footnote w:id="67">
    <w:p w14:paraId="4958F4B3"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Declaración de A.M. de 21 de diciembre de 2011 dada ante el Juzgado Letrado de Primera Instancia en lo Penal de 8º Turno (</w:t>
      </w:r>
      <w:r w:rsidRPr="00E40C37">
        <w:rPr>
          <w:rFonts w:ascii="Verdana" w:hAnsi="Verdana"/>
          <w:sz w:val="16"/>
          <w:szCs w:val="16"/>
        </w:rPr>
        <w:t>expediente de prueba, expedientes remitidos por el Estado, fs. 584</w:t>
      </w:r>
      <w:r>
        <w:rPr>
          <w:rFonts w:ascii="Verdana" w:hAnsi="Verdana"/>
          <w:sz w:val="16"/>
          <w:szCs w:val="16"/>
        </w:rPr>
        <w:t>0</w:t>
      </w:r>
      <w:r w:rsidRPr="00E40C37">
        <w:rPr>
          <w:rFonts w:ascii="Verdana" w:hAnsi="Verdana"/>
          <w:sz w:val="16"/>
          <w:szCs w:val="16"/>
        </w:rPr>
        <w:t xml:space="preserve"> a 5843</w:t>
      </w:r>
      <w:r>
        <w:rPr>
          <w:rFonts w:ascii="Verdana" w:hAnsi="Verdana"/>
          <w:sz w:val="16"/>
          <w:szCs w:val="16"/>
        </w:rPr>
        <w:t>)</w:t>
      </w:r>
      <w:r w:rsidRPr="00E40C37">
        <w:rPr>
          <w:rFonts w:ascii="Verdana" w:hAnsi="Verdana"/>
          <w:sz w:val="16"/>
          <w:szCs w:val="16"/>
        </w:rPr>
        <w:t xml:space="preserve">.  </w:t>
      </w:r>
    </w:p>
    <w:p w14:paraId="74B04F37" w14:textId="77777777" w:rsidR="00DD280C" w:rsidRPr="00E40C37" w:rsidRDefault="00DD280C" w:rsidP="002A53BF">
      <w:pPr>
        <w:pStyle w:val="Textonotapie"/>
        <w:jc w:val="both"/>
        <w:rPr>
          <w:rFonts w:ascii="Verdana" w:hAnsi="Verdana"/>
          <w:sz w:val="16"/>
          <w:szCs w:val="16"/>
        </w:rPr>
      </w:pPr>
    </w:p>
  </w:footnote>
  <w:footnote w:id="68">
    <w:p w14:paraId="2ADBE92B" w14:textId="2B35CB3C"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Solicitudes de documentación de 2 de septiembre de 2013, Oficios 619/2013 y 621/2013, expedidos por el Juzgado Letrado de Primera Instancia en lo Penal de 8º Turno, dirigidas, respectivamente, a AJPROJUMI y al Ministerio de Defensa Nacional, y respuestas de esas entidades de 23 de septiembre (Oficio OFJ-7095000025/2013) y 10 de octubre (Oficio 686/</w:t>
      </w:r>
      <w:proofErr w:type="spellStart"/>
      <w:r>
        <w:rPr>
          <w:rFonts w:ascii="Verdana" w:hAnsi="Verdana" w:cs="Times New Roman"/>
          <w:sz w:val="16"/>
          <w:szCs w:val="16"/>
        </w:rPr>
        <w:t>SecMtro</w:t>
      </w:r>
      <w:proofErr w:type="spellEnd"/>
      <w:r>
        <w:rPr>
          <w:rFonts w:ascii="Verdana" w:hAnsi="Verdana" w:cs="Times New Roman"/>
          <w:sz w:val="16"/>
          <w:szCs w:val="16"/>
        </w:rPr>
        <w:t>/13) de 2013, respectivamente (</w:t>
      </w:r>
      <w:r w:rsidRPr="00E40C37">
        <w:rPr>
          <w:rFonts w:ascii="Verdana" w:hAnsi="Verdana"/>
          <w:sz w:val="16"/>
          <w:szCs w:val="16"/>
        </w:rPr>
        <w:t>expediente</w:t>
      </w:r>
      <w:r>
        <w:rPr>
          <w:rFonts w:ascii="Verdana" w:hAnsi="Verdana"/>
          <w:sz w:val="16"/>
          <w:szCs w:val="16"/>
        </w:rPr>
        <w:t xml:space="preserve"> de prueba, expedientes</w:t>
      </w:r>
      <w:r w:rsidRPr="00E40C37">
        <w:rPr>
          <w:rFonts w:ascii="Verdana" w:hAnsi="Verdana"/>
          <w:sz w:val="16"/>
          <w:szCs w:val="16"/>
        </w:rPr>
        <w:t xml:space="preserve"> remitidos por el Estado, fs. 5989</w:t>
      </w:r>
      <w:r>
        <w:rPr>
          <w:rFonts w:ascii="Verdana" w:hAnsi="Verdana"/>
          <w:sz w:val="16"/>
          <w:szCs w:val="16"/>
        </w:rPr>
        <w:t xml:space="preserve"> y 5991</w:t>
      </w:r>
      <w:r w:rsidRPr="00E40C37">
        <w:rPr>
          <w:rFonts w:ascii="Verdana" w:hAnsi="Verdana"/>
          <w:sz w:val="16"/>
          <w:szCs w:val="16"/>
        </w:rPr>
        <w:t xml:space="preserve"> a 5993</w:t>
      </w:r>
      <w:r>
        <w:rPr>
          <w:rFonts w:ascii="Verdana" w:hAnsi="Verdana"/>
          <w:sz w:val="16"/>
          <w:szCs w:val="16"/>
        </w:rPr>
        <w:t>)</w:t>
      </w:r>
      <w:r w:rsidRPr="00E40C37">
        <w:rPr>
          <w:rFonts w:ascii="Verdana" w:hAnsi="Verdana"/>
          <w:sz w:val="16"/>
          <w:szCs w:val="16"/>
        </w:rPr>
        <w:t xml:space="preserve">. El Ministerio de Defensa, en </w:t>
      </w:r>
      <w:r>
        <w:rPr>
          <w:rFonts w:ascii="Verdana" w:hAnsi="Verdana"/>
          <w:sz w:val="16"/>
          <w:szCs w:val="16"/>
        </w:rPr>
        <w:t>la</w:t>
      </w:r>
      <w:r w:rsidRPr="00E40C37">
        <w:rPr>
          <w:rFonts w:ascii="Verdana" w:hAnsi="Verdana"/>
          <w:sz w:val="16"/>
          <w:szCs w:val="16"/>
        </w:rPr>
        <w:t xml:space="preserve"> respuesta</w:t>
      </w:r>
      <w:r>
        <w:rPr>
          <w:rFonts w:ascii="Verdana" w:hAnsi="Verdana"/>
          <w:sz w:val="16"/>
          <w:szCs w:val="16"/>
        </w:rPr>
        <w:t xml:space="preserve"> referida</w:t>
      </w:r>
      <w:r w:rsidRPr="00E40C37">
        <w:rPr>
          <w:rFonts w:ascii="Verdana" w:hAnsi="Verdana"/>
          <w:sz w:val="16"/>
          <w:szCs w:val="16"/>
        </w:rPr>
        <w:t>, manifestó no tener información sobre las personas que participaron en el operativo, y sugirió solicitar información al Archivo General de la Nación</w:t>
      </w:r>
      <w:r>
        <w:rPr>
          <w:rFonts w:ascii="Verdana" w:hAnsi="Verdana"/>
          <w:sz w:val="16"/>
          <w:szCs w:val="16"/>
        </w:rPr>
        <w:t xml:space="preserve">, que luego de ser requerido respondió no tener información, mas sí remitió “[una] fotocopia perteneciente a Arturo Ricardo Reyes </w:t>
      </w:r>
      <w:proofErr w:type="spellStart"/>
      <w:r w:rsidR="002965C5">
        <w:rPr>
          <w:rFonts w:ascii="Verdana" w:hAnsi="Verdana"/>
          <w:sz w:val="16"/>
          <w:szCs w:val="16"/>
        </w:rPr>
        <w:t>Gaetá</w:t>
      </w:r>
      <w:r>
        <w:rPr>
          <w:rFonts w:ascii="Verdana" w:hAnsi="Verdana"/>
          <w:sz w:val="16"/>
          <w:szCs w:val="16"/>
        </w:rPr>
        <w:t>n</w:t>
      </w:r>
      <w:proofErr w:type="spellEnd"/>
      <w:r>
        <w:rPr>
          <w:rFonts w:ascii="Verdana" w:hAnsi="Verdana"/>
          <w:sz w:val="16"/>
          <w:szCs w:val="16"/>
        </w:rPr>
        <w:t xml:space="preserve"> de la información encontrada en las [f]</w:t>
      </w:r>
      <w:proofErr w:type="spellStart"/>
      <w:r>
        <w:rPr>
          <w:rFonts w:ascii="Verdana" w:hAnsi="Verdana"/>
          <w:sz w:val="16"/>
          <w:szCs w:val="16"/>
        </w:rPr>
        <w:t>ichas</w:t>
      </w:r>
      <w:proofErr w:type="spellEnd"/>
      <w:r>
        <w:rPr>
          <w:rFonts w:ascii="Verdana" w:hAnsi="Verdana"/>
          <w:sz w:val="16"/>
          <w:szCs w:val="16"/>
        </w:rPr>
        <w:t xml:space="preserve"> pertenecientes a OCOA” </w:t>
      </w:r>
      <w:r w:rsidRPr="00685170">
        <w:rPr>
          <w:rFonts w:ascii="Verdana" w:hAnsi="Verdana"/>
          <w:i/>
          <w:sz w:val="16"/>
          <w:szCs w:val="16"/>
        </w:rPr>
        <w:t>(cfr.</w:t>
      </w:r>
      <w:r>
        <w:rPr>
          <w:rFonts w:ascii="Verdana" w:hAnsi="Verdana"/>
          <w:sz w:val="16"/>
          <w:szCs w:val="16"/>
        </w:rPr>
        <w:t xml:space="preserve"> Solicitud de documentación de 23 de octubre de 2013, Oficio No. 732/2013, dirigido por el </w:t>
      </w:r>
      <w:r>
        <w:rPr>
          <w:rFonts w:ascii="Verdana" w:hAnsi="Verdana" w:cs="Times New Roman"/>
          <w:sz w:val="16"/>
          <w:szCs w:val="16"/>
        </w:rPr>
        <w:t>Juzgado Letrado de Primera Instancia en lo Penal de 8º Turno</w:t>
      </w:r>
      <w:r>
        <w:rPr>
          <w:rFonts w:ascii="Verdana" w:hAnsi="Verdana"/>
          <w:sz w:val="16"/>
          <w:szCs w:val="16"/>
        </w:rPr>
        <w:t xml:space="preserve"> al Archivo General de la Nación, y respuesta de éste de 4 de noviembre de 2013 (expediente de prueba, expedientes remitidos por el Estado, fs. 5997 y 5998, respectivamente).</w:t>
      </w:r>
    </w:p>
    <w:p w14:paraId="518CD795" w14:textId="77777777" w:rsidR="00DD280C" w:rsidRPr="00E40C37" w:rsidRDefault="00DD280C" w:rsidP="002A53BF">
      <w:pPr>
        <w:pStyle w:val="Textonotapie"/>
        <w:jc w:val="both"/>
        <w:rPr>
          <w:rFonts w:ascii="Verdana" w:hAnsi="Verdana"/>
          <w:sz w:val="16"/>
          <w:szCs w:val="16"/>
        </w:rPr>
      </w:pPr>
    </w:p>
  </w:footnote>
  <w:footnote w:id="69">
    <w:p w14:paraId="23375B7A"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 xml:space="preserve">Declaraciones ante el Juzgado Letrado de Primera Instancia en lo Penal de 8º Turno de G.N. </w:t>
      </w:r>
      <w:r>
        <w:rPr>
          <w:rFonts w:ascii="Verdana" w:hAnsi="Verdana"/>
          <w:sz w:val="16"/>
          <w:szCs w:val="16"/>
        </w:rPr>
        <w:t>de 30 de octubre y 28 de noviembre de 2014, y de C.V., en la última fecha mencionada (e</w:t>
      </w:r>
      <w:r w:rsidRPr="00E40C37">
        <w:rPr>
          <w:rFonts w:ascii="Verdana" w:hAnsi="Verdana"/>
          <w:sz w:val="16"/>
          <w:szCs w:val="16"/>
        </w:rPr>
        <w:t>xpediente de prueba, expedientes remitidos por el Estado</w:t>
      </w:r>
      <w:r>
        <w:rPr>
          <w:rFonts w:ascii="Verdana" w:hAnsi="Verdana"/>
          <w:sz w:val="16"/>
          <w:szCs w:val="16"/>
        </w:rPr>
        <w:t>, fs. 6069 a 6072, y 6079 a 6083 y 6084 a 6087, respectivamente).</w:t>
      </w:r>
    </w:p>
    <w:p w14:paraId="1DBD23D3" w14:textId="77777777" w:rsidR="00DD280C" w:rsidRPr="00E40C37" w:rsidRDefault="00DD280C" w:rsidP="002A53BF">
      <w:pPr>
        <w:pStyle w:val="Textonotapie"/>
        <w:jc w:val="both"/>
        <w:rPr>
          <w:rFonts w:ascii="Verdana" w:hAnsi="Verdana"/>
          <w:sz w:val="16"/>
          <w:szCs w:val="16"/>
        </w:rPr>
      </w:pPr>
    </w:p>
  </w:footnote>
  <w:footnote w:id="70">
    <w:p w14:paraId="7C141A95"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Oficios No. 326/P y 605, de 26 de mayo y 3 de junio de 2015, emitidos, respectivamente, por la Jefatura de Policía de Canelones y por el Juzgado de Primera Instancia de Maldonado de 4º Turno; actas de exhumación de 27 de mayo y 8 de junio de 2015 e Informes de autopsia expedidos por el Instituto Técnico Forense del Poder Judicial el 28 de julio de 2015 (</w:t>
      </w:r>
      <w:r w:rsidRPr="00E40C37">
        <w:rPr>
          <w:rFonts w:ascii="Verdana" w:hAnsi="Verdana"/>
          <w:sz w:val="16"/>
          <w:szCs w:val="16"/>
        </w:rPr>
        <w:t>expediente de prueba, expedientes remitidos por el Estado</w:t>
      </w:r>
      <w:r>
        <w:rPr>
          <w:rFonts w:ascii="Verdana" w:hAnsi="Verdana"/>
          <w:sz w:val="16"/>
          <w:szCs w:val="16"/>
        </w:rPr>
        <w:t>, fs. 6139, 6156, 6140, 6157 a 6159 y 6180 a 6224, respectivamente).</w:t>
      </w:r>
    </w:p>
    <w:p w14:paraId="2A4CCA87" w14:textId="77777777" w:rsidR="00DD280C" w:rsidRPr="00E40C37" w:rsidRDefault="00DD280C" w:rsidP="002A53BF">
      <w:pPr>
        <w:pStyle w:val="Textonotapie"/>
        <w:jc w:val="both"/>
        <w:rPr>
          <w:rFonts w:ascii="Verdana" w:hAnsi="Verdana"/>
          <w:sz w:val="16"/>
          <w:szCs w:val="16"/>
        </w:rPr>
      </w:pPr>
    </w:p>
  </w:footnote>
  <w:footnote w:id="71">
    <w:p w14:paraId="5F027562" w14:textId="77777777" w:rsidR="00DD280C" w:rsidRPr="00E53751" w:rsidRDefault="00DD280C" w:rsidP="002A53BF">
      <w:pPr>
        <w:pStyle w:val="Prrafodelista"/>
        <w:autoSpaceDE w:val="0"/>
        <w:autoSpaceDN w:val="0"/>
        <w:adjustRightInd w:val="0"/>
        <w:spacing w:after="0" w:line="240" w:lineRule="auto"/>
        <w:ind w:left="0"/>
        <w:jc w:val="both"/>
        <w:rPr>
          <w:rFonts w:ascii="Verdana" w:hAnsi="Verdana" w:cs="Times New Roman"/>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685170">
        <w:rPr>
          <w:rFonts w:ascii="Verdana" w:hAnsi="Verdana"/>
          <w:i/>
          <w:sz w:val="16"/>
          <w:szCs w:val="16"/>
        </w:rPr>
        <w:t xml:space="preserve">Cfr. </w:t>
      </w:r>
      <w:r>
        <w:rPr>
          <w:rFonts w:ascii="Verdana" w:hAnsi="Verdana"/>
          <w:sz w:val="16"/>
          <w:szCs w:val="16"/>
        </w:rPr>
        <w:t xml:space="preserve">Fiscalía General de la Nación. Dictamen Fuera de Audiencia No. 1773/15/FP4T de 5 de noviembre de 2015; Decreto Nro. 2315/2015 de la misma fecha, emitido por la jueza actuante proveyendo favorablemente la solicitud efectuada en el documento anterior, y Oficio No 131/SG/15 del Servicio de Retiros y Pensiones de las Fuerzas Armadas de 30 de noviembre de 2015, dirigido al Sub Director General de Secretaría del Ministerio de Defensa Nacional, recibido el 9 de diciembre de 2015 por </w:t>
      </w:r>
      <w:r>
        <w:rPr>
          <w:rFonts w:ascii="Verdana" w:hAnsi="Verdana" w:cs="Times New Roman"/>
          <w:sz w:val="16"/>
          <w:szCs w:val="16"/>
        </w:rPr>
        <w:t xml:space="preserve">el órgano judicial interviniente en la causa </w:t>
      </w:r>
      <w:r w:rsidRPr="00AE11F5">
        <w:rPr>
          <w:rFonts w:ascii="Verdana" w:hAnsi="Verdana"/>
          <w:sz w:val="16"/>
          <w:szCs w:val="16"/>
        </w:rPr>
        <w:t>(</w:t>
      </w:r>
      <w:r>
        <w:rPr>
          <w:rFonts w:ascii="Verdana" w:hAnsi="Verdana" w:cs="Times New Roman"/>
          <w:i/>
          <w:sz w:val="16"/>
          <w:szCs w:val="16"/>
        </w:rPr>
        <w:t>c</w:t>
      </w:r>
      <w:r w:rsidRPr="00AE11F5">
        <w:rPr>
          <w:rFonts w:ascii="Verdana" w:hAnsi="Verdana" w:cs="Times New Roman"/>
          <w:i/>
          <w:sz w:val="16"/>
          <w:szCs w:val="16"/>
        </w:rPr>
        <w:t>fr.</w:t>
      </w:r>
      <w:r w:rsidRPr="00AE11F5">
        <w:rPr>
          <w:rFonts w:ascii="Verdana" w:hAnsi="Verdana" w:cs="Times New Roman"/>
          <w:sz w:val="16"/>
          <w:szCs w:val="16"/>
        </w:rPr>
        <w:t xml:space="preserve"> </w:t>
      </w:r>
      <w:r w:rsidRPr="00AE11F5">
        <w:rPr>
          <w:rFonts w:ascii="Verdana" w:hAnsi="Verdana"/>
          <w:sz w:val="16"/>
          <w:szCs w:val="16"/>
        </w:rPr>
        <w:t>expediente de prueba, expedientes remitidos por el Estado</w:t>
      </w:r>
      <w:r>
        <w:rPr>
          <w:rFonts w:ascii="Verdana" w:hAnsi="Verdana"/>
          <w:sz w:val="16"/>
          <w:szCs w:val="16"/>
        </w:rPr>
        <w:t>, fs. 6320 a 6321, 6322 y 6333 y 6334, respectivamente</w:t>
      </w:r>
      <w:r w:rsidRPr="00AE11F5">
        <w:rPr>
          <w:rFonts w:ascii="Verdana" w:hAnsi="Verdana"/>
          <w:sz w:val="16"/>
          <w:szCs w:val="16"/>
        </w:rPr>
        <w:t>)</w:t>
      </w:r>
      <w:r>
        <w:rPr>
          <w:rFonts w:ascii="Verdana" w:hAnsi="Verdana"/>
          <w:sz w:val="16"/>
          <w:szCs w:val="16"/>
        </w:rPr>
        <w:t xml:space="preserve">. La </w:t>
      </w:r>
      <w:r w:rsidRPr="00AE11F5">
        <w:rPr>
          <w:rFonts w:ascii="Verdana" w:hAnsi="Verdana" w:cs="Times New Roman"/>
          <w:sz w:val="16"/>
          <w:szCs w:val="16"/>
        </w:rPr>
        <w:t xml:space="preserve">jueza había solicitado información sobre tres: </w:t>
      </w:r>
      <w:r w:rsidRPr="00AE11F5">
        <w:rPr>
          <w:rFonts w:ascii="Verdana" w:hAnsi="Verdana"/>
          <w:sz w:val="16"/>
          <w:szCs w:val="16"/>
        </w:rPr>
        <w:t>J.R</w:t>
      </w:r>
      <w:r>
        <w:rPr>
          <w:rFonts w:ascii="Verdana" w:hAnsi="Verdana"/>
          <w:sz w:val="16"/>
          <w:szCs w:val="16"/>
        </w:rPr>
        <w:t xml:space="preserve">., </w:t>
      </w:r>
      <w:r w:rsidRPr="00AE11F5">
        <w:rPr>
          <w:rFonts w:ascii="Verdana" w:hAnsi="Verdana"/>
          <w:sz w:val="16"/>
          <w:szCs w:val="16"/>
        </w:rPr>
        <w:t>E.K. y M.M</w:t>
      </w:r>
      <w:r w:rsidRPr="00685170">
        <w:rPr>
          <w:rFonts w:ascii="Verdana" w:hAnsi="Verdana"/>
          <w:sz w:val="16"/>
          <w:szCs w:val="16"/>
        </w:rPr>
        <w:t>.,</w:t>
      </w:r>
      <w:r w:rsidRPr="00AE11F5">
        <w:rPr>
          <w:rFonts w:ascii="Verdana" w:hAnsi="Verdana"/>
          <w:sz w:val="16"/>
          <w:szCs w:val="16"/>
        </w:rPr>
        <w:t xml:space="preserve"> a “efectos de ser interrogados sobre los hechos denunciados”</w:t>
      </w:r>
      <w:r>
        <w:rPr>
          <w:rFonts w:ascii="Verdana" w:hAnsi="Verdana"/>
          <w:sz w:val="16"/>
          <w:szCs w:val="16"/>
        </w:rPr>
        <w:t>.</w:t>
      </w:r>
      <w:r w:rsidRPr="00AE11F5">
        <w:rPr>
          <w:rFonts w:ascii="Verdana" w:hAnsi="Verdana"/>
          <w:sz w:val="16"/>
          <w:szCs w:val="16"/>
        </w:rPr>
        <w:t xml:space="preserve"> Sobre la tercera persona, el Ministerio de Defensa indicó carecer de información. </w:t>
      </w:r>
    </w:p>
    <w:p w14:paraId="7C5E105B" w14:textId="77777777" w:rsidR="00DD280C" w:rsidRPr="00E40C37" w:rsidRDefault="00DD280C" w:rsidP="002A53BF">
      <w:pPr>
        <w:pStyle w:val="Textonotapie"/>
        <w:jc w:val="both"/>
        <w:rPr>
          <w:rFonts w:ascii="Verdana" w:hAnsi="Verdana"/>
          <w:sz w:val="16"/>
          <w:szCs w:val="16"/>
        </w:rPr>
      </w:pPr>
    </w:p>
  </w:footnote>
  <w:footnote w:id="72">
    <w:p w14:paraId="3FA67882"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Citación emitida el 24 de febrero de 2016 (</w:t>
      </w:r>
      <w:r w:rsidRPr="00E40C37">
        <w:rPr>
          <w:rFonts w:ascii="Verdana" w:hAnsi="Verdana"/>
          <w:sz w:val="16"/>
          <w:szCs w:val="16"/>
        </w:rPr>
        <w:t>expediente de prueba, expedientes remitidos por el Estad</w:t>
      </w:r>
      <w:r>
        <w:rPr>
          <w:rFonts w:ascii="Verdana" w:hAnsi="Verdana"/>
          <w:sz w:val="16"/>
          <w:szCs w:val="16"/>
        </w:rPr>
        <w:t xml:space="preserve">o, </w:t>
      </w:r>
      <w:r w:rsidRPr="00E40C37">
        <w:rPr>
          <w:rFonts w:ascii="Verdana" w:hAnsi="Verdana"/>
          <w:sz w:val="16"/>
          <w:szCs w:val="16"/>
        </w:rPr>
        <w:t>f. 6339</w:t>
      </w:r>
      <w:r>
        <w:rPr>
          <w:rFonts w:ascii="Verdana" w:hAnsi="Verdana"/>
          <w:sz w:val="16"/>
          <w:szCs w:val="16"/>
        </w:rPr>
        <w:t>)</w:t>
      </w:r>
      <w:r w:rsidRPr="00E40C37">
        <w:rPr>
          <w:rFonts w:ascii="Verdana" w:hAnsi="Verdana"/>
          <w:sz w:val="16"/>
          <w:szCs w:val="16"/>
        </w:rPr>
        <w:t>.</w:t>
      </w:r>
    </w:p>
    <w:p w14:paraId="7069DA08" w14:textId="77777777" w:rsidR="00DD280C" w:rsidRPr="00E40C37" w:rsidRDefault="00DD280C" w:rsidP="002A53BF">
      <w:pPr>
        <w:pStyle w:val="Textonotapie"/>
        <w:jc w:val="both"/>
        <w:rPr>
          <w:rFonts w:ascii="Verdana" w:hAnsi="Verdana"/>
          <w:sz w:val="16"/>
          <w:szCs w:val="16"/>
        </w:rPr>
      </w:pPr>
    </w:p>
  </w:footnote>
  <w:footnote w:id="73">
    <w:p w14:paraId="27DE57B3" w14:textId="39237DB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Mandato verbal No 893/2018 de 17 de julio de 2018, dado por el órgano judicial interviniente; escrito IUE 91-841/1986 No de Actuación 101, de 2 de agosto de 2018, emitido por la Fiscalía Especializada y Oficio citatorio Nro. 1100/2018 de 26 de septiembre de 2018 (</w:t>
      </w:r>
      <w:r w:rsidRPr="00E40C37">
        <w:rPr>
          <w:rFonts w:ascii="Verdana" w:hAnsi="Verdana"/>
          <w:sz w:val="16"/>
          <w:szCs w:val="16"/>
        </w:rPr>
        <w:t>expediente de prueba, expedientes remitidos por el Estado</w:t>
      </w:r>
      <w:r>
        <w:rPr>
          <w:rFonts w:ascii="Verdana" w:hAnsi="Verdana"/>
          <w:sz w:val="16"/>
          <w:szCs w:val="16"/>
        </w:rPr>
        <w:t>, fs. 6636, 6638 a 6641 y 6657, respectivamente).</w:t>
      </w:r>
    </w:p>
    <w:p w14:paraId="17D72BFF" w14:textId="77777777" w:rsidR="00DD280C" w:rsidRPr="00E40C37" w:rsidRDefault="00DD280C" w:rsidP="002A53BF">
      <w:pPr>
        <w:pStyle w:val="Textonotapie"/>
        <w:jc w:val="both"/>
        <w:rPr>
          <w:rFonts w:ascii="Verdana" w:hAnsi="Verdana"/>
          <w:sz w:val="16"/>
          <w:szCs w:val="16"/>
        </w:rPr>
      </w:pPr>
    </w:p>
  </w:footnote>
  <w:footnote w:id="74">
    <w:p w14:paraId="34BF916E" w14:textId="0AE1E3A1" w:rsidR="00DD280C" w:rsidRPr="00E40C37" w:rsidRDefault="00DD280C" w:rsidP="002A53BF">
      <w:pPr>
        <w:pStyle w:val="Prrafodelista"/>
        <w:spacing w:after="0"/>
        <w:ind w:left="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Acta de declaración de E.K. de 16 de noviembre de 2020 (</w:t>
      </w:r>
      <w:r w:rsidRPr="00E40C37">
        <w:rPr>
          <w:rFonts w:ascii="Verdana" w:hAnsi="Verdana"/>
          <w:sz w:val="16"/>
          <w:szCs w:val="16"/>
        </w:rPr>
        <w:t>expediente de prueba, expedientes remitidos por el Estado, f</w:t>
      </w:r>
      <w:r>
        <w:rPr>
          <w:rFonts w:ascii="Verdana" w:hAnsi="Verdana"/>
          <w:sz w:val="16"/>
          <w:szCs w:val="16"/>
        </w:rPr>
        <w:t>s</w:t>
      </w:r>
      <w:r w:rsidRPr="00E40C37">
        <w:rPr>
          <w:rFonts w:ascii="Verdana" w:hAnsi="Verdana"/>
          <w:sz w:val="16"/>
          <w:szCs w:val="16"/>
        </w:rPr>
        <w:t>. 7324 a 7329</w:t>
      </w:r>
      <w:r>
        <w:rPr>
          <w:rFonts w:ascii="Verdana" w:hAnsi="Verdana"/>
          <w:sz w:val="16"/>
          <w:szCs w:val="16"/>
        </w:rPr>
        <w:t>)</w:t>
      </w:r>
      <w:r w:rsidRPr="00E40C37">
        <w:rPr>
          <w:rFonts w:ascii="Verdana" w:hAnsi="Verdana"/>
          <w:sz w:val="16"/>
          <w:szCs w:val="16"/>
        </w:rPr>
        <w:t xml:space="preserve">. </w:t>
      </w:r>
      <w:r w:rsidRPr="00D4491A">
        <w:rPr>
          <w:rFonts w:ascii="Verdana" w:hAnsi="Verdana"/>
          <w:sz w:val="16"/>
          <w:szCs w:val="16"/>
        </w:rPr>
        <w:t>Antes de esa declaración, los días 27 de septiembre de y 9 de octubre de 2019 la Fiscalía Especializada solicitó múltiples medidas de prueba</w:t>
      </w:r>
      <w:r>
        <w:rPr>
          <w:rFonts w:ascii="Verdana" w:hAnsi="Verdana"/>
          <w:sz w:val="16"/>
          <w:szCs w:val="16"/>
        </w:rPr>
        <w:t xml:space="preserve"> (</w:t>
      </w:r>
      <w:r>
        <w:rPr>
          <w:rFonts w:ascii="Verdana" w:hAnsi="Verdana" w:cs="Times New Roman"/>
          <w:i/>
          <w:sz w:val="16"/>
          <w:szCs w:val="16"/>
        </w:rPr>
        <w:t>c</w:t>
      </w:r>
      <w:r w:rsidRPr="00D4491A">
        <w:rPr>
          <w:rFonts w:ascii="Verdana" w:hAnsi="Verdana" w:cs="Times New Roman"/>
          <w:i/>
          <w:sz w:val="16"/>
          <w:szCs w:val="16"/>
        </w:rPr>
        <w:t>fr.</w:t>
      </w:r>
      <w:r w:rsidRPr="00D4491A">
        <w:rPr>
          <w:rFonts w:ascii="Verdana" w:hAnsi="Verdana" w:cs="Times New Roman"/>
          <w:sz w:val="16"/>
          <w:szCs w:val="16"/>
        </w:rPr>
        <w:t xml:space="preserve"> </w:t>
      </w:r>
      <w:r>
        <w:rPr>
          <w:rFonts w:ascii="Verdana" w:hAnsi="Verdana" w:cs="Times New Roman"/>
          <w:sz w:val="16"/>
          <w:szCs w:val="16"/>
        </w:rPr>
        <w:t xml:space="preserve">Escritos de la Fiscalía Especializada, de 27 de septiembre de 2019 (No. de actuación 286) y de 8 de octubre de 2019, recibido </w:t>
      </w:r>
      <w:proofErr w:type="gramStart"/>
      <w:r>
        <w:rPr>
          <w:rFonts w:ascii="Verdana" w:hAnsi="Verdana" w:cs="Times New Roman"/>
          <w:sz w:val="16"/>
          <w:szCs w:val="16"/>
        </w:rPr>
        <w:t>éste</w:t>
      </w:r>
      <w:proofErr w:type="gramEnd"/>
      <w:r>
        <w:rPr>
          <w:rFonts w:ascii="Verdana" w:hAnsi="Verdana" w:cs="Times New Roman"/>
          <w:sz w:val="16"/>
          <w:szCs w:val="16"/>
        </w:rPr>
        <w:t xml:space="preserve"> último por el órgano judicial al día siguiente (</w:t>
      </w:r>
      <w:r w:rsidRPr="00D4491A">
        <w:rPr>
          <w:rFonts w:ascii="Verdana" w:hAnsi="Verdana"/>
          <w:sz w:val="16"/>
          <w:szCs w:val="16"/>
        </w:rPr>
        <w:t>expediente de prueba, expedientes remitidos por el Estado, fs.  7070, 7071 y 7076</w:t>
      </w:r>
      <w:r>
        <w:rPr>
          <w:rFonts w:ascii="Verdana" w:hAnsi="Verdana"/>
          <w:sz w:val="16"/>
          <w:szCs w:val="16"/>
        </w:rPr>
        <w:t>))</w:t>
      </w:r>
      <w:r w:rsidRPr="00D4491A">
        <w:rPr>
          <w:rFonts w:ascii="Verdana" w:hAnsi="Verdana"/>
          <w:sz w:val="16"/>
          <w:szCs w:val="16"/>
        </w:rPr>
        <w:t>. Por otra parte, e</w:t>
      </w:r>
      <w:r>
        <w:rPr>
          <w:rFonts w:ascii="Verdana" w:hAnsi="Verdana"/>
          <w:sz w:val="16"/>
          <w:szCs w:val="16"/>
        </w:rPr>
        <w:t xml:space="preserve">n septiembre </w:t>
      </w:r>
      <w:r w:rsidRPr="00D4491A">
        <w:rPr>
          <w:rFonts w:ascii="Verdana" w:hAnsi="Verdana"/>
          <w:sz w:val="16"/>
          <w:szCs w:val="16"/>
        </w:rPr>
        <w:t>de 2019 la causa fue asignada el Juzgado</w:t>
      </w:r>
      <w:r>
        <w:rPr>
          <w:rFonts w:ascii="Verdana" w:hAnsi="Verdana"/>
          <w:sz w:val="16"/>
          <w:szCs w:val="16"/>
        </w:rPr>
        <w:t xml:space="preserve"> Penal de</w:t>
      </w:r>
      <w:r w:rsidRPr="00D4491A">
        <w:rPr>
          <w:rFonts w:ascii="Verdana" w:hAnsi="Verdana"/>
          <w:sz w:val="16"/>
          <w:szCs w:val="16"/>
        </w:rPr>
        <w:t xml:space="preserve"> 25º Turno</w:t>
      </w:r>
      <w:r>
        <w:rPr>
          <w:rFonts w:ascii="Verdana" w:hAnsi="Verdana"/>
          <w:sz w:val="16"/>
          <w:szCs w:val="16"/>
        </w:rPr>
        <w:t xml:space="preserve"> </w:t>
      </w:r>
      <w:r w:rsidRPr="00D4491A">
        <w:rPr>
          <w:rFonts w:ascii="Verdana" w:hAnsi="Verdana"/>
          <w:sz w:val="16"/>
          <w:szCs w:val="16"/>
        </w:rPr>
        <w:t>(</w:t>
      </w:r>
      <w:r>
        <w:rPr>
          <w:rFonts w:ascii="Verdana" w:hAnsi="Verdana" w:cs="Times New Roman"/>
          <w:i/>
          <w:sz w:val="16"/>
          <w:szCs w:val="16"/>
        </w:rPr>
        <w:t>c</w:t>
      </w:r>
      <w:r w:rsidRPr="00D4491A">
        <w:rPr>
          <w:rFonts w:ascii="Verdana" w:hAnsi="Verdana" w:cs="Times New Roman"/>
          <w:i/>
          <w:sz w:val="16"/>
          <w:szCs w:val="16"/>
        </w:rPr>
        <w:t>fr.</w:t>
      </w:r>
      <w:r w:rsidRPr="00D4491A">
        <w:rPr>
          <w:rFonts w:ascii="Verdana" w:hAnsi="Verdana" w:cs="Times New Roman"/>
          <w:sz w:val="16"/>
          <w:szCs w:val="16"/>
        </w:rPr>
        <w:t xml:space="preserve"> </w:t>
      </w:r>
      <w:r>
        <w:rPr>
          <w:rFonts w:ascii="Verdana" w:hAnsi="Verdana" w:cs="Times New Roman"/>
          <w:sz w:val="16"/>
          <w:szCs w:val="16"/>
        </w:rPr>
        <w:t>constancia de 3 de octubre de 2019 (</w:t>
      </w:r>
      <w:r w:rsidRPr="00D4491A">
        <w:rPr>
          <w:rFonts w:ascii="Verdana" w:hAnsi="Verdana"/>
          <w:sz w:val="16"/>
          <w:szCs w:val="16"/>
        </w:rPr>
        <w:t>expediente de prueba, expedient</w:t>
      </w:r>
      <w:r>
        <w:rPr>
          <w:rFonts w:ascii="Verdana" w:hAnsi="Verdana"/>
          <w:sz w:val="16"/>
          <w:szCs w:val="16"/>
        </w:rPr>
        <w:t xml:space="preserve">es remitidos por el Estado, f. </w:t>
      </w:r>
      <w:r w:rsidRPr="00D4491A">
        <w:rPr>
          <w:rFonts w:ascii="Verdana" w:hAnsi="Verdana"/>
          <w:sz w:val="16"/>
          <w:szCs w:val="16"/>
        </w:rPr>
        <w:t>7072)</w:t>
      </w:r>
      <w:r>
        <w:rPr>
          <w:rFonts w:ascii="Verdana" w:hAnsi="Verdana"/>
          <w:sz w:val="16"/>
          <w:szCs w:val="16"/>
        </w:rPr>
        <w:t>)</w:t>
      </w:r>
      <w:r w:rsidRPr="00D4491A">
        <w:rPr>
          <w:rFonts w:ascii="Verdana" w:hAnsi="Verdana"/>
          <w:sz w:val="16"/>
          <w:szCs w:val="16"/>
        </w:rPr>
        <w:t>. Los días 5 y 6 de noviembre de 2019 se recibieron declaraciones testimoniales (</w:t>
      </w:r>
      <w:r>
        <w:rPr>
          <w:rFonts w:ascii="Verdana" w:hAnsi="Verdana" w:cs="Times New Roman"/>
          <w:i/>
          <w:sz w:val="16"/>
          <w:szCs w:val="16"/>
        </w:rPr>
        <w:t>c</w:t>
      </w:r>
      <w:r w:rsidRPr="00D4491A">
        <w:rPr>
          <w:rFonts w:ascii="Verdana" w:hAnsi="Verdana" w:cs="Times New Roman"/>
          <w:i/>
          <w:sz w:val="16"/>
          <w:szCs w:val="16"/>
        </w:rPr>
        <w:t>fr.</w:t>
      </w:r>
      <w:r w:rsidRPr="00D4491A">
        <w:rPr>
          <w:rFonts w:ascii="Verdana" w:hAnsi="Verdana" w:cs="Times New Roman"/>
          <w:sz w:val="16"/>
          <w:szCs w:val="16"/>
        </w:rPr>
        <w:t xml:space="preserve"> </w:t>
      </w:r>
      <w:r>
        <w:rPr>
          <w:rFonts w:ascii="Verdana" w:hAnsi="Verdana" w:cs="Times New Roman"/>
          <w:sz w:val="16"/>
          <w:szCs w:val="16"/>
        </w:rPr>
        <w:t xml:space="preserve">actas de declaración testimonial de L.R. y M.G., </w:t>
      </w:r>
      <w:r w:rsidRPr="00685170">
        <w:rPr>
          <w:rFonts w:ascii="Verdana" w:hAnsi="Verdana" w:cs="Times New Roman"/>
          <w:sz w:val="16"/>
          <w:szCs w:val="16"/>
        </w:rPr>
        <w:t>de 5 y 6 de noviembre de 2019, respectivamente</w:t>
      </w:r>
      <w:r w:rsidRPr="00A2409D">
        <w:rPr>
          <w:rFonts w:ascii="Verdana" w:hAnsi="Verdana" w:cs="Times New Roman"/>
          <w:sz w:val="16"/>
          <w:szCs w:val="16"/>
        </w:rPr>
        <w:t xml:space="preserve"> </w:t>
      </w:r>
      <w:r w:rsidRPr="00685170">
        <w:rPr>
          <w:rFonts w:ascii="Verdana" w:hAnsi="Verdana" w:cs="Times New Roman"/>
          <w:sz w:val="16"/>
          <w:szCs w:val="16"/>
        </w:rPr>
        <w:t>(</w:t>
      </w:r>
      <w:r w:rsidRPr="00A2409D">
        <w:rPr>
          <w:rFonts w:ascii="Verdana" w:hAnsi="Verdana"/>
          <w:sz w:val="16"/>
          <w:szCs w:val="16"/>
        </w:rPr>
        <w:t>e</w:t>
      </w:r>
      <w:r w:rsidRPr="00D4491A">
        <w:rPr>
          <w:rFonts w:ascii="Verdana" w:hAnsi="Verdana"/>
          <w:sz w:val="16"/>
          <w:szCs w:val="16"/>
        </w:rPr>
        <w:t>xpediente de prueba, expediente</w:t>
      </w:r>
      <w:r>
        <w:rPr>
          <w:rFonts w:ascii="Verdana" w:hAnsi="Verdana"/>
          <w:sz w:val="16"/>
          <w:szCs w:val="16"/>
        </w:rPr>
        <w:t xml:space="preserve">s remitidos por el Estado, fs. </w:t>
      </w:r>
      <w:r w:rsidRPr="00D4491A">
        <w:rPr>
          <w:rFonts w:ascii="Verdana" w:hAnsi="Verdana"/>
          <w:sz w:val="16"/>
          <w:szCs w:val="16"/>
        </w:rPr>
        <w:t>7106 a 7113, y 7123 a 7130</w:t>
      </w:r>
      <w:r>
        <w:rPr>
          <w:rFonts w:ascii="Verdana" w:hAnsi="Verdana"/>
          <w:sz w:val="16"/>
          <w:szCs w:val="16"/>
        </w:rPr>
        <w:t>, respectivamente</w:t>
      </w:r>
      <w:r w:rsidRPr="00D4491A">
        <w:rPr>
          <w:rFonts w:ascii="Verdana" w:hAnsi="Verdana"/>
          <w:sz w:val="16"/>
          <w:szCs w:val="16"/>
        </w:rPr>
        <w:t>)</w:t>
      </w:r>
      <w:r>
        <w:rPr>
          <w:rFonts w:ascii="Verdana" w:hAnsi="Verdana"/>
          <w:sz w:val="16"/>
          <w:szCs w:val="16"/>
        </w:rPr>
        <w:t>)</w:t>
      </w:r>
      <w:r w:rsidRPr="00D4491A">
        <w:rPr>
          <w:rFonts w:ascii="Verdana" w:hAnsi="Verdana"/>
          <w:sz w:val="16"/>
          <w:szCs w:val="16"/>
        </w:rPr>
        <w:t>.</w:t>
      </w:r>
    </w:p>
    <w:p w14:paraId="343B00DA" w14:textId="77777777" w:rsidR="00DD280C" w:rsidRPr="00E40C37" w:rsidRDefault="00DD280C" w:rsidP="002A53BF">
      <w:pPr>
        <w:pStyle w:val="Textonotapie"/>
        <w:jc w:val="both"/>
        <w:rPr>
          <w:rFonts w:ascii="Verdana" w:hAnsi="Verdana"/>
          <w:sz w:val="16"/>
          <w:szCs w:val="16"/>
        </w:rPr>
      </w:pPr>
    </w:p>
  </w:footnote>
  <w:footnote w:id="75">
    <w:p w14:paraId="569C8782" w14:textId="77777777" w:rsidR="00DD280C" w:rsidRPr="00E40C37" w:rsidRDefault="00DD280C" w:rsidP="002A53BF">
      <w:pPr>
        <w:pStyle w:val="Prrafodelista"/>
        <w:spacing w:after="0"/>
        <w:ind w:left="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la Fiscalía Especializada, No de actuación 45, de 11 de marzo de 2020 (</w:t>
      </w:r>
      <w:r w:rsidRPr="00E40C37">
        <w:rPr>
          <w:rFonts w:ascii="Verdana" w:hAnsi="Verdana"/>
          <w:sz w:val="16"/>
          <w:szCs w:val="16"/>
        </w:rPr>
        <w:t>expediente de prueba, expedientes remitidos por el Estado, fs.  7184 y 7185</w:t>
      </w:r>
      <w:r>
        <w:rPr>
          <w:rFonts w:ascii="Verdana" w:hAnsi="Verdana"/>
          <w:sz w:val="16"/>
          <w:szCs w:val="16"/>
        </w:rPr>
        <w:t>)</w:t>
      </w:r>
      <w:r w:rsidRPr="00E40C37">
        <w:rPr>
          <w:rFonts w:ascii="Verdana" w:hAnsi="Verdana"/>
          <w:sz w:val="16"/>
          <w:szCs w:val="16"/>
        </w:rPr>
        <w:t xml:space="preserve">. </w:t>
      </w:r>
    </w:p>
    <w:p w14:paraId="4E0757AC" w14:textId="77777777" w:rsidR="00DD280C" w:rsidRPr="00E40C37" w:rsidRDefault="00DD280C" w:rsidP="002A53BF">
      <w:pPr>
        <w:pStyle w:val="Textonotapie"/>
        <w:jc w:val="both"/>
        <w:rPr>
          <w:rFonts w:ascii="Verdana" w:hAnsi="Verdana"/>
          <w:sz w:val="16"/>
          <w:szCs w:val="16"/>
        </w:rPr>
      </w:pPr>
    </w:p>
  </w:footnote>
  <w:footnote w:id="76">
    <w:p w14:paraId="0ABB4C56" w14:textId="77777777" w:rsidR="00DD280C" w:rsidRPr="00E40C37" w:rsidRDefault="00DD280C" w:rsidP="002A53BF">
      <w:pPr>
        <w:pStyle w:val="Prrafodelista"/>
        <w:spacing w:after="0"/>
        <w:ind w:left="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Oficio OFJ-054</w:t>
      </w:r>
      <w:r w:rsidRPr="00265CFC">
        <w:rPr>
          <w:rFonts w:ascii="Verdana" w:hAnsi="Verdana" w:cs="Times New Roman"/>
          <w:sz w:val="16"/>
          <w:szCs w:val="16"/>
        </w:rPr>
        <w:t>5</w:t>
      </w:r>
      <w:r>
        <w:rPr>
          <w:rFonts w:ascii="Verdana" w:hAnsi="Verdana" w:cs="Times New Roman"/>
          <w:sz w:val="16"/>
          <w:szCs w:val="16"/>
        </w:rPr>
        <w:t>-000062 /202</w:t>
      </w:r>
      <w:r w:rsidRPr="00265CFC">
        <w:rPr>
          <w:rFonts w:ascii="Verdana" w:hAnsi="Verdana" w:cs="Times New Roman"/>
          <w:sz w:val="16"/>
          <w:szCs w:val="16"/>
        </w:rPr>
        <w:t>0</w:t>
      </w:r>
      <w:r>
        <w:rPr>
          <w:rFonts w:ascii="Verdana" w:hAnsi="Verdana" w:cs="Times New Roman"/>
          <w:sz w:val="16"/>
          <w:szCs w:val="16"/>
        </w:rPr>
        <w:t>, emitido por el Juzgado Penal de 25º Turno el 28 de mayo de 2020 (</w:t>
      </w:r>
      <w:r w:rsidRPr="00E40C37">
        <w:rPr>
          <w:rFonts w:ascii="Verdana" w:hAnsi="Verdana"/>
          <w:sz w:val="16"/>
          <w:szCs w:val="16"/>
        </w:rPr>
        <w:t>expediente de prueba, expedientes remitidos por el Estado</w:t>
      </w:r>
      <w:r>
        <w:rPr>
          <w:rFonts w:ascii="Verdana" w:hAnsi="Verdana"/>
          <w:sz w:val="16"/>
          <w:szCs w:val="16"/>
        </w:rPr>
        <w:t>,</w:t>
      </w:r>
      <w:r w:rsidRPr="00E40C37">
        <w:rPr>
          <w:rFonts w:ascii="Verdana" w:hAnsi="Verdana"/>
          <w:sz w:val="16"/>
          <w:szCs w:val="16"/>
        </w:rPr>
        <w:t xml:space="preserve"> f.  7189</w:t>
      </w:r>
      <w:r>
        <w:rPr>
          <w:rFonts w:ascii="Verdana" w:hAnsi="Verdana"/>
          <w:sz w:val="16"/>
          <w:szCs w:val="16"/>
        </w:rPr>
        <w:t>)</w:t>
      </w:r>
      <w:r w:rsidRPr="00E40C37">
        <w:rPr>
          <w:rFonts w:ascii="Verdana" w:hAnsi="Verdana"/>
          <w:sz w:val="16"/>
          <w:szCs w:val="16"/>
        </w:rPr>
        <w:t>.</w:t>
      </w:r>
      <w:r>
        <w:rPr>
          <w:rFonts w:ascii="Verdana" w:hAnsi="Verdana"/>
          <w:sz w:val="16"/>
          <w:szCs w:val="16"/>
        </w:rPr>
        <w:t xml:space="preserve"> En dicho documento se transcribe el texto del Decreto 353/2020 de 12 de marzo de 2020, que señala lo dicho. Entre el 14 de marzo y el 15 de mayo de 2</w:t>
      </w:r>
      <w:r w:rsidRPr="00685170">
        <w:rPr>
          <w:rFonts w:ascii="Verdana" w:hAnsi="Verdana"/>
          <w:sz w:val="16"/>
          <w:szCs w:val="16"/>
        </w:rPr>
        <w:t xml:space="preserve">020 las actuaciones se vieron suspendidas por la “feria sanitaria procesal” dispuesta </w:t>
      </w:r>
      <w:proofErr w:type="gramStart"/>
      <w:r w:rsidRPr="00685170">
        <w:rPr>
          <w:rFonts w:ascii="Verdana" w:hAnsi="Verdana"/>
          <w:sz w:val="16"/>
          <w:szCs w:val="16"/>
        </w:rPr>
        <w:t>en razón de</w:t>
      </w:r>
      <w:proofErr w:type="gramEnd"/>
      <w:r w:rsidRPr="00685170">
        <w:rPr>
          <w:rFonts w:ascii="Verdana" w:hAnsi="Verdana"/>
          <w:sz w:val="16"/>
          <w:szCs w:val="16"/>
        </w:rPr>
        <w:t xml:space="preserve"> la pandemia</w:t>
      </w:r>
      <w:r>
        <w:rPr>
          <w:rFonts w:ascii="Verdana" w:hAnsi="Verdana"/>
          <w:sz w:val="16"/>
          <w:szCs w:val="16"/>
        </w:rPr>
        <w:t xml:space="preserve"> (</w:t>
      </w:r>
      <w:r w:rsidRPr="00685170">
        <w:rPr>
          <w:rFonts w:ascii="Verdana" w:hAnsi="Verdana"/>
          <w:i/>
          <w:sz w:val="16"/>
          <w:szCs w:val="16"/>
        </w:rPr>
        <w:t>cfr.</w:t>
      </w:r>
      <w:r>
        <w:rPr>
          <w:rFonts w:ascii="Verdana" w:hAnsi="Verdana"/>
          <w:sz w:val="16"/>
          <w:szCs w:val="16"/>
        </w:rPr>
        <w:t xml:space="preserve"> Constancia de 28 de mayo de 2020 (expediente de prueba, expedientes remitidos por el Estado, f. 7187)).  Consta que luego del 28 de mayo de 2020 se realizaron distintos actos, como la remisión al Juzgado Penal de 25º Turno de copias de diversas declaraciones, o la conformación de una junta médica a fin de realizar informes requeridos (</w:t>
      </w:r>
      <w:r w:rsidRPr="00685170">
        <w:rPr>
          <w:rFonts w:ascii="Verdana" w:hAnsi="Verdana"/>
          <w:i/>
          <w:sz w:val="16"/>
          <w:szCs w:val="16"/>
        </w:rPr>
        <w:t>cfr</w:t>
      </w:r>
      <w:r>
        <w:rPr>
          <w:rFonts w:ascii="Verdana" w:hAnsi="Verdana"/>
          <w:sz w:val="16"/>
          <w:szCs w:val="16"/>
        </w:rPr>
        <w:t>. Decreto 441/2020 firmado por el “Juez Ldo. Capital”, de 3 de junio de 2020 y documentación que obra a continuación, y escrito de 4 de junio de 2020, remitido por el Departamento de Medicina Legal y Ciencias Forenses de la Facultad de Medicina de la Universidad de la República al Juzgado Penal de 25º Turno (expediente de prueba, expedientes remitidos por el Estado, fs. 7193 a  7238 y 7240, respectivamente)).</w:t>
      </w:r>
    </w:p>
    <w:p w14:paraId="4E6C3377" w14:textId="77777777" w:rsidR="00DD280C" w:rsidRPr="00E40C37" w:rsidRDefault="00DD280C" w:rsidP="002A53BF">
      <w:pPr>
        <w:pStyle w:val="Textonotapie"/>
        <w:jc w:val="both"/>
        <w:rPr>
          <w:rFonts w:ascii="Verdana" w:hAnsi="Verdana"/>
          <w:sz w:val="16"/>
          <w:szCs w:val="16"/>
        </w:rPr>
      </w:pPr>
    </w:p>
  </w:footnote>
  <w:footnote w:id="77">
    <w:p w14:paraId="27FF4D39" w14:textId="37A256F9" w:rsidR="00DD280C" w:rsidRPr="00E40C37" w:rsidRDefault="00DD280C" w:rsidP="002A53BF">
      <w:pPr>
        <w:pStyle w:val="Prrafodelista"/>
        <w:spacing w:after="0"/>
        <w:ind w:left="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la Fiscalía Especializada, No. de actuación 190, de 8 de septiembre de 2020 (</w:t>
      </w:r>
      <w:r w:rsidRPr="00E40C37">
        <w:rPr>
          <w:rFonts w:ascii="Verdana" w:hAnsi="Verdana"/>
          <w:sz w:val="16"/>
          <w:szCs w:val="16"/>
        </w:rPr>
        <w:t>expediente de prueba, expedient</w:t>
      </w:r>
      <w:r>
        <w:rPr>
          <w:rFonts w:ascii="Verdana" w:hAnsi="Verdana"/>
          <w:sz w:val="16"/>
          <w:szCs w:val="16"/>
        </w:rPr>
        <w:t xml:space="preserve">es remitidos por el Estado, f. </w:t>
      </w:r>
      <w:r w:rsidRPr="00E40C37">
        <w:rPr>
          <w:rFonts w:ascii="Verdana" w:hAnsi="Verdana"/>
          <w:sz w:val="16"/>
          <w:szCs w:val="16"/>
        </w:rPr>
        <w:t>7275</w:t>
      </w:r>
      <w:r>
        <w:rPr>
          <w:rFonts w:ascii="Verdana" w:hAnsi="Verdana"/>
          <w:sz w:val="16"/>
          <w:szCs w:val="16"/>
        </w:rPr>
        <w:t>)</w:t>
      </w:r>
      <w:r w:rsidRPr="00E40C37">
        <w:rPr>
          <w:rFonts w:ascii="Verdana" w:hAnsi="Verdana"/>
          <w:sz w:val="16"/>
          <w:szCs w:val="16"/>
        </w:rPr>
        <w:t xml:space="preserve">. </w:t>
      </w:r>
    </w:p>
    <w:p w14:paraId="08425A41" w14:textId="77777777" w:rsidR="00DD280C" w:rsidRPr="00E40C37" w:rsidRDefault="00DD280C" w:rsidP="002A53BF">
      <w:pPr>
        <w:pStyle w:val="Textonotapie"/>
        <w:jc w:val="both"/>
        <w:rPr>
          <w:rFonts w:ascii="Verdana" w:hAnsi="Verdana"/>
          <w:sz w:val="16"/>
          <w:szCs w:val="16"/>
        </w:rPr>
      </w:pPr>
    </w:p>
  </w:footnote>
  <w:footnote w:id="78">
    <w:p w14:paraId="748D1B38" w14:textId="77777777" w:rsidR="00DD280C" w:rsidRPr="00E40C37" w:rsidRDefault="00DD280C" w:rsidP="002A53BF">
      <w:pPr>
        <w:spacing w:after="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la Fiscalía Especializada, No. de actuación 292, de 17 de diciembre de 2020 (</w:t>
      </w:r>
      <w:r w:rsidRPr="00E40C37">
        <w:rPr>
          <w:rFonts w:ascii="Verdana" w:hAnsi="Verdana"/>
          <w:sz w:val="16"/>
          <w:szCs w:val="16"/>
        </w:rPr>
        <w:t>expediente de prueba, expedientes remitidos por el Estado, f</w:t>
      </w:r>
      <w:r>
        <w:rPr>
          <w:rFonts w:ascii="Verdana" w:hAnsi="Verdana"/>
          <w:sz w:val="16"/>
          <w:szCs w:val="16"/>
        </w:rPr>
        <w:t>s</w:t>
      </w:r>
      <w:r w:rsidRPr="00E40C37">
        <w:rPr>
          <w:rFonts w:ascii="Verdana" w:hAnsi="Verdana"/>
          <w:sz w:val="16"/>
          <w:szCs w:val="16"/>
        </w:rPr>
        <w:t>.</w:t>
      </w:r>
      <w:r>
        <w:rPr>
          <w:rFonts w:ascii="Verdana" w:hAnsi="Verdana"/>
          <w:sz w:val="16"/>
          <w:szCs w:val="16"/>
        </w:rPr>
        <w:t xml:space="preserve"> </w:t>
      </w:r>
      <w:r w:rsidRPr="00E40C37">
        <w:rPr>
          <w:rFonts w:ascii="Verdana" w:hAnsi="Verdana"/>
          <w:sz w:val="16"/>
          <w:szCs w:val="16"/>
        </w:rPr>
        <w:t>7353 a 7372</w:t>
      </w:r>
      <w:r>
        <w:rPr>
          <w:rFonts w:ascii="Verdana" w:hAnsi="Verdana"/>
          <w:sz w:val="16"/>
          <w:szCs w:val="16"/>
        </w:rPr>
        <w:t>)</w:t>
      </w:r>
      <w:r w:rsidRPr="00E40C37">
        <w:rPr>
          <w:rFonts w:ascii="Verdana" w:hAnsi="Verdana"/>
          <w:sz w:val="16"/>
          <w:szCs w:val="16"/>
        </w:rPr>
        <w:t>.</w:t>
      </w:r>
    </w:p>
    <w:p w14:paraId="645A289B" w14:textId="77777777" w:rsidR="00DD280C" w:rsidRPr="00E40C37" w:rsidRDefault="00DD280C" w:rsidP="002A53BF">
      <w:pPr>
        <w:pStyle w:val="Textonotapie"/>
        <w:jc w:val="both"/>
        <w:rPr>
          <w:rFonts w:ascii="Verdana" w:hAnsi="Verdana"/>
          <w:sz w:val="16"/>
          <w:szCs w:val="16"/>
        </w:rPr>
      </w:pPr>
    </w:p>
  </w:footnote>
  <w:footnote w:id="79">
    <w:p w14:paraId="71D4A67C" w14:textId="77777777" w:rsidR="00DD280C" w:rsidRPr="00E40C37" w:rsidRDefault="00DD280C" w:rsidP="002A53BF">
      <w:pPr>
        <w:spacing w:after="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Decreto No. 1397/2020 de la “Juez[a] Ldo. Capital” de 18 de diciembre de 2020 (</w:t>
      </w:r>
      <w:r w:rsidRPr="00E40C37">
        <w:rPr>
          <w:rFonts w:ascii="Verdana" w:hAnsi="Verdana"/>
          <w:sz w:val="16"/>
          <w:szCs w:val="16"/>
        </w:rPr>
        <w:t>expediente de prueba, expedientes remitidos por el Estado, f. 7374</w:t>
      </w:r>
      <w:r>
        <w:rPr>
          <w:rFonts w:ascii="Verdana" w:hAnsi="Verdana"/>
          <w:sz w:val="16"/>
          <w:szCs w:val="16"/>
        </w:rPr>
        <w:t>)</w:t>
      </w:r>
      <w:r w:rsidRPr="00E40C37">
        <w:rPr>
          <w:rFonts w:ascii="Verdana" w:hAnsi="Verdana"/>
          <w:sz w:val="16"/>
          <w:szCs w:val="16"/>
        </w:rPr>
        <w:t>.</w:t>
      </w:r>
    </w:p>
    <w:p w14:paraId="0603DDA2" w14:textId="77777777" w:rsidR="00DD280C" w:rsidRPr="00E40C37" w:rsidRDefault="00DD280C" w:rsidP="002A53BF">
      <w:pPr>
        <w:pStyle w:val="Textonotapie"/>
        <w:jc w:val="both"/>
        <w:rPr>
          <w:rFonts w:ascii="Verdana" w:hAnsi="Verdana"/>
          <w:sz w:val="16"/>
          <w:szCs w:val="16"/>
        </w:rPr>
      </w:pPr>
    </w:p>
  </w:footnote>
  <w:footnote w:id="80">
    <w:p w14:paraId="5D5A499F"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t xml:space="preserve">Informe del Juzgado Penal </w:t>
      </w:r>
      <w:r>
        <w:rPr>
          <w:rFonts w:ascii="Verdana" w:hAnsi="Verdana"/>
          <w:sz w:val="16"/>
          <w:szCs w:val="16"/>
        </w:rPr>
        <w:t xml:space="preserve">de </w:t>
      </w:r>
      <w:r w:rsidRPr="00E40C37">
        <w:rPr>
          <w:rFonts w:ascii="Verdana" w:hAnsi="Verdana"/>
          <w:sz w:val="16"/>
          <w:szCs w:val="16"/>
        </w:rPr>
        <w:t>26º</w:t>
      </w:r>
      <w:r>
        <w:rPr>
          <w:rFonts w:ascii="Verdana" w:hAnsi="Verdana"/>
          <w:sz w:val="16"/>
          <w:szCs w:val="16"/>
        </w:rPr>
        <w:t xml:space="preserve"> T</w:t>
      </w:r>
      <w:r w:rsidRPr="00E40C37">
        <w:rPr>
          <w:rFonts w:ascii="Verdana" w:hAnsi="Verdana"/>
          <w:sz w:val="16"/>
          <w:szCs w:val="16"/>
        </w:rPr>
        <w:t>urno de 6 de julio de 2021 (expediente de prueba, f</w:t>
      </w:r>
      <w:r>
        <w:rPr>
          <w:rFonts w:ascii="Verdana" w:hAnsi="Verdana"/>
          <w:sz w:val="16"/>
          <w:szCs w:val="16"/>
        </w:rPr>
        <w:t>s</w:t>
      </w:r>
      <w:r w:rsidRPr="00E40C37">
        <w:rPr>
          <w:rFonts w:ascii="Verdana" w:hAnsi="Verdana"/>
          <w:sz w:val="16"/>
          <w:szCs w:val="16"/>
        </w:rPr>
        <w:t>. 747</w:t>
      </w:r>
      <w:r>
        <w:rPr>
          <w:rFonts w:ascii="Verdana" w:hAnsi="Verdana"/>
          <w:sz w:val="16"/>
          <w:szCs w:val="16"/>
        </w:rPr>
        <w:t>3 a 7477</w:t>
      </w:r>
      <w:r w:rsidRPr="00E40C37">
        <w:rPr>
          <w:rFonts w:ascii="Verdana" w:hAnsi="Verdana"/>
          <w:sz w:val="16"/>
          <w:szCs w:val="16"/>
        </w:rPr>
        <w:t xml:space="preserve">). </w:t>
      </w:r>
    </w:p>
    <w:p w14:paraId="6BC73452" w14:textId="77777777" w:rsidR="00DD280C" w:rsidRPr="00E40C37" w:rsidRDefault="00DD280C" w:rsidP="002A53BF">
      <w:pPr>
        <w:pStyle w:val="Textonotapie"/>
        <w:jc w:val="both"/>
        <w:rPr>
          <w:rFonts w:ascii="Verdana" w:hAnsi="Verdana"/>
          <w:sz w:val="16"/>
          <w:szCs w:val="16"/>
        </w:rPr>
      </w:pPr>
    </w:p>
  </w:footnote>
  <w:footnote w:id="81">
    <w:p w14:paraId="542F2CA4" w14:textId="5279402B" w:rsidR="00DD280C" w:rsidRPr="00E40C37" w:rsidRDefault="00DD280C" w:rsidP="002A53BF">
      <w:pPr>
        <w:pStyle w:val="Textonotapie"/>
        <w:jc w:val="both"/>
        <w:rPr>
          <w:rFonts w:ascii="Verdana" w:hAnsi="Verdana" w:cs="Arial"/>
          <w:sz w:val="16"/>
          <w:szCs w:val="16"/>
        </w:rPr>
      </w:pPr>
      <w:r w:rsidRPr="00E40C37">
        <w:rPr>
          <w:rStyle w:val="Refdenotaalpie"/>
          <w:rFonts w:ascii="Verdana" w:hAnsi="Verdana"/>
          <w:sz w:val="16"/>
          <w:szCs w:val="16"/>
        </w:rPr>
        <w:footnoteRef/>
      </w:r>
      <w:r w:rsidRPr="005932ED">
        <w:rPr>
          <w:rFonts w:ascii="Verdana" w:hAnsi="Verdana"/>
          <w:sz w:val="16"/>
          <w:szCs w:val="16"/>
          <w:lang w:val="pt-BR"/>
        </w:rPr>
        <w:t xml:space="preserve">  </w:t>
      </w:r>
      <w:r w:rsidRPr="005932ED">
        <w:rPr>
          <w:rFonts w:ascii="Verdana" w:hAnsi="Verdana"/>
          <w:sz w:val="16"/>
          <w:szCs w:val="16"/>
          <w:lang w:val="pt-BR"/>
        </w:rPr>
        <w:tab/>
      </w:r>
      <w:proofErr w:type="spellStart"/>
      <w:r w:rsidRPr="005932ED">
        <w:rPr>
          <w:rFonts w:ascii="Verdana" w:hAnsi="Verdana" w:cs="Arial"/>
          <w:bCs/>
          <w:sz w:val="16"/>
          <w:szCs w:val="16"/>
          <w:lang w:val="pt-BR"/>
        </w:rPr>
        <w:t>Juzgado</w:t>
      </w:r>
      <w:proofErr w:type="spellEnd"/>
      <w:r w:rsidRPr="005932ED">
        <w:rPr>
          <w:rFonts w:ascii="Verdana" w:hAnsi="Verdana" w:cs="Arial"/>
          <w:bCs/>
          <w:sz w:val="16"/>
          <w:szCs w:val="16"/>
          <w:lang w:val="pt-BR"/>
        </w:rPr>
        <w:t xml:space="preserve"> Penal de 26° turno.</w:t>
      </w:r>
      <w:r w:rsidRPr="005932ED">
        <w:rPr>
          <w:rFonts w:ascii="Verdana" w:hAnsi="Verdana" w:cs="Arial"/>
          <w:b/>
          <w:bCs/>
          <w:sz w:val="16"/>
          <w:szCs w:val="16"/>
          <w:lang w:val="pt-BR"/>
        </w:rPr>
        <w:t xml:space="preserve"> </w:t>
      </w:r>
      <w:proofErr w:type="spellStart"/>
      <w:r w:rsidRPr="005932ED">
        <w:rPr>
          <w:rFonts w:ascii="Verdana" w:hAnsi="Verdana" w:cs="Arial"/>
          <w:bCs/>
          <w:sz w:val="16"/>
          <w:szCs w:val="16"/>
          <w:lang w:val="pt-BR"/>
        </w:rPr>
        <w:t>Cedulón</w:t>
      </w:r>
      <w:proofErr w:type="spellEnd"/>
      <w:r w:rsidRPr="005932ED">
        <w:rPr>
          <w:rFonts w:ascii="Verdana" w:hAnsi="Verdana" w:cs="Arial"/>
          <w:bCs/>
          <w:sz w:val="16"/>
          <w:szCs w:val="16"/>
          <w:lang w:val="pt-BR"/>
        </w:rPr>
        <w:t xml:space="preserve"> </w:t>
      </w:r>
      <w:r w:rsidRPr="005932ED">
        <w:rPr>
          <w:rFonts w:ascii="Verdana" w:hAnsi="Verdana" w:cs="Arial"/>
          <w:sz w:val="16"/>
          <w:szCs w:val="16"/>
          <w:lang w:val="pt-BR"/>
        </w:rPr>
        <w:t xml:space="preserve">C. N° 391/2021. </w:t>
      </w:r>
      <w:r>
        <w:rPr>
          <w:rFonts w:ascii="Verdana" w:hAnsi="Verdana" w:cs="Arial"/>
          <w:sz w:val="16"/>
          <w:szCs w:val="16"/>
        </w:rPr>
        <w:t>Dicho documento transcribe el Decreto 445/2021 de 14 de julio de 2021.</w:t>
      </w:r>
    </w:p>
    <w:p w14:paraId="30D07D59" w14:textId="77777777" w:rsidR="00DD280C" w:rsidRPr="00E40C37" w:rsidRDefault="00DD280C" w:rsidP="002A53BF">
      <w:pPr>
        <w:pStyle w:val="Textonotapie"/>
        <w:jc w:val="both"/>
        <w:rPr>
          <w:rFonts w:ascii="Verdana" w:hAnsi="Verdana"/>
          <w:sz w:val="16"/>
          <w:szCs w:val="16"/>
        </w:rPr>
      </w:pPr>
    </w:p>
  </w:footnote>
  <w:footnote w:id="82">
    <w:p w14:paraId="49659D24" w14:textId="08942B62"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presentada por Amalia González de González </w:t>
      </w:r>
      <w:r>
        <w:rPr>
          <w:rFonts w:ascii="Verdana" w:hAnsi="Verdana" w:cs="Times New Roman"/>
          <w:sz w:val="16"/>
          <w:szCs w:val="16"/>
        </w:rPr>
        <w:t xml:space="preserve">el 24 de julio de 1985, </w:t>
      </w:r>
      <w:r w:rsidRPr="000031DD">
        <w:rPr>
          <w:rFonts w:ascii="Verdana" w:hAnsi="Verdana" w:cs="Times New Roman"/>
          <w:sz w:val="16"/>
          <w:szCs w:val="16"/>
        </w:rPr>
        <w:t>por la desaparición de su hijo Luis Eduardo González</w:t>
      </w:r>
      <w:r>
        <w:rPr>
          <w:rFonts w:ascii="Verdana" w:hAnsi="Verdana" w:cs="Times New Roman"/>
          <w:sz w:val="16"/>
          <w:szCs w:val="16"/>
        </w:rPr>
        <w:t>,</w:t>
      </w:r>
      <w:r w:rsidRPr="000031DD">
        <w:rPr>
          <w:rFonts w:ascii="Verdana" w:hAnsi="Verdana" w:cs="Times New Roman"/>
          <w:sz w:val="16"/>
          <w:szCs w:val="16"/>
        </w:rPr>
        <w:t xml:space="preserve"> ante el Juzgado Letrado de Primera Instancia en lo Penal de 10°</w:t>
      </w:r>
      <w:r w:rsidRPr="000031DD">
        <w:rPr>
          <w:rFonts w:ascii="Verdana" w:hAnsi="Verdana" w:cs="Arial"/>
          <w:sz w:val="16"/>
          <w:szCs w:val="16"/>
        </w:rPr>
        <w:t xml:space="preserve"> </w:t>
      </w:r>
      <w:r w:rsidRPr="000031DD">
        <w:rPr>
          <w:rFonts w:ascii="Verdana" w:hAnsi="Verdana" w:cs="Times New Roman"/>
          <w:sz w:val="16"/>
          <w:szCs w:val="16"/>
        </w:rPr>
        <w:t>Turno.</w:t>
      </w:r>
      <w:r>
        <w:rPr>
          <w:rFonts w:ascii="Verdana" w:hAnsi="Verdana" w:cs="Times New Roman"/>
          <w:sz w:val="16"/>
          <w:szCs w:val="16"/>
        </w:rPr>
        <w:t xml:space="preserve"> </w:t>
      </w:r>
    </w:p>
    <w:p w14:paraId="5A4A57CD"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83">
    <w:p w14:paraId="711738A0"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Testimonio d</w:t>
      </w:r>
      <w:r>
        <w:rPr>
          <w:rFonts w:ascii="Verdana" w:hAnsi="Verdana" w:cs="Times New Roman"/>
          <w:sz w:val="16"/>
          <w:szCs w:val="16"/>
        </w:rPr>
        <w:t>ado el 13 de agosto de 1985 por</w:t>
      </w:r>
      <w:r w:rsidRPr="000031DD">
        <w:rPr>
          <w:rFonts w:ascii="Verdana" w:hAnsi="Verdana" w:cs="Times New Roman"/>
          <w:sz w:val="16"/>
          <w:szCs w:val="16"/>
        </w:rPr>
        <w:t xml:space="preserve"> Elena Zaffaroni Rocco (expediente de prueba, anexo 1.3 al Informe de Fondo, f</w:t>
      </w:r>
      <w:r>
        <w:rPr>
          <w:rFonts w:ascii="Verdana" w:hAnsi="Verdana" w:cs="Times New Roman"/>
          <w:sz w:val="16"/>
          <w:szCs w:val="16"/>
        </w:rPr>
        <w:t>s.</w:t>
      </w:r>
      <w:r w:rsidRPr="000031DD">
        <w:rPr>
          <w:rFonts w:ascii="Verdana" w:hAnsi="Verdana" w:cs="Times New Roman"/>
          <w:sz w:val="16"/>
          <w:szCs w:val="16"/>
        </w:rPr>
        <w:t xml:space="preserve"> 27 a 33).</w:t>
      </w:r>
      <w:r>
        <w:rPr>
          <w:rFonts w:ascii="Verdana" w:hAnsi="Verdana" w:cs="Times New Roman"/>
          <w:sz w:val="16"/>
          <w:szCs w:val="16"/>
        </w:rPr>
        <w:t xml:space="preserve"> La señora Zaffaroni Rocco se expresó de modo concordante en su declaración oral ante la Corte, brindando la precisión de que su marido y ella fueron detenidos a las 03:00 am. </w:t>
      </w:r>
    </w:p>
    <w:p w14:paraId="22E43435"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84">
    <w:p w14:paraId="27B3A641" w14:textId="4555BF35" w:rsidR="00DD280C"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presentada por Amalia González de González </w:t>
      </w:r>
      <w:r>
        <w:rPr>
          <w:rFonts w:ascii="Verdana" w:hAnsi="Verdana" w:cs="Times New Roman"/>
          <w:sz w:val="16"/>
          <w:szCs w:val="16"/>
        </w:rPr>
        <w:t xml:space="preserve">el 24 de julio de 1985, </w:t>
      </w:r>
      <w:r w:rsidRPr="000031DD">
        <w:rPr>
          <w:rFonts w:ascii="Verdana" w:hAnsi="Verdana" w:cs="Times New Roman"/>
          <w:sz w:val="16"/>
          <w:szCs w:val="16"/>
        </w:rPr>
        <w:t>por la desaparición de su hijo Luis Eduardo González</w:t>
      </w:r>
      <w:r>
        <w:rPr>
          <w:rFonts w:ascii="Verdana" w:hAnsi="Verdana" w:cs="Times New Roman"/>
          <w:sz w:val="16"/>
          <w:szCs w:val="16"/>
        </w:rPr>
        <w:t>,</w:t>
      </w:r>
      <w:r w:rsidRPr="000031DD">
        <w:rPr>
          <w:rFonts w:ascii="Verdana" w:hAnsi="Verdana" w:cs="Times New Roman"/>
          <w:sz w:val="16"/>
          <w:szCs w:val="16"/>
        </w:rPr>
        <w:t xml:space="preserve"> ante el Juzgado Letrado de Primera Instancia en lo Penal de 10°</w:t>
      </w:r>
      <w:r w:rsidRPr="000031DD">
        <w:rPr>
          <w:rFonts w:ascii="Verdana" w:hAnsi="Verdana" w:cs="Arial"/>
          <w:sz w:val="16"/>
          <w:szCs w:val="16"/>
        </w:rPr>
        <w:t xml:space="preserve"> </w:t>
      </w:r>
      <w:r>
        <w:rPr>
          <w:rFonts w:ascii="Verdana" w:hAnsi="Verdana" w:cs="Times New Roman"/>
          <w:sz w:val="16"/>
          <w:szCs w:val="16"/>
        </w:rPr>
        <w:t>Turno</w:t>
      </w:r>
      <w:r w:rsidRPr="00685170">
        <w:rPr>
          <w:rFonts w:ascii="Verdana" w:hAnsi="Verdana" w:cs="Times New Roman"/>
          <w:sz w:val="16"/>
          <w:szCs w:val="16"/>
        </w:rPr>
        <w:t xml:space="preserve">, y </w:t>
      </w:r>
      <w:r w:rsidRPr="000031DD">
        <w:rPr>
          <w:rFonts w:ascii="Verdana" w:hAnsi="Verdana" w:cs="Times New Roman"/>
          <w:sz w:val="16"/>
          <w:szCs w:val="16"/>
        </w:rPr>
        <w:t>Testimonio d</w:t>
      </w:r>
      <w:r>
        <w:rPr>
          <w:rFonts w:ascii="Verdana" w:hAnsi="Verdana" w:cs="Times New Roman"/>
          <w:sz w:val="16"/>
          <w:szCs w:val="16"/>
        </w:rPr>
        <w:t>ado el 13 de agosto de 1985 por</w:t>
      </w:r>
      <w:r w:rsidRPr="000031DD">
        <w:rPr>
          <w:rFonts w:ascii="Verdana" w:hAnsi="Verdana" w:cs="Times New Roman"/>
          <w:sz w:val="16"/>
          <w:szCs w:val="16"/>
        </w:rPr>
        <w:t xml:space="preserve"> Elena Zaffaroni Rocco sobre la desaparición de Luis Eduardo González.</w:t>
      </w:r>
      <w:r>
        <w:rPr>
          <w:rFonts w:ascii="Verdana" w:hAnsi="Verdana" w:cs="Times New Roman"/>
          <w:sz w:val="16"/>
          <w:szCs w:val="16"/>
        </w:rPr>
        <w:t xml:space="preserve"> El Fiscal Especializado, por su parte, afirmó que “se encuentra determinado que González </w:t>
      </w:r>
      <w:proofErr w:type="spellStart"/>
      <w:r>
        <w:rPr>
          <w:rFonts w:ascii="Verdana" w:hAnsi="Verdana" w:cs="Times New Roman"/>
          <w:sz w:val="16"/>
          <w:szCs w:val="16"/>
        </w:rPr>
        <w:t>Goznález</w:t>
      </w:r>
      <w:proofErr w:type="spellEnd"/>
      <w:r>
        <w:rPr>
          <w:rFonts w:ascii="Verdana" w:hAnsi="Verdana" w:cs="Times New Roman"/>
          <w:sz w:val="16"/>
          <w:szCs w:val="16"/>
        </w:rPr>
        <w:t xml:space="preserve"> […] fue detenido junto a su pareja y trasladado al Regimiento de Caballería Motorizada No. 6 (</w:t>
      </w:r>
      <w:r w:rsidRPr="00685170">
        <w:rPr>
          <w:rFonts w:ascii="Verdana" w:hAnsi="Verdana" w:cs="Times New Roman"/>
          <w:i/>
          <w:sz w:val="16"/>
          <w:szCs w:val="16"/>
        </w:rPr>
        <w:t>cfr</w:t>
      </w:r>
      <w:r>
        <w:rPr>
          <w:rFonts w:ascii="Verdana" w:hAnsi="Verdana" w:cs="Times New Roman"/>
          <w:sz w:val="16"/>
          <w:szCs w:val="16"/>
        </w:rPr>
        <w:t>. Informe del Fiscal Especializado, sin fecha).</w:t>
      </w:r>
    </w:p>
    <w:p w14:paraId="31FDCCA7"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85">
    <w:p w14:paraId="70A0EF9E" w14:textId="77777777" w:rsidR="00DD280C" w:rsidRDefault="00DD280C" w:rsidP="002A53BF">
      <w:pPr>
        <w:pStyle w:val="Textonotapie"/>
        <w:jc w:val="both"/>
      </w:pPr>
      <w:r>
        <w:rPr>
          <w:rStyle w:val="Refdenotaalpie"/>
        </w:rPr>
        <w:footnoteRef/>
      </w:r>
      <w:r>
        <w:t xml:space="preserve">    </w:t>
      </w:r>
      <w:r w:rsidRPr="00685170">
        <w:rPr>
          <w:i/>
        </w:rPr>
        <w:t>Cfr.</w:t>
      </w:r>
      <w:r>
        <w:t xml:space="preserve"> </w:t>
      </w:r>
      <w:r w:rsidRPr="000031DD">
        <w:rPr>
          <w:rFonts w:ascii="Verdana" w:hAnsi="Verdana" w:cs="Times New Roman"/>
          <w:sz w:val="16"/>
          <w:szCs w:val="16"/>
        </w:rPr>
        <w:t>Testimonio</w:t>
      </w:r>
      <w:r>
        <w:rPr>
          <w:rFonts w:ascii="Verdana" w:hAnsi="Verdana" w:cs="Times New Roman"/>
          <w:sz w:val="16"/>
          <w:szCs w:val="16"/>
        </w:rPr>
        <w:t>s</w:t>
      </w:r>
      <w:r w:rsidRPr="000031DD">
        <w:rPr>
          <w:rFonts w:ascii="Verdana" w:hAnsi="Verdana" w:cs="Times New Roman"/>
          <w:sz w:val="16"/>
          <w:szCs w:val="16"/>
        </w:rPr>
        <w:t xml:space="preserve"> de </w:t>
      </w:r>
      <w:r>
        <w:rPr>
          <w:rFonts w:ascii="Verdana" w:hAnsi="Verdana" w:cs="Times New Roman"/>
          <w:sz w:val="16"/>
          <w:szCs w:val="16"/>
        </w:rPr>
        <w:t>J.G.M</w:t>
      </w:r>
      <w:r w:rsidRPr="00685170">
        <w:rPr>
          <w:rFonts w:ascii="Verdana" w:hAnsi="Verdana" w:cs="Times New Roman"/>
          <w:sz w:val="16"/>
          <w:szCs w:val="16"/>
        </w:rPr>
        <w:t xml:space="preserve">., </w:t>
      </w:r>
      <w:r>
        <w:rPr>
          <w:rFonts w:ascii="Verdana" w:hAnsi="Verdana" w:cs="Times New Roman"/>
          <w:sz w:val="16"/>
          <w:szCs w:val="16"/>
        </w:rPr>
        <w:t>J.M.G.</w:t>
      </w:r>
      <w:r w:rsidRPr="00685170">
        <w:rPr>
          <w:rFonts w:ascii="Verdana" w:hAnsi="Verdana" w:cs="Times New Roman"/>
          <w:sz w:val="16"/>
          <w:szCs w:val="16"/>
        </w:rPr>
        <w:t xml:space="preserve">  y </w:t>
      </w:r>
      <w:r>
        <w:rPr>
          <w:rFonts w:ascii="Verdana" w:hAnsi="Verdana" w:cs="Times New Roman"/>
          <w:sz w:val="16"/>
          <w:szCs w:val="16"/>
        </w:rPr>
        <w:t>J.P. de 27 de septiembre de 1985</w:t>
      </w:r>
      <w:r w:rsidRPr="000031DD">
        <w:rPr>
          <w:rFonts w:ascii="Verdana" w:hAnsi="Verdana" w:cs="Times New Roman"/>
          <w:sz w:val="16"/>
          <w:szCs w:val="16"/>
        </w:rPr>
        <w:t xml:space="preserve"> (expediente de prueba, anexo</w:t>
      </w:r>
      <w:r>
        <w:rPr>
          <w:rFonts w:ascii="Verdana" w:hAnsi="Verdana" w:cs="Times New Roman"/>
          <w:sz w:val="16"/>
          <w:szCs w:val="16"/>
        </w:rPr>
        <w:t>s</w:t>
      </w:r>
      <w:r w:rsidRPr="000031DD">
        <w:rPr>
          <w:rFonts w:ascii="Verdana" w:hAnsi="Verdana" w:cs="Times New Roman"/>
          <w:sz w:val="16"/>
          <w:szCs w:val="16"/>
        </w:rPr>
        <w:t xml:space="preserve"> 1.5</w:t>
      </w:r>
      <w:r>
        <w:rPr>
          <w:rFonts w:ascii="Verdana" w:hAnsi="Verdana" w:cs="Times New Roman"/>
          <w:sz w:val="16"/>
          <w:szCs w:val="16"/>
        </w:rPr>
        <w:t>, 17 y 18</w:t>
      </w:r>
      <w:r w:rsidRPr="000031DD">
        <w:rPr>
          <w:rFonts w:ascii="Verdana" w:hAnsi="Verdana" w:cs="Times New Roman"/>
          <w:sz w:val="16"/>
          <w:szCs w:val="16"/>
        </w:rPr>
        <w:t xml:space="preserve"> al In</w:t>
      </w:r>
      <w:r>
        <w:rPr>
          <w:rFonts w:ascii="Verdana" w:hAnsi="Verdana" w:cs="Times New Roman"/>
          <w:sz w:val="16"/>
          <w:szCs w:val="16"/>
        </w:rPr>
        <w:t xml:space="preserve">forme de Fondo, fs. 39 a 43, 48 a 51 y 52 a 55, respectivamente). La Comisión hizo referencia testimonios de otras cuatro personas, pero de los mismos no surge que los declarantes hubieran tomado conocimiento directo del señor González </w:t>
      </w:r>
      <w:proofErr w:type="spellStart"/>
      <w:r>
        <w:rPr>
          <w:rFonts w:ascii="Verdana" w:hAnsi="Verdana" w:cs="Times New Roman"/>
          <w:sz w:val="16"/>
          <w:szCs w:val="16"/>
        </w:rPr>
        <w:t>González</w:t>
      </w:r>
      <w:proofErr w:type="spellEnd"/>
      <w:r>
        <w:rPr>
          <w:rFonts w:ascii="Verdana" w:hAnsi="Verdana" w:cs="Times New Roman"/>
          <w:sz w:val="16"/>
          <w:szCs w:val="16"/>
        </w:rPr>
        <w:t>. Por otra parte, el señalamiento de “malos tratos y torturas” fue efectuado por la Comisión como un elemento de hecho, que no fue controvertido.</w:t>
      </w:r>
    </w:p>
    <w:p w14:paraId="69156F24" w14:textId="77777777" w:rsidR="00DD280C" w:rsidRDefault="00DD280C" w:rsidP="002A53BF">
      <w:pPr>
        <w:pStyle w:val="Textonotapie"/>
      </w:pPr>
    </w:p>
  </w:footnote>
  <w:footnote w:id="86">
    <w:p w14:paraId="7655A3E6" w14:textId="57C94BB3"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685170">
        <w:rPr>
          <w:rFonts w:ascii="Verdana" w:hAnsi="Verdana" w:cs="Times New Roman"/>
          <w:i/>
          <w:sz w:val="16"/>
          <w:szCs w:val="16"/>
        </w:rPr>
        <w:t>C</w:t>
      </w:r>
      <w:r w:rsidRPr="00340E47">
        <w:rPr>
          <w:rFonts w:ascii="Verdana" w:hAnsi="Verdana" w:cs="Times New Roman"/>
          <w:i/>
          <w:sz w:val="16"/>
          <w:szCs w:val="16"/>
        </w:rPr>
        <w:t>fr</w:t>
      </w:r>
      <w:r>
        <w:rPr>
          <w:rFonts w:ascii="Verdana" w:hAnsi="Verdana" w:cs="Times New Roman"/>
          <w:sz w:val="16"/>
          <w:szCs w:val="16"/>
        </w:rPr>
        <w:t>. Informe del Fiscal Especializado, sin fecha.</w:t>
      </w:r>
    </w:p>
  </w:footnote>
  <w:footnote w:id="87">
    <w:p w14:paraId="4E7D9701" w14:textId="5B865A3E" w:rsidR="00DD280C"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Testimonio d</w:t>
      </w:r>
      <w:r>
        <w:rPr>
          <w:rFonts w:ascii="Verdana" w:hAnsi="Verdana" w:cs="Times New Roman"/>
          <w:sz w:val="16"/>
          <w:szCs w:val="16"/>
        </w:rPr>
        <w:t>ado el 13 de agosto de 1985 por</w:t>
      </w:r>
      <w:r w:rsidRPr="000031DD">
        <w:rPr>
          <w:rFonts w:ascii="Verdana" w:hAnsi="Verdana" w:cs="Times New Roman"/>
          <w:sz w:val="16"/>
          <w:szCs w:val="16"/>
        </w:rPr>
        <w:t xml:space="preserve"> Elena Zaffaroni Rocco.</w:t>
      </w:r>
      <w:r>
        <w:rPr>
          <w:rFonts w:ascii="Verdana" w:hAnsi="Verdana" w:cs="Times New Roman"/>
          <w:sz w:val="16"/>
          <w:szCs w:val="16"/>
        </w:rPr>
        <w:t xml:space="preserve"> En su declaración oral ante la Corte la señora Zaffaroni Rocco indicó que fue el 25 de diciembre de 1974 el último día que vio a su esposo. Expresó que, conforme pudo apreciar, la razón de que los captores permitiera que ella en distintas ocasiones viera al señor González era que buscaban “presionarlo mucho más”. </w:t>
      </w:r>
    </w:p>
    <w:p w14:paraId="4316E34B"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88">
    <w:p w14:paraId="601A9D98" w14:textId="37540365" w:rsidR="00DD280C"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Testimonio d</w:t>
      </w:r>
      <w:r>
        <w:rPr>
          <w:rFonts w:ascii="Verdana" w:hAnsi="Verdana" w:cs="Times New Roman"/>
          <w:sz w:val="16"/>
          <w:szCs w:val="16"/>
        </w:rPr>
        <w:t>ado el 13 de agosto de 1985 por</w:t>
      </w:r>
      <w:r w:rsidRPr="000031DD">
        <w:rPr>
          <w:rFonts w:ascii="Verdana" w:hAnsi="Verdana" w:cs="Times New Roman"/>
          <w:sz w:val="16"/>
          <w:szCs w:val="16"/>
        </w:rPr>
        <w:t xml:space="preserve"> Elena Zaffaroni Rocco.</w:t>
      </w:r>
      <w:r>
        <w:rPr>
          <w:rFonts w:ascii="Verdana" w:hAnsi="Verdana" w:cs="Times New Roman"/>
          <w:sz w:val="16"/>
          <w:szCs w:val="16"/>
        </w:rPr>
        <w:t xml:space="preserve"> La señora Zaffaroni Rocco, en esa oportunidad, señaló que en “el mes de febrero [de 1975 la] trasladaron al 5to de Artillería”. Expresó que luego fue llevada a un Penal, en fecha que no precisó. Manifestó que en ambos lugares obtener información sobre su esposo de parte de oficiales militares, sin recibir respuestas, pues “era algo que no se podía saber”. Explicó también que “[l]</w:t>
      </w:r>
      <w:proofErr w:type="spellStart"/>
      <w:r>
        <w:rPr>
          <w:rFonts w:ascii="Verdana" w:hAnsi="Verdana" w:cs="Times New Roman"/>
          <w:sz w:val="16"/>
          <w:szCs w:val="16"/>
        </w:rPr>
        <w:t>uego</w:t>
      </w:r>
      <w:proofErr w:type="spellEnd"/>
      <w:r>
        <w:rPr>
          <w:rFonts w:ascii="Verdana" w:hAnsi="Verdana" w:cs="Times New Roman"/>
          <w:sz w:val="16"/>
          <w:szCs w:val="16"/>
        </w:rPr>
        <w:t xml:space="preserve"> que t[uvo] familia […] volvió al Penal”.  </w:t>
      </w:r>
    </w:p>
    <w:p w14:paraId="781CB8E4"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89">
    <w:p w14:paraId="00EDF985" w14:textId="77777777" w:rsidR="00DD280C" w:rsidRPr="000031DD" w:rsidRDefault="00DD280C" w:rsidP="002A53BF">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La expresión "cruzar el charco" se refiere a trasladarse de Uruguay a Argentina.</w:t>
      </w:r>
    </w:p>
    <w:p w14:paraId="448A0C01" w14:textId="77777777" w:rsidR="00DD280C" w:rsidRPr="000031DD" w:rsidRDefault="00DD280C" w:rsidP="002A53BF">
      <w:pPr>
        <w:pStyle w:val="Textonotapie"/>
        <w:jc w:val="both"/>
        <w:rPr>
          <w:rFonts w:ascii="Verdana" w:hAnsi="Verdana"/>
          <w:sz w:val="16"/>
          <w:szCs w:val="16"/>
        </w:rPr>
      </w:pPr>
    </w:p>
  </w:footnote>
  <w:footnote w:id="90">
    <w:p w14:paraId="7EFB4E0A" w14:textId="77777777" w:rsidR="00DD280C" w:rsidRPr="00685170" w:rsidRDefault="00DD280C" w:rsidP="002A53BF">
      <w:pPr>
        <w:autoSpaceDE w:val="0"/>
        <w:autoSpaceDN w:val="0"/>
        <w:adjustRightInd w:val="0"/>
        <w:spacing w:after="0" w:line="240" w:lineRule="auto"/>
        <w:jc w:val="both"/>
        <w:rPr>
          <w:rFonts w:ascii="Verdana" w:hAnsi="Verdana" w:cs="Times New Roman"/>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presentada por Amalia González de González </w:t>
      </w:r>
      <w:r>
        <w:rPr>
          <w:rFonts w:ascii="Verdana" w:hAnsi="Verdana" w:cs="Times New Roman"/>
          <w:sz w:val="16"/>
          <w:szCs w:val="16"/>
        </w:rPr>
        <w:t xml:space="preserve">el 24 de julio de 1985, </w:t>
      </w:r>
      <w:r w:rsidRPr="000031DD">
        <w:rPr>
          <w:rFonts w:ascii="Verdana" w:hAnsi="Verdana" w:cs="Times New Roman"/>
          <w:sz w:val="16"/>
          <w:szCs w:val="16"/>
        </w:rPr>
        <w:t>por la desaparición de su hijo Luis Eduardo González</w:t>
      </w:r>
      <w:r>
        <w:rPr>
          <w:rFonts w:ascii="Verdana" w:hAnsi="Verdana" w:cs="Times New Roman"/>
          <w:sz w:val="16"/>
          <w:szCs w:val="16"/>
        </w:rPr>
        <w:t>,</w:t>
      </w:r>
      <w:r w:rsidRPr="000031DD">
        <w:rPr>
          <w:rFonts w:ascii="Verdana" w:hAnsi="Verdana" w:cs="Times New Roman"/>
          <w:sz w:val="16"/>
          <w:szCs w:val="16"/>
        </w:rPr>
        <w:t xml:space="preserve"> ante el Juzgado Letrado de Primera Instancia en lo Penal de 10°</w:t>
      </w:r>
      <w:r w:rsidRPr="000031DD">
        <w:rPr>
          <w:rFonts w:ascii="Verdana" w:hAnsi="Verdana" w:cs="Arial"/>
          <w:sz w:val="16"/>
          <w:szCs w:val="16"/>
        </w:rPr>
        <w:t xml:space="preserve"> </w:t>
      </w:r>
      <w:r w:rsidRPr="000031DD">
        <w:rPr>
          <w:rFonts w:ascii="Verdana" w:hAnsi="Verdana" w:cs="Times New Roman"/>
          <w:sz w:val="16"/>
          <w:szCs w:val="16"/>
        </w:rPr>
        <w:t>Turno (expediente de prueba, anexo 1.1 al Informe de Fondo, fs</w:t>
      </w:r>
      <w:r>
        <w:rPr>
          <w:rFonts w:ascii="Verdana" w:hAnsi="Verdana" w:cs="Times New Roman"/>
          <w:sz w:val="16"/>
          <w:szCs w:val="16"/>
        </w:rPr>
        <w:t>.</w:t>
      </w:r>
      <w:r w:rsidRPr="000031DD">
        <w:rPr>
          <w:rFonts w:ascii="Verdana" w:hAnsi="Verdana" w:cs="Times New Roman"/>
          <w:sz w:val="16"/>
          <w:szCs w:val="16"/>
        </w:rPr>
        <w:t xml:space="preserve"> 7 a 20)</w:t>
      </w:r>
      <w:r>
        <w:rPr>
          <w:rFonts w:ascii="Verdana" w:hAnsi="Verdana" w:cs="Times New Roman"/>
          <w:sz w:val="16"/>
          <w:szCs w:val="16"/>
        </w:rPr>
        <w:t>.</w:t>
      </w:r>
    </w:p>
    <w:p w14:paraId="09EDCC79"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91">
    <w:p w14:paraId="02C9F4BC" w14:textId="35832BE6"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Testimonio de Amalia González de González </w:t>
      </w:r>
      <w:r>
        <w:rPr>
          <w:rFonts w:ascii="Verdana" w:hAnsi="Verdana" w:cs="Times New Roman"/>
          <w:sz w:val="16"/>
          <w:szCs w:val="16"/>
        </w:rPr>
        <w:t>de 29 de julio de 1985</w:t>
      </w:r>
      <w:r w:rsidRPr="000031DD">
        <w:rPr>
          <w:rFonts w:ascii="Verdana" w:hAnsi="Verdana" w:cs="Times New Roman"/>
          <w:sz w:val="16"/>
          <w:szCs w:val="16"/>
        </w:rPr>
        <w:t xml:space="preserve"> (expediente de prueba, anexo 1.2 al Informe de Fondo, fs</w:t>
      </w:r>
      <w:r>
        <w:rPr>
          <w:rFonts w:ascii="Verdana" w:hAnsi="Verdana" w:cs="Times New Roman"/>
          <w:sz w:val="16"/>
          <w:szCs w:val="16"/>
        </w:rPr>
        <w:t>.</w:t>
      </w:r>
      <w:r w:rsidRPr="000031DD">
        <w:rPr>
          <w:rFonts w:ascii="Verdana" w:hAnsi="Verdana" w:cs="Times New Roman"/>
          <w:sz w:val="16"/>
          <w:szCs w:val="16"/>
        </w:rPr>
        <w:t xml:space="preserve"> 21 a 26). </w:t>
      </w:r>
    </w:p>
    <w:p w14:paraId="18BE7B4F"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92">
    <w:p w14:paraId="5E8D4337" w14:textId="4CA45480"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Testimonio de Amalia González de González </w:t>
      </w:r>
      <w:r>
        <w:rPr>
          <w:rFonts w:ascii="Verdana" w:hAnsi="Verdana" w:cs="Times New Roman"/>
          <w:sz w:val="16"/>
          <w:szCs w:val="16"/>
        </w:rPr>
        <w:t>de 29 de julio de 1985</w:t>
      </w:r>
      <w:r w:rsidRPr="000031DD">
        <w:rPr>
          <w:rFonts w:ascii="Verdana" w:hAnsi="Verdana" w:cs="Times New Roman"/>
          <w:sz w:val="16"/>
          <w:szCs w:val="16"/>
        </w:rPr>
        <w:t xml:space="preserve">. </w:t>
      </w:r>
    </w:p>
    <w:p w14:paraId="6C588AB1"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93">
    <w:p w14:paraId="1BCD8FDB" w14:textId="13FD36C6"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presentada por Amalia González de González por la desaparición de su hijo Luis Eduardo González ante el Juzgado Letrado de Primera Instancia en lo Penal de 10º Turno. </w:t>
      </w:r>
    </w:p>
    <w:p w14:paraId="3814793C"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94">
    <w:p w14:paraId="047BC0E0" w14:textId="3D37BD89"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presentada por Amalia González de González por la desaparición de su hijo Luis Eduardo González ante el Juzgado Letrado de Primera Instancia en lo Penal de 10º Turno). </w:t>
      </w:r>
    </w:p>
    <w:p w14:paraId="1AA30F32"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95">
    <w:p w14:paraId="7C8A9F04" w14:textId="77777777" w:rsidR="00DD280C" w:rsidRPr="000031DD" w:rsidRDefault="00DD280C" w:rsidP="002A53BF">
      <w:pPr>
        <w:autoSpaceDE w:val="0"/>
        <w:autoSpaceDN w:val="0"/>
        <w:adjustRightInd w:val="0"/>
        <w:spacing w:after="0" w:line="240" w:lineRule="auto"/>
        <w:jc w:val="both"/>
        <w:rPr>
          <w:rFonts w:ascii="Verdana" w:hAnsi="Verdana" w:cs="Times New Roman"/>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Conflicto suscitado a través de la solicitud de declinatoria de competencia realizada por el Juzgado Militar de Instrucción de 3er Turno al Juez Letrado de Primera Instancia en lo Penal de 9° Turno, indicando que el informe de la "Comisión Investigadora sobre Situación de Personas Desaparecidas y Hechos que la motivaron" señalaba hechos relacionados con la actuación de las Fuerzas Armadas que podrían afectar bienes jurídicos protegidos por el Código Penal Ordinario y por el Código Penal militar</w:t>
      </w:r>
      <w:r>
        <w:rPr>
          <w:rFonts w:ascii="Verdana" w:hAnsi="Verdana" w:cs="Times New Roman"/>
          <w:sz w:val="16"/>
          <w:szCs w:val="16"/>
        </w:rPr>
        <w:t>,</w:t>
      </w:r>
      <w:r w:rsidRPr="000031DD">
        <w:rPr>
          <w:rFonts w:ascii="Verdana" w:hAnsi="Verdana" w:cs="Times New Roman"/>
          <w:sz w:val="16"/>
          <w:szCs w:val="16"/>
        </w:rPr>
        <w:t xml:space="preserve"> generando así, a consideración de la juzgado de instrucción militar un conflicto de competencia entre las dos jurisdicciones</w:t>
      </w:r>
      <w:r>
        <w:rPr>
          <w:rFonts w:ascii="Verdana" w:hAnsi="Verdana" w:cs="Times New Roman"/>
          <w:sz w:val="16"/>
          <w:szCs w:val="16"/>
        </w:rPr>
        <w:t xml:space="preserve"> (</w:t>
      </w:r>
      <w:r w:rsidRPr="00685170">
        <w:rPr>
          <w:rFonts w:ascii="Verdana" w:hAnsi="Verdana" w:cs="Times New Roman"/>
          <w:i/>
          <w:sz w:val="16"/>
          <w:szCs w:val="16"/>
        </w:rPr>
        <w:t xml:space="preserve">cfr. </w:t>
      </w:r>
      <w:r>
        <w:rPr>
          <w:rFonts w:ascii="Verdana" w:hAnsi="Verdana" w:cs="Times New Roman"/>
          <w:sz w:val="16"/>
          <w:szCs w:val="16"/>
        </w:rPr>
        <w:t>s</w:t>
      </w:r>
      <w:r w:rsidRPr="000031DD">
        <w:rPr>
          <w:rFonts w:ascii="Verdana" w:hAnsi="Verdana" w:cs="Times New Roman"/>
          <w:sz w:val="16"/>
          <w:szCs w:val="16"/>
        </w:rPr>
        <w:t>olicitud de declinatoria d</w:t>
      </w:r>
      <w:r>
        <w:rPr>
          <w:rFonts w:ascii="Verdana" w:hAnsi="Verdana" w:cs="Times New Roman"/>
          <w:sz w:val="16"/>
          <w:szCs w:val="16"/>
        </w:rPr>
        <w:t>e</w:t>
      </w:r>
      <w:r w:rsidRPr="000031DD">
        <w:rPr>
          <w:rFonts w:ascii="Verdana" w:hAnsi="Verdana" w:cs="Times New Roman"/>
          <w:sz w:val="16"/>
          <w:szCs w:val="16"/>
        </w:rPr>
        <w:t xml:space="preserve"> competencia de la Jurisdicción Militar al Juzgado Letrado de Primera Instancia en lo Penal del 1</w:t>
      </w:r>
      <w:r>
        <w:rPr>
          <w:rFonts w:ascii="Verdana" w:hAnsi="Verdana" w:cs="Times New Roman"/>
          <w:sz w:val="16"/>
          <w:szCs w:val="16"/>
        </w:rPr>
        <w:t>0</w:t>
      </w:r>
      <w:r w:rsidRPr="000031DD">
        <w:rPr>
          <w:rFonts w:ascii="Verdana" w:hAnsi="Verdana" w:cs="Times New Roman"/>
          <w:sz w:val="16"/>
          <w:szCs w:val="16"/>
        </w:rPr>
        <w:t>° Turno frente a la denuncia presentada por Amalia González de González (expediente de prueba, anexo 1.12 al Informe de Fondo, f</w:t>
      </w:r>
      <w:r>
        <w:rPr>
          <w:rFonts w:ascii="Verdana" w:hAnsi="Verdana" w:cs="Times New Roman"/>
          <w:sz w:val="16"/>
          <w:szCs w:val="16"/>
        </w:rPr>
        <w:t>s.</w:t>
      </w:r>
      <w:r w:rsidRPr="000031DD">
        <w:rPr>
          <w:rFonts w:ascii="Verdana" w:hAnsi="Verdana" w:cs="Times New Roman"/>
          <w:sz w:val="16"/>
          <w:szCs w:val="16"/>
        </w:rPr>
        <w:t xml:space="preserve"> 66 a 74)</w:t>
      </w:r>
      <w:r>
        <w:rPr>
          <w:rFonts w:ascii="Verdana" w:hAnsi="Verdana" w:cs="Times New Roman"/>
          <w:sz w:val="16"/>
          <w:szCs w:val="16"/>
        </w:rPr>
        <w:t>)</w:t>
      </w:r>
      <w:r w:rsidRPr="000031DD">
        <w:rPr>
          <w:rFonts w:ascii="Verdana" w:hAnsi="Verdana" w:cs="Times New Roman"/>
          <w:sz w:val="16"/>
          <w:szCs w:val="16"/>
        </w:rPr>
        <w:t>.</w:t>
      </w:r>
    </w:p>
    <w:p w14:paraId="6D0362F2"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96">
    <w:p w14:paraId="35F7DFEA"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Orden de la Suprema Corte de Justicia de remitir los antecedentes al Juzgado Letrado de Primera Instancia en lo Penal de 10° Turno (expediente de prueba, anexo 1.23 al Informe de Fondo, f</w:t>
      </w:r>
      <w:r>
        <w:rPr>
          <w:rFonts w:ascii="Verdana" w:hAnsi="Verdana" w:cs="Times New Roman"/>
          <w:sz w:val="16"/>
          <w:szCs w:val="16"/>
        </w:rPr>
        <w:t>s.</w:t>
      </w:r>
      <w:r w:rsidRPr="000031DD">
        <w:rPr>
          <w:rFonts w:ascii="Verdana" w:hAnsi="Verdana" w:cs="Times New Roman"/>
          <w:sz w:val="16"/>
          <w:szCs w:val="16"/>
        </w:rPr>
        <w:t xml:space="preserve"> 196 a 198). </w:t>
      </w:r>
    </w:p>
    <w:p w14:paraId="0155F38C" w14:textId="77777777" w:rsidR="00DD280C" w:rsidRPr="000031DD" w:rsidRDefault="00DD280C" w:rsidP="002A53BF">
      <w:pPr>
        <w:pStyle w:val="Textonotapie"/>
        <w:jc w:val="both"/>
        <w:rPr>
          <w:rFonts w:ascii="Verdana" w:hAnsi="Verdana"/>
          <w:sz w:val="16"/>
          <w:szCs w:val="16"/>
        </w:rPr>
      </w:pPr>
    </w:p>
  </w:footnote>
  <w:footnote w:id="97">
    <w:p w14:paraId="596CE5AD"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Acción de inconstitucionalidad </w:t>
      </w:r>
      <w:r>
        <w:rPr>
          <w:rFonts w:ascii="Verdana" w:hAnsi="Verdana" w:cs="Times New Roman"/>
          <w:sz w:val="16"/>
          <w:szCs w:val="16"/>
        </w:rPr>
        <w:t xml:space="preserve">de </w:t>
      </w:r>
      <w:r w:rsidRPr="000031DD">
        <w:rPr>
          <w:rFonts w:ascii="Verdana" w:hAnsi="Verdana" w:cs="Times New Roman"/>
          <w:sz w:val="16"/>
          <w:szCs w:val="16"/>
        </w:rPr>
        <w:t xml:space="preserve">los artículos 1, 2, 3 y 4 de la Ley 15.848 de 1986, </w:t>
      </w:r>
      <w:r>
        <w:rPr>
          <w:rFonts w:ascii="Verdana" w:hAnsi="Verdana" w:cs="Times New Roman"/>
          <w:sz w:val="16"/>
          <w:szCs w:val="16"/>
        </w:rPr>
        <w:t>presentada</w:t>
      </w:r>
      <w:r w:rsidRPr="000031DD">
        <w:rPr>
          <w:rFonts w:ascii="Verdana" w:hAnsi="Verdana" w:cs="Times New Roman"/>
          <w:sz w:val="16"/>
          <w:szCs w:val="16"/>
        </w:rPr>
        <w:t xml:space="preserve"> por Amalia González de González (expediente de prueba, anexo 1.24 al Informe de Fondo, f</w:t>
      </w:r>
      <w:r>
        <w:rPr>
          <w:rFonts w:ascii="Verdana" w:hAnsi="Verdana" w:cs="Times New Roman"/>
          <w:sz w:val="16"/>
          <w:szCs w:val="16"/>
        </w:rPr>
        <w:t>s.</w:t>
      </w:r>
      <w:r w:rsidRPr="000031DD">
        <w:rPr>
          <w:rFonts w:ascii="Verdana" w:hAnsi="Verdana" w:cs="Times New Roman"/>
          <w:sz w:val="16"/>
          <w:szCs w:val="16"/>
        </w:rPr>
        <w:t xml:space="preserve"> 199 a 205). </w:t>
      </w:r>
    </w:p>
    <w:p w14:paraId="41B3F0F2"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98">
    <w:p w14:paraId="2F2F43B7"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Pr>
          <w:rFonts w:ascii="Verdana" w:hAnsi="Verdana" w:cs="Times New Roman"/>
          <w:sz w:val="16"/>
          <w:szCs w:val="16"/>
        </w:rPr>
        <w:t xml:space="preserve">Sentencia </w:t>
      </w:r>
      <w:r w:rsidRPr="000031DD">
        <w:rPr>
          <w:rFonts w:ascii="Verdana" w:hAnsi="Verdana" w:cs="Times New Roman"/>
          <w:sz w:val="16"/>
          <w:szCs w:val="16"/>
        </w:rPr>
        <w:t xml:space="preserve">de la Suprema Corte de Justicia </w:t>
      </w:r>
      <w:r>
        <w:rPr>
          <w:rFonts w:ascii="Verdana" w:hAnsi="Verdana" w:cs="Times New Roman"/>
          <w:sz w:val="16"/>
          <w:szCs w:val="16"/>
        </w:rPr>
        <w:t xml:space="preserve">de 29 de julio de 1988 respecto de </w:t>
      </w:r>
      <w:r w:rsidRPr="000031DD">
        <w:rPr>
          <w:rFonts w:ascii="Verdana" w:hAnsi="Verdana" w:cs="Times New Roman"/>
          <w:sz w:val="16"/>
          <w:szCs w:val="16"/>
        </w:rPr>
        <w:t xml:space="preserve">la acción de inconstitucionalidad </w:t>
      </w:r>
      <w:r>
        <w:rPr>
          <w:rFonts w:ascii="Verdana" w:hAnsi="Verdana" w:cs="Times New Roman"/>
          <w:sz w:val="16"/>
          <w:szCs w:val="16"/>
        </w:rPr>
        <w:t>de</w:t>
      </w:r>
      <w:r w:rsidRPr="000031DD">
        <w:rPr>
          <w:rFonts w:ascii="Verdana" w:hAnsi="Verdana" w:cs="Times New Roman"/>
          <w:sz w:val="16"/>
          <w:szCs w:val="16"/>
        </w:rPr>
        <w:t xml:space="preserve"> los artículos 1, 2, 3 y 4 de la Ley15.848 de 1986, interpuesta por Amalia González de González (expediente de prueba, anexo 1.26 al Informe de Fondo, fs</w:t>
      </w:r>
      <w:r>
        <w:rPr>
          <w:rFonts w:ascii="Verdana" w:hAnsi="Verdana" w:cs="Times New Roman"/>
          <w:sz w:val="16"/>
          <w:szCs w:val="16"/>
        </w:rPr>
        <w:t>.</w:t>
      </w:r>
      <w:r w:rsidRPr="000031DD">
        <w:rPr>
          <w:rFonts w:ascii="Verdana" w:hAnsi="Verdana" w:cs="Times New Roman"/>
          <w:sz w:val="16"/>
          <w:szCs w:val="16"/>
        </w:rPr>
        <w:t xml:space="preserve"> 225 a 232). </w:t>
      </w:r>
    </w:p>
    <w:p w14:paraId="4345881D"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99">
    <w:p w14:paraId="5D83A90F"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Solicitud de notificación personal presentada por Amalia González ante el Juez Letrado de Primera Instancia en lo Penal de 10° Turno</w:t>
      </w:r>
      <w:r>
        <w:rPr>
          <w:rFonts w:ascii="Verdana" w:hAnsi="Verdana" w:cs="Times New Roman"/>
          <w:sz w:val="16"/>
          <w:szCs w:val="16"/>
        </w:rPr>
        <w:t xml:space="preserve"> el 12 de mayo de 1987</w:t>
      </w:r>
      <w:r w:rsidRPr="000031DD">
        <w:rPr>
          <w:rFonts w:ascii="Verdana" w:hAnsi="Verdana" w:cs="Times New Roman"/>
          <w:sz w:val="16"/>
          <w:szCs w:val="16"/>
        </w:rPr>
        <w:t xml:space="preserve"> (expediente de prueba, anexo 1.27 al Informe de Fondo, fs</w:t>
      </w:r>
      <w:r>
        <w:rPr>
          <w:rFonts w:ascii="Verdana" w:hAnsi="Verdana" w:cs="Times New Roman"/>
          <w:sz w:val="16"/>
          <w:szCs w:val="16"/>
        </w:rPr>
        <w:t>.</w:t>
      </w:r>
      <w:r w:rsidRPr="000031DD">
        <w:rPr>
          <w:rFonts w:ascii="Verdana" w:hAnsi="Verdana" w:cs="Times New Roman"/>
          <w:sz w:val="16"/>
          <w:szCs w:val="16"/>
        </w:rPr>
        <w:t xml:space="preserve"> 233 a </w:t>
      </w:r>
      <w:r>
        <w:rPr>
          <w:rFonts w:ascii="Verdana" w:hAnsi="Verdana" w:cs="Times New Roman"/>
          <w:sz w:val="16"/>
          <w:szCs w:val="16"/>
        </w:rPr>
        <w:t>235</w:t>
      </w:r>
      <w:r w:rsidRPr="000031DD">
        <w:rPr>
          <w:rFonts w:ascii="Verdana" w:hAnsi="Verdana" w:cs="Times New Roman"/>
          <w:sz w:val="16"/>
          <w:szCs w:val="16"/>
        </w:rPr>
        <w:t>).</w:t>
      </w:r>
    </w:p>
    <w:p w14:paraId="1EF98D34"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00">
    <w:p w14:paraId="66AAB4D1"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Notificación al J</w:t>
      </w:r>
      <w:r>
        <w:rPr>
          <w:rFonts w:ascii="Verdana" w:hAnsi="Verdana" w:cs="Times New Roman"/>
          <w:sz w:val="16"/>
          <w:szCs w:val="16"/>
        </w:rPr>
        <w:t>uez</w:t>
      </w:r>
      <w:r w:rsidRPr="000031DD">
        <w:rPr>
          <w:rFonts w:ascii="Verdana" w:hAnsi="Verdana" w:cs="Times New Roman"/>
          <w:sz w:val="16"/>
          <w:szCs w:val="16"/>
        </w:rPr>
        <w:t xml:space="preserve"> Letrado de Primera Instancia en lo Penal de 10º Turno de la inclusión del caso de Luis Eduardo González dentro de los presupuestos de la Ley 15.848 de 1986 (expediente de prueba, anexo 1.28 al Informe de Fondo, f</w:t>
      </w:r>
      <w:r>
        <w:rPr>
          <w:rFonts w:ascii="Verdana" w:hAnsi="Verdana" w:cs="Times New Roman"/>
          <w:sz w:val="16"/>
          <w:szCs w:val="16"/>
        </w:rPr>
        <w:t>.</w:t>
      </w:r>
      <w:r w:rsidRPr="000031DD">
        <w:rPr>
          <w:rFonts w:ascii="Verdana" w:hAnsi="Verdana" w:cs="Times New Roman"/>
          <w:sz w:val="16"/>
          <w:szCs w:val="16"/>
        </w:rPr>
        <w:t xml:space="preserve"> 23</w:t>
      </w:r>
      <w:r>
        <w:rPr>
          <w:rFonts w:ascii="Verdana" w:hAnsi="Verdana" w:cs="Times New Roman"/>
          <w:sz w:val="16"/>
          <w:szCs w:val="16"/>
        </w:rPr>
        <w:t>9</w:t>
      </w:r>
      <w:r w:rsidRPr="000031DD">
        <w:rPr>
          <w:rFonts w:ascii="Verdana" w:hAnsi="Verdana" w:cs="Times New Roman"/>
          <w:sz w:val="16"/>
          <w:szCs w:val="16"/>
        </w:rPr>
        <w:t>).</w:t>
      </w:r>
    </w:p>
    <w:p w14:paraId="3DE7A738"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01">
    <w:p w14:paraId="7B06DB65" w14:textId="66BA761F"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685170">
        <w:rPr>
          <w:rFonts w:ascii="Verdana" w:hAnsi="Verdana"/>
          <w:i/>
          <w:sz w:val="16"/>
          <w:szCs w:val="16"/>
        </w:rPr>
        <w:t>Cfr.</w:t>
      </w:r>
      <w:r>
        <w:rPr>
          <w:rFonts w:ascii="Verdana" w:hAnsi="Verdana"/>
          <w:sz w:val="16"/>
          <w:szCs w:val="16"/>
        </w:rPr>
        <w:t xml:space="preserve"> </w:t>
      </w:r>
      <w:r w:rsidRPr="000031DD">
        <w:rPr>
          <w:rFonts w:ascii="Verdana" w:hAnsi="Verdana" w:cs="Times New Roman"/>
          <w:sz w:val="16"/>
          <w:szCs w:val="16"/>
        </w:rPr>
        <w:t>Informe Final Sobre Situación de Personas Desaparecidas y Hechos que la Motivaron de la Comisión Investigadora Parlamentaria de la Cámara de Representantes</w:t>
      </w:r>
      <w:r>
        <w:rPr>
          <w:rFonts w:ascii="Verdana" w:hAnsi="Verdana" w:cs="Times New Roman"/>
          <w:sz w:val="16"/>
          <w:szCs w:val="16"/>
        </w:rPr>
        <w:t>.</w:t>
      </w:r>
    </w:p>
    <w:p w14:paraId="511B998B"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02">
    <w:p w14:paraId="2ADE3A0C"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Informe de la Comisión </w:t>
      </w:r>
      <w:r>
        <w:rPr>
          <w:rFonts w:ascii="Verdana" w:hAnsi="Verdana" w:cs="Times New Roman"/>
          <w:sz w:val="16"/>
          <w:szCs w:val="16"/>
        </w:rPr>
        <w:t>I</w:t>
      </w:r>
      <w:r w:rsidRPr="000031DD">
        <w:rPr>
          <w:rFonts w:ascii="Verdana" w:hAnsi="Verdana" w:cs="Times New Roman"/>
          <w:sz w:val="16"/>
          <w:szCs w:val="16"/>
        </w:rPr>
        <w:t>nvestigadora sobre el Destino Final de 33 Ciudadanos Detenidos en el Periodo Comprendido entre el 27 de junio de 1973 y el 1 de marzo de 1985 (expediente de prueba, anexo 4 al Informe de Fondo, f</w:t>
      </w:r>
      <w:r>
        <w:rPr>
          <w:rFonts w:ascii="Verdana" w:hAnsi="Verdana" w:cs="Times New Roman"/>
          <w:sz w:val="16"/>
          <w:szCs w:val="16"/>
        </w:rPr>
        <w:t>s.</w:t>
      </w:r>
      <w:r w:rsidRPr="000031DD">
        <w:rPr>
          <w:rFonts w:ascii="Verdana" w:hAnsi="Verdana" w:cs="Times New Roman"/>
          <w:sz w:val="16"/>
          <w:szCs w:val="16"/>
        </w:rPr>
        <w:t>1117 a 1135).</w:t>
      </w:r>
      <w:r>
        <w:rPr>
          <w:rFonts w:ascii="Verdana" w:hAnsi="Verdana" w:cs="Times New Roman"/>
          <w:sz w:val="16"/>
          <w:szCs w:val="16"/>
        </w:rPr>
        <w:t xml:space="preserve"> </w:t>
      </w:r>
      <w:r>
        <w:rPr>
          <w:rFonts w:ascii="Verdana" w:hAnsi="Verdana"/>
          <w:sz w:val="16"/>
          <w:szCs w:val="16"/>
        </w:rPr>
        <w:t xml:space="preserve">En cuanto al asterisco al lado del nombre, en el informe se aclara que </w:t>
      </w:r>
      <w:r w:rsidRPr="000031DD">
        <w:rPr>
          <w:rFonts w:ascii="Verdana" w:hAnsi="Verdana" w:cs="Times New Roman"/>
          <w:sz w:val="16"/>
          <w:szCs w:val="16"/>
        </w:rPr>
        <w:t>los casos marcados con</w:t>
      </w:r>
      <w:r>
        <w:rPr>
          <w:rFonts w:ascii="Verdana" w:hAnsi="Verdana" w:cs="Times New Roman"/>
          <w:sz w:val="16"/>
          <w:szCs w:val="16"/>
        </w:rPr>
        <w:t xml:space="preserve"> asterisco</w:t>
      </w:r>
      <w:r w:rsidRPr="000031DD">
        <w:rPr>
          <w:rFonts w:ascii="Verdana" w:hAnsi="Verdana" w:cs="Times New Roman"/>
          <w:sz w:val="16"/>
          <w:szCs w:val="16"/>
        </w:rPr>
        <w:t xml:space="preserve"> </w:t>
      </w:r>
      <w:r>
        <w:rPr>
          <w:rFonts w:ascii="Verdana" w:hAnsi="Verdana" w:cs="Times New Roman"/>
          <w:sz w:val="16"/>
          <w:szCs w:val="16"/>
        </w:rPr>
        <w:t xml:space="preserve">implicaron circunstancias que </w:t>
      </w:r>
      <w:r w:rsidRPr="000031DD">
        <w:rPr>
          <w:rFonts w:ascii="Verdana" w:hAnsi="Verdana" w:cs="Times New Roman"/>
          <w:sz w:val="16"/>
          <w:szCs w:val="16"/>
        </w:rPr>
        <w:t xml:space="preserve">se </w:t>
      </w:r>
      <w:r>
        <w:rPr>
          <w:rFonts w:ascii="Verdana" w:hAnsi="Verdana" w:cs="Times New Roman"/>
          <w:sz w:val="16"/>
          <w:szCs w:val="16"/>
        </w:rPr>
        <w:t>“supone […]</w:t>
      </w:r>
      <w:r w:rsidRPr="000031DD">
        <w:rPr>
          <w:rFonts w:ascii="Verdana" w:hAnsi="Verdana" w:cs="Times New Roman"/>
          <w:sz w:val="16"/>
          <w:szCs w:val="16"/>
        </w:rPr>
        <w:t xml:space="preserve"> que fueron desarrollad</w:t>
      </w:r>
      <w:r>
        <w:rPr>
          <w:rFonts w:ascii="Verdana" w:hAnsi="Verdana" w:cs="Times New Roman"/>
          <w:sz w:val="16"/>
          <w:szCs w:val="16"/>
        </w:rPr>
        <w:t>[a]</w:t>
      </w:r>
      <w:r w:rsidRPr="000031DD">
        <w:rPr>
          <w:rFonts w:ascii="Verdana" w:hAnsi="Verdana" w:cs="Times New Roman"/>
          <w:sz w:val="16"/>
          <w:szCs w:val="16"/>
        </w:rPr>
        <w:t>s dentro del marco de operaciones de inteligencia y por lo tanto son considerados como responsabilidad absoluta de los mandos por acción u omisión</w:t>
      </w:r>
      <w:r>
        <w:rPr>
          <w:rFonts w:ascii="Verdana" w:hAnsi="Verdana" w:cs="Times New Roman"/>
          <w:sz w:val="16"/>
          <w:szCs w:val="16"/>
        </w:rPr>
        <w:t>”</w:t>
      </w:r>
      <w:r w:rsidRPr="000031DD">
        <w:rPr>
          <w:rFonts w:ascii="Verdana" w:hAnsi="Verdana" w:cs="Times New Roman"/>
          <w:sz w:val="16"/>
          <w:szCs w:val="16"/>
        </w:rPr>
        <w:t>.</w:t>
      </w:r>
    </w:p>
    <w:p w14:paraId="2A659BF4" w14:textId="77777777" w:rsidR="00DD280C" w:rsidRPr="000031DD" w:rsidRDefault="00DD280C" w:rsidP="002A53BF">
      <w:pPr>
        <w:pStyle w:val="Textonotapie"/>
        <w:jc w:val="both"/>
        <w:rPr>
          <w:rFonts w:ascii="Verdana" w:hAnsi="Verdana"/>
          <w:sz w:val="16"/>
          <w:szCs w:val="16"/>
        </w:rPr>
      </w:pPr>
    </w:p>
  </w:footnote>
  <w:footnote w:id="103">
    <w:p w14:paraId="171C9EF5"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Solicitud de investigación </w:t>
      </w:r>
      <w:r>
        <w:rPr>
          <w:rFonts w:ascii="Verdana" w:hAnsi="Verdana" w:cs="Times New Roman"/>
          <w:sz w:val="16"/>
          <w:szCs w:val="16"/>
        </w:rPr>
        <w:t>presentada</w:t>
      </w:r>
      <w:r w:rsidRPr="000031DD">
        <w:rPr>
          <w:rFonts w:ascii="Verdana" w:hAnsi="Verdana" w:cs="Times New Roman"/>
          <w:sz w:val="16"/>
          <w:szCs w:val="16"/>
        </w:rPr>
        <w:t xml:space="preserve"> por Amalia González de González ante el Juzgado Letrado de Primera Instancia </w:t>
      </w:r>
      <w:r>
        <w:rPr>
          <w:rFonts w:ascii="Verdana" w:hAnsi="Verdana" w:cs="Times New Roman"/>
          <w:sz w:val="16"/>
          <w:szCs w:val="16"/>
        </w:rPr>
        <w:t xml:space="preserve">en lo Penal </w:t>
      </w:r>
      <w:r w:rsidRPr="000031DD">
        <w:rPr>
          <w:rFonts w:ascii="Verdana" w:hAnsi="Verdana" w:cs="Times New Roman"/>
          <w:sz w:val="16"/>
          <w:szCs w:val="16"/>
        </w:rPr>
        <w:t>de 11° Turno (expediente de prueba, anexo 1.29 al Informe de Fondo, f</w:t>
      </w:r>
      <w:r>
        <w:rPr>
          <w:rFonts w:ascii="Verdana" w:hAnsi="Verdana" w:cs="Times New Roman"/>
          <w:sz w:val="16"/>
          <w:szCs w:val="16"/>
        </w:rPr>
        <w:t>s. 242</w:t>
      </w:r>
      <w:r w:rsidRPr="000031DD">
        <w:rPr>
          <w:rFonts w:ascii="Verdana" w:hAnsi="Verdana" w:cs="Times New Roman"/>
          <w:sz w:val="16"/>
          <w:szCs w:val="16"/>
        </w:rPr>
        <w:t xml:space="preserve"> a </w:t>
      </w:r>
      <w:r>
        <w:rPr>
          <w:rFonts w:ascii="Verdana" w:hAnsi="Verdana" w:cs="Times New Roman"/>
          <w:sz w:val="16"/>
          <w:szCs w:val="16"/>
        </w:rPr>
        <w:t>258</w:t>
      </w:r>
      <w:r w:rsidRPr="000031DD">
        <w:rPr>
          <w:rFonts w:ascii="Verdana" w:hAnsi="Verdana" w:cs="Times New Roman"/>
          <w:sz w:val="16"/>
          <w:szCs w:val="16"/>
        </w:rPr>
        <w:t>).</w:t>
      </w:r>
    </w:p>
    <w:p w14:paraId="400AE323"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04">
    <w:p w14:paraId="7CB89026"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Res</w:t>
      </w:r>
      <w:r>
        <w:rPr>
          <w:rFonts w:ascii="Verdana" w:hAnsi="Verdana" w:cs="Times New Roman"/>
          <w:sz w:val="16"/>
          <w:szCs w:val="16"/>
        </w:rPr>
        <w:t>olución</w:t>
      </w:r>
      <w:r w:rsidRPr="000031DD">
        <w:rPr>
          <w:rFonts w:ascii="Verdana" w:hAnsi="Verdana" w:cs="Times New Roman"/>
          <w:sz w:val="16"/>
          <w:szCs w:val="16"/>
        </w:rPr>
        <w:t xml:space="preserve"> del Juzgado Letrado de Primera Instancia en lo Penal </w:t>
      </w:r>
      <w:r>
        <w:rPr>
          <w:rFonts w:ascii="Verdana" w:hAnsi="Verdana" w:cs="Times New Roman"/>
          <w:sz w:val="16"/>
          <w:szCs w:val="16"/>
        </w:rPr>
        <w:t>de 11º Turno de 19 de diciembre de 2006</w:t>
      </w:r>
      <w:r w:rsidRPr="000031DD">
        <w:rPr>
          <w:rFonts w:ascii="Verdana" w:hAnsi="Verdana" w:cs="Times New Roman"/>
          <w:sz w:val="16"/>
          <w:szCs w:val="16"/>
        </w:rPr>
        <w:t xml:space="preserve"> (expediente de prueba, anexo 1.30 al Informe de Fondo, f</w:t>
      </w:r>
      <w:r>
        <w:rPr>
          <w:rFonts w:ascii="Verdana" w:hAnsi="Verdana" w:cs="Times New Roman"/>
          <w:sz w:val="16"/>
          <w:szCs w:val="16"/>
        </w:rPr>
        <w:t>s. 260 y 261</w:t>
      </w:r>
      <w:r w:rsidRPr="000031DD">
        <w:rPr>
          <w:rFonts w:ascii="Verdana" w:hAnsi="Verdana" w:cs="Times New Roman"/>
          <w:sz w:val="16"/>
          <w:szCs w:val="16"/>
        </w:rPr>
        <w:t>).</w:t>
      </w:r>
    </w:p>
    <w:p w14:paraId="4F7F0B39"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05">
    <w:p w14:paraId="57DE68A4"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Solicitud de Amalia González </w:t>
      </w:r>
      <w:r>
        <w:rPr>
          <w:rFonts w:ascii="Verdana" w:hAnsi="Verdana" w:cs="Times New Roman"/>
          <w:sz w:val="16"/>
          <w:szCs w:val="16"/>
        </w:rPr>
        <w:t xml:space="preserve">de González </w:t>
      </w:r>
      <w:r w:rsidRPr="000031DD">
        <w:rPr>
          <w:rFonts w:ascii="Verdana" w:hAnsi="Verdana" w:cs="Times New Roman"/>
          <w:sz w:val="16"/>
          <w:szCs w:val="16"/>
        </w:rPr>
        <w:t xml:space="preserve">al Juzgado Letrado de Primera Instancia en lo Penal de </w:t>
      </w:r>
      <w:proofErr w:type="gramStart"/>
      <w:r w:rsidRPr="000031DD">
        <w:rPr>
          <w:rFonts w:ascii="Verdana" w:hAnsi="Verdana" w:cs="Times New Roman"/>
          <w:sz w:val="16"/>
          <w:szCs w:val="16"/>
        </w:rPr>
        <w:t>11</w:t>
      </w:r>
      <w:r>
        <w:rPr>
          <w:rFonts w:ascii="Verdana" w:hAnsi="Verdana" w:cs="Times New Roman"/>
          <w:sz w:val="16"/>
          <w:szCs w:val="16"/>
        </w:rPr>
        <w:t xml:space="preserve">º </w:t>
      </w:r>
      <w:r w:rsidRPr="000031DD">
        <w:rPr>
          <w:rFonts w:ascii="Verdana" w:hAnsi="Verdana" w:cs="Times New Roman"/>
          <w:sz w:val="16"/>
          <w:szCs w:val="16"/>
        </w:rPr>
        <w:t xml:space="preserve"> Turno</w:t>
      </w:r>
      <w:proofErr w:type="gramEnd"/>
      <w:r w:rsidRPr="000031DD">
        <w:rPr>
          <w:rFonts w:ascii="Verdana" w:hAnsi="Verdana" w:cs="Times New Roman"/>
          <w:sz w:val="16"/>
          <w:szCs w:val="16"/>
        </w:rPr>
        <w:t xml:space="preserve"> </w:t>
      </w:r>
      <w:r>
        <w:rPr>
          <w:rFonts w:ascii="Verdana" w:hAnsi="Verdana" w:cs="Times New Roman"/>
          <w:sz w:val="16"/>
          <w:szCs w:val="16"/>
        </w:rPr>
        <w:t xml:space="preserve">de </w:t>
      </w:r>
      <w:r w:rsidRPr="000031DD">
        <w:rPr>
          <w:rFonts w:ascii="Verdana" w:hAnsi="Verdana" w:cs="Times New Roman"/>
          <w:sz w:val="16"/>
          <w:szCs w:val="16"/>
        </w:rPr>
        <w:t xml:space="preserve">desarchivo </w:t>
      </w:r>
      <w:r>
        <w:rPr>
          <w:rFonts w:ascii="Verdana" w:hAnsi="Verdana" w:cs="Times New Roman"/>
          <w:sz w:val="16"/>
          <w:szCs w:val="16"/>
        </w:rPr>
        <w:t>y</w:t>
      </w:r>
      <w:r w:rsidRPr="000031DD">
        <w:rPr>
          <w:rFonts w:ascii="Verdana" w:hAnsi="Verdana" w:cs="Times New Roman"/>
          <w:sz w:val="16"/>
          <w:szCs w:val="16"/>
        </w:rPr>
        <w:t xml:space="preserve"> testimonio de actuaciones (expediente de prueba, anexo 1.31 al Informe de Fondo, fs</w:t>
      </w:r>
      <w:r>
        <w:rPr>
          <w:rFonts w:ascii="Verdana" w:hAnsi="Verdana" w:cs="Times New Roman"/>
          <w:sz w:val="16"/>
          <w:szCs w:val="16"/>
        </w:rPr>
        <w:t>.</w:t>
      </w:r>
      <w:r w:rsidRPr="000031DD">
        <w:rPr>
          <w:rFonts w:ascii="Verdana" w:hAnsi="Verdana" w:cs="Times New Roman"/>
          <w:sz w:val="16"/>
          <w:szCs w:val="16"/>
        </w:rPr>
        <w:t xml:space="preserve"> 2</w:t>
      </w:r>
      <w:r>
        <w:rPr>
          <w:rFonts w:ascii="Verdana" w:hAnsi="Verdana" w:cs="Times New Roman"/>
          <w:sz w:val="16"/>
          <w:szCs w:val="16"/>
        </w:rPr>
        <w:t>63</w:t>
      </w:r>
      <w:r w:rsidRPr="000031DD">
        <w:rPr>
          <w:rFonts w:ascii="Verdana" w:hAnsi="Verdana" w:cs="Times New Roman"/>
          <w:sz w:val="16"/>
          <w:szCs w:val="16"/>
        </w:rPr>
        <w:t xml:space="preserve"> a 2</w:t>
      </w:r>
      <w:r>
        <w:rPr>
          <w:rFonts w:ascii="Verdana" w:hAnsi="Verdana" w:cs="Times New Roman"/>
          <w:sz w:val="16"/>
          <w:szCs w:val="16"/>
        </w:rPr>
        <w:t>6</w:t>
      </w:r>
      <w:r w:rsidRPr="000031DD">
        <w:rPr>
          <w:rFonts w:ascii="Verdana" w:hAnsi="Verdana" w:cs="Times New Roman"/>
          <w:sz w:val="16"/>
          <w:szCs w:val="16"/>
        </w:rPr>
        <w:t>8).</w:t>
      </w:r>
    </w:p>
    <w:p w14:paraId="0A613ABE"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06">
    <w:p w14:paraId="4F17325C" w14:textId="6DA813EB" w:rsidR="00DD280C" w:rsidRPr="00E53751" w:rsidRDefault="00DD280C" w:rsidP="002A53BF">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 xml:space="preserve">Informe del Fiscal Especializado sin fecha. </w:t>
      </w:r>
      <w:r>
        <w:rPr>
          <w:rFonts w:ascii="Verdana" w:hAnsi="Verdana"/>
          <w:sz w:val="16"/>
          <w:szCs w:val="16"/>
        </w:rPr>
        <w:t xml:space="preserve">El documento fue anexado al escrito de contestación del Estado, que fue presentado a la Corte Interamericana el 4 de diciembre de 2020 (supra, párr. 7). </w:t>
      </w:r>
    </w:p>
    <w:p w14:paraId="47F3DB1F" w14:textId="77777777" w:rsidR="00DD280C" w:rsidRPr="00E53751" w:rsidRDefault="00DD280C" w:rsidP="002A53BF">
      <w:pPr>
        <w:pStyle w:val="Textonotapie"/>
        <w:jc w:val="both"/>
        <w:rPr>
          <w:rFonts w:ascii="Verdana" w:hAnsi="Verdana"/>
          <w:sz w:val="16"/>
          <w:szCs w:val="16"/>
        </w:rPr>
      </w:pPr>
    </w:p>
  </w:footnote>
  <w:footnote w:id="107">
    <w:p w14:paraId="712A1D15" w14:textId="77777777" w:rsidR="00DD280C" w:rsidRDefault="00DD280C" w:rsidP="002A53BF">
      <w:pPr>
        <w:autoSpaceDE w:val="0"/>
        <w:autoSpaceDN w:val="0"/>
        <w:adjustRightInd w:val="0"/>
        <w:spacing w:after="0" w:line="240" w:lineRule="auto"/>
        <w:jc w:val="both"/>
        <w:rPr>
          <w:rFonts w:ascii="Verdana" w:hAnsi="Verdana" w:cs="Liberation Serif"/>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Se trata de las siguientes personas: W.B</w:t>
      </w:r>
      <w:r>
        <w:rPr>
          <w:rFonts w:ascii="Verdana" w:hAnsi="Verdana"/>
          <w:sz w:val="16"/>
          <w:szCs w:val="16"/>
        </w:rPr>
        <w:t>.</w:t>
      </w:r>
      <w:r w:rsidRPr="00E53751">
        <w:rPr>
          <w:rFonts w:ascii="Verdana" w:hAnsi="Verdana" w:cs="Liberation Serif"/>
          <w:sz w:val="16"/>
          <w:szCs w:val="16"/>
        </w:rPr>
        <w:t>,</w:t>
      </w:r>
      <w:r w:rsidRPr="000031DD">
        <w:rPr>
          <w:rFonts w:ascii="Verdana" w:hAnsi="Verdana" w:cs="Liberation Serif"/>
          <w:sz w:val="16"/>
          <w:szCs w:val="16"/>
        </w:rPr>
        <w:t xml:space="preserve"> P.F.</w:t>
      </w:r>
      <w:r w:rsidRPr="00E53751">
        <w:rPr>
          <w:rFonts w:ascii="Verdana" w:hAnsi="Verdana" w:cs="Liberation Serif"/>
          <w:sz w:val="16"/>
          <w:szCs w:val="16"/>
        </w:rPr>
        <w:t>,</w:t>
      </w:r>
      <w:r w:rsidRPr="000031DD">
        <w:rPr>
          <w:rFonts w:ascii="Verdana" w:hAnsi="Verdana" w:cs="Liberation Serif"/>
          <w:sz w:val="16"/>
          <w:szCs w:val="16"/>
        </w:rPr>
        <w:t xml:space="preserve"> </w:t>
      </w:r>
      <w:r w:rsidRPr="00E53751">
        <w:rPr>
          <w:rFonts w:ascii="Verdana" w:hAnsi="Verdana" w:cs="Liberation Serif"/>
          <w:sz w:val="16"/>
          <w:szCs w:val="16"/>
        </w:rPr>
        <w:t>V.V</w:t>
      </w:r>
      <w:r>
        <w:rPr>
          <w:rFonts w:ascii="Verdana" w:hAnsi="Verdana" w:cs="Liberation Serif"/>
          <w:sz w:val="16"/>
          <w:szCs w:val="16"/>
        </w:rPr>
        <w:t>.</w:t>
      </w:r>
      <w:r w:rsidRPr="00E53751">
        <w:rPr>
          <w:rFonts w:ascii="Verdana" w:hAnsi="Verdana" w:cs="Liberation Serif"/>
          <w:sz w:val="16"/>
          <w:szCs w:val="16"/>
        </w:rPr>
        <w:t>, R.E., G.C., J.S., E.R.,</w:t>
      </w:r>
      <w:r w:rsidRPr="000031DD">
        <w:rPr>
          <w:rFonts w:ascii="Verdana" w:hAnsi="Verdana" w:cs="Liberation Serif"/>
          <w:sz w:val="16"/>
          <w:szCs w:val="16"/>
        </w:rPr>
        <w:t xml:space="preserve"> M.A.</w:t>
      </w:r>
      <w:r w:rsidRPr="00E53751">
        <w:rPr>
          <w:rFonts w:ascii="Verdana" w:hAnsi="Verdana" w:cs="Liberation Serif"/>
          <w:sz w:val="16"/>
          <w:szCs w:val="16"/>
        </w:rPr>
        <w:t xml:space="preserve">, </w:t>
      </w:r>
      <w:r w:rsidRPr="000031DD">
        <w:rPr>
          <w:rFonts w:ascii="Verdana" w:hAnsi="Verdana" w:cs="Liberation Serif"/>
          <w:sz w:val="16"/>
          <w:szCs w:val="16"/>
        </w:rPr>
        <w:t>J.P.</w:t>
      </w:r>
      <w:r>
        <w:rPr>
          <w:rFonts w:ascii="Verdana" w:hAnsi="Verdana" w:cs="Liberation Serif"/>
          <w:sz w:val="16"/>
          <w:szCs w:val="16"/>
        </w:rPr>
        <w:t>A.</w:t>
      </w:r>
      <w:r w:rsidRPr="00E53751">
        <w:rPr>
          <w:rFonts w:ascii="Verdana" w:hAnsi="Verdana" w:cs="Liberation Serif"/>
          <w:sz w:val="16"/>
          <w:szCs w:val="16"/>
        </w:rPr>
        <w:t xml:space="preserve"> y </w:t>
      </w:r>
      <w:r w:rsidRPr="000031DD">
        <w:rPr>
          <w:rFonts w:ascii="Verdana" w:hAnsi="Verdana" w:cs="Liberation Serif"/>
          <w:sz w:val="16"/>
          <w:szCs w:val="16"/>
        </w:rPr>
        <w:t>A.O</w:t>
      </w:r>
      <w:r w:rsidRPr="00E53751">
        <w:rPr>
          <w:rFonts w:ascii="Verdana" w:hAnsi="Verdana" w:cs="Liberation Serif"/>
          <w:sz w:val="16"/>
          <w:szCs w:val="16"/>
        </w:rPr>
        <w:t>.</w:t>
      </w:r>
    </w:p>
    <w:p w14:paraId="77AAB340" w14:textId="77777777" w:rsidR="00DD280C" w:rsidRPr="00E53751" w:rsidRDefault="00DD280C" w:rsidP="002A53BF">
      <w:pPr>
        <w:autoSpaceDE w:val="0"/>
        <w:autoSpaceDN w:val="0"/>
        <w:adjustRightInd w:val="0"/>
        <w:spacing w:after="0" w:line="240" w:lineRule="auto"/>
        <w:jc w:val="both"/>
        <w:rPr>
          <w:rFonts w:ascii="Verdana" w:hAnsi="Verdana" w:cs="Liberation Serif"/>
          <w:strike/>
          <w:sz w:val="16"/>
          <w:szCs w:val="16"/>
        </w:rPr>
      </w:pPr>
    </w:p>
  </w:footnote>
  <w:footnote w:id="108">
    <w:p w14:paraId="6AAB8B91" w14:textId="77777777" w:rsidR="00DD280C" w:rsidRPr="00E53751" w:rsidRDefault="00DD280C" w:rsidP="002A53BF">
      <w:pPr>
        <w:pStyle w:val="Textonotapie"/>
        <w:jc w:val="both"/>
        <w:rPr>
          <w:rFonts w:ascii="Verdana" w:hAnsi="Verdana"/>
          <w:b/>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Informe del Juzgado Penal de 26</w:t>
      </w:r>
      <w:r>
        <w:rPr>
          <w:rFonts w:ascii="Verdana" w:hAnsi="Verdana"/>
          <w:sz w:val="16"/>
          <w:szCs w:val="16"/>
        </w:rPr>
        <w:t>º</w:t>
      </w:r>
      <w:r w:rsidRPr="00E53751">
        <w:rPr>
          <w:rFonts w:ascii="Verdana" w:hAnsi="Verdana"/>
          <w:sz w:val="16"/>
          <w:szCs w:val="16"/>
        </w:rPr>
        <w:t xml:space="preserve"> </w:t>
      </w:r>
      <w:r>
        <w:rPr>
          <w:rFonts w:ascii="Verdana" w:hAnsi="Verdana"/>
          <w:sz w:val="16"/>
          <w:szCs w:val="16"/>
        </w:rPr>
        <w:t>T</w:t>
      </w:r>
      <w:r w:rsidRPr="00E53751">
        <w:rPr>
          <w:rFonts w:ascii="Verdana" w:hAnsi="Verdana"/>
          <w:sz w:val="16"/>
          <w:szCs w:val="16"/>
        </w:rPr>
        <w:t>urno de 6 de julio de 2021 (expediente de prueba, fs. 7473 a 7477).</w:t>
      </w:r>
    </w:p>
    <w:p w14:paraId="52163A7A" w14:textId="77777777" w:rsidR="00DD280C" w:rsidRPr="00E53751" w:rsidRDefault="00DD280C" w:rsidP="002A53BF">
      <w:pPr>
        <w:pStyle w:val="Textonotapie"/>
        <w:jc w:val="both"/>
        <w:rPr>
          <w:rFonts w:ascii="Verdana" w:hAnsi="Verdana"/>
          <w:sz w:val="16"/>
          <w:szCs w:val="16"/>
        </w:rPr>
      </w:pPr>
    </w:p>
  </w:footnote>
  <w:footnote w:id="109">
    <w:p w14:paraId="39CE3D60"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 </w:t>
      </w:r>
      <w:proofErr w:type="spellStart"/>
      <w:r w:rsidRPr="000031DD">
        <w:rPr>
          <w:rFonts w:ascii="Verdana" w:hAnsi="Verdana" w:cs="Times New Roman"/>
          <w:sz w:val="16"/>
          <w:szCs w:val="16"/>
        </w:rPr>
        <w:t>Disnarda</w:t>
      </w:r>
      <w:proofErr w:type="spellEnd"/>
      <w:r w:rsidRPr="000031DD">
        <w:rPr>
          <w:rFonts w:ascii="Verdana" w:hAnsi="Verdana" w:cs="Times New Roman"/>
          <w:sz w:val="16"/>
          <w:szCs w:val="16"/>
        </w:rPr>
        <w:t xml:space="preserve"> Flores </w:t>
      </w:r>
      <w:r>
        <w:rPr>
          <w:rFonts w:ascii="Verdana" w:hAnsi="Verdana" w:cs="Times New Roman"/>
          <w:sz w:val="16"/>
          <w:szCs w:val="16"/>
        </w:rPr>
        <w:t xml:space="preserve">de </w:t>
      </w:r>
      <w:proofErr w:type="spellStart"/>
      <w:r>
        <w:rPr>
          <w:rFonts w:ascii="Verdana" w:hAnsi="Verdana" w:cs="Times New Roman"/>
          <w:sz w:val="16"/>
          <w:szCs w:val="16"/>
        </w:rPr>
        <w:t>Tassino</w:t>
      </w:r>
      <w:proofErr w:type="spellEnd"/>
      <w:r>
        <w:rPr>
          <w:rFonts w:ascii="Verdana" w:hAnsi="Verdana" w:cs="Times New Roman"/>
          <w:sz w:val="16"/>
          <w:szCs w:val="16"/>
        </w:rPr>
        <w:t xml:space="preserve"> </w:t>
      </w:r>
      <w:r w:rsidRPr="000031DD">
        <w:rPr>
          <w:rFonts w:ascii="Verdana" w:hAnsi="Verdana" w:cs="Times New Roman"/>
          <w:sz w:val="16"/>
          <w:szCs w:val="16"/>
        </w:rPr>
        <w:t xml:space="preserve">por la desaparición de Óscar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w:t>
      </w:r>
      <w:proofErr w:type="spellStart"/>
      <w:r w:rsidRPr="000031DD">
        <w:rPr>
          <w:rFonts w:ascii="Verdana" w:hAnsi="Verdana" w:cs="Times New Roman"/>
          <w:sz w:val="16"/>
          <w:szCs w:val="16"/>
        </w:rPr>
        <w:t>Asteazu</w:t>
      </w:r>
      <w:proofErr w:type="spellEnd"/>
      <w:r w:rsidRPr="000031DD">
        <w:rPr>
          <w:rFonts w:ascii="Verdana" w:hAnsi="Verdana" w:cs="Times New Roman"/>
          <w:sz w:val="16"/>
          <w:szCs w:val="16"/>
        </w:rPr>
        <w:t xml:space="preserve"> (expediente de prueba, anexo 3.1 al Informe de Fondo, f</w:t>
      </w:r>
      <w:r>
        <w:rPr>
          <w:rFonts w:ascii="Verdana" w:hAnsi="Verdana" w:cs="Times New Roman"/>
          <w:sz w:val="16"/>
          <w:szCs w:val="16"/>
        </w:rPr>
        <w:t xml:space="preserve">s. </w:t>
      </w:r>
      <w:r w:rsidRPr="000031DD">
        <w:rPr>
          <w:rFonts w:ascii="Verdana" w:hAnsi="Verdana" w:cs="Times New Roman"/>
          <w:sz w:val="16"/>
          <w:szCs w:val="16"/>
        </w:rPr>
        <w:t xml:space="preserve">970 a 982). </w:t>
      </w:r>
    </w:p>
    <w:p w14:paraId="38156AA9"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10">
    <w:p w14:paraId="28A9A69E" w14:textId="77777777" w:rsidR="00DD280C" w:rsidRDefault="00DD280C" w:rsidP="002A53BF">
      <w:pPr>
        <w:pStyle w:val="Textonotapie"/>
      </w:pPr>
      <w:r>
        <w:rPr>
          <w:rStyle w:val="Refdenotaalpie"/>
        </w:rPr>
        <w:footnoteRef/>
      </w:r>
      <w:r>
        <w:t xml:space="preserve">  </w:t>
      </w:r>
      <w:r>
        <w:tab/>
        <w:t>Cfr. Procesamiento 614/2021, de 23 de junio de 2021 (expediente de prueba, fs. 7486 a 7523).</w:t>
      </w:r>
    </w:p>
    <w:p w14:paraId="0F69D158" w14:textId="77777777" w:rsidR="00DD280C" w:rsidRDefault="00DD280C" w:rsidP="002A53BF">
      <w:pPr>
        <w:pStyle w:val="Textonotapie"/>
      </w:pPr>
    </w:p>
  </w:footnote>
  <w:footnote w:id="111">
    <w:p w14:paraId="6990DD8E"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 </w:t>
      </w:r>
      <w:proofErr w:type="spellStart"/>
      <w:r w:rsidRPr="000031DD">
        <w:rPr>
          <w:rFonts w:ascii="Verdana" w:hAnsi="Verdana" w:cs="Times New Roman"/>
          <w:sz w:val="16"/>
          <w:szCs w:val="16"/>
        </w:rPr>
        <w:t>Disnarda</w:t>
      </w:r>
      <w:proofErr w:type="spellEnd"/>
      <w:r w:rsidRPr="000031DD">
        <w:rPr>
          <w:rFonts w:ascii="Verdana" w:hAnsi="Verdana" w:cs="Times New Roman"/>
          <w:sz w:val="16"/>
          <w:szCs w:val="16"/>
        </w:rPr>
        <w:t xml:space="preserve"> Flores </w:t>
      </w:r>
      <w:r>
        <w:rPr>
          <w:rFonts w:ascii="Verdana" w:hAnsi="Verdana" w:cs="Times New Roman"/>
          <w:sz w:val="16"/>
          <w:szCs w:val="16"/>
        </w:rPr>
        <w:t xml:space="preserve">de </w:t>
      </w:r>
      <w:proofErr w:type="spellStart"/>
      <w:r>
        <w:rPr>
          <w:rFonts w:ascii="Verdana" w:hAnsi="Verdana" w:cs="Times New Roman"/>
          <w:sz w:val="16"/>
          <w:szCs w:val="16"/>
        </w:rPr>
        <w:t>Tassino</w:t>
      </w:r>
      <w:proofErr w:type="spellEnd"/>
      <w:r>
        <w:rPr>
          <w:rFonts w:ascii="Verdana" w:hAnsi="Verdana" w:cs="Times New Roman"/>
          <w:sz w:val="16"/>
          <w:szCs w:val="16"/>
        </w:rPr>
        <w:t xml:space="preserve"> </w:t>
      </w:r>
      <w:r w:rsidRPr="000031DD">
        <w:rPr>
          <w:rFonts w:ascii="Verdana" w:hAnsi="Verdana" w:cs="Times New Roman"/>
          <w:sz w:val="16"/>
          <w:szCs w:val="16"/>
        </w:rPr>
        <w:t xml:space="preserve">por la desaparición de Óscar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w:t>
      </w:r>
      <w:proofErr w:type="spellStart"/>
      <w:r w:rsidRPr="000031DD">
        <w:rPr>
          <w:rFonts w:ascii="Verdana" w:hAnsi="Verdana" w:cs="Times New Roman"/>
          <w:sz w:val="16"/>
          <w:szCs w:val="16"/>
        </w:rPr>
        <w:t>Asteazu</w:t>
      </w:r>
      <w:proofErr w:type="spellEnd"/>
      <w:r w:rsidRPr="000031DD">
        <w:rPr>
          <w:rFonts w:ascii="Verdana" w:hAnsi="Verdana" w:cs="Times New Roman"/>
          <w:sz w:val="16"/>
          <w:szCs w:val="16"/>
        </w:rPr>
        <w:t xml:space="preserve"> (expediente de prueba, anexo 3.1 al Informe de Fondo, f</w:t>
      </w:r>
      <w:r>
        <w:rPr>
          <w:rFonts w:ascii="Verdana" w:hAnsi="Verdana" w:cs="Times New Roman"/>
          <w:sz w:val="16"/>
          <w:szCs w:val="16"/>
        </w:rPr>
        <w:t xml:space="preserve">s. </w:t>
      </w:r>
      <w:r w:rsidRPr="000031DD">
        <w:rPr>
          <w:rFonts w:ascii="Verdana" w:hAnsi="Verdana" w:cs="Times New Roman"/>
          <w:sz w:val="16"/>
          <w:szCs w:val="16"/>
        </w:rPr>
        <w:t>970 a 982).</w:t>
      </w:r>
    </w:p>
    <w:p w14:paraId="75908073"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12">
    <w:p w14:paraId="439CC33F"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 </w:t>
      </w:r>
      <w:proofErr w:type="spellStart"/>
      <w:r w:rsidRPr="000031DD">
        <w:rPr>
          <w:rFonts w:ascii="Verdana" w:hAnsi="Verdana" w:cs="Times New Roman"/>
          <w:sz w:val="16"/>
          <w:szCs w:val="16"/>
        </w:rPr>
        <w:t>Disnarda</w:t>
      </w:r>
      <w:proofErr w:type="spellEnd"/>
      <w:r w:rsidRPr="000031DD">
        <w:rPr>
          <w:rFonts w:ascii="Verdana" w:hAnsi="Verdana" w:cs="Times New Roman"/>
          <w:sz w:val="16"/>
          <w:szCs w:val="16"/>
        </w:rPr>
        <w:t xml:space="preserve"> Flores por la desaparición de Óscar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w:t>
      </w:r>
      <w:proofErr w:type="spellStart"/>
      <w:r w:rsidRPr="000031DD">
        <w:rPr>
          <w:rFonts w:ascii="Verdana" w:hAnsi="Verdana" w:cs="Times New Roman"/>
          <w:sz w:val="16"/>
          <w:szCs w:val="16"/>
        </w:rPr>
        <w:t>Asteazu</w:t>
      </w:r>
      <w:proofErr w:type="spellEnd"/>
      <w:r w:rsidRPr="000031DD">
        <w:rPr>
          <w:rFonts w:ascii="Verdana" w:hAnsi="Verdana" w:cs="Times New Roman"/>
          <w:sz w:val="16"/>
          <w:szCs w:val="16"/>
        </w:rPr>
        <w:t xml:space="preserve"> (expediente de prueba, anexo 3.1 al Informe de Fondo, f</w:t>
      </w:r>
      <w:r>
        <w:rPr>
          <w:rFonts w:ascii="Verdana" w:hAnsi="Verdana" w:cs="Times New Roman"/>
          <w:sz w:val="16"/>
          <w:szCs w:val="16"/>
        </w:rPr>
        <w:t xml:space="preserve">s. </w:t>
      </w:r>
      <w:r w:rsidRPr="000031DD">
        <w:rPr>
          <w:rFonts w:ascii="Verdana" w:hAnsi="Verdana" w:cs="Times New Roman"/>
          <w:sz w:val="16"/>
          <w:szCs w:val="16"/>
        </w:rPr>
        <w:t xml:space="preserve">970 a 982). </w:t>
      </w:r>
      <w:r>
        <w:rPr>
          <w:rFonts w:ascii="Verdana" w:hAnsi="Verdana" w:cs="Times New Roman"/>
          <w:sz w:val="16"/>
          <w:szCs w:val="16"/>
        </w:rPr>
        <w:t>El documento refiere que fue “recibido” el 20 de mayo de 1985, y que se dispuso el pase “[</w:t>
      </w:r>
      <w:proofErr w:type="gramStart"/>
      <w:r>
        <w:rPr>
          <w:rFonts w:ascii="Verdana" w:hAnsi="Verdana" w:cs="Times New Roman"/>
          <w:sz w:val="16"/>
          <w:szCs w:val="16"/>
        </w:rPr>
        <w:t>a[</w:t>
      </w:r>
      <w:proofErr w:type="gramEnd"/>
      <w:r>
        <w:rPr>
          <w:rFonts w:ascii="Verdana" w:hAnsi="Verdana" w:cs="Times New Roman"/>
          <w:sz w:val="16"/>
          <w:szCs w:val="16"/>
        </w:rPr>
        <w:t>l despacho” de la autoridad judicial el 26 de junio siguiente . Pese a la información señalada, la Comisión y los representantes expresaron que la denuncia fue presentada en junio de 1985.</w:t>
      </w:r>
    </w:p>
    <w:p w14:paraId="6FFB314F"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13">
    <w:p w14:paraId="129F9358"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Denuncia de </w:t>
      </w:r>
      <w:proofErr w:type="spellStart"/>
      <w:r w:rsidRPr="000031DD">
        <w:rPr>
          <w:rFonts w:ascii="Verdana" w:hAnsi="Verdana" w:cs="Times New Roman"/>
          <w:sz w:val="16"/>
          <w:szCs w:val="16"/>
        </w:rPr>
        <w:t>Disnarda</w:t>
      </w:r>
      <w:proofErr w:type="spellEnd"/>
      <w:r w:rsidRPr="000031DD">
        <w:rPr>
          <w:rFonts w:ascii="Verdana" w:hAnsi="Verdana" w:cs="Times New Roman"/>
          <w:sz w:val="16"/>
          <w:szCs w:val="16"/>
        </w:rPr>
        <w:t xml:space="preserve"> Flores por la desaparición de Óscar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w:t>
      </w:r>
      <w:proofErr w:type="spellStart"/>
      <w:r w:rsidRPr="000031DD">
        <w:rPr>
          <w:rFonts w:ascii="Verdana" w:hAnsi="Verdana" w:cs="Times New Roman"/>
          <w:sz w:val="16"/>
          <w:szCs w:val="16"/>
        </w:rPr>
        <w:t>Asteazu</w:t>
      </w:r>
      <w:proofErr w:type="spellEnd"/>
      <w:r w:rsidRPr="000031DD">
        <w:rPr>
          <w:rFonts w:ascii="Verdana" w:hAnsi="Verdana" w:cs="Times New Roman"/>
          <w:sz w:val="16"/>
          <w:szCs w:val="16"/>
        </w:rPr>
        <w:t xml:space="preserve"> (expediente de prueba, anexo 3.1 al Informe de Fondo, f</w:t>
      </w:r>
      <w:r>
        <w:rPr>
          <w:rFonts w:ascii="Verdana" w:hAnsi="Verdana" w:cs="Times New Roman"/>
          <w:sz w:val="16"/>
          <w:szCs w:val="16"/>
        </w:rPr>
        <w:t>s.</w:t>
      </w:r>
      <w:r w:rsidRPr="000031DD">
        <w:rPr>
          <w:rFonts w:ascii="Verdana" w:hAnsi="Verdana" w:cs="Times New Roman"/>
          <w:sz w:val="16"/>
          <w:szCs w:val="16"/>
        </w:rPr>
        <w:t xml:space="preserve"> 970 a 982).</w:t>
      </w:r>
    </w:p>
    <w:p w14:paraId="0EE46353"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14">
    <w:p w14:paraId="6AC31E26"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Pr>
          <w:rFonts w:ascii="Verdana" w:hAnsi="Verdana"/>
          <w:sz w:val="16"/>
          <w:szCs w:val="16"/>
        </w:rPr>
        <w:t xml:space="preserve">El </w:t>
      </w:r>
      <w:r>
        <w:rPr>
          <w:rFonts w:ascii="Verdana" w:hAnsi="Verdana" w:cs="Times New Roman"/>
          <w:sz w:val="16"/>
          <w:szCs w:val="16"/>
        </w:rPr>
        <w:t>c</w:t>
      </w:r>
      <w:r w:rsidRPr="000031DD">
        <w:rPr>
          <w:rFonts w:ascii="Verdana" w:hAnsi="Verdana" w:cs="Times New Roman"/>
          <w:sz w:val="16"/>
          <w:szCs w:val="16"/>
        </w:rPr>
        <w:t>onflicto</w:t>
      </w:r>
      <w:r>
        <w:rPr>
          <w:rFonts w:ascii="Verdana" w:hAnsi="Verdana" w:cs="Times New Roman"/>
          <w:sz w:val="16"/>
          <w:szCs w:val="16"/>
        </w:rPr>
        <w:t xml:space="preserve"> fue promovido</w:t>
      </w:r>
      <w:r w:rsidRPr="000031DD">
        <w:rPr>
          <w:rFonts w:ascii="Verdana" w:hAnsi="Verdana" w:cs="Times New Roman"/>
          <w:sz w:val="16"/>
          <w:szCs w:val="16"/>
        </w:rPr>
        <w:t xml:space="preserve"> a través de la solicitud de declinatoria de competencia realizada por el Juzgado Militar de Instrucción de 3er Turno al Juez Letrado de Primera Instancia en lo Penal de 9° Turno (</w:t>
      </w:r>
      <w:r w:rsidRPr="00DE69BB">
        <w:rPr>
          <w:rFonts w:ascii="Verdana" w:hAnsi="Verdana" w:cs="Times New Roman"/>
          <w:i/>
          <w:sz w:val="16"/>
          <w:szCs w:val="16"/>
        </w:rPr>
        <w:t>cfr.</w:t>
      </w:r>
      <w:r>
        <w:rPr>
          <w:rFonts w:ascii="Verdana" w:hAnsi="Verdana" w:cs="Times New Roman"/>
          <w:sz w:val="16"/>
          <w:szCs w:val="16"/>
        </w:rPr>
        <w:t xml:space="preserve"> s</w:t>
      </w:r>
      <w:r w:rsidRPr="000031DD">
        <w:rPr>
          <w:rFonts w:ascii="Verdana" w:hAnsi="Verdana" w:cs="Times New Roman"/>
          <w:sz w:val="16"/>
          <w:szCs w:val="16"/>
        </w:rPr>
        <w:t>olicitud de</w:t>
      </w:r>
      <w:r>
        <w:rPr>
          <w:rFonts w:ascii="Verdana" w:hAnsi="Verdana" w:cs="Times New Roman"/>
          <w:sz w:val="16"/>
          <w:szCs w:val="16"/>
        </w:rPr>
        <w:t xml:space="preserve"> declinatoria de competencia de</w:t>
      </w:r>
      <w:r w:rsidRPr="000031DD">
        <w:rPr>
          <w:rFonts w:ascii="Verdana" w:hAnsi="Verdana" w:cs="Times New Roman"/>
          <w:sz w:val="16"/>
          <w:szCs w:val="16"/>
        </w:rPr>
        <w:t xml:space="preserve">l </w:t>
      </w:r>
      <w:r>
        <w:rPr>
          <w:rFonts w:ascii="Verdana" w:hAnsi="Verdana" w:cs="Times New Roman"/>
          <w:sz w:val="16"/>
          <w:szCs w:val="16"/>
        </w:rPr>
        <w:t>Juzgado Militar de Instrucción de 3er Turno al Juzgado Letrado de Primera Instancia en lo Penal de 9º Turno de 24 de septiembre de 1985</w:t>
      </w:r>
      <w:r w:rsidRPr="000031DD">
        <w:rPr>
          <w:rFonts w:ascii="Verdana" w:hAnsi="Verdana" w:cs="Times New Roman"/>
          <w:sz w:val="16"/>
          <w:szCs w:val="16"/>
        </w:rPr>
        <w:t xml:space="preserve"> </w:t>
      </w:r>
      <w:r>
        <w:rPr>
          <w:rFonts w:ascii="Verdana" w:hAnsi="Verdana" w:cs="Times New Roman"/>
          <w:sz w:val="16"/>
          <w:szCs w:val="16"/>
        </w:rPr>
        <w:t>(</w:t>
      </w:r>
      <w:r w:rsidRPr="000031DD">
        <w:rPr>
          <w:rFonts w:ascii="Verdana" w:hAnsi="Verdana" w:cs="Times New Roman"/>
          <w:sz w:val="16"/>
          <w:szCs w:val="16"/>
        </w:rPr>
        <w:t>expediente de prueba, anexo 3.2 al Informe de Fondo, f</w:t>
      </w:r>
      <w:r>
        <w:rPr>
          <w:rFonts w:ascii="Verdana" w:hAnsi="Verdana" w:cs="Times New Roman"/>
          <w:sz w:val="16"/>
          <w:szCs w:val="16"/>
        </w:rPr>
        <w:t>s.</w:t>
      </w:r>
      <w:r w:rsidRPr="000031DD">
        <w:rPr>
          <w:rFonts w:ascii="Verdana" w:hAnsi="Verdana" w:cs="Times New Roman"/>
          <w:sz w:val="16"/>
          <w:szCs w:val="16"/>
        </w:rPr>
        <w:t xml:space="preserve"> 983 a 989)</w:t>
      </w:r>
      <w:r>
        <w:rPr>
          <w:rFonts w:ascii="Verdana" w:hAnsi="Verdana" w:cs="Times New Roman"/>
          <w:sz w:val="16"/>
          <w:szCs w:val="16"/>
        </w:rPr>
        <w:t>)</w:t>
      </w:r>
      <w:r w:rsidRPr="000031DD">
        <w:rPr>
          <w:rFonts w:ascii="Verdana" w:hAnsi="Verdana" w:cs="Times New Roman"/>
          <w:sz w:val="16"/>
          <w:szCs w:val="16"/>
        </w:rPr>
        <w:t xml:space="preserve">. </w:t>
      </w:r>
    </w:p>
    <w:p w14:paraId="5A687E15"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15">
    <w:p w14:paraId="75B9C324" w14:textId="77777777" w:rsidR="00DD280C" w:rsidRPr="00E53751" w:rsidRDefault="00DD280C" w:rsidP="002A53BF">
      <w:pPr>
        <w:autoSpaceDE w:val="0"/>
        <w:autoSpaceDN w:val="0"/>
        <w:adjustRightInd w:val="0"/>
        <w:spacing w:after="0" w:line="240" w:lineRule="auto"/>
        <w:jc w:val="both"/>
        <w:rPr>
          <w:rFonts w:ascii="Verdana" w:hAnsi="Verdana" w:cs="Times New Roman"/>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Remisión de la Suprema Corte de justicia del caso frente a la presunta desaparición y tortura de Óscar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w:t>
      </w:r>
      <w:proofErr w:type="spellStart"/>
      <w:r w:rsidRPr="000031DD">
        <w:rPr>
          <w:rFonts w:ascii="Verdana" w:hAnsi="Verdana" w:cs="Times New Roman"/>
          <w:sz w:val="16"/>
          <w:szCs w:val="16"/>
        </w:rPr>
        <w:t>Asteazu</w:t>
      </w:r>
      <w:proofErr w:type="spellEnd"/>
      <w:r w:rsidRPr="000031DD">
        <w:rPr>
          <w:rFonts w:ascii="Verdana" w:hAnsi="Verdana" w:cs="Times New Roman"/>
          <w:sz w:val="16"/>
          <w:szCs w:val="16"/>
        </w:rPr>
        <w:t xml:space="preserve"> al Juzgado Letrado de Primera Instancia en lo Penal de </w:t>
      </w:r>
      <w:r>
        <w:rPr>
          <w:rFonts w:ascii="Verdana" w:hAnsi="Verdana" w:cs="Times New Roman"/>
          <w:sz w:val="16"/>
          <w:szCs w:val="16"/>
        </w:rPr>
        <w:t>10</w:t>
      </w:r>
      <w:r w:rsidRPr="000031DD">
        <w:rPr>
          <w:rFonts w:ascii="Verdana" w:hAnsi="Verdana" w:cs="Times New Roman"/>
          <w:sz w:val="16"/>
          <w:szCs w:val="16"/>
        </w:rPr>
        <w:t>º Turno (expediente de prueba, anexo 3.8 al Informe de Fondo, f</w:t>
      </w:r>
      <w:r>
        <w:rPr>
          <w:rFonts w:ascii="Verdana" w:hAnsi="Verdana" w:cs="Times New Roman"/>
          <w:sz w:val="16"/>
          <w:szCs w:val="16"/>
        </w:rPr>
        <w:t>s.</w:t>
      </w:r>
      <w:r w:rsidRPr="000031DD">
        <w:rPr>
          <w:rFonts w:ascii="Verdana" w:hAnsi="Verdana" w:cs="Times New Roman"/>
          <w:sz w:val="16"/>
          <w:szCs w:val="16"/>
        </w:rPr>
        <w:t xml:space="preserve"> 1029 a 1033).</w:t>
      </w:r>
    </w:p>
    <w:p w14:paraId="72804246" w14:textId="77777777" w:rsidR="00DD280C" w:rsidRPr="000031DD" w:rsidRDefault="00DD280C" w:rsidP="002A53BF">
      <w:pPr>
        <w:pStyle w:val="Textonotapie"/>
        <w:jc w:val="both"/>
        <w:rPr>
          <w:rFonts w:ascii="Verdana" w:hAnsi="Verdana"/>
          <w:sz w:val="16"/>
          <w:szCs w:val="16"/>
        </w:rPr>
      </w:pPr>
    </w:p>
  </w:footnote>
  <w:footnote w:id="116">
    <w:p w14:paraId="3D7B5D8F" w14:textId="77777777" w:rsidR="00DD280C" w:rsidRPr="000031DD" w:rsidRDefault="00DD280C" w:rsidP="002A53BF">
      <w:pPr>
        <w:autoSpaceDE w:val="0"/>
        <w:autoSpaceDN w:val="0"/>
        <w:adjustRightInd w:val="0"/>
        <w:spacing w:after="0" w:line="240" w:lineRule="auto"/>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Acción de constitucionalidad </w:t>
      </w:r>
      <w:r>
        <w:rPr>
          <w:rFonts w:ascii="Verdana" w:hAnsi="Verdana" w:cs="Times New Roman"/>
          <w:sz w:val="16"/>
          <w:szCs w:val="16"/>
        </w:rPr>
        <w:t>de</w:t>
      </w:r>
      <w:r w:rsidRPr="000031DD">
        <w:rPr>
          <w:rFonts w:ascii="Verdana" w:hAnsi="Verdana" w:cs="Times New Roman"/>
          <w:sz w:val="16"/>
          <w:szCs w:val="16"/>
        </w:rPr>
        <w:t xml:space="preserve"> los artículos 1, 2, 3 y 4 de la Ley 15.848 </w:t>
      </w:r>
      <w:r>
        <w:rPr>
          <w:rFonts w:ascii="Verdana" w:hAnsi="Verdana" w:cs="Times New Roman"/>
          <w:sz w:val="16"/>
          <w:szCs w:val="16"/>
        </w:rPr>
        <w:t>presentada</w:t>
      </w:r>
      <w:r w:rsidRPr="000031DD">
        <w:rPr>
          <w:rFonts w:ascii="Verdana" w:hAnsi="Verdana" w:cs="Times New Roman"/>
          <w:sz w:val="16"/>
          <w:szCs w:val="16"/>
        </w:rPr>
        <w:t xml:space="preserve"> por </w:t>
      </w:r>
      <w:proofErr w:type="spellStart"/>
      <w:r w:rsidRPr="000031DD">
        <w:rPr>
          <w:rFonts w:ascii="Verdana" w:hAnsi="Verdana" w:cs="Times New Roman"/>
          <w:sz w:val="16"/>
          <w:szCs w:val="16"/>
        </w:rPr>
        <w:t>Disnarda</w:t>
      </w:r>
      <w:proofErr w:type="spellEnd"/>
      <w:r w:rsidRPr="000031DD">
        <w:rPr>
          <w:rFonts w:ascii="Verdana" w:hAnsi="Verdana" w:cs="Times New Roman"/>
          <w:sz w:val="16"/>
          <w:szCs w:val="16"/>
        </w:rPr>
        <w:t xml:space="preserve"> Flores de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(expediente de prueba, anexo 3.9 al Informe de Fondo, f</w:t>
      </w:r>
      <w:r>
        <w:rPr>
          <w:rFonts w:ascii="Verdana" w:hAnsi="Verdana" w:cs="Times New Roman"/>
          <w:sz w:val="16"/>
          <w:szCs w:val="16"/>
        </w:rPr>
        <w:t xml:space="preserve">s. </w:t>
      </w:r>
      <w:r w:rsidRPr="000031DD">
        <w:rPr>
          <w:rFonts w:ascii="Verdana" w:hAnsi="Verdana" w:cs="Times New Roman"/>
          <w:sz w:val="16"/>
          <w:szCs w:val="16"/>
        </w:rPr>
        <w:t>1034 a 1047).</w:t>
      </w:r>
    </w:p>
    <w:p w14:paraId="40C1009B"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17">
    <w:p w14:paraId="474102FD" w14:textId="77777777" w:rsidR="00DD280C" w:rsidRPr="000031DD" w:rsidRDefault="00DD280C" w:rsidP="002A53BF">
      <w:pPr>
        <w:autoSpaceDE w:val="0"/>
        <w:autoSpaceDN w:val="0"/>
        <w:adjustRightInd w:val="0"/>
        <w:spacing w:after="0" w:line="240" w:lineRule="auto"/>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Pr>
          <w:rFonts w:ascii="Verdana" w:hAnsi="Verdana" w:cs="Times New Roman"/>
          <w:sz w:val="16"/>
          <w:szCs w:val="16"/>
        </w:rPr>
        <w:t>Sentencia</w:t>
      </w:r>
      <w:r w:rsidRPr="000031DD">
        <w:rPr>
          <w:rFonts w:ascii="Verdana" w:hAnsi="Verdana" w:cs="Times New Roman"/>
          <w:sz w:val="16"/>
          <w:szCs w:val="16"/>
        </w:rPr>
        <w:t xml:space="preserve"> de la Suprema Corte de Justicia </w:t>
      </w:r>
      <w:r>
        <w:rPr>
          <w:rFonts w:ascii="Verdana" w:hAnsi="Verdana" w:cs="Times New Roman"/>
          <w:sz w:val="16"/>
          <w:szCs w:val="16"/>
        </w:rPr>
        <w:t>de 10 de agosto de 1988 respecto</w:t>
      </w:r>
      <w:r w:rsidRPr="000031DD">
        <w:rPr>
          <w:rFonts w:ascii="Verdana" w:hAnsi="Verdana" w:cs="Times New Roman"/>
          <w:sz w:val="16"/>
          <w:szCs w:val="16"/>
        </w:rPr>
        <w:t xml:space="preserve"> a la acción de constitucionalidad presentada por </w:t>
      </w:r>
      <w:proofErr w:type="spellStart"/>
      <w:r w:rsidRPr="000031DD">
        <w:rPr>
          <w:rFonts w:ascii="Verdana" w:hAnsi="Verdana" w:cs="Times New Roman"/>
          <w:sz w:val="16"/>
          <w:szCs w:val="16"/>
        </w:rPr>
        <w:t>Disnarda</w:t>
      </w:r>
      <w:proofErr w:type="spellEnd"/>
      <w:r w:rsidRPr="000031DD">
        <w:rPr>
          <w:rFonts w:ascii="Verdana" w:hAnsi="Verdana" w:cs="Times New Roman"/>
          <w:sz w:val="16"/>
          <w:szCs w:val="16"/>
        </w:rPr>
        <w:t xml:space="preserve"> Flores de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(expediente de prueba, anexo 3.11 al Informe de Fondo, f</w:t>
      </w:r>
      <w:r>
        <w:rPr>
          <w:rFonts w:ascii="Verdana" w:hAnsi="Verdana" w:cs="Times New Roman"/>
          <w:sz w:val="16"/>
          <w:szCs w:val="16"/>
        </w:rPr>
        <w:t xml:space="preserve">s. </w:t>
      </w:r>
      <w:r w:rsidRPr="000031DD">
        <w:rPr>
          <w:rFonts w:ascii="Verdana" w:hAnsi="Verdana" w:cs="Times New Roman"/>
          <w:sz w:val="16"/>
          <w:szCs w:val="16"/>
        </w:rPr>
        <w:t>1074 a 1079).</w:t>
      </w:r>
    </w:p>
    <w:p w14:paraId="241C8518"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18">
    <w:p w14:paraId="752AB3BF"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Solicitud de </w:t>
      </w:r>
      <w:proofErr w:type="spellStart"/>
      <w:r w:rsidRPr="000031DD">
        <w:rPr>
          <w:rFonts w:ascii="Verdana" w:hAnsi="Verdana" w:cs="Times New Roman"/>
          <w:sz w:val="16"/>
          <w:szCs w:val="16"/>
        </w:rPr>
        <w:t>Disnarda</w:t>
      </w:r>
      <w:proofErr w:type="spellEnd"/>
      <w:r w:rsidRPr="000031DD">
        <w:rPr>
          <w:rFonts w:ascii="Verdana" w:hAnsi="Verdana" w:cs="Times New Roman"/>
          <w:sz w:val="16"/>
          <w:szCs w:val="16"/>
        </w:rPr>
        <w:t xml:space="preserve"> Flores de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al Juzgado Letrado de Primera Instancia en lo Penal de 9° Turno</w:t>
      </w:r>
      <w:r>
        <w:rPr>
          <w:rFonts w:ascii="Verdana" w:hAnsi="Verdana" w:cs="Times New Roman"/>
          <w:sz w:val="16"/>
          <w:szCs w:val="16"/>
        </w:rPr>
        <w:t xml:space="preserve"> de 18 de agosto de 1988</w:t>
      </w:r>
      <w:r w:rsidRPr="000031DD">
        <w:rPr>
          <w:rFonts w:ascii="Verdana" w:hAnsi="Verdana" w:cs="Times New Roman"/>
          <w:sz w:val="16"/>
          <w:szCs w:val="16"/>
        </w:rPr>
        <w:t xml:space="preserve"> (expediente de prueba, anexo 3.12 al Informe de Fondo, f</w:t>
      </w:r>
      <w:r>
        <w:rPr>
          <w:rFonts w:ascii="Verdana" w:hAnsi="Verdana" w:cs="Times New Roman"/>
          <w:sz w:val="16"/>
          <w:szCs w:val="16"/>
        </w:rPr>
        <w:t>s.</w:t>
      </w:r>
      <w:r w:rsidRPr="000031DD">
        <w:rPr>
          <w:rFonts w:ascii="Verdana" w:hAnsi="Verdana" w:cs="Times New Roman"/>
          <w:sz w:val="16"/>
          <w:szCs w:val="16"/>
        </w:rPr>
        <w:t xml:space="preserve"> 1080 a 1083).</w:t>
      </w:r>
    </w:p>
    <w:p w14:paraId="023E91EA"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19">
    <w:p w14:paraId="3570644C" w14:textId="77777777" w:rsidR="00DD280C" w:rsidRPr="000031DD" w:rsidRDefault="00DD280C" w:rsidP="002A53BF">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Notificación al J</w:t>
      </w:r>
      <w:r>
        <w:rPr>
          <w:rFonts w:ascii="Verdana" w:hAnsi="Verdana" w:cs="Times New Roman"/>
          <w:sz w:val="16"/>
          <w:szCs w:val="16"/>
        </w:rPr>
        <w:t>uez</w:t>
      </w:r>
      <w:r w:rsidRPr="000031DD">
        <w:rPr>
          <w:rFonts w:ascii="Verdana" w:hAnsi="Verdana" w:cs="Times New Roman"/>
          <w:sz w:val="16"/>
          <w:szCs w:val="16"/>
        </w:rPr>
        <w:t xml:space="preserve"> Letrado de Primera Instancia en lo Penal de 10º Turno de la inc</w:t>
      </w:r>
      <w:r>
        <w:rPr>
          <w:rFonts w:ascii="Verdana" w:hAnsi="Verdana" w:cs="Times New Roman"/>
          <w:sz w:val="16"/>
          <w:szCs w:val="16"/>
        </w:rPr>
        <w:t xml:space="preserve">lusión del caso de Óscar </w:t>
      </w:r>
      <w:proofErr w:type="spellStart"/>
      <w:r>
        <w:rPr>
          <w:rFonts w:ascii="Verdana" w:hAnsi="Verdana" w:cs="Times New Roman"/>
          <w:sz w:val="16"/>
          <w:szCs w:val="16"/>
        </w:rPr>
        <w:t>Tassino</w:t>
      </w:r>
      <w:proofErr w:type="spellEnd"/>
      <w:r>
        <w:rPr>
          <w:rFonts w:ascii="Verdana" w:hAnsi="Verdana" w:cs="Times New Roman"/>
          <w:sz w:val="16"/>
          <w:szCs w:val="16"/>
        </w:rPr>
        <w:t xml:space="preserve"> </w:t>
      </w:r>
      <w:proofErr w:type="spellStart"/>
      <w:r>
        <w:rPr>
          <w:rFonts w:ascii="Verdana" w:hAnsi="Verdana" w:cs="Times New Roman"/>
          <w:sz w:val="16"/>
          <w:szCs w:val="16"/>
        </w:rPr>
        <w:t>Asteazu</w:t>
      </w:r>
      <w:proofErr w:type="spellEnd"/>
      <w:r w:rsidRPr="000031DD">
        <w:rPr>
          <w:rFonts w:ascii="Verdana" w:hAnsi="Verdana" w:cs="Times New Roman"/>
          <w:sz w:val="16"/>
          <w:szCs w:val="16"/>
        </w:rPr>
        <w:t xml:space="preserve"> dentro de los presupuestos de la Ley 15.848 de 1986 (expediente de prueba, anexo 3.13 al Informe de Fondo, f</w:t>
      </w:r>
      <w:r>
        <w:rPr>
          <w:rFonts w:ascii="Verdana" w:hAnsi="Verdana" w:cs="Times New Roman"/>
          <w:sz w:val="16"/>
          <w:szCs w:val="16"/>
        </w:rPr>
        <w:t>s.</w:t>
      </w:r>
      <w:r w:rsidRPr="000031DD">
        <w:rPr>
          <w:rFonts w:ascii="Verdana" w:hAnsi="Verdana" w:cs="Times New Roman"/>
          <w:sz w:val="16"/>
          <w:szCs w:val="16"/>
        </w:rPr>
        <w:t xml:space="preserve"> 1084 a 1088).</w:t>
      </w:r>
    </w:p>
    <w:p w14:paraId="33C48A7C" w14:textId="77777777" w:rsidR="00DD280C" w:rsidRPr="000031DD" w:rsidRDefault="00DD280C" w:rsidP="002A53BF">
      <w:pPr>
        <w:pStyle w:val="Textonotapie"/>
        <w:jc w:val="both"/>
        <w:rPr>
          <w:rFonts w:ascii="Verdana" w:hAnsi="Verdana"/>
          <w:sz w:val="16"/>
          <w:szCs w:val="16"/>
        </w:rPr>
      </w:pPr>
    </w:p>
  </w:footnote>
  <w:footnote w:id="120">
    <w:p w14:paraId="16017D7B" w14:textId="6FEBF756"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340E47">
        <w:rPr>
          <w:rFonts w:ascii="Verdana" w:hAnsi="Verdana"/>
          <w:i/>
          <w:sz w:val="16"/>
          <w:szCs w:val="16"/>
        </w:rPr>
        <w:t>Cfr.</w:t>
      </w:r>
      <w:r>
        <w:rPr>
          <w:rFonts w:ascii="Verdana" w:hAnsi="Verdana"/>
          <w:sz w:val="16"/>
          <w:szCs w:val="16"/>
        </w:rPr>
        <w:t xml:space="preserve"> </w:t>
      </w:r>
      <w:r w:rsidRPr="000031DD">
        <w:rPr>
          <w:rFonts w:ascii="Verdana" w:hAnsi="Verdana" w:cs="Times New Roman"/>
          <w:sz w:val="16"/>
          <w:szCs w:val="16"/>
        </w:rPr>
        <w:t>Informe Final Sobre Situación de Personas Desaparecidas y Hechos que la Motivaron de la Comisión Investigadora Parlamentaria de la Cámara de Representantes</w:t>
      </w:r>
      <w:r>
        <w:rPr>
          <w:rFonts w:ascii="Verdana" w:hAnsi="Verdana" w:cs="Times New Roman"/>
          <w:sz w:val="16"/>
          <w:szCs w:val="16"/>
        </w:rPr>
        <w:t>.</w:t>
      </w:r>
    </w:p>
    <w:p w14:paraId="5237A7A2"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21">
    <w:p w14:paraId="3C26C46C" w14:textId="77777777" w:rsidR="00DD280C" w:rsidRDefault="00DD280C" w:rsidP="002A53BF">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685170">
        <w:rPr>
          <w:rFonts w:ascii="Verdana" w:hAnsi="Verdana"/>
          <w:i/>
          <w:sz w:val="16"/>
          <w:szCs w:val="16"/>
        </w:rPr>
        <w:t>Cfr.</w:t>
      </w:r>
      <w:r>
        <w:rPr>
          <w:rFonts w:ascii="Verdana" w:hAnsi="Verdana"/>
          <w:sz w:val="16"/>
          <w:szCs w:val="16"/>
        </w:rPr>
        <w:t xml:space="preserve"> </w:t>
      </w:r>
      <w:r w:rsidRPr="000031DD">
        <w:rPr>
          <w:rFonts w:ascii="Verdana" w:hAnsi="Verdana" w:cs="Times New Roman"/>
          <w:sz w:val="16"/>
          <w:szCs w:val="16"/>
        </w:rPr>
        <w:t>Informe de la Comisión para la Paz de 10 de abril de 2003</w:t>
      </w:r>
      <w:r>
        <w:rPr>
          <w:rFonts w:ascii="Verdana" w:hAnsi="Verdana" w:cs="Times New Roman"/>
          <w:sz w:val="16"/>
          <w:szCs w:val="16"/>
        </w:rPr>
        <w:t xml:space="preserve"> (expediente de prueba, anexo XXXVI a la contestación, fs. 3988 a 4073). </w:t>
      </w:r>
    </w:p>
    <w:p w14:paraId="364A4385" w14:textId="77777777" w:rsidR="00DD280C" w:rsidRPr="000031DD" w:rsidRDefault="00DD280C" w:rsidP="002A53BF">
      <w:pPr>
        <w:pStyle w:val="Textonotapie"/>
        <w:jc w:val="both"/>
        <w:rPr>
          <w:rFonts w:ascii="Verdana" w:hAnsi="Verdana" w:cs="Times New Roman"/>
          <w:sz w:val="16"/>
          <w:szCs w:val="16"/>
        </w:rPr>
      </w:pPr>
    </w:p>
  </w:footnote>
  <w:footnote w:id="122">
    <w:p w14:paraId="3BA33669" w14:textId="0F2ED372"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685170">
        <w:rPr>
          <w:rFonts w:ascii="Verdana" w:hAnsi="Verdana"/>
          <w:i/>
          <w:sz w:val="16"/>
          <w:szCs w:val="16"/>
        </w:rPr>
        <w:t>Cfr.</w:t>
      </w:r>
      <w:r>
        <w:rPr>
          <w:rFonts w:ascii="Verdana" w:hAnsi="Verdana"/>
          <w:sz w:val="16"/>
          <w:szCs w:val="16"/>
        </w:rPr>
        <w:t xml:space="preserve"> </w:t>
      </w:r>
      <w:r w:rsidRPr="000031DD">
        <w:rPr>
          <w:rFonts w:ascii="Verdana" w:hAnsi="Verdana" w:cs="Times New Roman"/>
          <w:sz w:val="16"/>
          <w:szCs w:val="16"/>
        </w:rPr>
        <w:t xml:space="preserve">Informe de la Comisión Investigadora sobre el Destino Final de 33 Ciudadanos Detenidos en el Periodo Comprendido entre el 27 de junio de 1973 y el 1 de </w:t>
      </w:r>
      <w:r w:rsidRPr="00D9269D">
        <w:rPr>
          <w:rFonts w:ascii="Verdana" w:hAnsi="Verdana" w:cs="Times New Roman"/>
          <w:sz w:val="16"/>
          <w:szCs w:val="16"/>
        </w:rPr>
        <w:t xml:space="preserve">marzo de 1985. </w:t>
      </w:r>
      <w:r w:rsidRPr="00D9269D">
        <w:rPr>
          <w:rFonts w:ascii="Verdana" w:hAnsi="Verdana"/>
          <w:sz w:val="16"/>
          <w:szCs w:val="16"/>
        </w:rPr>
        <w:t>En cuanto al asterisco al lado del nombre, como ya se aclaró (</w:t>
      </w:r>
      <w:r w:rsidRPr="00D9269D">
        <w:rPr>
          <w:rFonts w:ascii="Verdana" w:hAnsi="Verdana"/>
          <w:i/>
          <w:sz w:val="16"/>
          <w:szCs w:val="16"/>
        </w:rPr>
        <w:t xml:space="preserve">supra </w:t>
      </w:r>
      <w:r w:rsidRPr="00D9269D">
        <w:rPr>
          <w:rFonts w:ascii="Verdana" w:hAnsi="Verdana"/>
          <w:sz w:val="16"/>
          <w:szCs w:val="16"/>
        </w:rPr>
        <w:t>nota a pie de página 101</w:t>
      </w:r>
      <w:r>
        <w:rPr>
          <w:rFonts w:ascii="Verdana" w:hAnsi="Verdana"/>
          <w:sz w:val="16"/>
          <w:szCs w:val="16"/>
        </w:rPr>
        <w:t>), alude a la suposición de que los hechos</w:t>
      </w:r>
      <w:r w:rsidRPr="000031DD">
        <w:rPr>
          <w:rFonts w:ascii="Verdana" w:hAnsi="Verdana" w:cs="Times New Roman"/>
          <w:sz w:val="16"/>
          <w:szCs w:val="16"/>
        </w:rPr>
        <w:t xml:space="preserve"> </w:t>
      </w:r>
      <w:r>
        <w:rPr>
          <w:rFonts w:ascii="Verdana" w:hAnsi="Verdana" w:cs="Times New Roman"/>
          <w:sz w:val="16"/>
          <w:szCs w:val="16"/>
        </w:rPr>
        <w:t>“</w:t>
      </w:r>
      <w:r w:rsidRPr="000031DD">
        <w:rPr>
          <w:rFonts w:ascii="Verdana" w:hAnsi="Verdana" w:cs="Times New Roman"/>
          <w:sz w:val="16"/>
          <w:szCs w:val="16"/>
        </w:rPr>
        <w:t>fueron desarrollados dentro del marco de operaciones de inteligencia y por lo tanto son considerados como responsabilidad absoluta de los mandos por acción u omisión</w:t>
      </w:r>
      <w:r>
        <w:rPr>
          <w:rFonts w:ascii="Verdana" w:hAnsi="Verdana" w:cs="Times New Roman"/>
          <w:sz w:val="16"/>
          <w:szCs w:val="16"/>
        </w:rPr>
        <w:t>”</w:t>
      </w:r>
      <w:r w:rsidRPr="000031DD">
        <w:rPr>
          <w:rFonts w:ascii="Verdana" w:hAnsi="Verdana" w:cs="Times New Roman"/>
          <w:sz w:val="16"/>
          <w:szCs w:val="16"/>
        </w:rPr>
        <w:t>.</w:t>
      </w:r>
    </w:p>
    <w:p w14:paraId="7F6B29F1"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sidDel="00F24073">
        <w:rPr>
          <w:rFonts w:ascii="Verdana" w:hAnsi="Verdana" w:cs="Times New Roman"/>
          <w:b/>
          <w:sz w:val="16"/>
          <w:szCs w:val="16"/>
        </w:rPr>
        <w:t xml:space="preserve"> </w:t>
      </w:r>
    </w:p>
  </w:footnote>
  <w:footnote w:id="123">
    <w:p w14:paraId="4D34ED8C"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685170">
        <w:rPr>
          <w:rFonts w:ascii="Verdana" w:hAnsi="Verdana"/>
          <w:i/>
          <w:sz w:val="16"/>
          <w:szCs w:val="16"/>
        </w:rPr>
        <w:t>Cfr.</w:t>
      </w:r>
      <w:r>
        <w:rPr>
          <w:rFonts w:ascii="Verdana" w:hAnsi="Verdana"/>
          <w:sz w:val="16"/>
          <w:szCs w:val="16"/>
        </w:rPr>
        <w:t xml:space="preserve"> </w:t>
      </w:r>
      <w:r w:rsidRPr="000031DD">
        <w:rPr>
          <w:rFonts w:ascii="Verdana" w:hAnsi="Verdana" w:cs="Times New Roman"/>
          <w:sz w:val="16"/>
          <w:szCs w:val="16"/>
        </w:rPr>
        <w:t xml:space="preserve">Solicitud de </w:t>
      </w:r>
      <w:r>
        <w:rPr>
          <w:rFonts w:ascii="Verdana" w:hAnsi="Verdana" w:cs="Times New Roman"/>
          <w:sz w:val="16"/>
          <w:szCs w:val="16"/>
        </w:rPr>
        <w:t xml:space="preserve">20 de noviembre de 2006 de </w:t>
      </w:r>
      <w:r w:rsidRPr="000031DD">
        <w:rPr>
          <w:rFonts w:ascii="Verdana" w:hAnsi="Verdana" w:cs="Times New Roman"/>
          <w:sz w:val="16"/>
          <w:szCs w:val="16"/>
        </w:rPr>
        <w:t xml:space="preserve">los familiares de Óscar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al Juzgado Letrado de Primera Instancia en lo Penal de 10º Turno</w:t>
      </w:r>
      <w:r>
        <w:rPr>
          <w:rFonts w:ascii="Verdana" w:hAnsi="Verdana" w:cs="Times New Roman"/>
          <w:sz w:val="16"/>
          <w:szCs w:val="16"/>
        </w:rPr>
        <w:t xml:space="preserve"> </w:t>
      </w:r>
      <w:r w:rsidRPr="000031DD">
        <w:rPr>
          <w:rFonts w:ascii="Verdana" w:hAnsi="Verdana" w:cs="Times New Roman"/>
          <w:sz w:val="16"/>
          <w:szCs w:val="16"/>
        </w:rPr>
        <w:t>(expediente de prueba, anexo 3.14 al Informe de Fondo, f</w:t>
      </w:r>
      <w:r>
        <w:rPr>
          <w:rFonts w:ascii="Verdana" w:hAnsi="Verdana" w:cs="Times New Roman"/>
          <w:sz w:val="16"/>
          <w:szCs w:val="16"/>
        </w:rPr>
        <w:t xml:space="preserve">s. </w:t>
      </w:r>
      <w:r w:rsidRPr="000031DD">
        <w:rPr>
          <w:rFonts w:ascii="Verdana" w:hAnsi="Verdana" w:cs="Times New Roman"/>
          <w:sz w:val="16"/>
          <w:szCs w:val="16"/>
        </w:rPr>
        <w:t xml:space="preserve">1089 a 1106). </w:t>
      </w:r>
    </w:p>
    <w:p w14:paraId="0289FC63"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24">
    <w:p w14:paraId="02A4245B"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685170">
        <w:rPr>
          <w:rFonts w:ascii="Verdana" w:hAnsi="Verdana"/>
          <w:i/>
          <w:sz w:val="16"/>
          <w:szCs w:val="16"/>
        </w:rPr>
        <w:t>Cfr.</w:t>
      </w:r>
      <w:r>
        <w:rPr>
          <w:rFonts w:ascii="Verdana" w:hAnsi="Verdana"/>
          <w:sz w:val="16"/>
          <w:szCs w:val="16"/>
        </w:rPr>
        <w:t xml:space="preserve"> Decreto No 213 de 21 de marzo de 2007 del </w:t>
      </w:r>
      <w:r w:rsidRPr="000031DD">
        <w:rPr>
          <w:rFonts w:ascii="Verdana" w:hAnsi="Verdana" w:cs="Times New Roman"/>
          <w:sz w:val="16"/>
          <w:szCs w:val="16"/>
        </w:rPr>
        <w:t>Juzgado Letrado de Primera Instancia en lo Penal de 10º Turno (expediente de prueba, anexo 3.15 al Informe de Fondo, f</w:t>
      </w:r>
      <w:r>
        <w:rPr>
          <w:rFonts w:ascii="Verdana" w:hAnsi="Verdana" w:cs="Times New Roman"/>
          <w:sz w:val="16"/>
          <w:szCs w:val="16"/>
        </w:rPr>
        <w:t xml:space="preserve">s. </w:t>
      </w:r>
      <w:r w:rsidRPr="000031DD">
        <w:rPr>
          <w:rFonts w:ascii="Verdana" w:hAnsi="Verdana" w:cs="Times New Roman"/>
          <w:sz w:val="16"/>
          <w:szCs w:val="16"/>
        </w:rPr>
        <w:t xml:space="preserve">1107 a 1113). </w:t>
      </w:r>
    </w:p>
    <w:p w14:paraId="6E1367FD"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25">
    <w:p w14:paraId="798936D5"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Times New Roman"/>
          <w:sz w:val="16"/>
          <w:szCs w:val="16"/>
        </w:rPr>
        <w:t xml:space="preserve">Solicitud de familiares de Óscar </w:t>
      </w:r>
      <w:proofErr w:type="spellStart"/>
      <w:r w:rsidRPr="000031DD">
        <w:rPr>
          <w:rFonts w:ascii="Verdana" w:hAnsi="Verdana" w:cs="Times New Roman"/>
          <w:sz w:val="16"/>
          <w:szCs w:val="16"/>
        </w:rPr>
        <w:t>Tassino</w:t>
      </w:r>
      <w:proofErr w:type="spellEnd"/>
      <w:r w:rsidRPr="000031DD">
        <w:rPr>
          <w:rFonts w:ascii="Verdana" w:hAnsi="Verdana" w:cs="Times New Roman"/>
          <w:sz w:val="16"/>
          <w:szCs w:val="16"/>
        </w:rPr>
        <w:t xml:space="preserve"> de desarchivo </w:t>
      </w:r>
      <w:r>
        <w:rPr>
          <w:rFonts w:ascii="Verdana" w:hAnsi="Verdana" w:cs="Times New Roman"/>
          <w:sz w:val="16"/>
          <w:szCs w:val="16"/>
        </w:rPr>
        <w:t>y testimonio de actuaciones, de 21 de julio de 2007</w:t>
      </w:r>
      <w:r w:rsidRPr="000031DD">
        <w:rPr>
          <w:rFonts w:ascii="Verdana" w:hAnsi="Verdana" w:cs="Times New Roman"/>
          <w:sz w:val="16"/>
          <w:szCs w:val="16"/>
        </w:rPr>
        <w:t xml:space="preserve"> (expediente de prueba, anexo 3.16 al Informe de Fondo, f</w:t>
      </w:r>
      <w:r>
        <w:rPr>
          <w:rFonts w:ascii="Verdana" w:hAnsi="Verdana" w:cs="Times New Roman"/>
          <w:sz w:val="16"/>
          <w:szCs w:val="16"/>
        </w:rPr>
        <w:t>s.</w:t>
      </w:r>
      <w:r w:rsidRPr="000031DD">
        <w:rPr>
          <w:rFonts w:ascii="Verdana" w:hAnsi="Verdana" w:cs="Times New Roman"/>
          <w:sz w:val="16"/>
          <w:szCs w:val="16"/>
        </w:rPr>
        <w:t xml:space="preserve"> 1114 a 1116).</w:t>
      </w:r>
    </w:p>
    <w:p w14:paraId="20099187"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26">
    <w:p w14:paraId="2A209D2B" w14:textId="77777777" w:rsidR="00DD280C" w:rsidRDefault="00DD280C" w:rsidP="002A53BF">
      <w:pPr>
        <w:pStyle w:val="Textonotapie"/>
        <w:jc w:val="both"/>
        <w:rPr>
          <w:rFonts w:ascii="Verdana" w:hAnsi="Verdana"/>
          <w:b/>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r>
      <w:r w:rsidRPr="00E53751">
        <w:rPr>
          <w:rFonts w:ascii="Verdana" w:hAnsi="Verdana"/>
          <w:i/>
          <w:sz w:val="16"/>
          <w:szCs w:val="16"/>
        </w:rPr>
        <w:t>Cfr.</w:t>
      </w:r>
      <w:r w:rsidRPr="00E53751">
        <w:rPr>
          <w:rFonts w:ascii="Verdana" w:hAnsi="Verdana"/>
          <w:sz w:val="16"/>
          <w:szCs w:val="16"/>
        </w:rPr>
        <w:t xml:space="preserve"> Fiscalía General de la Nación, solicitud de procesamiento de 22 de octubre de 2020 (expediente de prueba, anexo</w:t>
      </w:r>
      <w:r>
        <w:rPr>
          <w:rFonts w:ascii="Verdana" w:hAnsi="Verdana"/>
          <w:sz w:val="16"/>
          <w:szCs w:val="16"/>
        </w:rPr>
        <w:t xml:space="preserve"> XXVII</w:t>
      </w:r>
      <w:r w:rsidRPr="00E53751">
        <w:rPr>
          <w:rFonts w:ascii="Verdana" w:hAnsi="Verdana"/>
          <w:sz w:val="16"/>
          <w:szCs w:val="16"/>
        </w:rPr>
        <w:t xml:space="preserve"> a la contestación, fs. 3824 a 3835).</w:t>
      </w:r>
    </w:p>
    <w:p w14:paraId="403A4C25" w14:textId="77777777" w:rsidR="00DD280C" w:rsidRPr="00E53751" w:rsidRDefault="00DD280C" w:rsidP="002A53BF">
      <w:pPr>
        <w:pStyle w:val="Textonotapie"/>
        <w:jc w:val="both"/>
        <w:rPr>
          <w:rFonts w:ascii="Verdana" w:hAnsi="Verdana"/>
          <w:sz w:val="16"/>
          <w:szCs w:val="16"/>
        </w:rPr>
      </w:pPr>
    </w:p>
  </w:footnote>
  <w:footnote w:id="127">
    <w:p w14:paraId="1787F2E6" w14:textId="7EDDEBCB" w:rsidR="00DD280C" w:rsidRPr="00E53751" w:rsidRDefault="00DD280C" w:rsidP="002A53BF">
      <w:pPr>
        <w:pStyle w:val="Textonotapie"/>
        <w:jc w:val="both"/>
        <w:rPr>
          <w:rFonts w:ascii="Verdana" w:hAnsi="Verdana"/>
          <w:b/>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r>
      <w:r w:rsidRPr="00E53751">
        <w:rPr>
          <w:rFonts w:ascii="Verdana" w:hAnsi="Verdana"/>
          <w:i/>
          <w:sz w:val="16"/>
          <w:szCs w:val="16"/>
        </w:rPr>
        <w:t xml:space="preserve">Cfr. </w:t>
      </w:r>
      <w:r w:rsidRPr="00E53751">
        <w:rPr>
          <w:rFonts w:ascii="Verdana" w:hAnsi="Verdana"/>
          <w:sz w:val="16"/>
          <w:szCs w:val="16"/>
        </w:rPr>
        <w:t>Informe del Fiscal Especializado sin fecha.</w:t>
      </w:r>
    </w:p>
    <w:p w14:paraId="557E11A8" w14:textId="77777777" w:rsidR="00DD280C" w:rsidRPr="00E53751" w:rsidRDefault="00DD280C" w:rsidP="002A53BF">
      <w:pPr>
        <w:pStyle w:val="Textonotapie"/>
        <w:jc w:val="both"/>
        <w:rPr>
          <w:rFonts w:ascii="Verdana" w:hAnsi="Verdana"/>
          <w:sz w:val="16"/>
          <w:szCs w:val="16"/>
        </w:rPr>
      </w:pPr>
    </w:p>
  </w:footnote>
  <w:footnote w:id="128">
    <w:p w14:paraId="60784B65" w14:textId="1BECCAB6" w:rsidR="00DD280C" w:rsidRDefault="00DD280C" w:rsidP="002A53BF">
      <w:pPr>
        <w:pStyle w:val="Textonotapie"/>
        <w:jc w:val="both"/>
        <w:rPr>
          <w:rFonts w:ascii="Verdana" w:hAnsi="Verdana"/>
          <w:b/>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r>
      <w:r w:rsidRPr="000031DD">
        <w:rPr>
          <w:rFonts w:ascii="Verdana" w:hAnsi="Verdana"/>
          <w:i/>
          <w:sz w:val="16"/>
          <w:szCs w:val="16"/>
        </w:rPr>
        <w:t>Cfr.</w:t>
      </w:r>
      <w:r w:rsidRPr="000031DD">
        <w:rPr>
          <w:rFonts w:ascii="Verdana" w:hAnsi="Verdana"/>
          <w:sz w:val="16"/>
          <w:szCs w:val="16"/>
        </w:rPr>
        <w:t xml:space="preserve"> </w:t>
      </w:r>
      <w:r w:rsidRPr="00E53751">
        <w:rPr>
          <w:rFonts w:ascii="Verdana" w:hAnsi="Verdana"/>
          <w:sz w:val="16"/>
          <w:szCs w:val="16"/>
        </w:rPr>
        <w:t>Fiscalía General de la Nación, solicitud de procesamiento de 22 de octubre de 2020.</w:t>
      </w:r>
    </w:p>
    <w:p w14:paraId="01F15B14" w14:textId="77777777" w:rsidR="00DD280C" w:rsidRPr="000031DD" w:rsidRDefault="00DD280C" w:rsidP="002A53BF">
      <w:pPr>
        <w:pStyle w:val="Textonotapie"/>
        <w:jc w:val="both"/>
        <w:rPr>
          <w:rFonts w:ascii="Verdana" w:hAnsi="Verdana"/>
          <w:b/>
          <w:sz w:val="16"/>
          <w:szCs w:val="16"/>
        </w:rPr>
      </w:pPr>
    </w:p>
    <w:p w14:paraId="233FCBA2" w14:textId="77777777" w:rsidR="00DD280C" w:rsidRPr="00E53751" w:rsidRDefault="00DD280C" w:rsidP="002A53BF">
      <w:pPr>
        <w:pStyle w:val="Textonotapie"/>
        <w:jc w:val="both"/>
        <w:rPr>
          <w:rFonts w:ascii="Verdana" w:hAnsi="Verdana"/>
          <w:sz w:val="16"/>
          <w:szCs w:val="16"/>
        </w:rPr>
      </w:pPr>
    </w:p>
  </w:footnote>
  <w:footnote w:id="129">
    <w:p w14:paraId="6173D6A0" w14:textId="77777777" w:rsidR="00DD280C" w:rsidRPr="00E53751" w:rsidRDefault="00DD280C" w:rsidP="002A53BF">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r>
      <w:r w:rsidRPr="00E53751">
        <w:rPr>
          <w:rFonts w:ascii="Verdana" w:hAnsi="Verdana"/>
          <w:i/>
          <w:sz w:val="16"/>
          <w:szCs w:val="16"/>
        </w:rPr>
        <w:t>Cf.</w:t>
      </w:r>
      <w:r w:rsidRPr="00E53751">
        <w:rPr>
          <w:rFonts w:ascii="Verdana" w:hAnsi="Verdana"/>
          <w:sz w:val="16"/>
          <w:szCs w:val="16"/>
        </w:rPr>
        <w:t xml:space="preserve"> Procesamiento No. 461/2021 de 29 de abril de 2021 (expediente de prueba, f. 7486), fundamentado al día siguiente (</w:t>
      </w:r>
      <w:r w:rsidRPr="00685170">
        <w:rPr>
          <w:rFonts w:ascii="Verdana" w:hAnsi="Verdana"/>
          <w:i/>
          <w:sz w:val="16"/>
          <w:szCs w:val="16"/>
        </w:rPr>
        <w:t xml:space="preserve">cfr. </w:t>
      </w:r>
      <w:r w:rsidRPr="00E53751">
        <w:rPr>
          <w:rFonts w:ascii="Verdana" w:hAnsi="Verdana"/>
          <w:sz w:val="16"/>
          <w:szCs w:val="16"/>
        </w:rPr>
        <w:t>Sentencia 463/2021 de 30 de abril de 2021 (expediente de prueba, fs. 7691 a 7739)</w:t>
      </w:r>
      <w:r>
        <w:rPr>
          <w:rFonts w:ascii="Verdana" w:hAnsi="Verdana"/>
          <w:sz w:val="16"/>
          <w:szCs w:val="16"/>
        </w:rPr>
        <w:t>).</w:t>
      </w:r>
      <w:r w:rsidRPr="00E53751">
        <w:rPr>
          <w:rFonts w:ascii="Verdana" w:hAnsi="Verdana"/>
          <w:sz w:val="16"/>
          <w:szCs w:val="16"/>
        </w:rPr>
        <w:t xml:space="preserve"> </w:t>
      </w:r>
    </w:p>
    <w:p w14:paraId="33FDA1A0" w14:textId="77777777" w:rsidR="00DD280C" w:rsidRPr="00E53751" w:rsidRDefault="00DD280C" w:rsidP="002A53BF">
      <w:pPr>
        <w:pStyle w:val="Textonotapie"/>
        <w:jc w:val="both"/>
        <w:rPr>
          <w:rFonts w:ascii="Verdana" w:hAnsi="Verdana"/>
          <w:sz w:val="16"/>
          <w:szCs w:val="16"/>
        </w:rPr>
      </w:pPr>
    </w:p>
  </w:footnote>
  <w:footnote w:id="130">
    <w:p w14:paraId="242E4760" w14:textId="77777777" w:rsidR="00DD280C" w:rsidRPr="00E53751" w:rsidRDefault="00DD280C" w:rsidP="002A53BF">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 xml:space="preserve">Informe </w:t>
      </w:r>
      <w:r>
        <w:rPr>
          <w:rFonts w:ascii="Verdana" w:hAnsi="Verdana"/>
          <w:sz w:val="16"/>
          <w:szCs w:val="16"/>
        </w:rPr>
        <w:t xml:space="preserve">judicial </w:t>
      </w:r>
      <w:r w:rsidRPr="00E53751">
        <w:rPr>
          <w:rFonts w:ascii="Verdana" w:hAnsi="Verdana"/>
          <w:sz w:val="16"/>
          <w:szCs w:val="16"/>
        </w:rPr>
        <w:t>de 2 de julio de 2021</w:t>
      </w:r>
      <w:r>
        <w:rPr>
          <w:rFonts w:ascii="Verdana" w:hAnsi="Verdana"/>
          <w:sz w:val="16"/>
          <w:szCs w:val="16"/>
        </w:rPr>
        <w:t xml:space="preserve">, dirigido a la Suprema Corte de Justicia </w:t>
      </w:r>
      <w:r w:rsidRPr="00E53751">
        <w:rPr>
          <w:rFonts w:ascii="Verdana" w:hAnsi="Verdana"/>
          <w:sz w:val="16"/>
          <w:szCs w:val="16"/>
        </w:rPr>
        <w:t>(expediente de prueba, fs. 7479 a 7481).</w:t>
      </w:r>
    </w:p>
    <w:p w14:paraId="1E74F5F5" w14:textId="77777777" w:rsidR="00DD280C" w:rsidRPr="00E53751" w:rsidRDefault="00DD280C" w:rsidP="002A53BF">
      <w:pPr>
        <w:pStyle w:val="Textonotapie"/>
        <w:jc w:val="both"/>
        <w:rPr>
          <w:rFonts w:ascii="Verdana" w:hAnsi="Verdana"/>
          <w:sz w:val="16"/>
          <w:szCs w:val="16"/>
        </w:rPr>
      </w:pPr>
    </w:p>
  </w:footnote>
  <w:footnote w:id="131">
    <w:p w14:paraId="080C87CE" w14:textId="77777777" w:rsidR="00DD280C" w:rsidRPr="00E53751" w:rsidRDefault="00DD280C" w:rsidP="002A53BF">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r>
      <w:r w:rsidRPr="00685170">
        <w:rPr>
          <w:rFonts w:ascii="Verdana" w:hAnsi="Verdana"/>
          <w:i/>
          <w:sz w:val="16"/>
          <w:szCs w:val="16"/>
        </w:rPr>
        <w:t>Cfr.</w:t>
      </w:r>
      <w:r w:rsidRPr="00E53751">
        <w:rPr>
          <w:rFonts w:ascii="Verdana" w:hAnsi="Verdana"/>
          <w:sz w:val="16"/>
          <w:szCs w:val="16"/>
        </w:rPr>
        <w:t xml:space="preserve"> Procesamiento No. 614/2021 (expediente de prueba, fs. 7488 a 7523).</w:t>
      </w:r>
    </w:p>
    <w:p w14:paraId="63C2AE78" w14:textId="77777777" w:rsidR="00DD280C" w:rsidRPr="00E53751" w:rsidRDefault="00DD280C" w:rsidP="002A53BF">
      <w:pPr>
        <w:pStyle w:val="Textonotapie"/>
        <w:jc w:val="both"/>
        <w:rPr>
          <w:rFonts w:ascii="Verdana" w:hAnsi="Verdana"/>
          <w:sz w:val="16"/>
          <w:szCs w:val="16"/>
        </w:rPr>
      </w:pPr>
    </w:p>
  </w:footnote>
  <w:footnote w:id="132">
    <w:p w14:paraId="3EAC1A1E" w14:textId="5CAE9894" w:rsidR="00DD280C" w:rsidRDefault="00DD280C" w:rsidP="002A53BF">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Informe de 2 de julio de 2021</w:t>
      </w:r>
      <w:r>
        <w:rPr>
          <w:rFonts w:ascii="Verdana" w:hAnsi="Verdana"/>
          <w:sz w:val="16"/>
          <w:szCs w:val="16"/>
        </w:rPr>
        <w:t>, dirigido a la Suprema Corte de Justicia</w:t>
      </w:r>
      <w:r w:rsidRPr="00E53751">
        <w:rPr>
          <w:rFonts w:ascii="Verdana" w:hAnsi="Verdana"/>
          <w:sz w:val="16"/>
          <w:szCs w:val="16"/>
        </w:rPr>
        <w:t>.</w:t>
      </w:r>
    </w:p>
    <w:p w14:paraId="6B72D9A5" w14:textId="77777777" w:rsidR="00DD280C" w:rsidRPr="00E53751" w:rsidRDefault="00DD280C" w:rsidP="002A53BF">
      <w:pPr>
        <w:pStyle w:val="Textonotapie"/>
        <w:jc w:val="both"/>
        <w:rPr>
          <w:rFonts w:ascii="Verdana" w:hAnsi="Verdana"/>
          <w:sz w:val="16"/>
          <w:szCs w:val="16"/>
        </w:rPr>
      </w:pPr>
    </w:p>
  </w:footnote>
  <w:footnote w:id="133">
    <w:p w14:paraId="30148C99" w14:textId="77777777" w:rsidR="00DD280C" w:rsidRPr="00685170" w:rsidRDefault="00DD280C" w:rsidP="002A53BF">
      <w:pPr>
        <w:widowControl w:val="0"/>
        <w:tabs>
          <w:tab w:val="left" w:pos="567"/>
        </w:tabs>
        <w:adjustRightInd w:val="0"/>
        <w:spacing w:after="0" w:line="240" w:lineRule="auto"/>
        <w:jc w:val="both"/>
        <w:textAlignment w:val="baseline"/>
        <w:rPr>
          <w:rFonts w:ascii="Verdana" w:hAnsi="Verdana"/>
          <w:sz w:val="16"/>
          <w:szCs w:val="16"/>
        </w:rPr>
      </w:pPr>
      <w:r w:rsidRPr="00685170">
        <w:rPr>
          <w:rStyle w:val="Refdenotaalpie"/>
          <w:rFonts w:ascii="Verdana" w:hAnsi="Verdana"/>
          <w:sz w:val="16"/>
          <w:szCs w:val="16"/>
        </w:rPr>
        <w:footnoteRef/>
      </w:r>
      <w:r w:rsidRPr="00685170">
        <w:rPr>
          <w:rFonts w:ascii="Verdana" w:hAnsi="Verdana"/>
          <w:sz w:val="16"/>
          <w:szCs w:val="16"/>
        </w:rPr>
        <w:t xml:space="preserve">  </w:t>
      </w:r>
      <w:r w:rsidRPr="00685170">
        <w:rPr>
          <w:rFonts w:ascii="Verdana" w:hAnsi="Verdana"/>
          <w:sz w:val="16"/>
          <w:szCs w:val="16"/>
        </w:rPr>
        <w:tab/>
        <w:t xml:space="preserve">Artículos 3, 4, 5 y 7 de la Convención Americana sobre Derechos Humanos, respectivamente. En el presente capítulo se examina también la responsabilidad estatal bajo los artículos I. a. y XI de la </w:t>
      </w:r>
      <w:r w:rsidRPr="00685170">
        <w:rPr>
          <w:rFonts w:ascii="Verdana" w:hAnsi="Verdana"/>
          <w:sz w:val="16"/>
          <w:szCs w:val="16"/>
          <w:lang w:val="es-UY"/>
        </w:rPr>
        <w:t>Convención Interamericana sobre Desaparición Forzada de Personas.</w:t>
      </w:r>
      <w:r>
        <w:rPr>
          <w:rFonts w:ascii="Verdana" w:hAnsi="Verdana"/>
          <w:sz w:val="16"/>
          <w:szCs w:val="16"/>
          <w:lang w:val="es-UY"/>
        </w:rPr>
        <w:t xml:space="preserve"> La vulneración del artículo XI señalado no fue alegada. No obstante, se examina con base en el principio </w:t>
      </w:r>
      <w:proofErr w:type="spellStart"/>
      <w:r w:rsidRPr="00685170">
        <w:rPr>
          <w:rFonts w:ascii="Verdana" w:hAnsi="Verdana"/>
          <w:i/>
          <w:sz w:val="16"/>
          <w:szCs w:val="16"/>
          <w:lang w:val="es-UY"/>
        </w:rPr>
        <w:t>iura</w:t>
      </w:r>
      <w:proofErr w:type="spellEnd"/>
      <w:r w:rsidRPr="00685170">
        <w:rPr>
          <w:rFonts w:ascii="Verdana" w:hAnsi="Verdana"/>
          <w:i/>
          <w:sz w:val="16"/>
          <w:szCs w:val="16"/>
          <w:lang w:val="es-UY"/>
        </w:rPr>
        <w:t xml:space="preserve"> </w:t>
      </w:r>
      <w:proofErr w:type="spellStart"/>
      <w:r w:rsidRPr="00685170">
        <w:rPr>
          <w:rFonts w:ascii="Verdana" w:hAnsi="Verdana"/>
          <w:i/>
          <w:sz w:val="16"/>
          <w:szCs w:val="16"/>
          <w:lang w:val="es-UY"/>
        </w:rPr>
        <w:t>novit</w:t>
      </w:r>
      <w:proofErr w:type="spellEnd"/>
      <w:r w:rsidRPr="00685170">
        <w:rPr>
          <w:rFonts w:ascii="Verdana" w:hAnsi="Verdana"/>
          <w:i/>
          <w:sz w:val="16"/>
          <w:szCs w:val="16"/>
          <w:lang w:val="es-UY"/>
        </w:rPr>
        <w:t xml:space="preserve"> curia</w:t>
      </w:r>
      <w:r>
        <w:rPr>
          <w:rFonts w:ascii="Verdana" w:hAnsi="Verdana"/>
          <w:i/>
          <w:sz w:val="16"/>
          <w:szCs w:val="16"/>
          <w:lang w:val="es-UY"/>
        </w:rPr>
        <w:t xml:space="preserve">. </w:t>
      </w:r>
      <w:r w:rsidRPr="00FE15F1">
        <w:rPr>
          <w:rFonts w:ascii="Verdana" w:hAnsi="Verdana" w:cs="Arial"/>
          <w:spacing w:val="-5"/>
          <w:sz w:val="16"/>
          <w:szCs w:val="16"/>
        </w:rPr>
        <w:t>El principio aludido permite al Tribunal “analizar la posible violación de las normas de la Convención que no han sido alegadas, en el entendido de que las partes hayan tenido la oportunidad de expresar sus respectivas posiciones en relación con los hechos que las sustentan” (</w:t>
      </w:r>
      <w:r w:rsidRPr="00FE15F1">
        <w:rPr>
          <w:rFonts w:ascii="Verdana" w:hAnsi="Verdana" w:cs="Arial"/>
          <w:i/>
          <w:sz w:val="16"/>
          <w:szCs w:val="16"/>
        </w:rPr>
        <w:t>Caso</w:t>
      </w:r>
      <w:r w:rsidRPr="00FE15F1">
        <w:rPr>
          <w:rFonts w:ascii="Verdana" w:hAnsi="Verdana" w:cs="Arial"/>
          <w:i/>
          <w:spacing w:val="-4"/>
          <w:sz w:val="16"/>
          <w:szCs w:val="16"/>
        </w:rPr>
        <w:t xml:space="preserve"> </w:t>
      </w:r>
      <w:r w:rsidRPr="00FE15F1">
        <w:rPr>
          <w:rFonts w:ascii="Verdana" w:hAnsi="Verdana" w:cs="Arial"/>
          <w:i/>
          <w:sz w:val="16"/>
          <w:szCs w:val="16"/>
        </w:rPr>
        <w:t>Comunidades</w:t>
      </w:r>
      <w:r w:rsidRPr="00FE15F1">
        <w:rPr>
          <w:rFonts w:ascii="Verdana" w:hAnsi="Verdana" w:cs="Arial"/>
          <w:i/>
          <w:spacing w:val="-6"/>
          <w:sz w:val="16"/>
          <w:szCs w:val="16"/>
        </w:rPr>
        <w:t xml:space="preserve"> </w:t>
      </w:r>
      <w:r w:rsidRPr="00FE15F1">
        <w:rPr>
          <w:rFonts w:ascii="Verdana" w:hAnsi="Verdana" w:cs="Arial"/>
          <w:i/>
          <w:sz w:val="16"/>
          <w:szCs w:val="16"/>
        </w:rPr>
        <w:t>Indígenas</w:t>
      </w:r>
      <w:r w:rsidRPr="00FE15F1">
        <w:rPr>
          <w:rFonts w:ascii="Verdana" w:hAnsi="Verdana" w:cs="Arial"/>
          <w:i/>
          <w:spacing w:val="-3"/>
          <w:sz w:val="16"/>
          <w:szCs w:val="16"/>
        </w:rPr>
        <w:t xml:space="preserve"> </w:t>
      </w:r>
      <w:r w:rsidRPr="00FE15F1">
        <w:rPr>
          <w:rFonts w:ascii="Verdana" w:hAnsi="Verdana" w:cs="Arial"/>
          <w:i/>
          <w:sz w:val="16"/>
          <w:szCs w:val="16"/>
        </w:rPr>
        <w:t>Miembros</w:t>
      </w:r>
      <w:r w:rsidRPr="00FE15F1">
        <w:rPr>
          <w:rFonts w:ascii="Verdana" w:hAnsi="Verdana" w:cs="Arial"/>
          <w:i/>
          <w:spacing w:val="-5"/>
          <w:sz w:val="16"/>
          <w:szCs w:val="16"/>
        </w:rPr>
        <w:t xml:space="preserve"> </w:t>
      </w:r>
      <w:r w:rsidRPr="00FE15F1">
        <w:rPr>
          <w:rFonts w:ascii="Verdana" w:hAnsi="Verdana" w:cs="Arial"/>
          <w:i/>
          <w:sz w:val="16"/>
          <w:szCs w:val="16"/>
        </w:rPr>
        <w:t>de</w:t>
      </w:r>
      <w:r w:rsidRPr="00FE15F1">
        <w:rPr>
          <w:rFonts w:ascii="Verdana" w:hAnsi="Verdana" w:cs="Arial"/>
          <w:i/>
          <w:spacing w:val="-6"/>
          <w:sz w:val="16"/>
          <w:szCs w:val="16"/>
        </w:rPr>
        <w:t xml:space="preserve"> </w:t>
      </w:r>
      <w:r w:rsidRPr="00FE15F1">
        <w:rPr>
          <w:rFonts w:ascii="Verdana" w:hAnsi="Verdana" w:cs="Arial"/>
          <w:i/>
          <w:sz w:val="16"/>
          <w:szCs w:val="16"/>
        </w:rPr>
        <w:t>la</w:t>
      </w:r>
      <w:r w:rsidRPr="00FE15F1">
        <w:rPr>
          <w:rFonts w:ascii="Verdana" w:hAnsi="Verdana" w:cs="Arial"/>
          <w:i/>
          <w:spacing w:val="-7"/>
          <w:sz w:val="16"/>
          <w:szCs w:val="16"/>
        </w:rPr>
        <w:t xml:space="preserve"> </w:t>
      </w:r>
      <w:r w:rsidRPr="00FE15F1">
        <w:rPr>
          <w:rFonts w:ascii="Verdana" w:hAnsi="Verdana" w:cs="Arial"/>
          <w:i/>
          <w:sz w:val="16"/>
          <w:szCs w:val="16"/>
        </w:rPr>
        <w:t>Asociación</w:t>
      </w:r>
      <w:r w:rsidRPr="00FE15F1">
        <w:rPr>
          <w:rFonts w:ascii="Verdana" w:hAnsi="Verdana" w:cs="Arial"/>
          <w:i/>
          <w:spacing w:val="-3"/>
          <w:sz w:val="16"/>
          <w:szCs w:val="16"/>
        </w:rPr>
        <w:t xml:space="preserve"> </w:t>
      </w:r>
      <w:proofErr w:type="spellStart"/>
      <w:r w:rsidRPr="00FE15F1">
        <w:rPr>
          <w:rFonts w:ascii="Verdana" w:hAnsi="Verdana" w:cs="Arial"/>
          <w:i/>
          <w:sz w:val="16"/>
          <w:szCs w:val="16"/>
        </w:rPr>
        <w:t>Lhaka</w:t>
      </w:r>
      <w:proofErr w:type="spellEnd"/>
      <w:r w:rsidRPr="00FE15F1">
        <w:rPr>
          <w:rFonts w:ascii="Verdana" w:hAnsi="Verdana" w:cs="Arial"/>
          <w:i/>
          <w:spacing w:val="-4"/>
          <w:sz w:val="16"/>
          <w:szCs w:val="16"/>
        </w:rPr>
        <w:t xml:space="preserve"> </w:t>
      </w:r>
      <w:proofErr w:type="spellStart"/>
      <w:r w:rsidRPr="00FE15F1">
        <w:rPr>
          <w:rFonts w:ascii="Verdana" w:hAnsi="Verdana" w:cs="Arial"/>
          <w:i/>
          <w:sz w:val="16"/>
          <w:szCs w:val="16"/>
        </w:rPr>
        <w:t>Honhat</w:t>
      </w:r>
      <w:proofErr w:type="spellEnd"/>
      <w:r w:rsidRPr="00FE15F1">
        <w:rPr>
          <w:rFonts w:ascii="Verdana" w:hAnsi="Verdana" w:cs="Arial"/>
          <w:i/>
          <w:spacing w:val="-5"/>
          <w:sz w:val="16"/>
          <w:szCs w:val="16"/>
        </w:rPr>
        <w:t xml:space="preserve"> </w:t>
      </w:r>
      <w:r w:rsidRPr="00FE15F1">
        <w:rPr>
          <w:rFonts w:ascii="Verdana" w:hAnsi="Verdana" w:cs="Arial"/>
          <w:i/>
          <w:sz w:val="16"/>
          <w:szCs w:val="16"/>
        </w:rPr>
        <w:t>(Nuestra</w:t>
      </w:r>
      <w:r w:rsidRPr="00FE15F1">
        <w:rPr>
          <w:rFonts w:ascii="Verdana" w:hAnsi="Verdana" w:cs="Arial"/>
          <w:i/>
          <w:spacing w:val="-6"/>
          <w:sz w:val="16"/>
          <w:szCs w:val="16"/>
        </w:rPr>
        <w:t xml:space="preserve"> </w:t>
      </w:r>
      <w:r w:rsidRPr="00FE15F1">
        <w:rPr>
          <w:rFonts w:ascii="Verdana" w:hAnsi="Verdana" w:cs="Arial"/>
          <w:i/>
          <w:sz w:val="16"/>
          <w:szCs w:val="16"/>
        </w:rPr>
        <w:t>Tierra)</w:t>
      </w:r>
      <w:r w:rsidRPr="00FE15F1">
        <w:rPr>
          <w:rFonts w:ascii="Verdana" w:hAnsi="Verdana" w:cs="Arial"/>
          <w:i/>
          <w:spacing w:val="-7"/>
          <w:sz w:val="16"/>
          <w:szCs w:val="16"/>
        </w:rPr>
        <w:t xml:space="preserve"> </w:t>
      </w:r>
      <w:r w:rsidRPr="00FE15F1">
        <w:rPr>
          <w:rFonts w:ascii="Verdana" w:hAnsi="Verdana" w:cs="Arial"/>
          <w:i/>
          <w:sz w:val="16"/>
          <w:szCs w:val="16"/>
        </w:rPr>
        <w:t>Vs.</w:t>
      </w:r>
      <w:r w:rsidRPr="00FE15F1">
        <w:rPr>
          <w:rFonts w:ascii="Verdana" w:hAnsi="Verdana" w:cs="Arial"/>
          <w:i/>
          <w:spacing w:val="-6"/>
          <w:sz w:val="16"/>
          <w:szCs w:val="16"/>
        </w:rPr>
        <w:t xml:space="preserve"> </w:t>
      </w:r>
      <w:r w:rsidRPr="00FE15F1">
        <w:rPr>
          <w:rFonts w:ascii="Verdana" w:hAnsi="Verdana" w:cs="Arial"/>
          <w:i/>
          <w:sz w:val="16"/>
          <w:szCs w:val="16"/>
        </w:rPr>
        <w:t>Argentina.</w:t>
      </w:r>
      <w:r w:rsidRPr="00FE15F1">
        <w:rPr>
          <w:rFonts w:ascii="Verdana" w:hAnsi="Verdana" w:cs="Arial"/>
          <w:i/>
          <w:spacing w:val="-4"/>
          <w:sz w:val="16"/>
          <w:szCs w:val="16"/>
        </w:rPr>
        <w:t xml:space="preserve"> </w:t>
      </w:r>
      <w:r w:rsidRPr="00FE15F1">
        <w:rPr>
          <w:rFonts w:ascii="Verdana" w:hAnsi="Verdana" w:cs="Arial"/>
          <w:i/>
          <w:sz w:val="16"/>
          <w:szCs w:val="16"/>
        </w:rPr>
        <w:t>Fondo,</w:t>
      </w:r>
      <w:r w:rsidRPr="00FE15F1">
        <w:rPr>
          <w:rFonts w:ascii="Verdana" w:hAnsi="Verdana" w:cs="Arial"/>
          <w:i/>
          <w:spacing w:val="-54"/>
          <w:sz w:val="16"/>
          <w:szCs w:val="16"/>
        </w:rPr>
        <w:t xml:space="preserve"> </w:t>
      </w:r>
      <w:r w:rsidRPr="00FE15F1">
        <w:rPr>
          <w:rFonts w:ascii="Verdana" w:hAnsi="Verdana" w:cs="Arial"/>
          <w:i/>
          <w:sz w:val="16"/>
          <w:szCs w:val="16"/>
        </w:rPr>
        <w:t>Reparaciones</w:t>
      </w:r>
      <w:r w:rsidRPr="00FE15F1">
        <w:rPr>
          <w:rFonts w:ascii="Verdana" w:hAnsi="Verdana" w:cs="Arial"/>
          <w:i/>
          <w:spacing w:val="-2"/>
          <w:sz w:val="16"/>
          <w:szCs w:val="16"/>
        </w:rPr>
        <w:t xml:space="preserve"> </w:t>
      </w:r>
      <w:r w:rsidRPr="00FE15F1">
        <w:rPr>
          <w:rFonts w:ascii="Verdana" w:hAnsi="Verdana" w:cs="Arial"/>
          <w:i/>
          <w:sz w:val="16"/>
          <w:szCs w:val="16"/>
        </w:rPr>
        <w:t>y</w:t>
      </w:r>
      <w:r w:rsidRPr="00FE15F1">
        <w:rPr>
          <w:rFonts w:ascii="Verdana" w:hAnsi="Verdana" w:cs="Arial"/>
          <w:i/>
          <w:spacing w:val="-1"/>
          <w:sz w:val="16"/>
          <w:szCs w:val="16"/>
        </w:rPr>
        <w:t xml:space="preserve"> </w:t>
      </w:r>
      <w:r w:rsidRPr="00FE15F1">
        <w:rPr>
          <w:rFonts w:ascii="Verdana" w:hAnsi="Verdana" w:cs="Arial"/>
          <w:i/>
          <w:sz w:val="16"/>
          <w:szCs w:val="16"/>
        </w:rPr>
        <w:t>Costas</w:t>
      </w:r>
      <w:r w:rsidRPr="00FE15F1">
        <w:rPr>
          <w:rFonts w:ascii="Verdana" w:hAnsi="Verdana" w:cs="Arial"/>
          <w:sz w:val="16"/>
          <w:szCs w:val="16"/>
        </w:rPr>
        <w:t>. Sentencia de</w:t>
      </w:r>
      <w:r w:rsidRPr="00FE15F1">
        <w:rPr>
          <w:rFonts w:ascii="Verdana" w:hAnsi="Verdana" w:cs="Arial"/>
          <w:spacing w:val="-1"/>
          <w:sz w:val="16"/>
          <w:szCs w:val="16"/>
        </w:rPr>
        <w:t xml:space="preserve"> </w:t>
      </w:r>
      <w:r w:rsidRPr="00FE15F1">
        <w:rPr>
          <w:rFonts w:ascii="Verdana" w:hAnsi="Verdana" w:cs="Arial"/>
          <w:sz w:val="16"/>
          <w:szCs w:val="16"/>
        </w:rPr>
        <w:t>6</w:t>
      </w:r>
      <w:r w:rsidRPr="00FE15F1">
        <w:rPr>
          <w:rFonts w:ascii="Verdana" w:hAnsi="Verdana" w:cs="Arial"/>
          <w:spacing w:val="-1"/>
          <w:sz w:val="16"/>
          <w:szCs w:val="16"/>
        </w:rPr>
        <w:t xml:space="preserve"> </w:t>
      </w:r>
      <w:r w:rsidRPr="00FE15F1">
        <w:rPr>
          <w:rFonts w:ascii="Verdana" w:hAnsi="Verdana" w:cs="Arial"/>
          <w:sz w:val="16"/>
          <w:szCs w:val="16"/>
        </w:rPr>
        <w:t>de</w:t>
      </w:r>
      <w:r w:rsidRPr="00FE15F1">
        <w:rPr>
          <w:rFonts w:ascii="Verdana" w:hAnsi="Verdana" w:cs="Arial"/>
          <w:spacing w:val="-1"/>
          <w:sz w:val="16"/>
          <w:szCs w:val="16"/>
        </w:rPr>
        <w:t xml:space="preserve"> </w:t>
      </w:r>
      <w:r w:rsidRPr="00FE15F1">
        <w:rPr>
          <w:rFonts w:ascii="Verdana" w:hAnsi="Verdana" w:cs="Arial"/>
          <w:sz w:val="16"/>
          <w:szCs w:val="16"/>
        </w:rPr>
        <w:t>febrero</w:t>
      </w:r>
      <w:r w:rsidRPr="00FE15F1">
        <w:rPr>
          <w:rFonts w:ascii="Verdana" w:hAnsi="Verdana" w:cs="Arial"/>
          <w:spacing w:val="-1"/>
          <w:sz w:val="16"/>
          <w:szCs w:val="16"/>
        </w:rPr>
        <w:t xml:space="preserve"> </w:t>
      </w:r>
      <w:r w:rsidRPr="00FE15F1">
        <w:rPr>
          <w:rFonts w:ascii="Verdana" w:hAnsi="Verdana" w:cs="Arial"/>
          <w:sz w:val="16"/>
          <w:szCs w:val="16"/>
        </w:rPr>
        <w:t>de</w:t>
      </w:r>
      <w:r w:rsidRPr="00FE15F1">
        <w:rPr>
          <w:rFonts w:ascii="Verdana" w:hAnsi="Verdana" w:cs="Arial"/>
          <w:spacing w:val="-2"/>
          <w:sz w:val="16"/>
          <w:szCs w:val="16"/>
        </w:rPr>
        <w:t xml:space="preserve"> </w:t>
      </w:r>
      <w:r w:rsidRPr="00FE15F1">
        <w:rPr>
          <w:rFonts w:ascii="Verdana" w:hAnsi="Verdana" w:cs="Arial"/>
          <w:sz w:val="16"/>
          <w:szCs w:val="16"/>
        </w:rPr>
        <w:t>2020.</w:t>
      </w:r>
      <w:r w:rsidRPr="00FE15F1">
        <w:rPr>
          <w:rFonts w:ascii="Verdana" w:hAnsi="Verdana" w:cs="Arial"/>
          <w:spacing w:val="-2"/>
          <w:sz w:val="16"/>
          <w:szCs w:val="16"/>
        </w:rPr>
        <w:t xml:space="preserve"> </w:t>
      </w:r>
      <w:r w:rsidRPr="00FE15F1">
        <w:rPr>
          <w:rFonts w:ascii="Verdana" w:hAnsi="Verdana" w:cs="Arial"/>
          <w:sz w:val="16"/>
          <w:szCs w:val="16"/>
        </w:rPr>
        <w:t>Serie</w:t>
      </w:r>
      <w:r w:rsidRPr="00FE15F1">
        <w:rPr>
          <w:rFonts w:ascii="Verdana" w:hAnsi="Verdana" w:cs="Arial"/>
          <w:spacing w:val="-1"/>
          <w:sz w:val="16"/>
          <w:szCs w:val="16"/>
        </w:rPr>
        <w:t xml:space="preserve"> </w:t>
      </w:r>
      <w:r w:rsidRPr="00FE15F1">
        <w:rPr>
          <w:rFonts w:ascii="Verdana" w:hAnsi="Verdana" w:cs="Arial"/>
          <w:sz w:val="16"/>
          <w:szCs w:val="16"/>
        </w:rPr>
        <w:t>C</w:t>
      </w:r>
      <w:r w:rsidRPr="00FE15F1">
        <w:rPr>
          <w:rFonts w:ascii="Verdana" w:hAnsi="Verdana" w:cs="Arial"/>
          <w:spacing w:val="-1"/>
          <w:sz w:val="16"/>
          <w:szCs w:val="16"/>
        </w:rPr>
        <w:t xml:space="preserve"> </w:t>
      </w:r>
      <w:r w:rsidRPr="00FE15F1">
        <w:rPr>
          <w:rFonts w:ascii="Verdana" w:hAnsi="Verdana" w:cs="Arial"/>
          <w:sz w:val="16"/>
          <w:szCs w:val="16"/>
        </w:rPr>
        <w:t>No.</w:t>
      </w:r>
      <w:r w:rsidRPr="00FE15F1">
        <w:rPr>
          <w:rFonts w:ascii="Verdana" w:hAnsi="Verdana" w:cs="Arial"/>
          <w:spacing w:val="-2"/>
          <w:sz w:val="16"/>
          <w:szCs w:val="16"/>
        </w:rPr>
        <w:t xml:space="preserve"> </w:t>
      </w:r>
      <w:r w:rsidRPr="00FE15F1">
        <w:rPr>
          <w:rFonts w:ascii="Verdana" w:hAnsi="Verdana" w:cs="Arial"/>
          <w:sz w:val="16"/>
          <w:szCs w:val="16"/>
        </w:rPr>
        <w:t>400, párr.</w:t>
      </w:r>
      <w:r w:rsidRPr="00FE15F1">
        <w:rPr>
          <w:rFonts w:ascii="Verdana" w:hAnsi="Verdana" w:cs="Arial"/>
          <w:spacing w:val="-2"/>
          <w:sz w:val="16"/>
          <w:szCs w:val="16"/>
        </w:rPr>
        <w:t xml:space="preserve"> </w:t>
      </w:r>
      <w:r w:rsidRPr="00FE15F1">
        <w:rPr>
          <w:rFonts w:ascii="Verdana" w:hAnsi="Verdana" w:cs="Arial"/>
          <w:sz w:val="16"/>
          <w:szCs w:val="16"/>
        </w:rPr>
        <w:t xml:space="preserve">200, y </w:t>
      </w:r>
      <w:r w:rsidRPr="00617293">
        <w:rPr>
          <w:rFonts w:ascii="Verdana" w:hAnsi="Verdana" w:cs="Open Sans"/>
          <w:i/>
          <w:sz w:val="16"/>
          <w:szCs w:val="16"/>
          <w:shd w:val="clear" w:color="auto" w:fill="FFFFFF"/>
        </w:rPr>
        <w:t>Caso González y otros Vs. Venezuela. Fondo y Reparaciones.</w:t>
      </w:r>
      <w:r w:rsidRPr="00617293">
        <w:rPr>
          <w:rFonts w:ascii="Verdana" w:hAnsi="Verdana" w:cs="Open Sans"/>
          <w:b/>
          <w:sz w:val="16"/>
          <w:szCs w:val="16"/>
          <w:shd w:val="clear" w:color="auto" w:fill="FFFFFF"/>
        </w:rPr>
        <w:t xml:space="preserve"> </w:t>
      </w:r>
      <w:r w:rsidRPr="00617293">
        <w:rPr>
          <w:rFonts w:ascii="Verdana" w:hAnsi="Verdana" w:cs="Open Sans"/>
          <w:sz w:val="16"/>
          <w:szCs w:val="16"/>
          <w:shd w:val="clear" w:color="auto" w:fill="FFFFFF"/>
        </w:rPr>
        <w:t xml:space="preserve">Sentencia de 20 de septiembre de 2021. Serie C No. 436, nota a pie de página </w:t>
      </w:r>
      <w:r w:rsidRPr="00FE15F1">
        <w:rPr>
          <w:rFonts w:ascii="Verdana" w:hAnsi="Verdana" w:cs="Arial"/>
          <w:sz w:val="16"/>
          <w:szCs w:val="16"/>
        </w:rPr>
        <w:t>149).</w:t>
      </w:r>
      <w:r>
        <w:rPr>
          <w:rFonts w:ascii="Verdana" w:hAnsi="Verdana" w:cs="Arial"/>
          <w:sz w:val="16"/>
          <w:szCs w:val="16"/>
        </w:rPr>
        <w:t xml:space="preserve"> El principio </w:t>
      </w:r>
      <w:proofErr w:type="spellStart"/>
      <w:r>
        <w:rPr>
          <w:rFonts w:ascii="Verdana" w:hAnsi="Verdana" w:cs="Arial"/>
          <w:i/>
          <w:sz w:val="16"/>
          <w:szCs w:val="16"/>
        </w:rPr>
        <w:t>iura</w:t>
      </w:r>
      <w:proofErr w:type="spellEnd"/>
      <w:r>
        <w:rPr>
          <w:rFonts w:ascii="Verdana" w:hAnsi="Verdana" w:cs="Arial"/>
          <w:i/>
          <w:sz w:val="16"/>
          <w:szCs w:val="16"/>
        </w:rPr>
        <w:t xml:space="preserve"> </w:t>
      </w:r>
      <w:proofErr w:type="spellStart"/>
      <w:r>
        <w:rPr>
          <w:rFonts w:ascii="Verdana" w:hAnsi="Verdana" w:cs="Arial"/>
          <w:i/>
          <w:sz w:val="16"/>
          <w:szCs w:val="16"/>
        </w:rPr>
        <w:t>novit</w:t>
      </w:r>
      <w:proofErr w:type="spellEnd"/>
      <w:r>
        <w:rPr>
          <w:rFonts w:ascii="Verdana" w:hAnsi="Verdana" w:cs="Arial"/>
          <w:i/>
          <w:sz w:val="16"/>
          <w:szCs w:val="16"/>
        </w:rPr>
        <w:t xml:space="preserve"> curia </w:t>
      </w:r>
      <w:r>
        <w:rPr>
          <w:rFonts w:ascii="Verdana" w:hAnsi="Verdana" w:cs="Arial"/>
          <w:sz w:val="16"/>
          <w:szCs w:val="16"/>
        </w:rPr>
        <w:t xml:space="preserve">ha sido aplicado en diversas oportunidades por este Tribunal: </w:t>
      </w:r>
      <w:r>
        <w:rPr>
          <w:rFonts w:ascii="Verdana" w:hAnsi="Verdana" w:cs="Arial"/>
          <w:i/>
          <w:sz w:val="16"/>
          <w:szCs w:val="16"/>
        </w:rPr>
        <w:t>c</w:t>
      </w:r>
      <w:r w:rsidRPr="00FE15F1">
        <w:rPr>
          <w:rFonts w:ascii="Verdana" w:hAnsi="Verdana" w:cs="Arial"/>
          <w:i/>
          <w:sz w:val="16"/>
          <w:szCs w:val="16"/>
        </w:rPr>
        <w:t>fr. Caso Velásquez Rodríguez Vs. Honduras. Fondo</w:t>
      </w:r>
      <w:r w:rsidRPr="00FE15F1">
        <w:rPr>
          <w:rFonts w:ascii="Verdana" w:hAnsi="Verdana" w:cs="Arial"/>
          <w:sz w:val="16"/>
          <w:szCs w:val="16"/>
        </w:rPr>
        <w:t>, párr.</w:t>
      </w:r>
      <w:r w:rsidRPr="00FE15F1">
        <w:rPr>
          <w:rFonts w:ascii="Verdana" w:hAnsi="Verdana" w:cs="Arial"/>
          <w:spacing w:val="1"/>
          <w:sz w:val="16"/>
          <w:szCs w:val="16"/>
        </w:rPr>
        <w:t xml:space="preserve"> </w:t>
      </w:r>
      <w:r w:rsidRPr="00FE15F1">
        <w:rPr>
          <w:rFonts w:ascii="Verdana" w:hAnsi="Verdana" w:cs="Arial"/>
          <w:sz w:val="16"/>
          <w:szCs w:val="16"/>
        </w:rPr>
        <w:t>163,</w:t>
      </w:r>
      <w:r w:rsidRPr="00FE15F1">
        <w:rPr>
          <w:rFonts w:ascii="Verdana" w:hAnsi="Verdana" w:cs="Arial"/>
          <w:spacing w:val="-7"/>
          <w:sz w:val="16"/>
          <w:szCs w:val="16"/>
        </w:rPr>
        <w:t xml:space="preserve"> </w:t>
      </w:r>
      <w:r w:rsidRPr="00FE15F1">
        <w:rPr>
          <w:rFonts w:ascii="Verdana" w:hAnsi="Verdana" w:cs="Arial"/>
          <w:sz w:val="16"/>
          <w:szCs w:val="16"/>
        </w:rPr>
        <w:t>y</w:t>
      </w:r>
      <w:r w:rsidRPr="00FE15F1">
        <w:rPr>
          <w:rFonts w:ascii="Verdana" w:hAnsi="Verdana" w:cs="Arial"/>
          <w:spacing w:val="-5"/>
          <w:sz w:val="16"/>
          <w:szCs w:val="16"/>
        </w:rPr>
        <w:t xml:space="preserve"> </w:t>
      </w:r>
      <w:r w:rsidRPr="00617293">
        <w:rPr>
          <w:rFonts w:ascii="Verdana" w:hAnsi="Verdana" w:cs="Open Sans"/>
          <w:i/>
          <w:sz w:val="16"/>
          <w:szCs w:val="16"/>
          <w:shd w:val="clear" w:color="auto" w:fill="FFFFFF"/>
        </w:rPr>
        <w:t xml:space="preserve">Caso Cuya </w:t>
      </w:r>
      <w:proofErr w:type="spellStart"/>
      <w:r w:rsidRPr="00617293">
        <w:rPr>
          <w:rFonts w:ascii="Verdana" w:hAnsi="Verdana" w:cs="Open Sans"/>
          <w:i/>
          <w:sz w:val="16"/>
          <w:szCs w:val="16"/>
          <w:shd w:val="clear" w:color="auto" w:fill="FFFFFF"/>
        </w:rPr>
        <w:t>Lavy</w:t>
      </w:r>
      <w:proofErr w:type="spellEnd"/>
      <w:r w:rsidRPr="00617293">
        <w:rPr>
          <w:rFonts w:ascii="Verdana" w:hAnsi="Verdana" w:cs="Open Sans"/>
          <w:i/>
          <w:sz w:val="16"/>
          <w:szCs w:val="16"/>
          <w:shd w:val="clear" w:color="auto" w:fill="FFFFFF"/>
        </w:rPr>
        <w:t xml:space="preserve"> y otros Vs. Perú. Excepciones preliminares, Fondo, Reparaciones y Costas.</w:t>
      </w:r>
      <w:r w:rsidRPr="00617293">
        <w:rPr>
          <w:rFonts w:ascii="Verdana" w:hAnsi="Verdana" w:cs="Open Sans"/>
          <w:sz w:val="16"/>
          <w:szCs w:val="16"/>
          <w:shd w:val="clear" w:color="auto" w:fill="FFFFFF"/>
        </w:rPr>
        <w:t xml:space="preserve"> Sentencia de 28 de septiembre de 2021. Serie C No. 438</w:t>
      </w:r>
      <w:r w:rsidRPr="00617293">
        <w:rPr>
          <w:rFonts w:ascii="Verdana" w:hAnsi="Verdana"/>
          <w:sz w:val="16"/>
          <w:szCs w:val="16"/>
        </w:rPr>
        <w:t>, párr. 149</w:t>
      </w:r>
      <w:r w:rsidRPr="00FE15F1">
        <w:rPr>
          <w:rFonts w:ascii="Verdana" w:hAnsi="Verdana"/>
          <w:i/>
          <w:sz w:val="16"/>
          <w:szCs w:val="16"/>
        </w:rPr>
        <w:t>.</w:t>
      </w:r>
    </w:p>
    <w:p w14:paraId="1F629496" w14:textId="77777777" w:rsidR="00DD280C" w:rsidRDefault="00DD280C" w:rsidP="002A53BF">
      <w:pPr>
        <w:pStyle w:val="Textonotapie"/>
      </w:pPr>
    </w:p>
  </w:footnote>
  <w:footnote w:id="134">
    <w:p w14:paraId="23EB1184" w14:textId="77777777" w:rsidR="00DD280C" w:rsidRPr="000031DD" w:rsidRDefault="00DD280C" w:rsidP="002A53BF">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La Comisión señaló: a) el contexto en que ocurrieron los hechos, en que “existía una práctica sistemática de desapariciones </w:t>
      </w:r>
      <w:proofErr w:type="spellStart"/>
      <w:r w:rsidRPr="000031DD">
        <w:rPr>
          <w:rFonts w:ascii="Verdana" w:hAnsi="Verdana"/>
          <w:sz w:val="16"/>
          <w:szCs w:val="16"/>
        </w:rPr>
        <w:t>fozadas</w:t>
      </w:r>
      <w:proofErr w:type="spellEnd"/>
      <w:r w:rsidRPr="000031DD">
        <w:rPr>
          <w:rFonts w:ascii="Verdana" w:hAnsi="Verdana"/>
          <w:sz w:val="16"/>
          <w:szCs w:val="16"/>
        </w:rPr>
        <w:t>”; b) los testim</w:t>
      </w:r>
      <w:r w:rsidRPr="007739A5">
        <w:rPr>
          <w:rFonts w:ascii="Verdana" w:hAnsi="Verdana"/>
          <w:sz w:val="16"/>
          <w:szCs w:val="16"/>
        </w:rPr>
        <w:t xml:space="preserve">onios de la madre y de otras personas, así como de Elena Zaffaroni Rocco, esposa del señor González </w:t>
      </w:r>
      <w:proofErr w:type="spellStart"/>
      <w:r w:rsidRPr="007739A5">
        <w:rPr>
          <w:rFonts w:ascii="Verdana" w:hAnsi="Verdana"/>
          <w:sz w:val="16"/>
          <w:szCs w:val="16"/>
        </w:rPr>
        <w:t>González</w:t>
      </w:r>
      <w:proofErr w:type="spellEnd"/>
      <w:r w:rsidRPr="007739A5">
        <w:rPr>
          <w:rFonts w:ascii="Verdana" w:hAnsi="Verdana"/>
          <w:sz w:val="16"/>
          <w:szCs w:val="16"/>
        </w:rPr>
        <w:t xml:space="preserve"> que fue detenida junto con él, y el “Informe de la Comisión Investigadora sobre el Destino Final de 33 Ciudadanos entre el 27 de junio de 1973 y el 1 de marzo de 1985”</w:t>
      </w:r>
      <w:r w:rsidRPr="00685170">
        <w:rPr>
          <w:rFonts w:ascii="Verdana" w:hAnsi="Verdana"/>
          <w:sz w:val="16"/>
          <w:szCs w:val="16"/>
        </w:rPr>
        <w:t>, y d)  la mención</w:t>
      </w:r>
      <w:r>
        <w:rPr>
          <w:rFonts w:ascii="Verdana" w:hAnsi="Verdana"/>
          <w:sz w:val="16"/>
          <w:szCs w:val="16"/>
        </w:rPr>
        <w:t xml:space="preserve"> de su </w:t>
      </w:r>
      <w:r w:rsidRPr="00685170">
        <w:rPr>
          <w:rFonts w:ascii="Verdana" w:hAnsi="Verdana"/>
          <w:sz w:val="16"/>
          <w:szCs w:val="16"/>
        </w:rPr>
        <w:t>caso en el “Informe Final Sobre Situación de Personas Desaparecidas y Hechos de la Motivaron”.</w:t>
      </w:r>
    </w:p>
    <w:p w14:paraId="0C0BB253" w14:textId="77777777" w:rsidR="00DD280C" w:rsidRPr="000031DD" w:rsidRDefault="00DD280C" w:rsidP="002A53BF">
      <w:pPr>
        <w:pStyle w:val="Textonotapie"/>
        <w:jc w:val="both"/>
        <w:rPr>
          <w:rFonts w:ascii="Verdana" w:hAnsi="Verdana"/>
          <w:sz w:val="16"/>
          <w:szCs w:val="16"/>
        </w:rPr>
      </w:pPr>
    </w:p>
  </w:footnote>
  <w:footnote w:id="135">
    <w:p w14:paraId="37C4C490" w14:textId="77777777" w:rsidR="00DD280C" w:rsidRPr="000031DD" w:rsidRDefault="00DD280C" w:rsidP="002A53BF">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La Comisión señaló: a) el contexto en que ocurrieron los hechos; b) el testimonio de la esposa del señor </w:t>
      </w:r>
      <w:proofErr w:type="spellStart"/>
      <w:r w:rsidRPr="000031DD">
        <w:rPr>
          <w:rFonts w:ascii="Verdana" w:hAnsi="Verdana"/>
          <w:sz w:val="16"/>
          <w:szCs w:val="16"/>
        </w:rPr>
        <w:t>Tassino</w:t>
      </w:r>
      <w:proofErr w:type="spellEnd"/>
      <w:r w:rsidRPr="000031DD">
        <w:rPr>
          <w:rFonts w:ascii="Verdana" w:hAnsi="Verdana"/>
          <w:sz w:val="16"/>
          <w:szCs w:val="16"/>
        </w:rPr>
        <w:t>, quien señaló que él fue detenido por “tres personas vestidas de civil que se identificaron como integrantes de las Fuerzas Conjuntas” y c) el Informe de la Comisión de Paz, que identificó a él como víctima de desaparición forzada”</w:t>
      </w:r>
      <w:r>
        <w:rPr>
          <w:rFonts w:ascii="Verdana" w:hAnsi="Verdana"/>
          <w:sz w:val="16"/>
          <w:szCs w:val="16"/>
        </w:rPr>
        <w:t>, y d)</w:t>
      </w:r>
      <w:r w:rsidRPr="000031DD">
        <w:rPr>
          <w:rFonts w:ascii="Verdana" w:hAnsi="Verdana"/>
          <w:sz w:val="16"/>
          <w:szCs w:val="16"/>
        </w:rPr>
        <w:t xml:space="preserve"> </w:t>
      </w:r>
      <w:r w:rsidRPr="00340E47">
        <w:rPr>
          <w:rFonts w:ascii="Verdana" w:hAnsi="Verdana"/>
          <w:sz w:val="16"/>
          <w:szCs w:val="16"/>
        </w:rPr>
        <w:t xml:space="preserve">la mención de su </w:t>
      </w:r>
      <w:r>
        <w:rPr>
          <w:rFonts w:ascii="Verdana" w:hAnsi="Verdana"/>
          <w:sz w:val="16"/>
          <w:szCs w:val="16"/>
        </w:rPr>
        <w:t>nombre</w:t>
      </w:r>
      <w:r w:rsidRPr="00340E47">
        <w:rPr>
          <w:rFonts w:ascii="Verdana" w:hAnsi="Verdana"/>
          <w:sz w:val="16"/>
          <w:szCs w:val="16"/>
        </w:rPr>
        <w:t xml:space="preserve"> en el “Informe Final Sobre Situación de Personas Desaparecidas y Hechos de la Motivaron”.</w:t>
      </w:r>
      <w:r w:rsidRPr="000031DD">
        <w:rPr>
          <w:rFonts w:ascii="Verdana" w:hAnsi="Verdana"/>
          <w:b/>
          <w:sz w:val="16"/>
          <w:szCs w:val="16"/>
        </w:rPr>
        <w:t xml:space="preserve"> </w:t>
      </w:r>
    </w:p>
    <w:p w14:paraId="12B59AD0" w14:textId="77777777" w:rsidR="00DD280C" w:rsidRPr="000031DD" w:rsidRDefault="00DD280C" w:rsidP="002A53BF">
      <w:pPr>
        <w:pStyle w:val="Textonotapie"/>
        <w:jc w:val="both"/>
        <w:rPr>
          <w:rFonts w:ascii="Verdana" w:hAnsi="Verdana"/>
          <w:sz w:val="16"/>
          <w:szCs w:val="16"/>
        </w:rPr>
      </w:pPr>
    </w:p>
  </w:footnote>
  <w:footnote w:id="136">
    <w:p w14:paraId="5C00D083" w14:textId="77777777" w:rsidR="00DD280C" w:rsidRPr="000031DD" w:rsidRDefault="00DD280C" w:rsidP="002A53BF">
      <w:pPr>
        <w:autoSpaceDE w:val="0"/>
        <w:autoSpaceDN w:val="0"/>
        <w:adjustRightInd w:val="0"/>
        <w:spacing w:after="0" w:line="240" w:lineRule="auto"/>
        <w:jc w:val="both"/>
        <w:rPr>
          <w:rFonts w:ascii="Verdana" w:hAnsi="Verdana" w:cs="Times New Roman"/>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El Estado señaló que tales confirmaciones se dieron por la Secretaría de Derechos Humanos para el Pasado Reciente, a partir de las investigaciones realizadas por la Comisión para la Paz. Indicó que, respecto a ambas víctimas, “</w:t>
      </w:r>
      <w:r w:rsidRPr="000031DD">
        <w:rPr>
          <w:rFonts w:ascii="Verdana" w:hAnsi="Verdana" w:cs="Times New Roman"/>
          <w:sz w:val="16"/>
          <w:szCs w:val="16"/>
        </w:rPr>
        <w:t xml:space="preserve">el 2 de agosto de 2006, se </w:t>
      </w:r>
      <w:proofErr w:type="spellStart"/>
      <w:r w:rsidRPr="000031DD">
        <w:rPr>
          <w:rFonts w:ascii="Verdana" w:hAnsi="Verdana" w:cs="Times New Roman"/>
          <w:sz w:val="16"/>
          <w:szCs w:val="16"/>
        </w:rPr>
        <w:t>emit</w:t>
      </w:r>
      <w:proofErr w:type="spellEnd"/>
      <w:r w:rsidRPr="000031DD">
        <w:rPr>
          <w:rFonts w:ascii="Verdana" w:hAnsi="Verdana" w:cs="Times New Roman"/>
          <w:sz w:val="16"/>
          <w:szCs w:val="16"/>
        </w:rPr>
        <w:t>[</w:t>
      </w:r>
      <w:proofErr w:type="spellStart"/>
      <w:r w:rsidRPr="000031DD">
        <w:rPr>
          <w:rFonts w:ascii="Verdana" w:hAnsi="Verdana" w:cs="Times New Roman"/>
          <w:sz w:val="16"/>
          <w:szCs w:val="16"/>
        </w:rPr>
        <w:t>ió</w:t>
      </w:r>
      <w:proofErr w:type="spellEnd"/>
      <w:r w:rsidRPr="000031DD">
        <w:rPr>
          <w:rFonts w:ascii="Verdana" w:hAnsi="Verdana" w:cs="Times New Roman"/>
          <w:sz w:val="16"/>
          <w:szCs w:val="16"/>
        </w:rPr>
        <w:t xml:space="preserve">] certificado de ausencia por desaparición forzada, de conformidad con lo establecido por la Ley </w:t>
      </w:r>
      <w:proofErr w:type="spellStart"/>
      <w:r w:rsidRPr="000031DD">
        <w:rPr>
          <w:rFonts w:ascii="Verdana" w:hAnsi="Verdana" w:cs="Times New Roman"/>
          <w:sz w:val="16"/>
          <w:szCs w:val="16"/>
        </w:rPr>
        <w:t>Nº</w:t>
      </w:r>
      <w:proofErr w:type="spellEnd"/>
      <w:r w:rsidRPr="000031DD">
        <w:rPr>
          <w:rFonts w:ascii="Verdana" w:hAnsi="Verdana" w:cs="Times New Roman"/>
          <w:sz w:val="16"/>
          <w:szCs w:val="16"/>
        </w:rPr>
        <w:t xml:space="preserve"> 17.894 del 14 de setiembre de 2005”.</w:t>
      </w:r>
    </w:p>
    <w:p w14:paraId="264C1F36" w14:textId="77777777" w:rsidR="00DD280C" w:rsidRPr="000031DD" w:rsidRDefault="00DD280C" w:rsidP="002A53BF">
      <w:pPr>
        <w:autoSpaceDE w:val="0"/>
        <w:autoSpaceDN w:val="0"/>
        <w:adjustRightInd w:val="0"/>
        <w:spacing w:after="0" w:line="240" w:lineRule="auto"/>
        <w:jc w:val="both"/>
        <w:rPr>
          <w:rFonts w:ascii="Verdana" w:hAnsi="Verdana" w:cs="Times New Roman"/>
          <w:sz w:val="16"/>
          <w:szCs w:val="16"/>
        </w:rPr>
      </w:pPr>
    </w:p>
  </w:footnote>
  <w:footnote w:id="137">
    <w:p w14:paraId="51562A7D" w14:textId="074A505B" w:rsidR="00DD280C" w:rsidRDefault="00DD280C" w:rsidP="002A53BF">
      <w:pPr>
        <w:pStyle w:val="Textonotapie"/>
        <w:jc w:val="both"/>
      </w:pPr>
      <w:r>
        <w:rPr>
          <w:rStyle w:val="Refdenotaalpie"/>
        </w:rPr>
        <w:footnoteRef/>
      </w:r>
      <w:r>
        <w:t xml:space="preserve">  </w:t>
      </w:r>
      <w:r>
        <w:tab/>
      </w:r>
      <w:r w:rsidRPr="00685170">
        <w:rPr>
          <w:rFonts w:ascii="Verdana" w:hAnsi="Verdana"/>
          <w:i/>
          <w:sz w:val="16"/>
          <w:szCs w:val="16"/>
        </w:rPr>
        <w:t xml:space="preserve">Cfr. </w:t>
      </w:r>
      <w:r w:rsidRPr="00685170">
        <w:rPr>
          <w:rFonts w:ascii="Verdana" w:hAnsi="Verdana" w:cs="Open Sans"/>
          <w:i/>
          <w:sz w:val="16"/>
          <w:szCs w:val="16"/>
          <w:shd w:val="clear" w:color="auto" w:fill="FFFFFF"/>
        </w:rPr>
        <w:t xml:space="preserve">Caso </w:t>
      </w:r>
      <w:proofErr w:type="spellStart"/>
      <w:r w:rsidRPr="00685170">
        <w:rPr>
          <w:rFonts w:ascii="Verdana" w:hAnsi="Verdana" w:cs="Open Sans"/>
          <w:i/>
          <w:sz w:val="16"/>
          <w:szCs w:val="16"/>
          <w:shd w:val="clear" w:color="auto" w:fill="FFFFFF"/>
        </w:rPr>
        <w:t>Goiburú</w:t>
      </w:r>
      <w:proofErr w:type="spellEnd"/>
      <w:r w:rsidRPr="00685170">
        <w:rPr>
          <w:rFonts w:ascii="Verdana" w:hAnsi="Verdana" w:cs="Open Sans"/>
          <w:i/>
          <w:sz w:val="16"/>
          <w:szCs w:val="16"/>
          <w:shd w:val="clear" w:color="auto" w:fill="FFFFFF"/>
        </w:rPr>
        <w:t xml:space="preserve"> y otros Vs. Paraguay. Fondo, Reparaciones y Costas.</w:t>
      </w:r>
      <w:r w:rsidRPr="00685170">
        <w:rPr>
          <w:rFonts w:ascii="Verdana" w:hAnsi="Verdana" w:cs="Open Sans"/>
          <w:sz w:val="16"/>
          <w:szCs w:val="16"/>
          <w:shd w:val="clear" w:color="auto" w:fill="FFFFFF"/>
        </w:rPr>
        <w:t xml:space="preserve"> Sentencia de 22 de septiembre de 2006. Serie C No. 153</w:t>
      </w:r>
      <w:r w:rsidRPr="00685170">
        <w:rPr>
          <w:rFonts w:ascii="Verdana" w:hAnsi="Verdana"/>
          <w:sz w:val="16"/>
          <w:szCs w:val="16"/>
        </w:rPr>
        <w:t xml:space="preserve">, párr. 84, y </w:t>
      </w:r>
      <w:r w:rsidRPr="003A42B8">
        <w:rPr>
          <w:rFonts w:ascii="Verdana" w:hAnsi="Verdana" w:cs="Open Sans"/>
          <w:i/>
          <w:sz w:val="16"/>
          <w:szCs w:val="16"/>
          <w:shd w:val="clear" w:color="auto" w:fill="FFFFFF"/>
        </w:rPr>
        <w:t>Caso Gelman Vs. Uruguay. Fondo y Reparaciones</w:t>
      </w:r>
      <w:r w:rsidRPr="00685170">
        <w:rPr>
          <w:rFonts w:ascii="Verdana" w:hAnsi="Verdana"/>
          <w:sz w:val="16"/>
          <w:szCs w:val="16"/>
        </w:rPr>
        <w:t xml:space="preserve">, párr. 64, y </w:t>
      </w:r>
      <w:r w:rsidRPr="00685170">
        <w:rPr>
          <w:rFonts w:ascii="Verdana" w:hAnsi="Verdana" w:cs="Open Sans"/>
          <w:i/>
          <w:sz w:val="16"/>
          <w:szCs w:val="16"/>
          <w:shd w:val="clear" w:color="auto" w:fill="FFFFFF"/>
        </w:rPr>
        <w:t>Caso Alvarado Espinoza y otros Vs. México. Fondo, Reparaciones y Costas</w:t>
      </w:r>
      <w:r w:rsidRPr="00685170">
        <w:rPr>
          <w:rFonts w:ascii="Verdana" w:hAnsi="Verdana" w:cs="Open Sans"/>
          <w:sz w:val="16"/>
          <w:szCs w:val="16"/>
          <w:shd w:val="clear" w:color="auto" w:fill="FFFFFF"/>
        </w:rPr>
        <w:t xml:space="preserve">. Sentencia de 28 de noviembre de 2018. Serie C No. 370, </w:t>
      </w:r>
      <w:proofErr w:type="spellStart"/>
      <w:r w:rsidRPr="00685170">
        <w:rPr>
          <w:rFonts w:ascii="Verdana" w:hAnsi="Verdana" w:cs="Open Sans"/>
          <w:sz w:val="16"/>
          <w:szCs w:val="16"/>
          <w:shd w:val="clear" w:color="auto" w:fill="FFFFFF"/>
        </w:rPr>
        <w:t>párrs</w:t>
      </w:r>
      <w:proofErr w:type="spellEnd"/>
      <w:r w:rsidRPr="00685170">
        <w:rPr>
          <w:rFonts w:ascii="Verdana" w:hAnsi="Verdana" w:cs="Open Sans"/>
          <w:sz w:val="16"/>
          <w:szCs w:val="16"/>
          <w:shd w:val="clear" w:color="auto" w:fill="FFFFFF"/>
        </w:rPr>
        <w:t xml:space="preserve">. 173, 176, 178. </w:t>
      </w:r>
    </w:p>
    <w:p w14:paraId="71A8EF60" w14:textId="77777777" w:rsidR="00DD280C" w:rsidRDefault="00DD280C" w:rsidP="002A53BF">
      <w:pPr>
        <w:pStyle w:val="Textonotapie"/>
      </w:pPr>
    </w:p>
  </w:footnote>
  <w:footnote w:id="138">
    <w:p w14:paraId="47A0FEEB" w14:textId="31D45DA2" w:rsidR="00DD280C" w:rsidRPr="00FB35D3" w:rsidRDefault="00DD280C" w:rsidP="00FB35D3">
      <w:pPr>
        <w:spacing w:after="0"/>
        <w:jc w:val="both"/>
        <w:rPr>
          <w:rFonts w:ascii="Times New Roman" w:eastAsia="Times New Roman" w:hAnsi="Times New Roman" w:cs="Times New Roman"/>
          <w:sz w:val="24"/>
          <w:szCs w:val="24"/>
          <w:lang w:eastAsia="es-CR"/>
        </w:rPr>
      </w:pPr>
      <w:r w:rsidRPr="008C6362">
        <w:rPr>
          <w:rStyle w:val="Refdenotaalpie"/>
          <w:rFonts w:ascii="Verdana" w:hAnsi="Verdana"/>
          <w:sz w:val="16"/>
          <w:szCs w:val="16"/>
        </w:rPr>
        <w:footnoteRef/>
      </w:r>
      <w:r w:rsidRPr="008C6362">
        <w:rPr>
          <w:rFonts w:ascii="Verdana" w:hAnsi="Verdana"/>
          <w:sz w:val="16"/>
          <w:szCs w:val="16"/>
        </w:rPr>
        <w:t xml:space="preserve"> </w:t>
      </w:r>
      <w:r w:rsidRPr="008C6362">
        <w:rPr>
          <w:rFonts w:ascii="Verdana" w:hAnsi="Verdana"/>
          <w:sz w:val="16"/>
          <w:szCs w:val="16"/>
        </w:rPr>
        <w:tab/>
      </w:r>
      <w:r w:rsidRPr="008C6362">
        <w:rPr>
          <w:rFonts w:ascii="Verdana" w:hAnsi="Verdana"/>
          <w:i/>
          <w:sz w:val="16"/>
          <w:szCs w:val="16"/>
        </w:rPr>
        <w:t xml:space="preserve">Cfr. </w:t>
      </w:r>
      <w:r w:rsidRPr="00FB35D3">
        <w:rPr>
          <w:rFonts w:ascii="Verdana" w:hAnsi="Verdana" w:cs="Open Sans"/>
          <w:i/>
          <w:sz w:val="16"/>
          <w:szCs w:val="16"/>
          <w:shd w:val="clear" w:color="auto" w:fill="FFFFFF"/>
        </w:rPr>
        <w:t>Caso Gómez Palomino Vs. Perú. Fondo, Reparaciones y Costas</w:t>
      </w:r>
      <w:r w:rsidRPr="00685170">
        <w:rPr>
          <w:rFonts w:ascii="Verdana" w:hAnsi="Verdana" w:cs="Open Sans"/>
          <w:sz w:val="16"/>
          <w:szCs w:val="16"/>
          <w:shd w:val="clear" w:color="auto" w:fill="FFFFFF"/>
        </w:rPr>
        <w:t xml:space="preserve">. Sentencia de 22 de noviembre de 2005. Serie C No. 136, párr. 97; </w:t>
      </w:r>
      <w:r w:rsidRPr="008C6362">
        <w:rPr>
          <w:rFonts w:ascii="Verdana" w:hAnsi="Verdana"/>
          <w:i/>
          <w:sz w:val="16"/>
          <w:szCs w:val="16"/>
        </w:rPr>
        <w:t xml:space="preserve">Caso Tenorio Roca y otros Vs. Perú. Excepciones Preliminares, Fondo, Reparaciones y Costas. </w:t>
      </w:r>
      <w:r w:rsidRPr="008C6362">
        <w:rPr>
          <w:rFonts w:ascii="Verdana" w:hAnsi="Verdana"/>
          <w:sz w:val="16"/>
          <w:szCs w:val="16"/>
        </w:rPr>
        <w:t xml:space="preserve">Sentencia de 22 de junio de 2016. Serie C No. 314, párr. 141, y </w:t>
      </w:r>
      <w:r w:rsidRPr="00685170">
        <w:rPr>
          <w:rFonts w:ascii="Verdana" w:eastAsia="Times New Roman" w:hAnsi="Verdana" w:cs="Open Sans"/>
          <w:i/>
          <w:sz w:val="16"/>
          <w:szCs w:val="16"/>
          <w:shd w:val="clear" w:color="auto" w:fill="FFFFFF"/>
          <w:lang w:eastAsia="es-CR"/>
        </w:rPr>
        <w:t>Caso Garzón Guzmán y otros Vs. Ecuador. Fondo, Reparaciones y Costas.</w:t>
      </w:r>
      <w:r w:rsidRPr="00685170">
        <w:rPr>
          <w:rFonts w:ascii="Verdana" w:eastAsia="Times New Roman" w:hAnsi="Verdana" w:cs="Open Sans"/>
          <w:sz w:val="16"/>
          <w:szCs w:val="16"/>
          <w:shd w:val="clear" w:color="auto" w:fill="FFFFFF"/>
          <w:lang w:eastAsia="es-CR"/>
        </w:rPr>
        <w:t xml:space="preserve"> Sentencia de 1 de septiembre de 2021. Serie C No. 434, párr. 62.</w:t>
      </w:r>
      <w:r>
        <w:rPr>
          <w:rFonts w:ascii="Verdana" w:eastAsia="Times New Roman" w:hAnsi="Verdana" w:cs="Open Sans"/>
          <w:sz w:val="16"/>
          <w:szCs w:val="16"/>
          <w:shd w:val="clear" w:color="auto" w:fill="FFFFFF"/>
          <w:lang w:eastAsia="es-CR"/>
        </w:rPr>
        <w:t xml:space="preserve"> </w:t>
      </w:r>
      <w:r w:rsidRPr="00E53751">
        <w:rPr>
          <w:rFonts w:ascii="Verdana" w:hAnsi="Verdana"/>
          <w:spacing w:val="-3"/>
          <w:sz w:val="16"/>
          <w:szCs w:val="16"/>
        </w:rPr>
        <w:t xml:space="preserve">Los artículos II y III de la </w:t>
      </w:r>
      <w:r w:rsidRPr="00E53751">
        <w:rPr>
          <w:rFonts w:ascii="Verdana" w:hAnsi="Verdana"/>
          <w:sz w:val="16"/>
          <w:szCs w:val="16"/>
        </w:rPr>
        <w:t>Convención Interamericana sobre Desaparición Forzada de Personas</w:t>
      </w:r>
      <w:r w:rsidRPr="00E53751">
        <w:rPr>
          <w:rFonts w:ascii="Verdana" w:hAnsi="Verdana"/>
          <w:spacing w:val="-3"/>
          <w:sz w:val="16"/>
          <w:szCs w:val="16"/>
        </w:rPr>
        <w:t xml:space="preserve"> </w:t>
      </w:r>
      <w:r w:rsidRPr="00E53751">
        <w:rPr>
          <w:rFonts w:ascii="Verdana" w:hAnsi="Verdana"/>
          <w:sz w:val="16"/>
          <w:szCs w:val="16"/>
        </w:rPr>
        <w:t xml:space="preserve">definen la desaparición forzada del siguiente modo: </w:t>
      </w:r>
    </w:p>
    <w:p w14:paraId="06605138" w14:textId="77777777" w:rsidR="00DD280C" w:rsidRPr="00E53751" w:rsidRDefault="00DD280C" w:rsidP="00FB35D3">
      <w:pPr>
        <w:pStyle w:val="Textonotapie"/>
        <w:tabs>
          <w:tab w:val="left" w:pos="360"/>
        </w:tabs>
        <w:jc w:val="both"/>
        <w:rPr>
          <w:rFonts w:ascii="Verdana" w:hAnsi="Verdana"/>
          <w:sz w:val="16"/>
          <w:szCs w:val="16"/>
        </w:rPr>
      </w:pPr>
    </w:p>
    <w:p w14:paraId="38188EA3" w14:textId="77777777" w:rsidR="00DD280C" w:rsidRPr="003677EF" w:rsidRDefault="00DD280C" w:rsidP="00FB35D3">
      <w:pPr>
        <w:spacing w:after="0"/>
        <w:ind w:left="284" w:right="333"/>
        <w:jc w:val="both"/>
        <w:rPr>
          <w:rFonts w:ascii="Verdana" w:hAnsi="Verdana" w:cs="Tahoma"/>
          <w:sz w:val="16"/>
          <w:szCs w:val="16"/>
        </w:rPr>
      </w:pPr>
      <w:r w:rsidRPr="003677EF">
        <w:rPr>
          <w:rFonts w:ascii="Verdana" w:hAnsi="Verdana" w:cs="Tahoma"/>
          <w:sz w:val="16"/>
          <w:szCs w:val="16"/>
        </w:rPr>
        <w:t>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p w14:paraId="2124CD05" w14:textId="77777777" w:rsidR="00DD280C" w:rsidRPr="003677EF" w:rsidRDefault="00DD280C" w:rsidP="00FB35D3">
      <w:pPr>
        <w:spacing w:after="0"/>
        <w:ind w:left="284" w:right="333"/>
        <w:jc w:val="both"/>
        <w:rPr>
          <w:rFonts w:ascii="Verdana" w:hAnsi="Verdana" w:cs="Tahoma"/>
          <w:sz w:val="16"/>
          <w:szCs w:val="16"/>
        </w:rPr>
      </w:pPr>
      <w:r w:rsidRPr="003677EF">
        <w:rPr>
          <w:rFonts w:ascii="Verdana" w:hAnsi="Verdana" w:cs="Tahoma"/>
          <w:sz w:val="16"/>
          <w:szCs w:val="16"/>
        </w:rPr>
        <w:t>[…]</w:t>
      </w:r>
    </w:p>
    <w:p w14:paraId="1BDA0F70" w14:textId="77777777" w:rsidR="00DD280C" w:rsidRPr="003677EF" w:rsidRDefault="00DD280C" w:rsidP="00FB35D3">
      <w:pPr>
        <w:pStyle w:val="Textonotapie"/>
        <w:tabs>
          <w:tab w:val="left" w:pos="360"/>
        </w:tabs>
        <w:ind w:left="284" w:right="333"/>
        <w:jc w:val="both"/>
        <w:rPr>
          <w:rFonts w:ascii="Verdana" w:hAnsi="Verdana"/>
          <w:sz w:val="16"/>
          <w:szCs w:val="16"/>
        </w:rPr>
      </w:pPr>
      <w:r w:rsidRPr="003677EF">
        <w:rPr>
          <w:rFonts w:ascii="Verdana" w:hAnsi="Verdana" w:cs="Tahoma"/>
          <w:sz w:val="16"/>
          <w:szCs w:val="16"/>
        </w:rPr>
        <w:t>Dicho delito será considerado como continuado o permanente mientras no se establezca el destino o paradero de la víctima.</w:t>
      </w:r>
    </w:p>
    <w:p w14:paraId="178EEE44" w14:textId="77777777" w:rsidR="00DD280C" w:rsidRPr="000031DD" w:rsidRDefault="00DD280C" w:rsidP="002A53BF">
      <w:pPr>
        <w:pStyle w:val="Textonotapie"/>
        <w:tabs>
          <w:tab w:val="left" w:pos="360"/>
        </w:tabs>
        <w:jc w:val="both"/>
        <w:rPr>
          <w:rFonts w:ascii="Verdana" w:hAnsi="Verdana"/>
          <w:sz w:val="16"/>
          <w:szCs w:val="16"/>
        </w:rPr>
      </w:pPr>
    </w:p>
  </w:footnote>
  <w:footnote w:id="139">
    <w:p w14:paraId="6157717B" w14:textId="78B25CD5" w:rsidR="00DD280C" w:rsidRPr="000031DD" w:rsidRDefault="00DD280C" w:rsidP="002A53BF">
      <w:pPr>
        <w:jc w:val="both"/>
        <w:rPr>
          <w:rFonts w:ascii="Verdana" w:hAnsi="Verdana"/>
          <w:sz w:val="16"/>
          <w:szCs w:val="16"/>
        </w:rPr>
      </w:pPr>
      <w:r w:rsidRPr="00F83EE6">
        <w:rPr>
          <w:rStyle w:val="Refdenotaalpie"/>
          <w:rFonts w:ascii="Verdana" w:hAnsi="Verdana"/>
          <w:sz w:val="16"/>
          <w:szCs w:val="16"/>
        </w:rPr>
        <w:footnoteRef/>
      </w:r>
      <w:r w:rsidRPr="00F83EE6">
        <w:rPr>
          <w:rFonts w:ascii="Verdana" w:hAnsi="Verdana"/>
          <w:sz w:val="16"/>
          <w:szCs w:val="16"/>
        </w:rPr>
        <w:t xml:space="preserve"> </w:t>
      </w:r>
      <w:r w:rsidRPr="00F83EE6">
        <w:rPr>
          <w:rFonts w:ascii="Verdana" w:hAnsi="Verdana"/>
          <w:sz w:val="16"/>
          <w:szCs w:val="16"/>
        </w:rPr>
        <w:tab/>
      </w:r>
      <w:r w:rsidRPr="00F83EE6">
        <w:rPr>
          <w:rFonts w:ascii="Verdana" w:hAnsi="Verdana" w:cs="Arial"/>
          <w:i/>
          <w:sz w:val="16"/>
          <w:szCs w:val="16"/>
        </w:rPr>
        <w:t xml:space="preserve">Cfr., </w:t>
      </w:r>
      <w:r w:rsidRPr="00685170">
        <w:rPr>
          <w:rFonts w:ascii="Verdana" w:hAnsi="Verdana" w:cs="Open Sans"/>
          <w:i/>
          <w:sz w:val="16"/>
          <w:szCs w:val="16"/>
          <w:shd w:val="clear" w:color="auto" w:fill="FFFFFF"/>
        </w:rPr>
        <w:t>Caso Gelman Vs. Uruguay. Fondo y Reparaciones</w:t>
      </w:r>
      <w:r w:rsidRPr="00F83EE6">
        <w:rPr>
          <w:rFonts w:ascii="Verdana" w:hAnsi="Verdana" w:cs="Arial"/>
          <w:i/>
          <w:sz w:val="16"/>
          <w:szCs w:val="16"/>
        </w:rPr>
        <w:t xml:space="preserve">, </w:t>
      </w:r>
      <w:proofErr w:type="spellStart"/>
      <w:r w:rsidRPr="00F83EE6">
        <w:rPr>
          <w:rFonts w:ascii="Verdana" w:hAnsi="Verdana" w:cs="Arial"/>
          <w:sz w:val="16"/>
          <w:szCs w:val="16"/>
        </w:rPr>
        <w:t>párrs</w:t>
      </w:r>
      <w:proofErr w:type="spellEnd"/>
      <w:r w:rsidRPr="00F83EE6">
        <w:rPr>
          <w:rFonts w:ascii="Verdana" w:hAnsi="Verdana" w:cs="Arial"/>
          <w:sz w:val="16"/>
          <w:szCs w:val="16"/>
        </w:rPr>
        <w:t>. 66 a 73. Ver también,</w:t>
      </w:r>
      <w:r w:rsidRPr="00F83EE6">
        <w:rPr>
          <w:rFonts w:ascii="Verdana" w:hAnsi="Verdana" w:cs="Arial"/>
          <w:i/>
          <w:sz w:val="16"/>
          <w:szCs w:val="16"/>
        </w:rPr>
        <w:t xml:space="preserve"> inter </w:t>
      </w:r>
      <w:proofErr w:type="spellStart"/>
      <w:r w:rsidRPr="00F83EE6">
        <w:rPr>
          <w:rFonts w:ascii="Verdana" w:hAnsi="Verdana" w:cs="Arial"/>
          <w:i/>
          <w:sz w:val="16"/>
          <w:szCs w:val="16"/>
        </w:rPr>
        <w:t>alia</w:t>
      </w:r>
      <w:proofErr w:type="spellEnd"/>
      <w:r w:rsidRPr="00F83EE6">
        <w:rPr>
          <w:rFonts w:ascii="Verdana" w:hAnsi="Verdana" w:cs="Arial"/>
          <w:sz w:val="16"/>
          <w:szCs w:val="16"/>
        </w:rPr>
        <w:t xml:space="preserve">, </w:t>
      </w:r>
      <w:r w:rsidRPr="00F83EE6">
        <w:rPr>
          <w:rFonts w:ascii="Verdana" w:hAnsi="Verdana"/>
          <w:i/>
          <w:sz w:val="16"/>
          <w:szCs w:val="16"/>
        </w:rPr>
        <w:t xml:space="preserve">Caso Velásquez Rodríguez Vs. Honduras. </w:t>
      </w:r>
      <w:r>
        <w:rPr>
          <w:rFonts w:ascii="Verdana" w:hAnsi="Verdana"/>
          <w:i/>
          <w:sz w:val="16"/>
          <w:szCs w:val="16"/>
          <w:lang w:val="es-ES"/>
        </w:rPr>
        <w:t xml:space="preserve">Fondo, </w:t>
      </w:r>
      <w:r w:rsidRPr="00F83EE6">
        <w:rPr>
          <w:rFonts w:ascii="Verdana" w:hAnsi="Verdana"/>
          <w:noProof/>
          <w:sz w:val="16"/>
          <w:szCs w:val="16"/>
        </w:rPr>
        <w:t xml:space="preserve">párrs. 155 a 157, </w:t>
      </w:r>
      <w:r w:rsidRPr="00685170">
        <w:rPr>
          <w:rFonts w:ascii="Verdana" w:eastAsia="Times New Roman" w:hAnsi="Verdana" w:cs="Open Sans"/>
          <w:i/>
          <w:sz w:val="16"/>
          <w:szCs w:val="16"/>
          <w:shd w:val="clear" w:color="auto" w:fill="FFFFFF"/>
          <w:lang w:eastAsia="es-CR"/>
        </w:rPr>
        <w:t xml:space="preserve">Caso Ibsen Cárdenas e Ibsen Peña Vs. Bolivia. Fondo, Reparaciones y Costas. </w:t>
      </w:r>
      <w:r w:rsidRPr="00685170">
        <w:rPr>
          <w:rFonts w:ascii="Verdana" w:eastAsia="Times New Roman" w:hAnsi="Verdana" w:cs="Open Sans"/>
          <w:sz w:val="16"/>
          <w:szCs w:val="16"/>
          <w:shd w:val="clear" w:color="auto" w:fill="FFFFFF"/>
          <w:lang w:eastAsia="es-CR"/>
        </w:rPr>
        <w:t xml:space="preserve">Sentencia de 1 de septiembre de 2010. Serie C No. 217, párr. 59 </w:t>
      </w:r>
      <w:r w:rsidRPr="00F83EE6">
        <w:rPr>
          <w:rFonts w:ascii="Verdana" w:hAnsi="Verdana"/>
          <w:sz w:val="16"/>
          <w:szCs w:val="16"/>
        </w:rPr>
        <w:t xml:space="preserve">y </w:t>
      </w:r>
      <w:r w:rsidRPr="00685170">
        <w:rPr>
          <w:rFonts w:ascii="Verdana" w:hAnsi="Verdana" w:cs="Open Sans"/>
          <w:i/>
          <w:sz w:val="16"/>
          <w:szCs w:val="16"/>
          <w:shd w:val="clear" w:color="auto" w:fill="FFFFFF"/>
        </w:rPr>
        <w:t>Caso Garzón Guzmán y otros Vs. Ecuador</w:t>
      </w:r>
      <w:r w:rsidRPr="00685170">
        <w:rPr>
          <w:rFonts w:ascii="Verdana" w:hAnsi="Verdana" w:cs="Open Sans"/>
          <w:sz w:val="16"/>
          <w:szCs w:val="16"/>
          <w:shd w:val="clear" w:color="auto" w:fill="FFFFFF"/>
        </w:rPr>
        <w:t xml:space="preserve">, párr. 62. </w:t>
      </w:r>
    </w:p>
  </w:footnote>
  <w:footnote w:id="140">
    <w:p w14:paraId="72A96029" w14:textId="4D5772B6" w:rsidR="00DD280C" w:rsidRPr="00685170" w:rsidRDefault="00DD280C" w:rsidP="002A53BF">
      <w:pPr>
        <w:pStyle w:val="Textonotapie"/>
        <w:jc w:val="both"/>
        <w:rPr>
          <w:rFonts w:ascii="Verdana" w:hAnsi="Verdana"/>
          <w:sz w:val="16"/>
          <w:szCs w:val="16"/>
        </w:rPr>
      </w:pPr>
      <w:r w:rsidRPr="000031DD">
        <w:rPr>
          <w:rStyle w:val="Refdenotaalpie"/>
          <w:rFonts w:ascii="Verdana" w:eastAsia="Calibri"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Arial"/>
          <w:i/>
          <w:sz w:val="16"/>
          <w:szCs w:val="16"/>
        </w:rPr>
        <w:t>Cfr.</w:t>
      </w:r>
      <w:r>
        <w:rPr>
          <w:rFonts w:ascii="Verdana" w:hAnsi="Verdana" w:cs="Arial"/>
          <w:sz w:val="16"/>
          <w:szCs w:val="16"/>
        </w:rPr>
        <w:t xml:space="preserve"> </w:t>
      </w:r>
      <w:r w:rsidRPr="000031DD">
        <w:rPr>
          <w:rFonts w:ascii="Verdana" w:hAnsi="Verdana"/>
          <w:i/>
          <w:sz w:val="16"/>
          <w:szCs w:val="16"/>
        </w:rPr>
        <w:t xml:space="preserve">Caso Velásquez Rodríguez Vs. Honduras. </w:t>
      </w:r>
      <w:r w:rsidRPr="000031DD">
        <w:rPr>
          <w:rFonts w:ascii="Verdana" w:hAnsi="Verdana"/>
          <w:i/>
          <w:sz w:val="16"/>
          <w:szCs w:val="16"/>
          <w:lang w:val="es-ES"/>
        </w:rPr>
        <w:t xml:space="preserve">Fondo, </w:t>
      </w:r>
      <w:r w:rsidRPr="000031DD">
        <w:rPr>
          <w:rFonts w:ascii="Verdana" w:hAnsi="Verdana"/>
          <w:noProof/>
          <w:sz w:val="16"/>
          <w:szCs w:val="16"/>
        </w:rPr>
        <w:t xml:space="preserve">párrs. 155 a 157, </w:t>
      </w:r>
      <w:r w:rsidRPr="000031DD">
        <w:rPr>
          <w:rFonts w:ascii="Verdana" w:hAnsi="Verdana"/>
          <w:sz w:val="16"/>
          <w:szCs w:val="16"/>
        </w:rPr>
        <w:t xml:space="preserve">y </w:t>
      </w:r>
      <w:r w:rsidRPr="00340E47">
        <w:rPr>
          <w:rFonts w:ascii="Verdana" w:hAnsi="Verdana" w:cs="Open Sans"/>
          <w:i/>
          <w:sz w:val="16"/>
          <w:szCs w:val="16"/>
          <w:shd w:val="clear" w:color="auto" w:fill="FFFFFF"/>
        </w:rPr>
        <w:t>Caso Garzón Guzmán y otros Vs. Ecuador</w:t>
      </w:r>
      <w:r w:rsidRPr="00340E47">
        <w:rPr>
          <w:rFonts w:ascii="Verdana" w:hAnsi="Verdana" w:cs="Open Sans"/>
          <w:sz w:val="16"/>
          <w:szCs w:val="16"/>
          <w:shd w:val="clear" w:color="auto" w:fill="FFFFFF"/>
        </w:rPr>
        <w:t xml:space="preserve">, párr. 62. </w:t>
      </w:r>
    </w:p>
    <w:p w14:paraId="66DAF4FC" w14:textId="77777777" w:rsidR="00DD280C" w:rsidRPr="000031DD" w:rsidRDefault="00DD280C" w:rsidP="002A53BF">
      <w:pPr>
        <w:pStyle w:val="Textonotapie"/>
        <w:tabs>
          <w:tab w:val="left" w:pos="426"/>
        </w:tabs>
        <w:jc w:val="both"/>
        <w:rPr>
          <w:rFonts w:ascii="Verdana" w:hAnsi="Verdana"/>
          <w:bCs/>
          <w:sz w:val="16"/>
          <w:szCs w:val="16"/>
          <w:lang w:val="es-ES"/>
        </w:rPr>
      </w:pPr>
    </w:p>
  </w:footnote>
  <w:footnote w:id="141">
    <w:p w14:paraId="78F55D8E" w14:textId="5755AB36" w:rsidR="00DD280C" w:rsidRPr="00340E47" w:rsidRDefault="00DD280C" w:rsidP="002A53BF">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lang w:val="es-ES"/>
        </w:rPr>
        <w:tab/>
      </w:r>
      <w:r w:rsidRPr="000031DD">
        <w:rPr>
          <w:rFonts w:ascii="Verdana" w:hAnsi="Verdana"/>
          <w:i/>
          <w:sz w:val="16"/>
          <w:szCs w:val="16"/>
        </w:rPr>
        <w:t>Cfr</w:t>
      </w:r>
      <w:r w:rsidRPr="000031DD">
        <w:rPr>
          <w:rFonts w:ascii="Verdana" w:hAnsi="Verdana"/>
          <w:sz w:val="16"/>
          <w:szCs w:val="16"/>
        </w:rPr>
        <w:t xml:space="preserve">. </w:t>
      </w:r>
      <w:r w:rsidRPr="000031DD">
        <w:rPr>
          <w:rFonts w:ascii="Verdana" w:hAnsi="Verdana"/>
          <w:i/>
          <w:sz w:val="16"/>
          <w:szCs w:val="16"/>
        </w:rPr>
        <w:t>Caso Velásquez Rodríguez Vs. Honduras</w:t>
      </w:r>
      <w:r w:rsidRPr="000031DD">
        <w:rPr>
          <w:rFonts w:ascii="Verdana" w:hAnsi="Verdana"/>
          <w:sz w:val="16"/>
          <w:szCs w:val="16"/>
        </w:rPr>
        <w:t xml:space="preserve">. </w:t>
      </w:r>
      <w:r w:rsidRPr="000031DD">
        <w:rPr>
          <w:rFonts w:ascii="Verdana" w:hAnsi="Verdana"/>
          <w:i/>
          <w:sz w:val="16"/>
          <w:szCs w:val="16"/>
        </w:rPr>
        <w:t>Fondo</w:t>
      </w:r>
      <w:r w:rsidRPr="000031DD">
        <w:rPr>
          <w:rFonts w:ascii="Verdana" w:hAnsi="Verdana"/>
          <w:sz w:val="16"/>
          <w:szCs w:val="16"/>
        </w:rPr>
        <w:t xml:space="preserve">, </w:t>
      </w:r>
      <w:proofErr w:type="spellStart"/>
      <w:r w:rsidRPr="000031DD">
        <w:rPr>
          <w:rFonts w:ascii="Verdana" w:hAnsi="Verdana"/>
          <w:sz w:val="16"/>
          <w:szCs w:val="16"/>
        </w:rPr>
        <w:t>párrs</w:t>
      </w:r>
      <w:proofErr w:type="spellEnd"/>
      <w:r w:rsidRPr="000031DD">
        <w:rPr>
          <w:rFonts w:ascii="Verdana" w:hAnsi="Verdana"/>
          <w:sz w:val="16"/>
          <w:szCs w:val="16"/>
        </w:rPr>
        <w:t xml:space="preserve">. 150, 155 a 158, 186 y 187, y </w:t>
      </w:r>
      <w:r w:rsidRPr="000031DD">
        <w:rPr>
          <w:rFonts w:ascii="Verdana" w:hAnsi="Verdana" w:cs="Arial"/>
          <w:i/>
          <w:sz w:val="16"/>
          <w:szCs w:val="16"/>
          <w:shd w:val="clear" w:color="auto" w:fill="FFFFFF"/>
        </w:rPr>
        <w:t>Caso Isaza Uribe y otros Vs. Colombia. Fondo, Reparaciones y Costas.</w:t>
      </w:r>
      <w:r w:rsidRPr="000031DD">
        <w:rPr>
          <w:rFonts w:ascii="Verdana" w:hAnsi="Verdana" w:cs="Arial"/>
          <w:sz w:val="16"/>
          <w:szCs w:val="16"/>
          <w:shd w:val="clear" w:color="auto" w:fill="FFFFFF"/>
        </w:rPr>
        <w:t xml:space="preserve"> Sentencia de 20 de noviembre de 2018. Serie C No. 363, párr. 81.</w:t>
      </w:r>
      <w:r>
        <w:rPr>
          <w:rFonts w:ascii="Verdana" w:hAnsi="Verdana" w:cs="Arial"/>
          <w:sz w:val="16"/>
          <w:szCs w:val="16"/>
          <w:shd w:val="clear" w:color="auto" w:fill="FFFFFF"/>
        </w:rPr>
        <w:t xml:space="preserve"> Ver también, en cuanto al señalamiento de los derechos afectados por la desaparición forzada, </w:t>
      </w:r>
      <w:r w:rsidRPr="00340E47">
        <w:rPr>
          <w:rFonts w:ascii="Verdana" w:hAnsi="Verdana" w:cs="Open Sans"/>
          <w:i/>
          <w:sz w:val="16"/>
          <w:szCs w:val="16"/>
          <w:shd w:val="clear" w:color="auto" w:fill="FFFFFF"/>
        </w:rPr>
        <w:t>Caso Garzón Guzmán y otros Vs. Ecuador</w:t>
      </w:r>
      <w:r w:rsidRPr="00340E47">
        <w:rPr>
          <w:rFonts w:ascii="Verdana" w:hAnsi="Verdana" w:cs="Open Sans"/>
          <w:sz w:val="16"/>
          <w:szCs w:val="16"/>
          <w:shd w:val="clear" w:color="auto" w:fill="FFFFFF"/>
        </w:rPr>
        <w:t>, párr</w:t>
      </w:r>
      <w:r>
        <w:rPr>
          <w:rFonts w:ascii="Verdana" w:hAnsi="Verdana" w:cs="Open Sans"/>
          <w:sz w:val="16"/>
          <w:szCs w:val="16"/>
          <w:shd w:val="clear" w:color="auto" w:fill="FFFFFF"/>
        </w:rPr>
        <w:t>. 64</w:t>
      </w:r>
      <w:r w:rsidRPr="00340E47">
        <w:rPr>
          <w:rFonts w:ascii="Verdana" w:hAnsi="Verdana" w:cs="Open Sans"/>
          <w:sz w:val="16"/>
          <w:szCs w:val="16"/>
          <w:shd w:val="clear" w:color="auto" w:fill="FFFFFF"/>
        </w:rPr>
        <w:t xml:space="preserve">. </w:t>
      </w:r>
    </w:p>
    <w:p w14:paraId="78131402" w14:textId="77777777" w:rsidR="00DD280C" w:rsidRPr="000031DD" w:rsidRDefault="00DD280C" w:rsidP="002A53BF">
      <w:pPr>
        <w:pStyle w:val="Textonotapie"/>
        <w:jc w:val="both"/>
        <w:rPr>
          <w:rFonts w:ascii="Verdana" w:hAnsi="Verdana"/>
          <w:sz w:val="16"/>
          <w:szCs w:val="16"/>
          <w:lang w:val="es-ES"/>
        </w:rPr>
      </w:pPr>
    </w:p>
  </w:footnote>
  <w:footnote w:id="142">
    <w:p w14:paraId="0EF381A6" w14:textId="29C24F67" w:rsidR="00DD280C" w:rsidRPr="00212326" w:rsidRDefault="00DD280C" w:rsidP="002A53BF">
      <w:pPr>
        <w:pStyle w:val="Textonotapie"/>
        <w:jc w:val="both"/>
        <w:rPr>
          <w:rFonts w:ascii="Verdana" w:hAnsi="Verdana"/>
          <w:sz w:val="16"/>
          <w:szCs w:val="16"/>
        </w:rPr>
      </w:pPr>
      <w:r w:rsidRPr="00212326">
        <w:rPr>
          <w:rStyle w:val="Refdenotaalpie"/>
          <w:rFonts w:ascii="Verdana" w:eastAsia="Batang" w:hAnsi="Verdana"/>
          <w:sz w:val="16"/>
          <w:szCs w:val="16"/>
        </w:rPr>
        <w:footnoteRef/>
      </w:r>
      <w:r w:rsidRPr="00212326">
        <w:rPr>
          <w:rFonts w:ascii="Verdana" w:hAnsi="Verdana"/>
          <w:sz w:val="16"/>
          <w:szCs w:val="16"/>
        </w:rPr>
        <w:t xml:space="preserve"> </w:t>
      </w:r>
      <w:r w:rsidRPr="00212326">
        <w:rPr>
          <w:rFonts w:ascii="Verdana" w:hAnsi="Verdana"/>
          <w:sz w:val="16"/>
          <w:szCs w:val="16"/>
        </w:rPr>
        <w:tab/>
      </w:r>
      <w:r w:rsidRPr="00212326">
        <w:rPr>
          <w:rFonts w:ascii="Verdana" w:hAnsi="Verdana"/>
          <w:i/>
          <w:sz w:val="16"/>
          <w:szCs w:val="16"/>
        </w:rPr>
        <w:t xml:space="preserve">Cfr. Caso </w:t>
      </w:r>
      <w:proofErr w:type="spellStart"/>
      <w:r w:rsidRPr="00212326">
        <w:rPr>
          <w:rFonts w:ascii="Verdana" w:hAnsi="Verdana"/>
          <w:i/>
          <w:sz w:val="16"/>
          <w:szCs w:val="16"/>
        </w:rPr>
        <w:t>Anzualdo</w:t>
      </w:r>
      <w:proofErr w:type="spellEnd"/>
      <w:r w:rsidRPr="00212326">
        <w:rPr>
          <w:rFonts w:ascii="Verdana" w:hAnsi="Verdana"/>
          <w:i/>
          <w:sz w:val="16"/>
          <w:szCs w:val="16"/>
        </w:rPr>
        <w:t xml:space="preserve"> Castro Vs. Perú. Excepción Preliminar, Fondo, Reparaciones y Costas.</w:t>
      </w:r>
      <w:r w:rsidRPr="00212326">
        <w:rPr>
          <w:rFonts w:ascii="Verdana" w:hAnsi="Verdana"/>
          <w:sz w:val="16"/>
          <w:szCs w:val="16"/>
        </w:rPr>
        <w:t xml:space="preserve"> Sentencia de 22 de septiembre de 2009. Serie C No. 202, párr. 59, y </w:t>
      </w:r>
      <w:r w:rsidRPr="00685170">
        <w:rPr>
          <w:rFonts w:ascii="Verdana" w:hAnsi="Verdana" w:cs="Open Sans"/>
          <w:i/>
          <w:sz w:val="16"/>
          <w:szCs w:val="16"/>
          <w:shd w:val="clear" w:color="auto" w:fill="FFFFFF"/>
        </w:rPr>
        <w:t>Caso Alvarado Espinoza y otros Vs. México</w:t>
      </w:r>
      <w:r w:rsidRPr="00685170">
        <w:rPr>
          <w:rFonts w:ascii="Verdana" w:hAnsi="Verdana" w:cs="Open Sans"/>
          <w:sz w:val="16"/>
          <w:szCs w:val="16"/>
          <w:shd w:val="clear" w:color="auto" w:fill="FFFFFF"/>
        </w:rPr>
        <w:t xml:space="preserve">, párr. 253. </w:t>
      </w:r>
    </w:p>
    <w:p w14:paraId="2EC16697" w14:textId="77777777" w:rsidR="00DD280C" w:rsidRPr="000031DD" w:rsidRDefault="00DD280C" w:rsidP="002A53BF">
      <w:pPr>
        <w:pStyle w:val="Textonotapie"/>
        <w:jc w:val="both"/>
        <w:rPr>
          <w:rFonts w:ascii="Verdana" w:hAnsi="Verdana"/>
          <w:sz w:val="16"/>
          <w:szCs w:val="16"/>
          <w:lang w:val="es-ES_tradnl"/>
        </w:rPr>
      </w:pPr>
    </w:p>
  </w:footnote>
  <w:footnote w:id="143">
    <w:p w14:paraId="4C898BEA" w14:textId="273BB0D6" w:rsidR="00DD280C" w:rsidRPr="00F40E9F" w:rsidRDefault="00DD280C" w:rsidP="002A53BF">
      <w:pPr>
        <w:pStyle w:val="Textonotapie"/>
        <w:jc w:val="both"/>
        <w:rPr>
          <w:rFonts w:ascii="Verdana" w:hAnsi="Verdana"/>
          <w:sz w:val="16"/>
          <w:szCs w:val="16"/>
        </w:rPr>
      </w:pPr>
      <w:r w:rsidRPr="00685170">
        <w:rPr>
          <w:rStyle w:val="Refdenotaalpie"/>
          <w:rFonts w:ascii="Verdana" w:hAnsi="Verdana"/>
          <w:sz w:val="16"/>
          <w:szCs w:val="16"/>
        </w:rPr>
        <w:footnoteRef/>
      </w:r>
      <w:r w:rsidRPr="00685170">
        <w:rPr>
          <w:rFonts w:ascii="Verdana" w:hAnsi="Verdana"/>
          <w:sz w:val="16"/>
          <w:szCs w:val="16"/>
        </w:rPr>
        <w:t xml:space="preserve">  </w:t>
      </w:r>
      <w:r w:rsidRPr="00685170">
        <w:rPr>
          <w:rFonts w:ascii="Verdana" w:hAnsi="Verdana"/>
          <w:sz w:val="16"/>
          <w:szCs w:val="16"/>
        </w:rPr>
        <w:tab/>
      </w:r>
      <w:r w:rsidRPr="00685170">
        <w:rPr>
          <w:rFonts w:ascii="Verdana" w:hAnsi="Verdana"/>
          <w:i/>
          <w:sz w:val="16"/>
          <w:szCs w:val="16"/>
        </w:rPr>
        <w:t>Cfr.</w:t>
      </w:r>
      <w:r w:rsidRPr="00685170">
        <w:rPr>
          <w:rFonts w:ascii="Verdana" w:hAnsi="Verdana"/>
          <w:sz w:val="16"/>
          <w:szCs w:val="16"/>
        </w:rPr>
        <w:t xml:space="preserve"> </w:t>
      </w:r>
      <w:r w:rsidRPr="00F40E9F">
        <w:rPr>
          <w:rFonts w:ascii="Verdana" w:hAnsi="Verdana"/>
          <w:i/>
          <w:sz w:val="16"/>
          <w:szCs w:val="16"/>
        </w:rPr>
        <w:t xml:space="preserve">Caso </w:t>
      </w:r>
      <w:proofErr w:type="spellStart"/>
      <w:r w:rsidRPr="00F40E9F">
        <w:rPr>
          <w:rFonts w:ascii="Verdana" w:hAnsi="Verdana"/>
          <w:i/>
          <w:sz w:val="16"/>
          <w:szCs w:val="16"/>
        </w:rPr>
        <w:t>Anzualdo</w:t>
      </w:r>
      <w:proofErr w:type="spellEnd"/>
      <w:r w:rsidRPr="00F40E9F">
        <w:rPr>
          <w:rFonts w:ascii="Verdana" w:hAnsi="Verdana"/>
          <w:i/>
          <w:sz w:val="16"/>
          <w:szCs w:val="16"/>
        </w:rPr>
        <w:t xml:space="preserve"> Castro Vs. Perú</w:t>
      </w:r>
      <w:r w:rsidRPr="00F40E9F">
        <w:rPr>
          <w:rFonts w:ascii="Verdana" w:hAnsi="Verdana"/>
          <w:sz w:val="16"/>
          <w:szCs w:val="16"/>
        </w:rPr>
        <w:t xml:space="preserve">, párr. 63, y </w:t>
      </w:r>
      <w:r w:rsidRPr="00685170">
        <w:rPr>
          <w:rFonts w:ascii="Verdana" w:hAnsi="Verdana" w:cs="Open Sans"/>
          <w:i/>
          <w:sz w:val="16"/>
          <w:szCs w:val="16"/>
          <w:shd w:val="clear" w:color="auto" w:fill="FFFFFF"/>
        </w:rPr>
        <w:t>Caso García y familiares Vs. Guatemala. Fondo, Reparaciones y Costas.</w:t>
      </w:r>
      <w:r w:rsidRPr="00685170">
        <w:rPr>
          <w:rFonts w:ascii="Verdana" w:hAnsi="Verdana" w:cs="Open Sans"/>
          <w:sz w:val="16"/>
          <w:szCs w:val="16"/>
          <w:shd w:val="clear" w:color="auto" w:fill="FFFFFF"/>
        </w:rPr>
        <w:t xml:space="preserve"> Sentencia de 29 noviembre de 2012 Serie C No. 258, párr. 102. </w:t>
      </w:r>
    </w:p>
    <w:p w14:paraId="53C980C6" w14:textId="77777777" w:rsidR="00DD280C" w:rsidRDefault="00DD280C" w:rsidP="002A53BF">
      <w:pPr>
        <w:pStyle w:val="Textonotapie"/>
      </w:pPr>
    </w:p>
  </w:footnote>
  <w:footnote w:id="144">
    <w:p w14:paraId="745E13ED" w14:textId="30A41AB7" w:rsidR="00DD280C" w:rsidRPr="00FA272D" w:rsidRDefault="00DD280C" w:rsidP="002A53BF">
      <w:pPr>
        <w:pStyle w:val="Textonotapie"/>
        <w:jc w:val="both"/>
        <w:rPr>
          <w:rFonts w:ascii="Verdana" w:hAnsi="Verdana"/>
          <w:sz w:val="16"/>
          <w:szCs w:val="16"/>
        </w:rPr>
      </w:pPr>
      <w:r w:rsidRPr="00FA272D">
        <w:rPr>
          <w:rStyle w:val="Refdenotaalpie"/>
          <w:rFonts w:ascii="Verdana" w:eastAsia="Batang" w:hAnsi="Verdana"/>
          <w:sz w:val="16"/>
          <w:szCs w:val="16"/>
        </w:rPr>
        <w:footnoteRef/>
      </w:r>
      <w:r w:rsidRPr="00FA272D">
        <w:rPr>
          <w:rFonts w:ascii="Verdana" w:hAnsi="Verdana"/>
          <w:sz w:val="16"/>
          <w:szCs w:val="16"/>
        </w:rPr>
        <w:t xml:space="preserve"> </w:t>
      </w:r>
      <w:r w:rsidRPr="00FA272D">
        <w:rPr>
          <w:rFonts w:ascii="Verdana" w:hAnsi="Verdana"/>
          <w:sz w:val="16"/>
          <w:szCs w:val="16"/>
        </w:rPr>
        <w:tab/>
      </w:r>
      <w:r w:rsidRPr="00FA272D">
        <w:rPr>
          <w:rFonts w:ascii="Verdana" w:hAnsi="Verdana"/>
          <w:i/>
          <w:sz w:val="16"/>
          <w:szCs w:val="16"/>
        </w:rPr>
        <w:t xml:space="preserve">Cfr. </w:t>
      </w:r>
      <w:r w:rsidRPr="00685170">
        <w:rPr>
          <w:rFonts w:ascii="Verdana" w:hAnsi="Verdana" w:cs="Open Sans"/>
          <w:i/>
          <w:sz w:val="16"/>
          <w:szCs w:val="16"/>
          <w:shd w:val="clear" w:color="auto" w:fill="FFFFFF"/>
        </w:rPr>
        <w:t xml:space="preserve">Caso </w:t>
      </w:r>
      <w:proofErr w:type="spellStart"/>
      <w:r w:rsidRPr="00685170">
        <w:rPr>
          <w:rFonts w:ascii="Verdana" w:hAnsi="Verdana" w:cs="Open Sans"/>
          <w:i/>
          <w:sz w:val="16"/>
          <w:szCs w:val="16"/>
          <w:shd w:val="clear" w:color="auto" w:fill="FFFFFF"/>
        </w:rPr>
        <w:t>Goiburú</w:t>
      </w:r>
      <w:proofErr w:type="spellEnd"/>
      <w:r w:rsidRPr="00685170">
        <w:rPr>
          <w:rFonts w:ascii="Verdana" w:hAnsi="Verdana" w:cs="Open Sans"/>
          <w:i/>
          <w:sz w:val="16"/>
          <w:szCs w:val="16"/>
          <w:shd w:val="clear" w:color="auto" w:fill="FFFFFF"/>
        </w:rPr>
        <w:t xml:space="preserve"> y otros Vs. Paraguay</w:t>
      </w:r>
      <w:r w:rsidRPr="00685170">
        <w:rPr>
          <w:rFonts w:ascii="Verdana" w:hAnsi="Verdana" w:cs="Open Sans"/>
          <w:sz w:val="16"/>
          <w:szCs w:val="16"/>
          <w:shd w:val="clear" w:color="auto" w:fill="FFFFFF"/>
        </w:rPr>
        <w:t xml:space="preserve">, párr. 82, y </w:t>
      </w:r>
      <w:r w:rsidRPr="00685170">
        <w:rPr>
          <w:rFonts w:ascii="Verdana" w:hAnsi="Verdana" w:cs="Open Sans"/>
          <w:i/>
          <w:sz w:val="16"/>
          <w:szCs w:val="16"/>
          <w:shd w:val="clear" w:color="auto" w:fill="FFFFFF"/>
        </w:rPr>
        <w:t xml:space="preserve">Caso </w:t>
      </w:r>
      <w:proofErr w:type="spellStart"/>
      <w:r w:rsidRPr="00685170">
        <w:rPr>
          <w:rFonts w:ascii="Verdana" w:hAnsi="Verdana" w:cs="Open Sans"/>
          <w:i/>
          <w:sz w:val="16"/>
          <w:szCs w:val="16"/>
          <w:shd w:val="clear" w:color="auto" w:fill="FFFFFF"/>
        </w:rPr>
        <w:t>Rochac</w:t>
      </w:r>
      <w:proofErr w:type="spellEnd"/>
      <w:r w:rsidRPr="00685170">
        <w:rPr>
          <w:rFonts w:ascii="Verdana" w:hAnsi="Verdana" w:cs="Open Sans"/>
          <w:i/>
          <w:sz w:val="16"/>
          <w:szCs w:val="16"/>
          <w:shd w:val="clear" w:color="auto" w:fill="FFFFFF"/>
        </w:rPr>
        <w:t xml:space="preserve"> Hernández y otros Vs. El Salvador. Fondo, Reparaciones y Costas. </w:t>
      </w:r>
      <w:r w:rsidRPr="00685170">
        <w:rPr>
          <w:rFonts w:ascii="Verdana" w:hAnsi="Verdana" w:cs="Open Sans"/>
          <w:sz w:val="16"/>
          <w:szCs w:val="16"/>
          <w:shd w:val="clear" w:color="auto" w:fill="FFFFFF"/>
        </w:rPr>
        <w:t xml:space="preserve">Sentencia de 14 de octubre de 2014. Serie C No. 285, párr. 94. </w:t>
      </w:r>
    </w:p>
    <w:p w14:paraId="582F6FCB" w14:textId="77777777" w:rsidR="00DD280C" w:rsidRPr="000031DD" w:rsidRDefault="00DD280C" w:rsidP="002A53BF">
      <w:pPr>
        <w:pStyle w:val="Textonotapie"/>
        <w:jc w:val="both"/>
        <w:rPr>
          <w:rFonts w:ascii="Verdana" w:hAnsi="Verdana"/>
          <w:sz w:val="16"/>
          <w:szCs w:val="16"/>
          <w:lang w:val="es-ES_tradnl"/>
        </w:rPr>
      </w:pPr>
    </w:p>
  </w:footnote>
  <w:footnote w:id="145">
    <w:p w14:paraId="2EE0B2F6" w14:textId="1BCD28AB" w:rsidR="00DD280C" w:rsidRDefault="00DD280C" w:rsidP="002A53BF">
      <w:pPr>
        <w:pStyle w:val="Textonotapie"/>
        <w:tabs>
          <w:tab w:val="left" w:pos="540"/>
        </w:tabs>
        <w:jc w:val="both"/>
        <w:rPr>
          <w:rFonts w:ascii="Verdana" w:hAnsi="Verdana"/>
          <w:sz w:val="16"/>
          <w:szCs w:val="16"/>
        </w:rPr>
      </w:pPr>
      <w:r w:rsidRPr="000031DD">
        <w:rPr>
          <w:rStyle w:val="Refdenotaalpie"/>
          <w:rFonts w:ascii="Verdana" w:eastAsia="Batang" w:hAnsi="Verdana"/>
          <w:sz w:val="16"/>
          <w:szCs w:val="16"/>
        </w:rPr>
        <w:footnoteRef/>
      </w:r>
      <w:r w:rsidRPr="000031DD">
        <w:rPr>
          <w:rStyle w:val="Refdenotaalpie"/>
          <w:rFonts w:ascii="Verdana" w:eastAsia="Batang" w:hAnsi="Verdana"/>
          <w:sz w:val="16"/>
          <w:szCs w:val="16"/>
        </w:rPr>
        <w:t xml:space="preserve"> </w:t>
      </w:r>
      <w:r w:rsidRPr="000031DD">
        <w:rPr>
          <w:rFonts w:ascii="Verdana" w:hAnsi="Verdana"/>
          <w:sz w:val="16"/>
          <w:szCs w:val="16"/>
          <w:lang w:val="es-CL"/>
        </w:rPr>
        <w:tab/>
      </w:r>
      <w:r w:rsidRPr="000031DD">
        <w:rPr>
          <w:rFonts w:ascii="Verdana" w:hAnsi="Verdana"/>
          <w:sz w:val="16"/>
          <w:szCs w:val="16"/>
          <w:lang w:val="es-CL"/>
        </w:rPr>
        <w:tab/>
      </w:r>
      <w:r w:rsidRPr="000031DD">
        <w:rPr>
          <w:rFonts w:ascii="Verdana" w:hAnsi="Verdana"/>
          <w:i/>
          <w:sz w:val="16"/>
          <w:szCs w:val="16"/>
          <w:lang w:val="es-CL"/>
        </w:rPr>
        <w:t>Cfr. Caso Velásquez Rodríguez. Fondo</w:t>
      </w:r>
      <w:r w:rsidRPr="000031DD">
        <w:rPr>
          <w:rFonts w:ascii="Verdana" w:hAnsi="Verdana"/>
          <w:sz w:val="16"/>
          <w:szCs w:val="16"/>
          <w:lang w:val="es-CL"/>
        </w:rPr>
        <w:t>, párr. 158</w:t>
      </w:r>
      <w:r>
        <w:rPr>
          <w:rFonts w:ascii="Verdana" w:hAnsi="Verdana"/>
          <w:sz w:val="16"/>
          <w:szCs w:val="16"/>
        </w:rPr>
        <w:t xml:space="preserve"> y </w:t>
      </w:r>
      <w:r w:rsidRPr="00685170">
        <w:rPr>
          <w:rFonts w:ascii="Verdana" w:hAnsi="Verdana"/>
          <w:i/>
          <w:sz w:val="16"/>
          <w:szCs w:val="16"/>
        </w:rPr>
        <w:t>Caso Tenorio Roca y otros Vs. Perú</w:t>
      </w:r>
      <w:r>
        <w:rPr>
          <w:rFonts w:ascii="Verdana" w:hAnsi="Verdana"/>
          <w:sz w:val="16"/>
          <w:szCs w:val="16"/>
        </w:rPr>
        <w:t>, párr. 140.</w:t>
      </w:r>
    </w:p>
    <w:p w14:paraId="7D3E56A3" w14:textId="77777777" w:rsidR="00DD280C" w:rsidRPr="000031DD" w:rsidRDefault="00DD280C" w:rsidP="002A53BF">
      <w:pPr>
        <w:pStyle w:val="Textonotapie"/>
        <w:tabs>
          <w:tab w:val="left" w:pos="540"/>
        </w:tabs>
        <w:jc w:val="both"/>
        <w:rPr>
          <w:rFonts w:ascii="Verdana" w:hAnsi="Verdana"/>
          <w:sz w:val="16"/>
          <w:szCs w:val="16"/>
          <w:lang w:val="es-CL"/>
        </w:rPr>
      </w:pPr>
    </w:p>
  </w:footnote>
  <w:footnote w:id="146">
    <w:p w14:paraId="5B8EB229" w14:textId="33C5EA2C" w:rsidR="00DD280C" w:rsidRPr="000031DD" w:rsidRDefault="00DD280C" w:rsidP="002A53BF">
      <w:pPr>
        <w:pStyle w:val="Textonotapie"/>
        <w:tabs>
          <w:tab w:val="left" w:pos="540"/>
        </w:tabs>
        <w:jc w:val="both"/>
        <w:rPr>
          <w:rFonts w:ascii="Verdana" w:hAnsi="Verdana"/>
          <w:sz w:val="16"/>
          <w:szCs w:val="16"/>
        </w:rPr>
      </w:pPr>
      <w:r w:rsidRPr="000031DD">
        <w:rPr>
          <w:rStyle w:val="Refdenotaalpie"/>
          <w:rFonts w:ascii="Verdana" w:eastAsia="Batang" w:hAnsi="Verdana"/>
          <w:sz w:val="16"/>
          <w:szCs w:val="16"/>
        </w:rPr>
        <w:footnoteRef/>
      </w:r>
      <w:r w:rsidRPr="000031DD">
        <w:rPr>
          <w:rFonts w:ascii="Verdana" w:hAnsi="Verdana"/>
          <w:sz w:val="16"/>
          <w:szCs w:val="16"/>
          <w:lang w:val="es-CL"/>
        </w:rPr>
        <w:t xml:space="preserve"> </w:t>
      </w:r>
      <w:r w:rsidRPr="000031DD">
        <w:rPr>
          <w:rFonts w:ascii="Verdana" w:hAnsi="Verdana"/>
          <w:sz w:val="16"/>
          <w:szCs w:val="16"/>
          <w:lang w:val="es-CL"/>
        </w:rPr>
        <w:tab/>
      </w:r>
      <w:r w:rsidRPr="000031DD">
        <w:rPr>
          <w:rFonts w:ascii="Verdana" w:hAnsi="Verdana"/>
          <w:sz w:val="16"/>
          <w:szCs w:val="16"/>
          <w:lang w:val="es-CL"/>
        </w:rPr>
        <w:tab/>
      </w:r>
      <w:r w:rsidRPr="000031DD">
        <w:rPr>
          <w:rFonts w:ascii="Verdana" w:hAnsi="Verdana"/>
          <w:i/>
          <w:sz w:val="16"/>
          <w:szCs w:val="16"/>
          <w:lang w:val="es-CL"/>
        </w:rPr>
        <w:t xml:space="preserve">Cfr. </w:t>
      </w:r>
      <w:r w:rsidRPr="000031DD">
        <w:rPr>
          <w:rFonts w:ascii="Verdana" w:hAnsi="Verdana"/>
          <w:i/>
          <w:sz w:val="16"/>
          <w:szCs w:val="16"/>
        </w:rPr>
        <w:t xml:space="preserve">Caso </w:t>
      </w:r>
      <w:proofErr w:type="spellStart"/>
      <w:r w:rsidRPr="000031DD">
        <w:rPr>
          <w:rFonts w:ascii="Verdana" w:hAnsi="Verdana"/>
          <w:i/>
          <w:sz w:val="16"/>
          <w:szCs w:val="16"/>
        </w:rPr>
        <w:t>Goiburú</w:t>
      </w:r>
      <w:proofErr w:type="spellEnd"/>
      <w:r w:rsidRPr="000031DD">
        <w:rPr>
          <w:rFonts w:ascii="Verdana" w:hAnsi="Verdana"/>
          <w:i/>
          <w:sz w:val="16"/>
          <w:szCs w:val="16"/>
        </w:rPr>
        <w:t xml:space="preserve"> y otros</w:t>
      </w:r>
      <w:r w:rsidRPr="00685170">
        <w:rPr>
          <w:rFonts w:ascii="Verdana" w:hAnsi="Verdana"/>
          <w:i/>
          <w:sz w:val="16"/>
          <w:szCs w:val="16"/>
        </w:rPr>
        <w:t xml:space="preserve"> Vs. Paraguay</w:t>
      </w:r>
      <w:r w:rsidRPr="000031DD">
        <w:rPr>
          <w:rFonts w:ascii="Verdana" w:hAnsi="Verdana"/>
          <w:sz w:val="16"/>
          <w:szCs w:val="16"/>
        </w:rPr>
        <w:t>, párr. 84;</w:t>
      </w:r>
      <w:r>
        <w:rPr>
          <w:rFonts w:ascii="Verdana" w:hAnsi="Verdana"/>
          <w:sz w:val="16"/>
          <w:szCs w:val="16"/>
        </w:rPr>
        <w:t xml:space="preserve"> </w:t>
      </w:r>
      <w:r w:rsidRPr="00340E47">
        <w:rPr>
          <w:rFonts w:ascii="Verdana" w:hAnsi="Verdana"/>
          <w:i/>
          <w:sz w:val="16"/>
          <w:szCs w:val="16"/>
        </w:rPr>
        <w:t>Caso Tenorio Roca y otros Vs. Perú</w:t>
      </w:r>
      <w:r>
        <w:rPr>
          <w:rFonts w:ascii="Verdana" w:hAnsi="Verdana"/>
          <w:sz w:val="16"/>
          <w:szCs w:val="16"/>
        </w:rPr>
        <w:t>, párr. 140.</w:t>
      </w:r>
    </w:p>
    <w:p w14:paraId="0C55ADFB" w14:textId="77777777" w:rsidR="00DD280C" w:rsidRPr="000031DD" w:rsidRDefault="00DD280C" w:rsidP="002A53BF">
      <w:pPr>
        <w:pStyle w:val="Textonotapie"/>
        <w:tabs>
          <w:tab w:val="left" w:pos="540"/>
        </w:tabs>
        <w:jc w:val="both"/>
        <w:rPr>
          <w:rFonts w:ascii="Verdana" w:hAnsi="Verdana"/>
          <w:sz w:val="16"/>
          <w:szCs w:val="16"/>
          <w:lang w:val="es-ES_tradnl"/>
        </w:rPr>
      </w:pPr>
    </w:p>
  </w:footnote>
  <w:footnote w:id="147">
    <w:p w14:paraId="4E003CEA" w14:textId="731B4E51" w:rsidR="00DD280C" w:rsidRPr="00FD3E81" w:rsidRDefault="00DD280C" w:rsidP="002A53BF">
      <w:pPr>
        <w:pStyle w:val="Textonotapie"/>
        <w:jc w:val="both"/>
        <w:rPr>
          <w:rFonts w:ascii="Verdana" w:hAnsi="Verdana"/>
          <w:sz w:val="16"/>
          <w:szCs w:val="16"/>
        </w:rPr>
      </w:pPr>
      <w:r w:rsidRPr="00FD3E81">
        <w:rPr>
          <w:rStyle w:val="Refdenotaalpie"/>
          <w:rFonts w:ascii="Verdana" w:hAnsi="Verdana"/>
          <w:sz w:val="16"/>
          <w:szCs w:val="16"/>
        </w:rPr>
        <w:footnoteRef/>
      </w:r>
      <w:r w:rsidRPr="00FD3E81">
        <w:rPr>
          <w:rFonts w:ascii="Verdana" w:hAnsi="Verdana"/>
          <w:sz w:val="16"/>
          <w:szCs w:val="16"/>
        </w:rPr>
        <w:t xml:space="preserve">  </w:t>
      </w:r>
      <w:r w:rsidRPr="00FD3E81">
        <w:rPr>
          <w:rFonts w:ascii="Verdana" w:hAnsi="Verdana"/>
          <w:sz w:val="16"/>
          <w:szCs w:val="16"/>
        </w:rPr>
        <w:tab/>
      </w:r>
      <w:r w:rsidRPr="00FD3E81">
        <w:rPr>
          <w:rFonts w:ascii="Verdana" w:hAnsi="Verdana"/>
          <w:i/>
          <w:sz w:val="16"/>
          <w:szCs w:val="16"/>
        </w:rPr>
        <w:t>Cfr.</w:t>
      </w:r>
      <w:r>
        <w:rPr>
          <w:rFonts w:ascii="Verdana" w:hAnsi="Verdana"/>
          <w:sz w:val="16"/>
          <w:szCs w:val="16"/>
        </w:rPr>
        <w:t xml:space="preserve"> </w:t>
      </w:r>
      <w:r w:rsidRPr="00685170">
        <w:rPr>
          <w:rFonts w:ascii="Verdana" w:hAnsi="Verdana"/>
          <w:i/>
          <w:sz w:val="16"/>
          <w:szCs w:val="16"/>
        </w:rPr>
        <w:t xml:space="preserve">Caso </w:t>
      </w:r>
      <w:proofErr w:type="spellStart"/>
      <w:r w:rsidRPr="00685170">
        <w:rPr>
          <w:rFonts w:ascii="Verdana" w:hAnsi="Verdana"/>
          <w:i/>
          <w:sz w:val="16"/>
          <w:szCs w:val="16"/>
        </w:rPr>
        <w:t>Goiburú</w:t>
      </w:r>
      <w:proofErr w:type="spellEnd"/>
      <w:r w:rsidRPr="00685170">
        <w:rPr>
          <w:rFonts w:ascii="Verdana" w:hAnsi="Verdana"/>
          <w:i/>
          <w:sz w:val="16"/>
          <w:szCs w:val="16"/>
        </w:rPr>
        <w:t xml:space="preserve"> y otros Vs. Paraguay</w:t>
      </w:r>
      <w:r w:rsidRPr="00685170">
        <w:rPr>
          <w:rFonts w:ascii="Verdana" w:hAnsi="Verdana"/>
          <w:sz w:val="16"/>
          <w:szCs w:val="16"/>
        </w:rPr>
        <w:t xml:space="preserve">, párr. 85, y </w:t>
      </w:r>
      <w:r w:rsidRPr="00685170">
        <w:rPr>
          <w:rFonts w:ascii="Verdana" w:hAnsi="Verdana" w:cs="Open Sans"/>
          <w:i/>
          <w:sz w:val="16"/>
          <w:szCs w:val="16"/>
          <w:shd w:val="clear" w:color="auto" w:fill="FFFFFF"/>
        </w:rPr>
        <w:t>Caso Alvarado Espinoza y otros Vs. México</w:t>
      </w:r>
      <w:r w:rsidRPr="00685170">
        <w:rPr>
          <w:rFonts w:ascii="Verdana" w:hAnsi="Verdana" w:cs="Open Sans"/>
          <w:sz w:val="16"/>
          <w:szCs w:val="16"/>
          <w:shd w:val="clear" w:color="auto" w:fill="FFFFFF"/>
        </w:rPr>
        <w:t xml:space="preserve">, </w:t>
      </w:r>
      <w:proofErr w:type="spellStart"/>
      <w:r w:rsidRPr="00685170">
        <w:rPr>
          <w:rFonts w:ascii="Verdana" w:hAnsi="Verdana" w:cs="Open Sans"/>
          <w:sz w:val="16"/>
          <w:szCs w:val="16"/>
          <w:shd w:val="clear" w:color="auto" w:fill="FFFFFF"/>
        </w:rPr>
        <w:t>parr</w:t>
      </w:r>
      <w:proofErr w:type="spellEnd"/>
      <w:r w:rsidRPr="00685170">
        <w:rPr>
          <w:rFonts w:ascii="Verdana" w:hAnsi="Verdana" w:cs="Open Sans"/>
          <w:sz w:val="16"/>
          <w:szCs w:val="16"/>
          <w:shd w:val="clear" w:color="auto" w:fill="FFFFFF"/>
        </w:rPr>
        <w:t>. 166.</w:t>
      </w:r>
      <w:r>
        <w:rPr>
          <w:rFonts w:ascii="Verdana" w:hAnsi="Verdana"/>
          <w:sz w:val="16"/>
          <w:szCs w:val="16"/>
        </w:rPr>
        <w:t xml:space="preserve"> La Corte efectuó</w:t>
      </w:r>
      <w:r w:rsidRPr="00685170">
        <w:rPr>
          <w:rFonts w:ascii="Verdana" w:hAnsi="Verdana"/>
          <w:sz w:val="16"/>
          <w:szCs w:val="16"/>
        </w:rPr>
        <w:t xml:space="preserve"> un señalamiento en el mismo sentido respecto a un caso anterior sobre Uruguay, también vinculado al contexto de prácticas sistemáticas de diversas violaciones a derechos humanos durante la dictadura cívico-militar</w:t>
      </w:r>
      <w:r>
        <w:rPr>
          <w:rFonts w:ascii="Verdana" w:hAnsi="Verdana"/>
          <w:sz w:val="16"/>
          <w:szCs w:val="16"/>
        </w:rPr>
        <w:t>,</w:t>
      </w:r>
      <w:r w:rsidRPr="00685170">
        <w:rPr>
          <w:rFonts w:ascii="Verdana" w:hAnsi="Verdana"/>
          <w:sz w:val="16"/>
          <w:szCs w:val="16"/>
        </w:rPr>
        <w:t xml:space="preserve"> que tuvo lugar en ese país entre el 27 de junio de 1973 y el 28 de febrero de 1985 (</w:t>
      </w:r>
      <w:r w:rsidRPr="00685170">
        <w:rPr>
          <w:rFonts w:ascii="Verdana" w:hAnsi="Verdana"/>
          <w:i/>
          <w:sz w:val="16"/>
          <w:szCs w:val="16"/>
        </w:rPr>
        <w:t>cfr. Caso Gelman Vs. Uruguay. Fondo y Reparaciones</w:t>
      </w:r>
      <w:r w:rsidRPr="00FD3E81">
        <w:rPr>
          <w:rFonts w:ascii="Verdana" w:hAnsi="Verdana"/>
          <w:sz w:val="16"/>
          <w:szCs w:val="16"/>
        </w:rPr>
        <w:t>, párr. 78).</w:t>
      </w:r>
    </w:p>
    <w:p w14:paraId="7A2DC8D4" w14:textId="77777777" w:rsidR="00DD280C" w:rsidRPr="000031DD" w:rsidRDefault="00DD280C" w:rsidP="002A53BF">
      <w:pPr>
        <w:pStyle w:val="Textonotapie"/>
        <w:jc w:val="both"/>
        <w:rPr>
          <w:rFonts w:ascii="Verdana" w:hAnsi="Verdana"/>
          <w:sz w:val="16"/>
          <w:szCs w:val="16"/>
        </w:rPr>
      </w:pPr>
    </w:p>
  </w:footnote>
  <w:footnote w:id="148">
    <w:p w14:paraId="497E5577" w14:textId="77777777" w:rsidR="00DD280C" w:rsidRPr="000031DD" w:rsidRDefault="00DD280C" w:rsidP="002A53BF">
      <w:pPr>
        <w:pStyle w:val="Textonotapie"/>
        <w:jc w:val="both"/>
        <w:rPr>
          <w:rFonts w:ascii="Verdana" w:hAnsi="Verdana"/>
          <w:sz w:val="16"/>
          <w:szCs w:val="16"/>
        </w:rPr>
      </w:pPr>
      <w:r w:rsidRPr="00685170">
        <w:rPr>
          <w:rStyle w:val="Refdenotaalpie"/>
          <w:rFonts w:ascii="Verdana" w:hAnsi="Verdana"/>
          <w:sz w:val="16"/>
          <w:szCs w:val="16"/>
        </w:rPr>
        <w:footnoteRef/>
      </w:r>
      <w:r w:rsidRPr="00685170">
        <w:rPr>
          <w:rFonts w:ascii="Verdana" w:hAnsi="Verdana"/>
          <w:sz w:val="16"/>
          <w:szCs w:val="16"/>
        </w:rPr>
        <w:t xml:space="preserve">  </w:t>
      </w:r>
      <w:r w:rsidRPr="00685170">
        <w:rPr>
          <w:rFonts w:ascii="Verdana" w:hAnsi="Verdana"/>
          <w:sz w:val="16"/>
          <w:szCs w:val="16"/>
        </w:rPr>
        <w:tab/>
        <w:t xml:space="preserve">De los hechos surge que el señor Luis Eduardo González </w:t>
      </w:r>
      <w:proofErr w:type="spellStart"/>
      <w:r w:rsidRPr="00685170">
        <w:rPr>
          <w:rFonts w:ascii="Verdana" w:hAnsi="Verdana"/>
          <w:sz w:val="16"/>
          <w:szCs w:val="16"/>
        </w:rPr>
        <w:t>González</w:t>
      </w:r>
      <w:proofErr w:type="spellEnd"/>
      <w:r w:rsidRPr="00685170">
        <w:rPr>
          <w:rFonts w:ascii="Verdana" w:hAnsi="Verdana"/>
          <w:sz w:val="16"/>
          <w:szCs w:val="16"/>
        </w:rPr>
        <w:t xml:space="preserve"> fue aprehendido junto con su esposa, Elena Zaffaroni Rocco, quien se encontraba embarazada (</w:t>
      </w:r>
      <w:r w:rsidRPr="00685170">
        <w:rPr>
          <w:rFonts w:ascii="Verdana" w:hAnsi="Verdana"/>
          <w:i/>
          <w:sz w:val="16"/>
          <w:szCs w:val="16"/>
        </w:rPr>
        <w:t xml:space="preserve">supra </w:t>
      </w:r>
      <w:proofErr w:type="spellStart"/>
      <w:r w:rsidRPr="00685170">
        <w:rPr>
          <w:rFonts w:ascii="Verdana" w:hAnsi="Verdana"/>
          <w:sz w:val="16"/>
          <w:szCs w:val="16"/>
        </w:rPr>
        <w:t>párrs</w:t>
      </w:r>
      <w:proofErr w:type="spellEnd"/>
      <w:r w:rsidRPr="00685170">
        <w:rPr>
          <w:rFonts w:ascii="Verdana" w:hAnsi="Verdana"/>
          <w:sz w:val="16"/>
          <w:szCs w:val="16"/>
        </w:rPr>
        <w:t>. 73 a 75) La señora Zaffaroni Rocco fue liberada en 1978 (</w:t>
      </w:r>
      <w:r w:rsidRPr="00685170">
        <w:rPr>
          <w:rFonts w:ascii="Verdana" w:hAnsi="Verdana"/>
          <w:i/>
          <w:sz w:val="16"/>
          <w:szCs w:val="16"/>
        </w:rPr>
        <w:t>supra</w:t>
      </w:r>
      <w:r w:rsidRPr="00685170">
        <w:rPr>
          <w:rFonts w:ascii="Verdana" w:hAnsi="Verdana"/>
          <w:sz w:val="16"/>
          <w:szCs w:val="16"/>
        </w:rPr>
        <w:t xml:space="preserve"> párr. 76), antes de que este Tribunal tuviera competencia para juzgar a Uruguay por violaciones a los derechos humanos (</w:t>
      </w:r>
      <w:r w:rsidRPr="00685170">
        <w:rPr>
          <w:rFonts w:ascii="Verdana" w:hAnsi="Verdana"/>
          <w:i/>
          <w:sz w:val="16"/>
          <w:szCs w:val="16"/>
        </w:rPr>
        <w:t xml:space="preserve">supra </w:t>
      </w:r>
      <w:r w:rsidRPr="00685170">
        <w:rPr>
          <w:rFonts w:ascii="Verdana" w:hAnsi="Verdana"/>
          <w:sz w:val="16"/>
          <w:szCs w:val="16"/>
        </w:rPr>
        <w:t>párr. 12) Las vulneraciones a derechos humanos respecto de la señora Zaffaroni Rocco sustentadas en hechos consumados antes del 19 de abril de 1985, fecha en que el Estado aceptó la competencia de la Corte, no han sido sometidos al conocimiento del Tribunal (</w:t>
      </w:r>
      <w:r w:rsidRPr="00685170">
        <w:rPr>
          <w:rFonts w:ascii="Verdana" w:hAnsi="Verdana"/>
          <w:i/>
          <w:sz w:val="16"/>
          <w:szCs w:val="16"/>
        </w:rPr>
        <w:t xml:space="preserve">supra </w:t>
      </w:r>
      <w:r w:rsidRPr="00685170">
        <w:rPr>
          <w:rFonts w:ascii="Verdana" w:hAnsi="Verdana"/>
          <w:sz w:val="16"/>
          <w:szCs w:val="16"/>
        </w:rPr>
        <w:t>párr. 1).</w:t>
      </w:r>
      <w:r w:rsidRPr="000031DD">
        <w:rPr>
          <w:rFonts w:ascii="Verdana" w:hAnsi="Verdana"/>
          <w:sz w:val="16"/>
          <w:szCs w:val="16"/>
        </w:rPr>
        <w:t xml:space="preserve">   </w:t>
      </w:r>
    </w:p>
    <w:p w14:paraId="0EA1982A" w14:textId="77777777" w:rsidR="00DD280C" w:rsidRPr="000031DD" w:rsidRDefault="00DD280C" w:rsidP="002A53BF">
      <w:pPr>
        <w:pStyle w:val="Textonotapie"/>
        <w:jc w:val="both"/>
        <w:rPr>
          <w:rFonts w:ascii="Verdana" w:hAnsi="Verdana"/>
          <w:sz w:val="16"/>
          <w:szCs w:val="16"/>
        </w:rPr>
      </w:pPr>
    </w:p>
  </w:footnote>
  <w:footnote w:id="149">
    <w:p w14:paraId="6857463E" w14:textId="77777777" w:rsidR="00DD280C" w:rsidRDefault="00DD280C" w:rsidP="002A53BF">
      <w:pPr>
        <w:pStyle w:val="Textonotapie"/>
      </w:pPr>
      <w:r>
        <w:rPr>
          <w:rStyle w:val="Refdenotaalpie"/>
        </w:rPr>
        <w:footnoteRef/>
      </w:r>
      <w:r>
        <w:t xml:space="preserve"> </w:t>
      </w:r>
      <w:r>
        <w:tab/>
        <w:t xml:space="preserve">En este sentido el artículo XI de la CIDFP señala: </w:t>
      </w:r>
    </w:p>
    <w:p w14:paraId="772EA132" w14:textId="77777777" w:rsidR="00DD280C" w:rsidRDefault="00DD280C" w:rsidP="002A53BF">
      <w:pPr>
        <w:pStyle w:val="Textonotapie"/>
        <w:ind w:left="284" w:right="333"/>
        <w:jc w:val="both"/>
        <w:rPr>
          <w:rFonts w:ascii="Verdana" w:hAnsi="Verdana"/>
          <w:sz w:val="16"/>
          <w:szCs w:val="16"/>
        </w:rPr>
      </w:pPr>
      <w:r w:rsidRPr="00E40C37">
        <w:rPr>
          <w:rFonts w:ascii="Verdana" w:hAnsi="Verdana"/>
          <w:sz w:val="16"/>
          <w:szCs w:val="16"/>
        </w:rPr>
        <w:t>Toda persona privada de libertad deber ser mantenida en lugares de detención oficialmente</w:t>
      </w:r>
      <w:r>
        <w:rPr>
          <w:rFonts w:ascii="Verdana" w:hAnsi="Verdana"/>
          <w:sz w:val="16"/>
          <w:szCs w:val="16"/>
        </w:rPr>
        <w:t xml:space="preserve"> </w:t>
      </w:r>
      <w:r w:rsidRPr="00E40C37">
        <w:rPr>
          <w:rFonts w:ascii="Verdana" w:hAnsi="Verdana"/>
          <w:sz w:val="16"/>
          <w:szCs w:val="16"/>
        </w:rPr>
        <w:t>reconocidos y presentada sin demora, conforme a la legislación int</w:t>
      </w:r>
      <w:r>
        <w:rPr>
          <w:rFonts w:ascii="Verdana" w:hAnsi="Verdana"/>
          <w:sz w:val="16"/>
          <w:szCs w:val="16"/>
        </w:rPr>
        <w:t xml:space="preserve">erna respectiva, a la autoridad </w:t>
      </w:r>
      <w:r w:rsidRPr="00E40C37">
        <w:rPr>
          <w:rFonts w:ascii="Verdana" w:hAnsi="Verdana"/>
          <w:sz w:val="16"/>
          <w:szCs w:val="16"/>
        </w:rPr>
        <w:t>judicial competente.</w:t>
      </w:r>
    </w:p>
    <w:p w14:paraId="52EAF1DA" w14:textId="77777777" w:rsidR="00DD280C" w:rsidRPr="00E40C37" w:rsidRDefault="00DD280C" w:rsidP="002A53BF">
      <w:pPr>
        <w:pStyle w:val="Textonotapie"/>
        <w:ind w:left="567" w:right="333"/>
        <w:jc w:val="both"/>
        <w:rPr>
          <w:rFonts w:ascii="Verdana" w:hAnsi="Verdana"/>
          <w:sz w:val="16"/>
          <w:szCs w:val="16"/>
        </w:rPr>
      </w:pPr>
    </w:p>
    <w:p w14:paraId="1A4D073F" w14:textId="77777777" w:rsidR="00DD280C" w:rsidRDefault="00DD280C" w:rsidP="002A53BF">
      <w:pPr>
        <w:pStyle w:val="Textonotapie"/>
        <w:ind w:left="284" w:right="333"/>
        <w:jc w:val="both"/>
        <w:rPr>
          <w:rFonts w:ascii="Verdana" w:hAnsi="Verdana"/>
          <w:sz w:val="16"/>
          <w:szCs w:val="16"/>
        </w:rPr>
      </w:pPr>
      <w:r w:rsidRPr="00E40C37">
        <w:rPr>
          <w:rFonts w:ascii="Verdana" w:hAnsi="Verdana"/>
          <w:sz w:val="16"/>
          <w:szCs w:val="16"/>
        </w:rPr>
        <w:t xml:space="preserve">Los </w:t>
      </w:r>
      <w:proofErr w:type="gramStart"/>
      <w:r w:rsidRPr="00E40C37">
        <w:rPr>
          <w:rFonts w:ascii="Verdana" w:hAnsi="Verdana"/>
          <w:sz w:val="16"/>
          <w:szCs w:val="16"/>
        </w:rPr>
        <w:t>Estados partes</w:t>
      </w:r>
      <w:proofErr w:type="gramEnd"/>
      <w:r w:rsidRPr="00E40C37">
        <w:rPr>
          <w:rFonts w:ascii="Verdana" w:hAnsi="Verdana"/>
          <w:sz w:val="16"/>
          <w:szCs w:val="16"/>
        </w:rPr>
        <w:t xml:space="preserve"> establecerán y mantendrán registros oficiales actu</w:t>
      </w:r>
      <w:r>
        <w:rPr>
          <w:rFonts w:ascii="Verdana" w:hAnsi="Verdana"/>
          <w:sz w:val="16"/>
          <w:szCs w:val="16"/>
        </w:rPr>
        <w:t xml:space="preserve">alizados sobre sus detenidos y, </w:t>
      </w:r>
      <w:r w:rsidRPr="00E40C37">
        <w:rPr>
          <w:rFonts w:ascii="Verdana" w:hAnsi="Verdana"/>
          <w:sz w:val="16"/>
          <w:szCs w:val="16"/>
        </w:rPr>
        <w:t>conforme a su legislación interna, los podrán a disposición de los familiar</w:t>
      </w:r>
      <w:r>
        <w:rPr>
          <w:rFonts w:ascii="Verdana" w:hAnsi="Verdana"/>
          <w:sz w:val="16"/>
          <w:szCs w:val="16"/>
        </w:rPr>
        <w:t xml:space="preserve">es, jueces, abogados, cualquier </w:t>
      </w:r>
      <w:r w:rsidRPr="00E40C37">
        <w:rPr>
          <w:rFonts w:ascii="Verdana" w:hAnsi="Verdana"/>
          <w:sz w:val="16"/>
          <w:szCs w:val="16"/>
        </w:rPr>
        <w:t>persona con interés legítimo y otras autoridades.</w:t>
      </w:r>
    </w:p>
    <w:p w14:paraId="181BC791" w14:textId="77777777" w:rsidR="00DD280C" w:rsidRPr="00E40C37" w:rsidRDefault="00DD280C" w:rsidP="002A53BF">
      <w:pPr>
        <w:pStyle w:val="Textonotapie"/>
        <w:ind w:left="567"/>
        <w:jc w:val="both"/>
        <w:rPr>
          <w:rFonts w:ascii="Verdana" w:hAnsi="Verdana"/>
          <w:sz w:val="16"/>
          <w:szCs w:val="16"/>
        </w:rPr>
      </w:pPr>
    </w:p>
  </w:footnote>
  <w:footnote w:id="150">
    <w:p w14:paraId="7CC3CAAE" w14:textId="4D77F46E" w:rsidR="00DD280C" w:rsidRPr="00685170" w:rsidRDefault="00DD280C" w:rsidP="002A53BF">
      <w:pPr>
        <w:pStyle w:val="Textonotapie"/>
        <w:tabs>
          <w:tab w:val="left" w:pos="720"/>
        </w:tabs>
        <w:jc w:val="both"/>
        <w:rPr>
          <w:rFonts w:ascii="Verdana" w:hAnsi="Verdana"/>
          <w:sz w:val="16"/>
          <w:szCs w:val="16"/>
          <w:lang w:val="es-CO"/>
        </w:rPr>
      </w:pPr>
      <w:r w:rsidRPr="004A53A4">
        <w:rPr>
          <w:rStyle w:val="Refdenotaalpie"/>
          <w:rFonts w:ascii="Verdana" w:hAnsi="Verdana"/>
          <w:sz w:val="16"/>
          <w:szCs w:val="16"/>
        </w:rPr>
        <w:footnoteRef/>
      </w:r>
      <w:r w:rsidRPr="004A53A4">
        <w:rPr>
          <w:rFonts w:ascii="Verdana" w:hAnsi="Verdana"/>
          <w:sz w:val="16"/>
          <w:szCs w:val="16"/>
        </w:rPr>
        <w:t xml:space="preserve"> </w:t>
      </w:r>
      <w:r w:rsidRPr="004A53A4">
        <w:rPr>
          <w:rFonts w:ascii="Verdana" w:hAnsi="Verdana"/>
          <w:sz w:val="16"/>
          <w:szCs w:val="16"/>
        </w:rPr>
        <w:tab/>
      </w:r>
      <w:r w:rsidRPr="004A53A4">
        <w:rPr>
          <w:rFonts w:ascii="Verdana" w:hAnsi="Verdana"/>
          <w:i/>
          <w:sz w:val="16"/>
          <w:szCs w:val="16"/>
        </w:rPr>
        <w:t xml:space="preserve">Cfr. </w:t>
      </w:r>
      <w:r w:rsidRPr="00685170">
        <w:rPr>
          <w:rFonts w:ascii="Verdana" w:hAnsi="Verdana" w:cs="Open Sans"/>
          <w:i/>
          <w:sz w:val="16"/>
          <w:szCs w:val="16"/>
          <w:shd w:val="clear" w:color="auto" w:fill="FFFFFF"/>
        </w:rPr>
        <w:t xml:space="preserve">Caso </w:t>
      </w:r>
      <w:proofErr w:type="spellStart"/>
      <w:r w:rsidRPr="00685170">
        <w:rPr>
          <w:rFonts w:ascii="Verdana" w:hAnsi="Verdana" w:cs="Open Sans"/>
          <w:i/>
          <w:sz w:val="16"/>
          <w:szCs w:val="16"/>
          <w:shd w:val="clear" w:color="auto" w:fill="FFFFFF"/>
        </w:rPr>
        <w:t>Anzualdo</w:t>
      </w:r>
      <w:proofErr w:type="spellEnd"/>
      <w:r w:rsidRPr="00685170">
        <w:rPr>
          <w:rFonts w:ascii="Verdana" w:hAnsi="Verdana" w:cs="Open Sans"/>
          <w:i/>
          <w:sz w:val="16"/>
          <w:szCs w:val="16"/>
          <w:shd w:val="clear" w:color="auto" w:fill="FFFFFF"/>
        </w:rPr>
        <w:t xml:space="preserve"> Castro Vs. Perú</w:t>
      </w:r>
      <w:r w:rsidRPr="004A53A4">
        <w:rPr>
          <w:rFonts w:ascii="Verdana" w:hAnsi="Verdana"/>
          <w:sz w:val="16"/>
          <w:szCs w:val="16"/>
        </w:rPr>
        <w:t xml:space="preserve">, </w:t>
      </w:r>
      <w:r w:rsidRPr="004A53A4">
        <w:rPr>
          <w:rFonts w:ascii="Verdana" w:hAnsi="Verdana"/>
          <w:sz w:val="16"/>
          <w:szCs w:val="16"/>
          <w:lang w:val="es-CO"/>
        </w:rPr>
        <w:t xml:space="preserve">párr. 101, y </w:t>
      </w:r>
      <w:r w:rsidRPr="00685170">
        <w:rPr>
          <w:rFonts w:ascii="Verdana" w:hAnsi="Verdana" w:cs="Open Sans"/>
          <w:i/>
          <w:sz w:val="16"/>
          <w:szCs w:val="16"/>
          <w:shd w:val="clear" w:color="auto" w:fill="FFFFFF"/>
        </w:rPr>
        <w:t xml:space="preserve">Caso Miembros de la Aldea </w:t>
      </w:r>
      <w:proofErr w:type="spellStart"/>
      <w:r w:rsidRPr="00685170">
        <w:rPr>
          <w:rFonts w:ascii="Verdana" w:hAnsi="Verdana" w:cs="Open Sans"/>
          <w:i/>
          <w:sz w:val="16"/>
          <w:szCs w:val="16"/>
          <w:shd w:val="clear" w:color="auto" w:fill="FFFFFF"/>
        </w:rPr>
        <w:t>Chichupac</w:t>
      </w:r>
      <w:proofErr w:type="spellEnd"/>
      <w:r w:rsidRPr="00685170">
        <w:rPr>
          <w:rFonts w:ascii="Verdana" w:hAnsi="Verdana" w:cs="Open Sans"/>
          <w:i/>
          <w:sz w:val="16"/>
          <w:szCs w:val="16"/>
          <w:shd w:val="clear" w:color="auto" w:fill="FFFFFF"/>
        </w:rPr>
        <w:t xml:space="preserve"> y comunidades vecinas del Municipio de Rabinal Vs. Guatemala. Excepciones Preliminares, Fondo, Reparaciones y Costas.</w:t>
      </w:r>
      <w:r w:rsidRPr="00685170">
        <w:rPr>
          <w:rFonts w:ascii="Verdana" w:hAnsi="Verdana" w:cs="Open Sans"/>
          <w:sz w:val="16"/>
          <w:szCs w:val="16"/>
          <w:shd w:val="clear" w:color="auto" w:fill="FFFFFF"/>
        </w:rPr>
        <w:t xml:space="preserve"> Sentencia de 30 de noviembre de 2016. Serie C No. 328, párr. 159</w:t>
      </w:r>
      <w:r w:rsidRPr="00652BFE">
        <w:rPr>
          <w:rFonts w:ascii="Verdana" w:hAnsi="Verdana"/>
          <w:sz w:val="16"/>
          <w:szCs w:val="16"/>
        </w:rPr>
        <w:t xml:space="preserve">. </w:t>
      </w:r>
    </w:p>
    <w:p w14:paraId="7E438093" w14:textId="77777777" w:rsidR="00DD280C" w:rsidRPr="00652BFE" w:rsidRDefault="00DD280C" w:rsidP="002A53BF">
      <w:pPr>
        <w:pStyle w:val="Textonotapie"/>
        <w:tabs>
          <w:tab w:val="left" w:pos="720"/>
        </w:tabs>
        <w:jc w:val="both"/>
        <w:rPr>
          <w:rFonts w:ascii="Verdana" w:hAnsi="Verdana"/>
          <w:sz w:val="16"/>
          <w:szCs w:val="16"/>
        </w:rPr>
      </w:pPr>
    </w:p>
  </w:footnote>
  <w:footnote w:id="151">
    <w:p w14:paraId="7EA881E8" w14:textId="79B8140D" w:rsidR="00DD280C" w:rsidRPr="00685170" w:rsidRDefault="00DD280C" w:rsidP="002A53BF">
      <w:pPr>
        <w:pStyle w:val="Textonotapie"/>
        <w:jc w:val="both"/>
        <w:rPr>
          <w:rFonts w:ascii="Verdana" w:hAnsi="Verdana"/>
          <w:sz w:val="16"/>
          <w:szCs w:val="16"/>
        </w:rPr>
      </w:pPr>
      <w:r w:rsidRPr="00685170">
        <w:rPr>
          <w:rStyle w:val="Refdenotaalpie"/>
          <w:rFonts w:ascii="Verdana" w:hAnsi="Verdana"/>
          <w:sz w:val="16"/>
          <w:szCs w:val="16"/>
        </w:rPr>
        <w:footnoteRef/>
      </w:r>
      <w:r w:rsidRPr="00685170">
        <w:rPr>
          <w:rFonts w:ascii="Verdana" w:hAnsi="Verdana"/>
          <w:sz w:val="16"/>
          <w:szCs w:val="16"/>
        </w:rPr>
        <w:t xml:space="preserve">  </w:t>
      </w:r>
      <w:r w:rsidRPr="00685170">
        <w:rPr>
          <w:rFonts w:ascii="Verdana" w:hAnsi="Verdana"/>
          <w:sz w:val="16"/>
          <w:szCs w:val="16"/>
        </w:rPr>
        <w:tab/>
        <w:t>El carácter impune con el que tal tipo de violaciones a los derechos humanos eran perpetradas por agentes estatales, en la época en que principiaron las desapariciones forzadas de las víctimas del presente caso, fue notado por la Corte con anterioridad (</w:t>
      </w:r>
      <w:r w:rsidRPr="00685170">
        <w:rPr>
          <w:rFonts w:ascii="Verdana" w:hAnsi="Verdana"/>
          <w:i/>
          <w:sz w:val="16"/>
          <w:szCs w:val="16"/>
        </w:rPr>
        <w:t>cfr. C</w:t>
      </w:r>
      <w:r w:rsidRPr="00685170">
        <w:rPr>
          <w:rFonts w:ascii="Verdana" w:hAnsi="Verdana" w:cs="Open Sans"/>
          <w:i/>
          <w:sz w:val="16"/>
          <w:szCs w:val="16"/>
          <w:shd w:val="clear" w:color="auto" w:fill="FFFFFF"/>
        </w:rPr>
        <w:t>aso Gelman Vs. Uruguay. Fondo y Reparaciones</w:t>
      </w:r>
      <w:r w:rsidRPr="00685170">
        <w:rPr>
          <w:rFonts w:ascii="Verdana" w:hAnsi="Verdana" w:cs="Open Sans"/>
          <w:sz w:val="16"/>
          <w:szCs w:val="16"/>
          <w:shd w:val="clear" w:color="auto" w:fill="FFFFFF"/>
        </w:rPr>
        <w:t>, párr. 95)</w:t>
      </w:r>
      <w:r>
        <w:rPr>
          <w:rFonts w:ascii="Verdana" w:hAnsi="Verdana" w:cs="Open Sans"/>
          <w:sz w:val="16"/>
          <w:szCs w:val="16"/>
          <w:shd w:val="clear" w:color="auto" w:fill="FFFFFF"/>
        </w:rPr>
        <w:t>.</w:t>
      </w:r>
    </w:p>
    <w:p w14:paraId="218CA0E3" w14:textId="77777777" w:rsidR="00DD280C" w:rsidRPr="00685170" w:rsidRDefault="00DD280C" w:rsidP="002A53BF">
      <w:pPr>
        <w:pStyle w:val="Textonotapie"/>
        <w:rPr>
          <w:rFonts w:ascii="Verdana" w:hAnsi="Verdana"/>
          <w:sz w:val="16"/>
          <w:szCs w:val="16"/>
        </w:rPr>
      </w:pPr>
    </w:p>
  </w:footnote>
  <w:footnote w:id="152">
    <w:p w14:paraId="2B04E4D4" w14:textId="643453BE" w:rsidR="00DD280C" w:rsidRPr="00CC57BC" w:rsidRDefault="00DD280C" w:rsidP="002A53BF">
      <w:pPr>
        <w:pStyle w:val="Textonotapie"/>
        <w:tabs>
          <w:tab w:val="left" w:pos="720"/>
        </w:tabs>
        <w:jc w:val="both"/>
        <w:rPr>
          <w:rFonts w:ascii="Verdana" w:hAnsi="Verdana"/>
          <w:sz w:val="16"/>
          <w:szCs w:val="16"/>
          <w:lang w:val="es-CL" w:bidi="en-US"/>
        </w:rPr>
      </w:pPr>
      <w:r w:rsidRPr="00CC57BC">
        <w:rPr>
          <w:rStyle w:val="Refdenotaalpie"/>
          <w:rFonts w:ascii="Verdana" w:hAnsi="Verdana"/>
          <w:sz w:val="16"/>
          <w:szCs w:val="16"/>
        </w:rPr>
        <w:footnoteRef/>
      </w:r>
      <w:r w:rsidRPr="00CC57BC">
        <w:rPr>
          <w:rFonts w:ascii="Verdana" w:hAnsi="Verdana"/>
          <w:sz w:val="16"/>
          <w:szCs w:val="16"/>
        </w:rPr>
        <w:t xml:space="preserve"> </w:t>
      </w:r>
      <w:r w:rsidRPr="00CC57BC">
        <w:rPr>
          <w:rFonts w:ascii="Verdana" w:hAnsi="Verdana"/>
          <w:sz w:val="16"/>
          <w:szCs w:val="16"/>
        </w:rPr>
        <w:tab/>
      </w:r>
      <w:r w:rsidRPr="00CC57BC">
        <w:rPr>
          <w:rFonts w:ascii="Verdana" w:hAnsi="Verdana"/>
          <w:i/>
          <w:sz w:val="16"/>
          <w:szCs w:val="16"/>
        </w:rPr>
        <w:t>Cfr.</w:t>
      </w:r>
      <w:r w:rsidRPr="00CC57BC">
        <w:rPr>
          <w:rFonts w:ascii="Verdana" w:hAnsi="Verdana"/>
          <w:sz w:val="16"/>
          <w:szCs w:val="16"/>
        </w:rPr>
        <w:t xml:space="preserve"> en el mismo sentido, </w:t>
      </w:r>
      <w:r w:rsidRPr="00CC57BC">
        <w:rPr>
          <w:rFonts w:ascii="Verdana" w:hAnsi="Verdana"/>
          <w:i/>
          <w:sz w:val="16"/>
          <w:szCs w:val="16"/>
          <w:lang w:val="es-ES"/>
        </w:rPr>
        <w:t>Caso Velásquez Rodríguez</w:t>
      </w:r>
      <w:r w:rsidRPr="00CC57BC">
        <w:rPr>
          <w:rFonts w:ascii="Verdana" w:hAnsi="Verdana"/>
          <w:sz w:val="16"/>
          <w:szCs w:val="16"/>
          <w:lang w:bidi="en-US"/>
        </w:rPr>
        <w:t xml:space="preserve">, </w:t>
      </w:r>
      <w:r>
        <w:rPr>
          <w:rFonts w:ascii="Verdana" w:hAnsi="Verdana"/>
          <w:i/>
          <w:sz w:val="16"/>
          <w:szCs w:val="16"/>
        </w:rPr>
        <w:t>Fondo</w:t>
      </w:r>
      <w:r w:rsidRPr="00CC57BC">
        <w:rPr>
          <w:rFonts w:ascii="Verdana" w:hAnsi="Verdana"/>
          <w:sz w:val="16"/>
          <w:szCs w:val="16"/>
        </w:rPr>
        <w:t xml:space="preserve">, </w:t>
      </w:r>
      <w:proofErr w:type="spellStart"/>
      <w:r w:rsidRPr="00CC57BC">
        <w:rPr>
          <w:rFonts w:ascii="Verdana" w:hAnsi="Verdana"/>
          <w:sz w:val="16"/>
          <w:szCs w:val="16"/>
        </w:rPr>
        <w:t>párrs</w:t>
      </w:r>
      <w:proofErr w:type="spellEnd"/>
      <w:r w:rsidRPr="00CC57BC">
        <w:rPr>
          <w:rFonts w:ascii="Verdana" w:hAnsi="Verdana"/>
          <w:sz w:val="16"/>
          <w:szCs w:val="16"/>
          <w:lang w:val="es-CL"/>
        </w:rPr>
        <w:t xml:space="preserve">. 175 y 187, </w:t>
      </w:r>
      <w:r w:rsidRPr="00CC57BC">
        <w:rPr>
          <w:rFonts w:ascii="Verdana" w:hAnsi="Verdana"/>
          <w:i/>
          <w:sz w:val="16"/>
          <w:szCs w:val="16"/>
        </w:rPr>
        <w:t>C</w:t>
      </w:r>
      <w:r w:rsidRPr="00CC57BC">
        <w:rPr>
          <w:rFonts w:ascii="Verdana" w:hAnsi="Verdana" w:cs="Open Sans"/>
          <w:i/>
          <w:sz w:val="16"/>
          <w:szCs w:val="16"/>
          <w:shd w:val="clear" w:color="auto" w:fill="FFFFFF"/>
        </w:rPr>
        <w:t>aso Gelman Vs. Uruguay. Fondo y Reparaciones</w:t>
      </w:r>
      <w:r w:rsidRPr="00CC57BC">
        <w:rPr>
          <w:rFonts w:ascii="Verdana" w:hAnsi="Verdana" w:cs="Open Sans"/>
          <w:sz w:val="16"/>
          <w:szCs w:val="16"/>
          <w:shd w:val="clear" w:color="auto" w:fill="FFFFFF"/>
        </w:rPr>
        <w:t>, párr. 95</w:t>
      </w:r>
      <w:r w:rsidRPr="00CC57BC">
        <w:rPr>
          <w:rFonts w:ascii="Verdana" w:hAnsi="Verdana"/>
          <w:sz w:val="16"/>
          <w:szCs w:val="16"/>
          <w:lang w:val="es-CL"/>
        </w:rPr>
        <w:t xml:space="preserve"> y </w:t>
      </w:r>
      <w:r w:rsidRPr="00685170">
        <w:rPr>
          <w:rFonts w:ascii="Verdana" w:hAnsi="Verdana"/>
          <w:i/>
          <w:sz w:val="16"/>
          <w:szCs w:val="16"/>
        </w:rPr>
        <w:t xml:space="preserve">Caso </w:t>
      </w:r>
      <w:proofErr w:type="spellStart"/>
      <w:r w:rsidRPr="00685170">
        <w:rPr>
          <w:rFonts w:ascii="Verdana" w:hAnsi="Verdana"/>
          <w:i/>
          <w:sz w:val="16"/>
          <w:szCs w:val="16"/>
        </w:rPr>
        <w:t>Omeara</w:t>
      </w:r>
      <w:proofErr w:type="spellEnd"/>
      <w:r w:rsidRPr="00685170">
        <w:rPr>
          <w:rFonts w:ascii="Verdana" w:hAnsi="Verdana"/>
          <w:i/>
          <w:sz w:val="16"/>
          <w:szCs w:val="16"/>
        </w:rPr>
        <w:t xml:space="preserve"> Carrascal y otros Vs. Colombia. Fondo, Reparaciones y Costas.</w:t>
      </w:r>
      <w:r w:rsidRPr="00685170">
        <w:rPr>
          <w:rFonts w:ascii="Verdana" w:hAnsi="Verdana"/>
          <w:sz w:val="16"/>
          <w:szCs w:val="16"/>
        </w:rPr>
        <w:t xml:space="preserve"> Sentencia de 21 de noviembre de 2018. Serie C No. 368, párr. 194. </w:t>
      </w:r>
    </w:p>
    <w:p w14:paraId="75CB73FA" w14:textId="77777777" w:rsidR="00DD280C" w:rsidRPr="000031DD" w:rsidRDefault="00DD280C" w:rsidP="002A53BF">
      <w:pPr>
        <w:pStyle w:val="Textonotapie"/>
        <w:tabs>
          <w:tab w:val="left" w:pos="720"/>
        </w:tabs>
        <w:jc w:val="both"/>
        <w:rPr>
          <w:rFonts w:ascii="Verdana" w:hAnsi="Verdana"/>
          <w:sz w:val="16"/>
          <w:szCs w:val="16"/>
          <w:lang w:val="es-CL"/>
        </w:rPr>
      </w:pPr>
    </w:p>
  </w:footnote>
  <w:footnote w:id="153">
    <w:p w14:paraId="192D2B4B" w14:textId="12FA4EE1" w:rsidR="00DD280C" w:rsidRPr="000031DD" w:rsidRDefault="00DD280C" w:rsidP="002A53BF">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En el mismo sentido, </w:t>
      </w:r>
      <w:r>
        <w:rPr>
          <w:rFonts w:ascii="Verdana" w:hAnsi="Verdana"/>
          <w:sz w:val="16"/>
          <w:szCs w:val="16"/>
        </w:rPr>
        <w:t xml:space="preserve">y en relación con el mismo contexto, </w:t>
      </w:r>
      <w:r w:rsidRPr="00340E47">
        <w:rPr>
          <w:rFonts w:ascii="Verdana" w:hAnsi="Verdana"/>
          <w:i/>
          <w:sz w:val="16"/>
          <w:szCs w:val="16"/>
        </w:rPr>
        <w:t>C</w:t>
      </w:r>
      <w:r w:rsidRPr="00340E47">
        <w:rPr>
          <w:rFonts w:ascii="Verdana" w:hAnsi="Verdana" w:cs="Open Sans"/>
          <w:i/>
          <w:sz w:val="16"/>
          <w:szCs w:val="16"/>
          <w:shd w:val="clear" w:color="auto" w:fill="FFFFFF"/>
        </w:rPr>
        <w:t>aso Gelman Vs. Uruguay. Fondo y Reparaciones</w:t>
      </w:r>
      <w:r w:rsidRPr="00340E47">
        <w:rPr>
          <w:rFonts w:ascii="Verdana" w:hAnsi="Verdana" w:cs="Open Sans"/>
          <w:sz w:val="16"/>
          <w:szCs w:val="16"/>
          <w:shd w:val="clear" w:color="auto" w:fill="FFFFFF"/>
        </w:rPr>
        <w:t xml:space="preserve">, </w:t>
      </w:r>
      <w:proofErr w:type="spellStart"/>
      <w:r>
        <w:rPr>
          <w:rFonts w:ascii="Verdana" w:hAnsi="Verdana" w:cs="Open Sans"/>
          <w:sz w:val="16"/>
          <w:szCs w:val="16"/>
          <w:shd w:val="clear" w:color="auto" w:fill="FFFFFF"/>
        </w:rPr>
        <w:t>párr</w:t>
      </w:r>
      <w:r>
        <w:rPr>
          <w:rFonts w:ascii="Verdana" w:hAnsi="Verdana"/>
          <w:sz w:val="16"/>
          <w:szCs w:val="16"/>
        </w:rPr>
        <w:t>s</w:t>
      </w:r>
      <w:proofErr w:type="spellEnd"/>
      <w:r w:rsidRPr="000031DD">
        <w:rPr>
          <w:rFonts w:ascii="Verdana" w:hAnsi="Verdana"/>
          <w:sz w:val="16"/>
          <w:szCs w:val="16"/>
        </w:rPr>
        <w:t>. 94</w:t>
      </w:r>
      <w:r>
        <w:rPr>
          <w:rFonts w:ascii="Verdana" w:hAnsi="Verdana"/>
          <w:sz w:val="16"/>
          <w:szCs w:val="16"/>
        </w:rPr>
        <w:t xml:space="preserve"> y 95.</w:t>
      </w:r>
    </w:p>
    <w:p w14:paraId="74E29E41" w14:textId="77777777" w:rsidR="00DD280C" w:rsidRPr="000031DD" w:rsidRDefault="00DD280C" w:rsidP="002A53BF">
      <w:pPr>
        <w:pStyle w:val="Textonotapie"/>
        <w:jc w:val="both"/>
        <w:rPr>
          <w:rFonts w:ascii="Verdana" w:hAnsi="Verdana"/>
          <w:sz w:val="16"/>
          <w:szCs w:val="16"/>
        </w:rPr>
      </w:pPr>
    </w:p>
  </w:footnote>
  <w:footnote w:id="154">
    <w:p w14:paraId="34DE24CA" w14:textId="77777777" w:rsidR="00DD280C" w:rsidRDefault="00DD280C" w:rsidP="002A53BF">
      <w:pPr>
        <w:spacing w:after="0"/>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En el mismo sentido, </w:t>
      </w:r>
      <w:r w:rsidRPr="00340E47">
        <w:rPr>
          <w:rFonts w:ascii="Verdana" w:hAnsi="Verdana"/>
          <w:i/>
          <w:sz w:val="16"/>
          <w:szCs w:val="16"/>
        </w:rPr>
        <w:t>C</w:t>
      </w:r>
      <w:r w:rsidRPr="00340E47">
        <w:rPr>
          <w:rFonts w:ascii="Verdana" w:hAnsi="Verdana" w:cs="Open Sans"/>
          <w:i/>
          <w:sz w:val="16"/>
          <w:szCs w:val="16"/>
          <w:shd w:val="clear" w:color="auto" w:fill="FFFFFF"/>
        </w:rPr>
        <w:t>aso Gelman Vs</w:t>
      </w:r>
      <w:r>
        <w:rPr>
          <w:rFonts w:ascii="Verdana" w:hAnsi="Verdana" w:cs="Open Sans"/>
          <w:i/>
          <w:sz w:val="16"/>
          <w:szCs w:val="16"/>
          <w:shd w:val="clear" w:color="auto" w:fill="FFFFFF"/>
        </w:rPr>
        <w:t>. Uruguay. Fondo y Reparaciones</w:t>
      </w:r>
      <w:r w:rsidRPr="000031DD">
        <w:rPr>
          <w:rFonts w:ascii="Verdana" w:hAnsi="Verdana"/>
          <w:sz w:val="16"/>
          <w:szCs w:val="16"/>
        </w:rPr>
        <w:t xml:space="preserve">, párr. 99. En </w:t>
      </w:r>
      <w:r>
        <w:rPr>
          <w:rFonts w:ascii="Verdana" w:hAnsi="Verdana"/>
          <w:sz w:val="16"/>
          <w:szCs w:val="16"/>
        </w:rPr>
        <w:t>la</w:t>
      </w:r>
      <w:r w:rsidRPr="000031DD">
        <w:rPr>
          <w:rFonts w:ascii="Verdana" w:hAnsi="Verdana"/>
          <w:sz w:val="16"/>
          <w:szCs w:val="16"/>
        </w:rPr>
        <w:t xml:space="preserve"> nota a pie de página </w:t>
      </w:r>
      <w:r>
        <w:rPr>
          <w:rFonts w:ascii="Verdana" w:hAnsi="Verdana"/>
          <w:sz w:val="16"/>
          <w:szCs w:val="16"/>
        </w:rPr>
        <w:t xml:space="preserve">113, correspondiente a </w:t>
      </w:r>
      <w:proofErr w:type="spellStart"/>
      <w:r w:rsidRPr="000031DD">
        <w:rPr>
          <w:rFonts w:ascii="Verdana" w:hAnsi="Verdana"/>
          <w:sz w:val="16"/>
          <w:szCs w:val="16"/>
        </w:rPr>
        <w:t>a</w:t>
      </w:r>
      <w:proofErr w:type="spellEnd"/>
      <w:r w:rsidRPr="000031DD">
        <w:rPr>
          <w:rFonts w:ascii="Verdana" w:hAnsi="Verdana"/>
          <w:sz w:val="16"/>
          <w:szCs w:val="16"/>
        </w:rPr>
        <w:t xml:space="preserve"> dicho párrafo, la Corte expresó que una violación de esas características “puede ser calificada como un crimen de lesa humanidad”</w:t>
      </w:r>
      <w:r>
        <w:rPr>
          <w:rFonts w:ascii="Verdana" w:hAnsi="Verdana"/>
          <w:sz w:val="16"/>
          <w:szCs w:val="16"/>
        </w:rPr>
        <w:t>.</w:t>
      </w:r>
    </w:p>
    <w:p w14:paraId="493638EB" w14:textId="77777777" w:rsidR="00DD280C" w:rsidRPr="000031DD" w:rsidRDefault="00DD280C" w:rsidP="002A53BF">
      <w:pPr>
        <w:spacing w:after="0"/>
        <w:jc w:val="both"/>
        <w:rPr>
          <w:rFonts w:ascii="Verdana" w:hAnsi="Verdana"/>
          <w:sz w:val="16"/>
          <w:szCs w:val="16"/>
        </w:rPr>
      </w:pPr>
    </w:p>
  </w:footnote>
  <w:footnote w:id="155">
    <w:p w14:paraId="4032598D" w14:textId="50953EC8" w:rsidR="00DD280C" w:rsidRPr="00685170" w:rsidRDefault="00DD280C" w:rsidP="002A53BF">
      <w:pPr>
        <w:pStyle w:val="Textonotapie"/>
        <w:jc w:val="both"/>
        <w:rPr>
          <w:rFonts w:ascii="Verdana" w:hAnsi="Verdana"/>
          <w:sz w:val="16"/>
          <w:szCs w:val="16"/>
        </w:rPr>
      </w:pPr>
      <w:r w:rsidRPr="00685170">
        <w:rPr>
          <w:rStyle w:val="Refdenotaalpie"/>
          <w:rFonts w:ascii="Verdana" w:hAnsi="Verdana"/>
          <w:sz w:val="16"/>
          <w:szCs w:val="16"/>
        </w:rPr>
        <w:footnoteRef/>
      </w:r>
      <w:r w:rsidRPr="00685170">
        <w:rPr>
          <w:rFonts w:ascii="Verdana" w:hAnsi="Verdana"/>
          <w:sz w:val="16"/>
          <w:szCs w:val="16"/>
        </w:rPr>
        <w:t xml:space="preserve">  </w:t>
      </w:r>
      <w:r w:rsidRPr="00685170">
        <w:rPr>
          <w:rFonts w:ascii="Verdana" w:hAnsi="Verdana"/>
          <w:sz w:val="16"/>
          <w:szCs w:val="16"/>
        </w:rPr>
        <w:tab/>
        <w:t xml:space="preserve">Artículos 8 y 25 de la Convención Americana sobre Derechos Humanos, respectivamente. En el presente capítulo se examina también la responsabilidad estatal respecto de los artículos </w:t>
      </w:r>
      <w:proofErr w:type="spellStart"/>
      <w:r w:rsidRPr="00685170">
        <w:rPr>
          <w:rFonts w:ascii="Verdana" w:hAnsi="Verdana"/>
          <w:sz w:val="16"/>
          <w:szCs w:val="16"/>
        </w:rPr>
        <w:t>I.b</w:t>
      </w:r>
      <w:proofErr w:type="spellEnd"/>
      <w:r w:rsidRPr="00685170">
        <w:rPr>
          <w:rFonts w:ascii="Verdana" w:hAnsi="Verdana"/>
          <w:sz w:val="16"/>
          <w:szCs w:val="16"/>
        </w:rPr>
        <w:t xml:space="preserve">) y </w:t>
      </w:r>
      <w:proofErr w:type="spellStart"/>
      <w:r w:rsidRPr="00685170">
        <w:rPr>
          <w:rFonts w:ascii="Verdana" w:hAnsi="Verdana"/>
          <w:sz w:val="16"/>
          <w:szCs w:val="16"/>
        </w:rPr>
        <w:t>I.d</w:t>
      </w:r>
      <w:proofErr w:type="spellEnd"/>
      <w:r w:rsidRPr="00685170">
        <w:rPr>
          <w:rFonts w:ascii="Verdana" w:hAnsi="Verdana"/>
          <w:sz w:val="16"/>
          <w:szCs w:val="16"/>
        </w:rPr>
        <w:t>) de la Convención Interamericana sobre Desaparición Forzada de Personas, a</w:t>
      </w:r>
      <w:r>
        <w:rPr>
          <w:rFonts w:ascii="Verdana" w:hAnsi="Verdana"/>
          <w:sz w:val="16"/>
          <w:szCs w:val="16"/>
        </w:rPr>
        <w:t xml:space="preserve">sí como del artículo 7.b de </w:t>
      </w:r>
      <w:proofErr w:type="spellStart"/>
      <w:r w:rsidRPr="00685170">
        <w:rPr>
          <w:rFonts w:ascii="Verdana" w:hAnsi="Verdana"/>
          <w:sz w:val="16"/>
          <w:szCs w:val="16"/>
        </w:rPr>
        <w:t>de</w:t>
      </w:r>
      <w:proofErr w:type="spellEnd"/>
      <w:r w:rsidRPr="00685170">
        <w:rPr>
          <w:rFonts w:ascii="Verdana" w:hAnsi="Verdana"/>
          <w:sz w:val="16"/>
          <w:szCs w:val="16"/>
        </w:rPr>
        <w:t xml:space="preserve"> la Convención de Belém do Pará. </w:t>
      </w:r>
    </w:p>
    <w:p w14:paraId="66A24951" w14:textId="77777777" w:rsidR="00DD280C" w:rsidRDefault="00DD280C" w:rsidP="002A53BF">
      <w:pPr>
        <w:pStyle w:val="Textonotapie"/>
      </w:pPr>
    </w:p>
  </w:footnote>
  <w:footnote w:id="156">
    <w:p w14:paraId="7AE3931F" w14:textId="77777777" w:rsidR="00DD280C" w:rsidRPr="00E40C37" w:rsidRDefault="00DD280C" w:rsidP="002A53BF">
      <w:pPr>
        <w:pStyle w:val="Textonotapie"/>
        <w:jc w:val="both"/>
        <w:rPr>
          <w:rFonts w:ascii="Verdana" w:hAnsi="Verdana"/>
          <w:b/>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t>Al respecto, la Comisión recordó que “Silvia Reyes […] se encontraba en el tercer trimestre de su embarazo”, que “las heridas en los cuerpos de las víctimas mostraban especial enseñamiento con múltiples heridas de balas” y que “consta que al menos una de ellas fue encontraba desnuda”. Consideró que las ejecuciones extrajudiciales de las tres mujeres se produjeron con “especial ensañamiento”.</w:t>
      </w:r>
      <w:r>
        <w:rPr>
          <w:rFonts w:ascii="Verdana" w:hAnsi="Verdana"/>
          <w:b/>
          <w:sz w:val="16"/>
          <w:szCs w:val="16"/>
        </w:rPr>
        <w:t xml:space="preserve"> </w:t>
      </w:r>
      <w:r w:rsidRPr="00E40C37">
        <w:rPr>
          <w:rFonts w:ascii="Verdana" w:hAnsi="Verdana" w:cs="Arial"/>
          <w:sz w:val="16"/>
          <w:szCs w:val="16"/>
        </w:rPr>
        <w:t>La Comisión entendió que no obsta al deber de adoptar una perspectiva de género que se asuma, como hipótesis sobre los hechos a investigar, que las ejecuciones se produjeran sin que los perpetradores tuvieran conocimiento de las personas contra las que estaban disparando, o si se trataba o no de mujeres, pues habrían actuado contra cualquiera que se encontrara dentro de la casa, sin ver a qué personas estaban agrediendo. Aseveró, al respecto, que “[el] enfoque de género de la investigación no depende de la intensión del victimario”.</w:t>
      </w:r>
    </w:p>
    <w:p w14:paraId="078FFF48" w14:textId="77777777" w:rsidR="00DD280C" w:rsidRPr="00E40C37" w:rsidRDefault="00DD280C" w:rsidP="002A53BF">
      <w:pPr>
        <w:pStyle w:val="Textonotapie"/>
        <w:jc w:val="both"/>
        <w:rPr>
          <w:rFonts w:ascii="Verdana" w:hAnsi="Verdana"/>
          <w:sz w:val="16"/>
          <w:szCs w:val="16"/>
        </w:rPr>
      </w:pPr>
    </w:p>
  </w:footnote>
  <w:footnote w:id="157">
    <w:p w14:paraId="3A4119BD" w14:textId="77777777" w:rsidR="00DD280C" w:rsidRPr="000031DD" w:rsidRDefault="00DD280C" w:rsidP="002A53BF">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La Comisión consideró que la “falta de respuesta” resultó “particularmente grave” en los casos de las dos desapariciones, ya que en hechos de esa naturaleza “la respuesta estatal debe ser pronta y efectiva y se debe activar una búsqueda inmediata”.</w:t>
      </w:r>
    </w:p>
    <w:p w14:paraId="6E85446B" w14:textId="77777777" w:rsidR="00DD280C" w:rsidRPr="000031DD" w:rsidRDefault="00DD280C" w:rsidP="002A53BF">
      <w:pPr>
        <w:pStyle w:val="Textonotapie"/>
        <w:jc w:val="both"/>
        <w:rPr>
          <w:rFonts w:ascii="Verdana" w:hAnsi="Verdana"/>
          <w:sz w:val="16"/>
          <w:szCs w:val="16"/>
        </w:rPr>
      </w:pPr>
    </w:p>
  </w:footnote>
  <w:footnote w:id="158">
    <w:p w14:paraId="099EB822"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t xml:space="preserve">La Comisión precisó que “si bien los informes de la Comisión </w:t>
      </w:r>
      <w:r>
        <w:rPr>
          <w:rFonts w:ascii="Verdana" w:hAnsi="Verdana"/>
          <w:sz w:val="16"/>
          <w:szCs w:val="16"/>
        </w:rPr>
        <w:t xml:space="preserve">[para la] </w:t>
      </w:r>
      <w:r w:rsidRPr="00E40C37">
        <w:rPr>
          <w:rFonts w:ascii="Verdana" w:hAnsi="Verdana"/>
          <w:sz w:val="16"/>
          <w:szCs w:val="16"/>
        </w:rPr>
        <w:t xml:space="preserve">Paz y de la Comisión investigadora indicaron que [los] restos [de ambas víctimas] podrían haber sido enterrados en dependencias de las fuerzas armadas. tales como el predio de los batallones de infantería, no consta que el Estado hubiera adoptado medidas al respecto”. Agregó que en 2017 “los representantes alegaron a nivel interno que los restos del señor </w:t>
      </w:r>
      <w:proofErr w:type="spellStart"/>
      <w:r w:rsidRPr="00E40C37">
        <w:rPr>
          <w:rFonts w:ascii="Verdana" w:hAnsi="Verdana"/>
          <w:sz w:val="16"/>
          <w:szCs w:val="16"/>
        </w:rPr>
        <w:t>Tassino</w:t>
      </w:r>
      <w:proofErr w:type="spellEnd"/>
      <w:r w:rsidRPr="00E40C37">
        <w:rPr>
          <w:rFonts w:ascii="Verdana" w:hAnsi="Verdana"/>
          <w:sz w:val="16"/>
          <w:szCs w:val="16"/>
        </w:rPr>
        <w:t xml:space="preserve"> podría estar en un lugar conocido como La Tablada, sin que se hubiera iniciado oportunamente la búsqueda en dicho lugar”.</w:t>
      </w:r>
    </w:p>
    <w:p w14:paraId="290A9C30" w14:textId="77777777" w:rsidR="00DD280C" w:rsidRPr="00E40C37" w:rsidRDefault="00DD280C" w:rsidP="002A53BF">
      <w:pPr>
        <w:pStyle w:val="Textonotapie"/>
        <w:jc w:val="both"/>
        <w:rPr>
          <w:rFonts w:ascii="Verdana" w:hAnsi="Verdana"/>
          <w:sz w:val="16"/>
          <w:szCs w:val="16"/>
        </w:rPr>
      </w:pPr>
    </w:p>
  </w:footnote>
  <w:footnote w:id="159">
    <w:p w14:paraId="17169AE2" w14:textId="701C82F8" w:rsidR="00DD280C" w:rsidRDefault="00DD280C" w:rsidP="002A53BF">
      <w:pPr>
        <w:autoSpaceDE w:val="0"/>
        <w:autoSpaceDN w:val="0"/>
        <w:adjustRightInd w:val="0"/>
        <w:spacing w:after="0" w:line="240" w:lineRule="auto"/>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A juicio de los representantes, la “impunidad estructural” que adujeron se ilustra con lo sucedido en la investigación sobre la ejecución extrajudicial de las “muchachas de abril”, en particular por la resolución de 14 de julio de 2021 </w:t>
      </w:r>
      <w:r w:rsidRPr="00685170">
        <w:rPr>
          <w:rFonts w:ascii="Verdana" w:hAnsi="Verdana"/>
          <w:sz w:val="16"/>
          <w:szCs w:val="16"/>
        </w:rPr>
        <w:t>(</w:t>
      </w:r>
      <w:r w:rsidRPr="00275FA4">
        <w:rPr>
          <w:rFonts w:ascii="Verdana" w:hAnsi="Verdana"/>
          <w:i/>
          <w:sz w:val="16"/>
          <w:szCs w:val="16"/>
        </w:rPr>
        <w:t xml:space="preserve">supra </w:t>
      </w:r>
      <w:r w:rsidRPr="00275FA4">
        <w:rPr>
          <w:rFonts w:ascii="Verdana" w:hAnsi="Verdana"/>
          <w:sz w:val="16"/>
          <w:szCs w:val="16"/>
        </w:rPr>
        <w:t xml:space="preserve">párr. 72 e </w:t>
      </w:r>
      <w:r w:rsidRPr="00275FA4">
        <w:rPr>
          <w:rFonts w:ascii="Verdana" w:hAnsi="Verdana"/>
          <w:i/>
          <w:sz w:val="16"/>
          <w:szCs w:val="16"/>
        </w:rPr>
        <w:t>infra</w:t>
      </w:r>
      <w:r w:rsidRPr="00275FA4">
        <w:rPr>
          <w:rFonts w:ascii="Verdana" w:hAnsi="Verdana"/>
          <w:sz w:val="16"/>
          <w:szCs w:val="16"/>
        </w:rPr>
        <w:t>, párr. 165).</w:t>
      </w:r>
      <w:r w:rsidRPr="000031DD">
        <w:rPr>
          <w:rFonts w:ascii="Verdana" w:hAnsi="Verdana"/>
          <w:sz w:val="16"/>
          <w:szCs w:val="16"/>
        </w:rPr>
        <w:t xml:space="preserve"> </w:t>
      </w:r>
    </w:p>
    <w:p w14:paraId="5940817A" w14:textId="77777777" w:rsidR="00DD280C" w:rsidRPr="000031DD" w:rsidRDefault="00DD280C" w:rsidP="002A53BF">
      <w:pPr>
        <w:autoSpaceDE w:val="0"/>
        <w:autoSpaceDN w:val="0"/>
        <w:adjustRightInd w:val="0"/>
        <w:spacing w:after="0" w:line="240" w:lineRule="auto"/>
        <w:jc w:val="both"/>
        <w:rPr>
          <w:rFonts w:ascii="Verdana" w:hAnsi="Verdana" w:cs="ArialNarrow"/>
          <w:sz w:val="16"/>
          <w:szCs w:val="16"/>
        </w:rPr>
      </w:pPr>
    </w:p>
  </w:footnote>
  <w:footnote w:id="160">
    <w:p w14:paraId="1AB41A10" w14:textId="77777777" w:rsidR="00DD280C" w:rsidRPr="00E40C37" w:rsidRDefault="00DD280C" w:rsidP="002A53BF">
      <w:pPr>
        <w:pStyle w:val="Textonotapie"/>
        <w:rPr>
          <w:rFonts w:ascii="Verdana" w:hAnsi="Verdana"/>
          <w:b/>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t>Pese a ello, notaron que dicha fiscalía se creó recién en 2018, habiendo pasado más de 30 años de la última “dictadura cívico-militar”, y “no cuenta con los recursos suficientes para hacer frente en tiempo y forma la enorme tarea que tiene a su cargo”.</w:t>
      </w:r>
    </w:p>
    <w:p w14:paraId="0A588B24" w14:textId="77777777" w:rsidR="00DD280C" w:rsidRDefault="00DD280C" w:rsidP="002A53BF">
      <w:pPr>
        <w:pStyle w:val="Textonotapie"/>
      </w:pPr>
    </w:p>
  </w:footnote>
  <w:footnote w:id="161">
    <w:p w14:paraId="01DEA7D1" w14:textId="77777777" w:rsidR="00DD280C" w:rsidRPr="000031DD" w:rsidRDefault="00DD280C" w:rsidP="002A53BF">
      <w:pPr>
        <w:autoSpaceDE w:val="0"/>
        <w:autoSpaceDN w:val="0"/>
        <w:adjustRightInd w:val="0"/>
        <w:spacing w:after="0" w:line="240" w:lineRule="auto"/>
        <w:jc w:val="both"/>
        <w:rPr>
          <w:rFonts w:ascii="Verdana" w:hAnsi="Verdana" w:cs="ArialNarrow"/>
          <w:sz w:val="16"/>
          <w:szCs w:val="16"/>
        </w:rPr>
      </w:pPr>
      <w:r w:rsidRPr="000031DD">
        <w:rPr>
          <w:rStyle w:val="Refdenotaalpie"/>
          <w:rFonts w:ascii="Verdana" w:hAnsi="Verdana"/>
          <w:sz w:val="16"/>
          <w:szCs w:val="16"/>
        </w:rPr>
        <w:footnoteRef/>
      </w:r>
      <w:r w:rsidRPr="000031DD">
        <w:rPr>
          <w:rFonts w:ascii="Verdana" w:hAnsi="Verdana"/>
          <w:sz w:val="16"/>
          <w:szCs w:val="16"/>
        </w:rPr>
        <w:t xml:space="preserve"> Los representantes afirmaron que suelen presentarse “prácticas” tales como demoras en la fijación de audiencia o en la resolución de pedidos de procesamiento. Agregaron que resultan frecuentes, como estrategias procesales, “prácticas</w:t>
      </w:r>
      <w:r>
        <w:rPr>
          <w:rFonts w:ascii="Verdana" w:hAnsi="Verdana"/>
          <w:sz w:val="16"/>
          <w:szCs w:val="16"/>
        </w:rPr>
        <w:t>”</w:t>
      </w:r>
      <w:r w:rsidRPr="000031DD">
        <w:rPr>
          <w:rFonts w:ascii="Verdana" w:hAnsi="Verdana"/>
          <w:sz w:val="16"/>
          <w:szCs w:val="16"/>
        </w:rPr>
        <w:t xml:space="preserve"> dilatorias de los indagados, como la presentación de </w:t>
      </w:r>
      <w:r>
        <w:rPr>
          <w:rFonts w:ascii="Verdana" w:hAnsi="Verdana"/>
          <w:sz w:val="16"/>
          <w:szCs w:val="16"/>
        </w:rPr>
        <w:t>“un sinfín de r</w:t>
      </w:r>
      <w:r w:rsidRPr="000031DD">
        <w:rPr>
          <w:rFonts w:ascii="Verdana" w:hAnsi="Verdana"/>
          <w:sz w:val="16"/>
          <w:szCs w:val="16"/>
        </w:rPr>
        <w:t>ecursos</w:t>
      </w:r>
      <w:r>
        <w:rPr>
          <w:rFonts w:ascii="Verdana" w:hAnsi="Verdana"/>
          <w:sz w:val="16"/>
          <w:szCs w:val="16"/>
        </w:rPr>
        <w:t>” que “paralizan las causas”</w:t>
      </w:r>
      <w:r w:rsidRPr="000031DD">
        <w:rPr>
          <w:rFonts w:ascii="Verdana" w:hAnsi="Verdana"/>
          <w:sz w:val="16"/>
          <w:szCs w:val="16"/>
        </w:rPr>
        <w:t xml:space="preserve"> Sostuvieron que </w:t>
      </w:r>
      <w:r>
        <w:rPr>
          <w:rFonts w:ascii="Verdana" w:hAnsi="Verdana"/>
          <w:sz w:val="16"/>
          <w:szCs w:val="16"/>
        </w:rPr>
        <w:t>las estrategias dilatorias “de</w:t>
      </w:r>
      <w:r w:rsidRPr="000031DD">
        <w:rPr>
          <w:rFonts w:ascii="Verdana" w:hAnsi="Verdana"/>
          <w:sz w:val="16"/>
          <w:szCs w:val="16"/>
        </w:rPr>
        <w:t xml:space="preserve"> las defensas de los represores tiene como contrapartida que no se imponga ningún tipo de medida</w:t>
      </w:r>
      <w:r>
        <w:rPr>
          <w:rFonts w:ascii="Verdana" w:hAnsi="Verdana"/>
          <w:sz w:val="16"/>
          <w:szCs w:val="16"/>
        </w:rPr>
        <w:t>s</w:t>
      </w:r>
      <w:r w:rsidRPr="000031DD">
        <w:rPr>
          <w:rFonts w:ascii="Verdana" w:hAnsi="Verdana"/>
          <w:sz w:val="16"/>
          <w:szCs w:val="16"/>
        </w:rPr>
        <w:t xml:space="preserve"> cautelares”. Mencionaron también que “[e]l Poder Judicial tampoco ha usado otros mecanismos procesales regulados en el derecho interno que permiten rechazar </w:t>
      </w:r>
      <w:r w:rsidRPr="00685170">
        <w:rPr>
          <w:rFonts w:ascii="Verdana" w:hAnsi="Verdana"/>
          <w:i/>
          <w:sz w:val="16"/>
          <w:szCs w:val="16"/>
        </w:rPr>
        <w:t>in limine</w:t>
      </w:r>
      <w:r w:rsidRPr="000031DD">
        <w:rPr>
          <w:rFonts w:ascii="Verdana" w:hAnsi="Verdana"/>
          <w:sz w:val="16"/>
          <w:szCs w:val="16"/>
        </w:rPr>
        <w:t xml:space="preserve"> recursos sobre cuestiones ya planteadas sobre las que existe jurisprudencia firme, generando demoras en las causas de meses y hasta años”.</w:t>
      </w:r>
      <w:r w:rsidRPr="000031DD">
        <w:rPr>
          <w:rFonts w:ascii="Verdana" w:hAnsi="Verdana"/>
          <w:b/>
          <w:sz w:val="16"/>
          <w:szCs w:val="16"/>
        </w:rPr>
        <w:t xml:space="preserve"> </w:t>
      </w:r>
      <w:r w:rsidRPr="000031DD">
        <w:rPr>
          <w:rFonts w:ascii="Verdana" w:hAnsi="Verdana"/>
          <w:sz w:val="16"/>
          <w:szCs w:val="16"/>
        </w:rPr>
        <w:t xml:space="preserve">Por otra parte, afirmaron que </w:t>
      </w:r>
      <w:r>
        <w:rPr>
          <w:rFonts w:ascii="Verdana" w:hAnsi="Verdana"/>
          <w:sz w:val="16"/>
          <w:szCs w:val="16"/>
        </w:rPr>
        <w:t>“</w:t>
      </w:r>
      <w:r w:rsidRPr="000031DD">
        <w:rPr>
          <w:rFonts w:ascii="Verdana" w:hAnsi="Verdana" w:cs="ArialNarrow"/>
          <w:sz w:val="16"/>
          <w:szCs w:val="16"/>
        </w:rPr>
        <w:t xml:space="preserve">si bien se ha imputado a represores, las imputaciones son </w:t>
      </w:r>
      <w:proofErr w:type="gramStart"/>
      <w:r w:rsidRPr="000031DD">
        <w:rPr>
          <w:rFonts w:ascii="Verdana" w:hAnsi="Verdana" w:cs="ArialNarrow"/>
          <w:sz w:val="16"/>
          <w:szCs w:val="16"/>
        </w:rPr>
        <w:t>de acuerdo al</w:t>
      </w:r>
      <w:proofErr w:type="gramEnd"/>
      <w:r w:rsidRPr="000031DD">
        <w:rPr>
          <w:rFonts w:ascii="Verdana" w:hAnsi="Verdana" w:cs="ArialNarrow"/>
          <w:sz w:val="16"/>
          <w:szCs w:val="16"/>
        </w:rPr>
        <w:t xml:space="preserve"> Código Penal uruguayo y no de acuerdo a los estándares internacionales sobre la materia</w:t>
      </w:r>
      <w:r>
        <w:rPr>
          <w:rFonts w:ascii="Verdana" w:hAnsi="Verdana" w:cs="ArialNarrow"/>
          <w:sz w:val="16"/>
          <w:szCs w:val="16"/>
        </w:rPr>
        <w:t>”, advirtiendo, “[a]</w:t>
      </w:r>
      <w:r w:rsidRPr="000031DD">
        <w:rPr>
          <w:rFonts w:ascii="Verdana" w:hAnsi="Verdana" w:cs="ArialNarrow"/>
          <w:sz w:val="16"/>
          <w:szCs w:val="16"/>
        </w:rPr>
        <w:t xml:space="preserve"> vía de ejemplo</w:t>
      </w:r>
      <w:r>
        <w:rPr>
          <w:rFonts w:ascii="Verdana" w:hAnsi="Verdana" w:cs="ArialNarrow"/>
          <w:sz w:val="16"/>
          <w:szCs w:val="16"/>
        </w:rPr>
        <w:t>”, que</w:t>
      </w:r>
      <w:r w:rsidRPr="000031DD">
        <w:rPr>
          <w:rFonts w:ascii="Verdana" w:hAnsi="Verdana" w:cs="ArialNarrow"/>
          <w:sz w:val="16"/>
          <w:szCs w:val="16"/>
        </w:rPr>
        <w:t xml:space="preserve"> </w:t>
      </w:r>
      <w:r>
        <w:rPr>
          <w:rFonts w:ascii="Verdana" w:hAnsi="Verdana" w:cs="ArialNarrow"/>
          <w:sz w:val="16"/>
          <w:szCs w:val="16"/>
        </w:rPr>
        <w:t>“</w:t>
      </w:r>
      <w:r w:rsidRPr="000031DD">
        <w:rPr>
          <w:rFonts w:ascii="Verdana" w:hAnsi="Verdana" w:cs="ArialNarrow"/>
          <w:sz w:val="16"/>
          <w:szCs w:val="16"/>
        </w:rPr>
        <w:t>se imputan homicidios en lugar de desapariciones forzadas”.</w:t>
      </w:r>
    </w:p>
    <w:p w14:paraId="55D8B831" w14:textId="77777777" w:rsidR="00DD280C" w:rsidRPr="000031DD" w:rsidRDefault="00DD280C" w:rsidP="002A53BF">
      <w:pPr>
        <w:pStyle w:val="Textonotapie"/>
        <w:jc w:val="both"/>
        <w:rPr>
          <w:rFonts w:ascii="Verdana" w:hAnsi="Verdana"/>
          <w:sz w:val="16"/>
          <w:szCs w:val="16"/>
        </w:rPr>
      </w:pPr>
    </w:p>
  </w:footnote>
  <w:footnote w:id="162">
    <w:p w14:paraId="761F23A4" w14:textId="77777777" w:rsidR="00DD280C" w:rsidRDefault="00DD280C" w:rsidP="002A53BF">
      <w:pPr>
        <w:pStyle w:val="Textonotapie"/>
        <w:jc w:val="both"/>
        <w:rPr>
          <w:rFonts w:ascii="Verdana" w:hAnsi="Verdana" w:cs="Times New Roman"/>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2B4D1B">
        <w:rPr>
          <w:rFonts w:ascii="Verdana" w:hAnsi="Verdana"/>
          <w:sz w:val="16"/>
          <w:szCs w:val="16"/>
        </w:rPr>
        <w:t>El Estado hizo esta mención recordando la noción de impunidad expresada en la sentencia de</w:t>
      </w:r>
      <w:r>
        <w:rPr>
          <w:rFonts w:ascii="Verdana" w:hAnsi="Verdana"/>
          <w:sz w:val="16"/>
          <w:szCs w:val="16"/>
        </w:rPr>
        <w:t xml:space="preserve"> fondo de</w:t>
      </w:r>
      <w:r w:rsidRPr="002B4D1B">
        <w:rPr>
          <w:rFonts w:ascii="Verdana" w:hAnsi="Verdana"/>
          <w:sz w:val="16"/>
          <w:szCs w:val="16"/>
        </w:rPr>
        <w:t xml:space="preserve"> esta Corte en el </w:t>
      </w:r>
      <w:r w:rsidRPr="00685170">
        <w:rPr>
          <w:rFonts w:ascii="Verdana" w:hAnsi="Verdana"/>
          <w:i/>
          <w:sz w:val="16"/>
          <w:szCs w:val="16"/>
        </w:rPr>
        <w:t>Caso de la Panel “Blanca</w:t>
      </w:r>
      <w:r w:rsidRPr="002B4D1B">
        <w:rPr>
          <w:rFonts w:ascii="Verdana" w:hAnsi="Verdana"/>
          <w:sz w:val="16"/>
          <w:szCs w:val="16"/>
        </w:rPr>
        <w:t>” (</w:t>
      </w:r>
      <w:r w:rsidRPr="002B4D1B">
        <w:rPr>
          <w:rFonts w:ascii="Verdana" w:hAnsi="Verdana" w:cs="Times New Roman"/>
          <w:i/>
          <w:iCs/>
          <w:sz w:val="16"/>
          <w:szCs w:val="16"/>
        </w:rPr>
        <w:t>Paniagua Morales y otros) Vs. Guatemala</w:t>
      </w:r>
      <w:r w:rsidRPr="002B4D1B">
        <w:rPr>
          <w:rFonts w:ascii="Verdana" w:hAnsi="Verdana" w:cs="Times New Roman"/>
          <w:sz w:val="16"/>
          <w:szCs w:val="16"/>
        </w:rPr>
        <w:t xml:space="preserve"> (</w:t>
      </w:r>
      <w:r w:rsidRPr="00685170">
        <w:rPr>
          <w:rFonts w:ascii="Verdana" w:hAnsi="Verdana" w:cs="Times New Roman"/>
          <w:i/>
          <w:sz w:val="16"/>
          <w:szCs w:val="16"/>
        </w:rPr>
        <w:t>Fondo</w:t>
      </w:r>
      <w:r w:rsidRPr="002B4D1B">
        <w:rPr>
          <w:rFonts w:ascii="Verdana" w:hAnsi="Verdana" w:cs="Times New Roman"/>
          <w:sz w:val="16"/>
          <w:szCs w:val="16"/>
        </w:rPr>
        <w:t>. Sentencia de 8 de marzo de 1998. Serie C No. 37</w:t>
      </w:r>
      <w:r w:rsidRPr="00685170">
        <w:rPr>
          <w:rFonts w:ascii="Verdana" w:hAnsi="Verdana" w:cs="Times New Roman"/>
          <w:sz w:val="16"/>
          <w:szCs w:val="16"/>
        </w:rPr>
        <w:t>, párr. 173</w:t>
      </w:r>
      <w:r w:rsidRPr="002B4D1B">
        <w:rPr>
          <w:rFonts w:ascii="Verdana" w:hAnsi="Verdana" w:cs="Times New Roman"/>
          <w:sz w:val="16"/>
          <w:szCs w:val="16"/>
        </w:rPr>
        <w:t>).</w:t>
      </w:r>
      <w:r w:rsidRPr="000031DD">
        <w:rPr>
          <w:rFonts w:ascii="Verdana" w:hAnsi="Verdana" w:cs="Times New Roman"/>
          <w:sz w:val="16"/>
          <w:szCs w:val="16"/>
        </w:rPr>
        <w:t xml:space="preserve"> </w:t>
      </w:r>
    </w:p>
    <w:p w14:paraId="23A73461" w14:textId="77777777" w:rsidR="00DD280C" w:rsidRPr="000031DD" w:rsidRDefault="00DD280C" w:rsidP="002A53BF">
      <w:pPr>
        <w:pStyle w:val="Textonotapie"/>
        <w:jc w:val="both"/>
        <w:rPr>
          <w:rFonts w:ascii="Verdana" w:hAnsi="Verdana"/>
          <w:sz w:val="16"/>
          <w:szCs w:val="16"/>
        </w:rPr>
      </w:pPr>
    </w:p>
  </w:footnote>
  <w:footnote w:id="163">
    <w:p w14:paraId="609132FF" w14:textId="77777777" w:rsidR="00DD280C" w:rsidRDefault="00DD280C" w:rsidP="002A53BF">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El Estado destacó que “[l]os procesos judiciales correspondientes han incluido, por lo demás y en los casos necesarios, solicitudes de extradición desde terceros países”, y señaló que ese es el caso “de [E.F.], extraditado desde España y procesado recientemente en el caso de Óscar </w:t>
      </w:r>
      <w:proofErr w:type="spellStart"/>
      <w:r w:rsidRPr="000031DD">
        <w:rPr>
          <w:rFonts w:ascii="Verdana" w:hAnsi="Verdana"/>
          <w:sz w:val="16"/>
          <w:szCs w:val="16"/>
        </w:rPr>
        <w:t>Tassino</w:t>
      </w:r>
      <w:proofErr w:type="spellEnd"/>
      <w:r w:rsidRPr="000031DD">
        <w:rPr>
          <w:rFonts w:ascii="Verdana" w:hAnsi="Verdana"/>
          <w:sz w:val="16"/>
          <w:szCs w:val="16"/>
        </w:rPr>
        <w:t>”.</w:t>
      </w:r>
    </w:p>
    <w:p w14:paraId="3D5E3E99" w14:textId="77777777" w:rsidR="00DD280C" w:rsidRPr="000031DD" w:rsidRDefault="00DD280C" w:rsidP="002A53BF">
      <w:pPr>
        <w:pStyle w:val="Textonotapie"/>
        <w:jc w:val="both"/>
        <w:rPr>
          <w:rFonts w:ascii="Verdana" w:hAnsi="Verdana"/>
          <w:sz w:val="16"/>
          <w:szCs w:val="16"/>
        </w:rPr>
      </w:pPr>
    </w:p>
  </w:footnote>
  <w:footnote w:id="164">
    <w:p w14:paraId="639444E1" w14:textId="77777777" w:rsidR="00DD280C" w:rsidRPr="00853085" w:rsidRDefault="00DD280C" w:rsidP="002A53BF">
      <w:pPr>
        <w:pStyle w:val="Textonotapie"/>
        <w:tabs>
          <w:tab w:val="left" w:pos="567"/>
          <w:tab w:val="left" w:pos="709"/>
        </w:tabs>
        <w:jc w:val="both"/>
        <w:rPr>
          <w:rFonts w:ascii="Verdana" w:hAnsi="Verdana"/>
          <w:sz w:val="16"/>
          <w:szCs w:val="16"/>
          <w:lang w:eastAsia="es-PE"/>
        </w:rPr>
      </w:pPr>
      <w:r w:rsidRPr="00853085">
        <w:rPr>
          <w:rStyle w:val="Refdenotaalpie"/>
          <w:rFonts w:ascii="Verdana" w:hAnsi="Verdana"/>
          <w:sz w:val="16"/>
          <w:szCs w:val="16"/>
        </w:rPr>
        <w:footnoteRef/>
      </w:r>
      <w:r w:rsidRPr="00853085">
        <w:rPr>
          <w:rFonts w:ascii="Verdana" w:hAnsi="Verdana"/>
          <w:sz w:val="16"/>
          <w:szCs w:val="16"/>
        </w:rPr>
        <w:t xml:space="preserve"> </w:t>
      </w:r>
      <w:r w:rsidRPr="00853085">
        <w:rPr>
          <w:rFonts w:ascii="Verdana" w:hAnsi="Verdana"/>
          <w:sz w:val="16"/>
          <w:szCs w:val="16"/>
        </w:rPr>
        <w:tab/>
      </w:r>
      <w:r w:rsidRPr="00853085">
        <w:rPr>
          <w:rFonts w:ascii="Verdana" w:hAnsi="Verdana"/>
          <w:i/>
          <w:sz w:val="16"/>
          <w:szCs w:val="16"/>
          <w:lang w:val="es-ES"/>
        </w:rPr>
        <w:t xml:space="preserve">Cfr. </w:t>
      </w:r>
      <w:r w:rsidRPr="00685170">
        <w:rPr>
          <w:rFonts w:ascii="Verdana" w:hAnsi="Verdana"/>
          <w:i/>
          <w:sz w:val="16"/>
          <w:szCs w:val="16"/>
        </w:rPr>
        <w:t xml:space="preserve">Caso Velásquez Rodríguez Vs. Honduras. Excepciones Preliminares. </w:t>
      </w:r>
      <w:r w:rsidRPr="00685170">
        <w:rPr>
          <w:rFonts w:ascii="Verdana" w:hAnsi="Verdana"/>
          <w:sz w:val="16"/>
          <w:szCs w:val="16"/>
        </w:rPr>
        <w:t>Sentencia de 26 de junio de 1987. Serie C</w:t>
      </w:r>
      <w:r w:rsidRPr="00685170">
        <w:rPr>
          <w:rFonts w:ascii="Verdana" w:hAnsi="Verdana"/>
          <w:spacing w:val="1"/>
          <w:sz w:val="16"/>
          <w:szCs w:val="16"/>
        </w:rPr>
        <w:t xml:space="preserve"> </w:t>
      </w:r>
      <w:r w:rsidRPr="00685170">
        <w:rPr>
          <w:rFonts w:ascii="Verdana" w:hAnsi="Verdana"/>
          <w:sz w:val="16"/>
          <w:szCs w:val="16"/>
        </w:rPr>
        <w:t>No. 1, párr. 91, y</w:t>
      </w:r>
      <w:r w:rsidRPr="00853085">
        <w:rPr>
          <w:rFonts w:ascii="Verdana" w:hAnsi="Verdana"/>
          <w:i/>
          <w:sz w:val="16"/>
          <w:szCs w:val="16"/>
          <w:lang w:val="es-ES"/>
        </w:rPr>
        <w:t xml:space="preserve"> </w:t>
      </w:r>
      <w:r w:rsidRPr="00685170">
        <w:rPr>
          <w:rFonts w:ascii="Verdana" w:hAnsi="Verdana" w:cs="Open Sans"/>
          <w:i/>
          <w:sz w:val="16"/>
          <w:szCs w:val="16"/>
          <w:shd w:val="clear" w:color="auto" w:fill="FFFFFF"/>
        </w:rPr>
        <w:t>Caso Bedoya Lima y otra Vs. Colombia. Fondo, Reparaciones y Costas.</w:t>
      </w:r>
      <w:r w:rsidRPr="00685170">
        <w:rPr>
          <w:rFonts w:ascii="Verdana" w:hAnsi="Verdana" w:cs="Open Sans"/>
          <w:sz w:val="16"/>
          <w:szCs w:val="16"/>
          <w:shd w:val="clear" w:color="auto" w:fill="FFFFFF"/>
        </w:rPr>
        <w:t xml:space="preserve"> Sentencia de 26 de agosto de 2021. Serie C No. 431</w:t>
      </w:r>
      <w:r w:rsidRPr="00685170">
        <w:rPr>
          <w:rFonts w:ascii="Verdana" w:hAnsi="Verdana"/>
          <w:sz w:val="16"/>
          <w:szCs w:val="16"/>
          <w:lang w:val="es-ES"/>
        </w:rPr>
        <w:t xml:space="preserve">, párr. 125. </w:t>
      </w:r>
    </w:p>
    <w:p w14:paraId="4A2348A6" w14:textId="77777777" w:rsidR="00DD280C" w:rsidRPr="000031DD" w:rsidRDefault="00DD280C" w:rsidP="002A53BF">
      <w:pPr>
        <w:pStyle w:val="Textonotapie"/>
        <w:tabs>
          <w:tab w:val="left" w:pos="567"/>
          <w:tab w:val="left" w:pos="709"/>
        </w:tabs>
        <w:jc w:val="both"/>
        <w:rPr>
          <w:rFonts w:ascii="Verdana" w:hAnsi="Verdana"/>
          <w:sz w:val="16"/>
          <w:szCs w:val="16"/>
        </w:rPr>
      </w:pPr>
    </w:p>
  </w:footnote>
  <w:footnote w:id="165">
    <w:p w14:paraId="46A6EB23" w14:textId="77777777" w:rsidR="00DD280C" w:rsidRPr="00685170" w:rsidRDefault="00DD280C" w:rsidP="002A53BF">
      <w:pPr>
        <w:pStyle w:val="Textonotapie"/>
        <w:jc w:val="both"/>
        <w:rPr>
          <w:rFonts w:ascii="Verdana" w:hAnsi="Verdana" w:cs="Open Sans"/>
          <w:sz w:val="16"/>
          <w:szCs w:val="16"/>
          <w:shd w:val="clear" w:color="auto" w:fill="FFFFFF"/>
        </w:rPr>
      </w:pPr>
      <w:r w:rsidRPr="00685170">
        <w:rPr>
          <w:rStyle w:val="Refdenotaalpie"/>
          <w:rFonts w:ascii="Verdana" w:hAnsi="Verdana"/>
          <w:sz w:val="16"/>
          <w:szCs w:val="16"/>
        </w:rPr>
        <w:footnoteRef/>
      </w:r>
      <w:r w:rsidRPr="00685170">
        <w:rPr>
          <w:rFonts w:ascii="Verdana" w:hAnsi="Verdana"/>
          <w:sz w:val="16"/>
          <w:szCs w:val="16"/>
        </w:rPr>
        <w:t xml:space="preserve"> </w:t>
      </w:r>
      <w:r w:rsidRPr="00685170">
        <w:rPr>
          <w:rFonts w:ascii="Verdana" w:hAnsi="Verdana"/>
          <w:sz w:val="16"/>
          <w:szCs w:val="16"/>
        </w:rPr>
        <w:tab/>
      </w:r>
      <w:r w:rsidRPr="00685170">
        <w:rPr>
          <w:rFonts w:ascii="Verdana" w:hAnsi="Verdana"/>
          <w:i/>
          <w:sz w:val="16"/>
          <w:szCs w:val="16"/>
        </w:rPr>
        <w:t xml:space="preserve">Cfr. </w:t>
      </w:r>
      <w:r w:rsidRPr="00685170">
        <w:rPr>
          <w:rFonts w:ascii="Verdana" w:hAnsi="Verdana" w:cs="Open Sans"/>
          <w:i/>
          <w:sz w:val="16"/>
          <w:szCs w:val="16"/>
          <w:shd w:val="clear" w:color="auto" w:fill="FFFFFF"/>
        </w:rPr>
        <w:t xml:space="preserve">Caso Mota </w:t>
      </w:r>
      <w:proofErr w:type="spellStart"/>
      <w:r w:rsidRPr="00685170">
        <w:rPr>
          <w:rFonts w:ascii="Verdana" w:hAnsi="Verdana" w:cs="Open Sans"/>
          <w:i/>
          <w:sz w:val="16"/>
          <w:szCs w:val="16"/>
          <w:shd w:val="clear" w:color="auto" w:fill="FFFFFF"/>
        </w:rPr>
        <w:t>Abarullo</w:t>
      </w:r>
      <w:proofErr w:type="spellEnd"/>
      <w:r w:rsidRPr="00685170">
        <w:rPr>
          <w:rFonts w:ascii="Verdana" w:hAnsi="Verdana" w:cs="Open Sans"/>
          <w:i/>
          <w:sz w:val="16"/>
          <w:szCs w:val="16"/>
          <w:shd w:val="clear" w:color="auto" w:fill="FFFFFF"/>
        </w:rPr>
        <w:t xml:space="preserve"> y otros Vs. Venezuela. Fondo, Reparaciones y Costas.</w:t>
      </w:r>
      <w:r w:rsidRPr="00685170">
        <w:rPr>
          <w:rFonts w:ascii="Verdana" w:hAnsi="Verdana" w:cs="Open Sans"/>
          <w:sz w:val="16"/>
          <w:szCs w:val="16"/>
          <w:shd w:val="clear" w:color="auto" w:fill="FFFFFF"/>
        </w:rPr>
        <w:t xml:space="preserve"> Sentencia de 18 de noviembre de 2020. Serie C No. 417, párr. 120, y </w:t>
      </w:r>
      <w:r w:rsidRPr="00685170">
        <w:rPr>
          <w:rFonts w:ascii="Verdana" w:hAnsi="Verdana" w:cs="Open Sans"/>
          <w:i/>
          <w:sz w:val="16"/>
          <w:szCs w:val="16"/>
          <w:shd w:val="clear" w:color="auto" w:fill="FFFFFF"/>
        </w:rPr>
        <w:t>Caso Guerrero, Molina y otros Vs. Venezuela. Fondo, Reparaciones y Costas.</w:t>
      </w:r>
      <w:r w:rsidRPr="00685170">
        <w:rPr>
          <w:rFonts w:ascii="Verdana" w:hAnsi="Verdana" w:cs="Open Sans"/>
          <w:sz w:val="16"/>
          <w:szCs w:val="16"/>
          <w:shd w:val="clear" w:color="auto" w:fill="FFFFFF"/>
        </w:rPr>
        <w:t xml:space="preserve"> Sentencia de 3 de junio de 2021. Serie C No. 424, párr.136. </w:t>
      </w:r>
      <w:r w:rsidRPr="00685170">
        <w:rPr>
          <w:rFonts w:ascii="Verdana" w:hAnsi="Verdana"/>
          <w:sz w:val="16"/>
          <w:szCs w:val="16"/>
        </w:rPr>
        <w:t xml:space="preserve">Ver también, entre otros: </w:t>
      </w:r>
      <w:r w:rsidRPr="005932ED">
        <w:rPr>
          <w:rFonts w:ascii="Verdana" w:hAnsi="Verdana"/>
          <w:i/>
          <w:sz w:val="16"/>
          <w:szCs w:val="16"/>
        </w:rPr>
        <w:t>Caso Velásquez Rodríguez Vs. Honduras. Excepciones Preliminares.</w:t>
      </w:r>
      <w:r w:rsidRPr="00685170">
        <w:rPr>
          <w:rFonts w:ascii="Verdana" w:hAnsi="Verdana"/>
          <w:sz w:val="16"/>
          <w:szCs w:val="16"/>
        </w:rPr>
        <w:t xml:space="preserve"> Sentencia de 26 de junio de 1987. Serie C No. 1, párr. 91.</w:t>
      </w:r>
      <w:r w:rsidRPr="00685170">
        <w:rPr>
          <w:rFonts w:ascii="Verdana" w:hAnsi="Verdana" w:cs="Open Sans"/>
          <w:sz w:val="16"/>
          <w:szCs w:val="16"/>
          <w:shd w:val="clear" w:color="auto" w:fill="FFFFFF"/>
        </w:rPr>
        <w:t xml:space="preserve"> </w:t>
      </w:r>
    </w:p>
    <w:p w14:paraId="0C976799" w14:textId="77777777" w:rsidR="00DD280C" w:rsidRDefault="00DD280C" w:rsidP="002A53BF">
      <w:pPr>
        <w:pStyle w:val="Textonotapie"/>
      </w:pPr>
    </w:p>
  </w:footnote>
  <w:footnote w:id="166">
    <w:p w14:paraId="276E0FCE" w14:textId="694C9855" w:rsidR="00DD280C" w:rsidRDefault="00DD280C" w:rsidP="002A53BF">
      <w:pPr>
        <w:pStyle w:val="Textonotapie"/>
        <w:jc w:val="both"/>
        <w:rPr>
          <w:rFonts w:ascii="Verdana" w:hAnsi="Verdana"/>
          <w:sz w:val="16"/>
          <w:szCs w:val="16"/>
        </w:rPr>
      </w:pPr>
      <w:r w:rsidRPr="000031DD">
        <w:rPr>
          <w:rStyle w:val="Refdenotaalpie"/>
          <w:rFonts w:ascii="Verdana" w:eastAsia="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685170">
        <w:rPr>
          <w:rFonts w:ascii="Verdana" w:hAnsi="Verdana"/>
          <w:i/>
          <w:sz w:val="16"/>
          <w:szCs w:val="16"/>
        </w:rPr>
        <w:t>Cfr</w:t>
      </w:r>
      <w:r w:rsidRPr="00685170">
        <w:rPr>
          <w:rFonts w:ascii="Verdana" w:hAnsi="Verdana"/>
          <w:sz w:val="16"/>
          <w:szCs w:val="16"/>
        </w:rPr>
        <w:t xml:space="preserve">. </w:t>
      </w:r>
      <w:r w:rsidRPr="00685170">
        <w:rPr>
          <w:rFonts w:ascii="Verdana" w:hAnsi="Verdana"/>
          <w:i/>
          <w:sz w:val="16"/>
          <w:szCs w:val="16"/>
        </w:rPr>
        <w:t xml:space="preserve">Caso </w:t>
      </w:r>
      <w:proofErr w:type="spellStart"/>
      <w:r w:rsidRPr="00685170">
        <w:rPr>
          <w:rFonts w:ascii="Verdana" w:hAnsi="Verdana"/>
          <w:i/>
          <w:sz w:val="16"/>
          <w:szCs w:val="16"/>
        </w:rPr>
        <w:t>Goiburú</w:t>
      </w:r>
      <w:proofErr w:type="spellEnd"/>
      <w:r w:rsidRPr="00685170">
        <w:rPr>
          <w:rFonts w:ascii="Verdana" w:hAnsi="Verdana"/>
          <w:i/>
          <w:sz w:val="16"/>
          <w:szCs w:val="16"/>
        </w:rPr>
        <w:t xml:space="preserve"> y otros Vs. Paraguay</w:t>
      </w:r>
      <w:r w:rsidRPr="00685170">
        <w:rPr>
          <w:rFonts w:ascii="Verdana" w:hAnsi="Verdana"/>
          <w:sz w:val="16"/>
          <w:szCs w:val="16"/>
        </w:rPr>
        <w:t>, párr. 128</w:t>
      </w:r>
      <w:r>
        <w:rPr>
          <w:rFonts w:ascii="Verdana" w:hAnsi="Verdana"/>
          <w:sz w:val="16"/>
          <w:szCs w:val="16"/>
        </w:rPr>
        <w:t>,</w:t>
      </w:r>
      <w:r w:rsidRPr="00685170">
        <w:rPr>
          <w:rFonts w:ascii="Verdana" w:hAnsi="Verdana"/>
          <w:sz w:val="16"/>
          <w:szCs w:val="16"/>
        </w:rPr>
        <w:t xml:space="preserve"> y</w:t>
      </w:r>
      <w:r w:rsidRPr="00507402">
        <w:rPr>
          <w:rFonts w:ascii="Verdana" w:hAnsi="Verdana"/>
          <w:sz w:val="16"/>
          <w:szCs w:val="16"/>
        </w:rPr>
        <w:t xml:space="preserve"> </w:t>
      </w:r>
      <w:r w:rsidRPr="00685170">
        <w:rPr>
          <w:rFonts w:ascii="Verdana" w:hAnsi="Verdana" w:cs="Open Sans"/>
          <w:i/>
          <w:sz w:val="16"/>
          <w:szCs w:val="16"/>
          <w:shd w:val="clear" w:color="auto" w:fill="FFFFFF"/>
        </w:rPr>
        <w:t>Caso Garzón Guzmán y otros Vs. Ecuador</w:t>
      </w:r>
      <w:r w:rsidRPr="00685170">
        <w:rPr>
          <w:rFonts w:ascii="Verdana" w:hAnsi="Verdana" w:cs="Open Sans"/>
          <w:sz w:val="16"/>
          <w:szCs w:val="16"/>
          <w:shd w:val="clear" w:color="auto" w:fill="FFFFFF"/>
        </w:rPr>
        <w:t xml:space="preserve">, párr. 66. </w:t>
      </w:r>
      <w:r w:rsidRPr="00507402">
        <w:rPr>
          <w:rFonts w:ascii="Verdana" w:hAnsi="Verdana"/>
          <w:sz w:val="16"/>
          <w:szCs w:val="16"/>
        </w:rPr>
        <w:t xml:space="preserve"> </w:t>
      </w:r>
    </w:p>
    <w:p w14:paraId="446126A8" w14:textId="77777777" w:rsidR="00DD280C" w:rsidRPr="000031DD" w:rsidRDefault="00DD280C" w:rsidP="002A53BF">
      <w:pPr>
        <w:pStyle w:val="Textonotapie"/>
        <w:jc w:val="both"/>
        <w:rPr>
          <w:rFonts w:ascii="Verdana" w:hAnsi="Verdana"/>
          <w:i/>
          <w:sz w:val="16"/>
          <w:szCs w:val="16"/>
        </w:rPr>
      </w:pPr>
    </w:p>
  </w:footnote>
  <w:footnote w:id="167">
    <w:p w14:paraId="3136ED6F" w14:textId="63A529A7" w:rsidR="00DD280C" w:rsidRDefault="00DD280C" w:rsidP="00D9269D">
      <w:pPr>
        <w:spacing w:after="0"/>
        <w:jc w:val="both"/>
        <w:rPr>
          <w:rFonts w:ascii="Verdana" w:hAnsi="Verdana"/>
          <w:sz w:val="16"/>
          <w:szCs w:val="16"/>
        </w:rPr>
      </w:pPr>
      <w:r w:rsidRPr="00A770F2">
        <w:rPr>
          <w:rStyle w:val="Refdenotaalpie"/>
          <w:rFonts w:ascii="Verdana" w:eastAsia="Verdana" w:hAnsi="Verdana"/>
          <w:sz w:val="16"/>
          <w:szCs w:val="16"/>
        </w:rPr>
        <w:footnoteRef/>
      </w:r>
      <w:r w:rsidRPr="00A770F2">
        <w:rPr>
          <w:rFonts w:ascii="Verdana" w:hAnsi="Verdana"/>
          <w:sz w:val="16"/>
          <w:szCs w:val="16"/>
        </w:rPr>
        <w:t xml:space="preserve"> </w:t>
      </w:r>
      <w:r w:rsidRPr="00A770F2">
        <w:rPr>
          <w:rFonts w:ascii="Verdana" w:hAnsi="Verdana"/>
          <w:sz w:val="16"/>
          <w:szCs w:val="16"/>
        </w:rPr>
        <w:tab/>
      </w:r>
      <w:r w:rsidRPr="00A770F2">
        <w:rPr>
          <w:rFonts w:ascii="Verdana" w:hAnsi="Verdana"/>
          <w:i/>
          <w:sz w:val="16"/>
          <w:szCs w:val="16"/>
        </w:rPr>
        <w:t xml:space="preserve">Cfr. </w:t>
      </w:r>
      <w:r w:rsidRPr="00685170">
        <w:rPr>
          <w:rFonts w:ascii="Verdana" w:hAnsi="Verdana" w:cs="Open Sans"/>
          <w:i/>
          <w:sz w:val="16"/>
          <w:szCs w:val="16"/>
          <w:shd w:val="clear" w:color="auto" w:fill="FFFFFF"/>
        </w:rPr>
        <w:t>Caso Suárez Rosero Vs. Ecuador. Fondo.</w:t>
      </w:r>
      <w:r w:rsidRPr="00685170">
        <w:rPr>
          <w:rFonts w:ascii="Verdana" w:hAnsi="Verdana" w:cs="Open Sans"/>
          <w:sz w:val="16"/>
          <w:szCs w:val="16"/>
          <w:shd w:val="clear" w:color="auto" w:fill="FFFFFF"/>
        </w:rPr>
        <w:t xml:space="preserve"> Sentencia de 12 de noviembre de 1997. Serie C No. 35, párrs.106 y 107</w:t>
      </w:r>
      <w:r>
        <w:rPr>
          <w:rFonts w:ascii="Verdana" w:hAnsi="Verdana" w:cs="Open Sans"/>
          <w:sz w:val="16"/>
          <w:szCs w:val="16"/>
          <w:shd w:val="clear" w:color="auto" w:fill="FFFFFF"/>
        </w:rPr>
        <w:t>,</w:t>
      </w:r>
      <w:r w:rsidRPr="00A770F2">
        <w:rPr>
          <w:rFonts w:ascii="Verdana" w:hAnsi="Verdana"/>
          <w:sz w:val="16"/>
          <w:szCs w:val="16"/>
        </w:rPr>
        <w:t xml:space="preserve"> y </w:t>
      </w:r>
      <w:r w:rsidRPr="00685170">
        <w:rPr>
          <w:rFonts w:ascii="Verdana" w:hAnsi="Verdana" w:cs="Open Sans"/>
          <w:i/>
          <w:sz w:val="16"/>
          <w:szCs w:val="16"/>
          <w:shd w:val="clear" w:color="auto" w:fill="FFFFFF"/>
        </w:rPr>
        <w:t>Caso Bedoya Lima y otra Vs. Colombia</w:t>
      </w:r>
      <w:r>
        <w:rPr>
          <w:rFonts w:ascii="Verdana" w:hAnsi="Verdana"/>
          <w:sz w:val="16"/>
          <w:szCs w:val="16"/>
        </w:rPr>
        <w:t xml:space="preserve">, </w:t>
      </w:r>
      <w:proofErr w:type="spellStart"/>
      <w:r>
        <w:rPr>
          <w:rFonts w:ascii="Verdana" w:hAnsi="Verdana"/>
          <w:sz w:val="16"/>
          <w:szCs w:val="16"/>
        </w:rPr>
        <w:t>párrs</w:t>
      </w:r>
      <w:proofErr w:type="spellEnd"/>
      <w:r>
        <w:rPr>
          <w:rFonts w:ascii="Verdana" w:hAnsi="Verdana"/>
          <w:sz w:val="16"/>
          <w:szCs w:val="16"/>
        </w:rPr>
        <w:t>. 125 a 133.</w:t>
      </w:r>
    </w:p>
    <w:p w14:paraId="0B6C6FD6" w14:textId="77777777" w:rsidR="00DD280C" w:rsidRPr="000031DD" w:rsidRDefault="00DD280C" w:rsidP="00D9269D">
      <w:pPr>
        <w:spacing w:after="0"/>
        <w:jc w:val="both"/>
        <w:rPr>
          <w:rFonts w:ascii="Verdana" w:hAnsi="Verdana"/>
          <w:sz w:val="16"/>
          <w:szCs w:val="16"/>
        </w:rPr>
      </w:pPr>
    </w:p>
  </w:footnote>
  <w:footnote w:id="168">
    <w:p w14:paraId="233F91CB" w14:textId="6562AC3E" w:rsidR="00DD280C" w:rsidRPr="00D53262" w:rsidRDefault="00DD280C" w:rsidP="00D9269D">
      <w:pPr>
        <w:pStyle w:val="Textonotapie"/>
        <w:jc w:val="both"/>
        <w:rPr>
          <w:rFonts w:ascii="Verdana" w:hAnsi="Verdana"/>
          <w:bCs/>
          <w:sz w:val="16"/>
          <w:szCs w:val="16"/>
        </w:rPr>
      </w:pPr>
      <w:r w:rsidRPr="00D53262">
        <w:rPr>
          <w:rStyle w:val="Refdenotaalpie"/>
          <w:rFonts w:ascii="Verdana" w:eastAsia="Verdana" w:hAnsi="Verdana"/>
          <w:sz w:val="16"/>
          <w:szCs w:val="16"/>
        </w:rPr>
        <w:footnoteRef/>
      </w:r>
      <w:r w:rsidRPr="002A53BF">
        <w:rPr>
          <w:rFonts w:ascii="Verdana" w:hAnsi="Verdana"/>
          <w:sz w:val="16"/>
          <w:szCs w:val="16"/>
        </w:rPr>
        <w:t xml:space="preserve"> </w:t>
      </w:r>
      <w:r w:rsidRPr="002A53BF">
        <w:rPr>
          <w:rFonts w:ascii="Verdana" w:hAnsi="Verdana"/>
          <w:sz w:val="16"/>
          <w:szCs w:val="16"/>
        </w:rPr>
        <w:tab/>
      </w:r>
      <w:r w:rsidRPr="002A53BF">
        <w:rPr>
          <w:rFonts w:ascii="Verdana" w:hAnsi="Verdana"/>
          <w:i/>
          <w:sz w:val="16"/>
          <w:szCs w:val="16"/>
        </w:rPr>
        <w:t>Cfr</w:t>
      </w:r>
      <w:r w:rsidRPr="002A53BF">
        <w:rPr>
          <w:rFonts w:ascii="Verdana" w:hAnsi="Verdana"/>
          <w:sz w:val="16"/>
          <w:szCs w:val="16"/>
        </w:rPr>
        <w:t xml:space="preserve">. </w:t>
      </w:r>
      <w:r w:rsidRPr="002A53BF">
        <w:rPr>
          <w:rFonts w:ascii="Verdana" w:hAnsi="Verdana" w:cs="Open Sans"/>
          <w:i/>
          <w:sz w:val="16"/>
          <w:szCs w:val="16"/>
          <w:shd w:val="clear" w:color="auto" w:fill="FFFFFF"/>
        </w:rPr>
        <w:t xml:space="preserve">Caso Genie Lacayo Vs. Nicaragua. </w:t>
      </w:r>
      <w:r w:rsidRPr="00685170">
        <w:rPr>
          <w:rFonts w:ascii="Verdana" w:hAnsi="Verdana" w:cs="Open Sans"/>
          <w:i/>
          <w:sz w:val="16"/>
          <w:szCs w:val="16"/>
          <w:shd w:val="clear" w:color="auto" w:fill="FFFFFF"/>
        </w:rPr>
        <w:t xml:space="preserve">Fondo, Reparaciones y Costas. </w:t>
      </w:r>
      <w:r w:rsidRPr="00685170">
        <w:rPr>
          <w:rFonts w:ascii="Verdana" w:hAnsi="Verdana" w:cs="Open Sans"/>
          <w:sz w:val="16"/>
          <w:szCs w:val="16"/>
          <w:shd w:val="clear" w:color="auto" w:fill="FFFFFF"/>
        </w:rPr>
        <w:t xml:space="preserve">Sentencia de 29 de enero de 1997. Serie C No. 30, </w:t>
      </w:r>
      <w:proofErr w:type="spellStart"/>
      <w:r w:rsidRPr="00685170">
        <w:rPr>
          <w:rFonts w:ascii="Verdana" w:hAnsi="Verdana" w:cs="Open Sans"/>
          <w:sz w:val="16"/>
          <w:szCs w:val="16"/>
          <w:shd w:val="clear" w:color="auto" w:fill="FFFFFF"/>
        </w:rPr>
        <w:t>parrs</w:t>
      </w:r>
      <w:proofErr w:type="spellEnd"/>
      <w:r w:rsidRPr="00685170">
        <w:rPr>
          <w:rFonts w:ascii="Verdana" w:hAnsi="Verdana" w:cs="Open Sans"/>
          <w:sz w:val="16"/>
          <w:szCs w:val="16"/>
          <w:shd w:val="clear" w:color="auto" w:fill="FFFFFF"/>
        </w:rPr>
        <w:t xml:space="preserve">. 74 a 81, y </w:t>
      </w:r>
      <w:r w:rsidRPr="00685170">
        <w:rPr>
          <w:rFonts w:ascii="Verdana" w:hAnsi="Verdana" w:cs="Open Sans"/>
          <w:i/>
          <w:sz w:val="16"/>
          <w:szCs w:val="16"/>
          <w:shd w:val="clear" w:color="auto" w:fill="FFFFFF"/>
        </w:rPr>
        <w:t>Caso Guerrero, Molina y otros Vs. Venezuela</w:t>
      </w:r>
      <w:r w:rsidRPr="00D53262">
        <w:rPr>
          <w:rFonts w:ascii="Verdana" w:hAnsi="Verdana"/>
          <w:bCs/>
          <w:sz w:val="16"/>
          <w:szCs w:val="16"/>
        </w:rPr>
        <w:t xml:space="preserve">, </w:t>
      </w:r>
      <w:proofErr w:type="spellStart"/>
      <w:r w:rsidRPr="00D53262">
        <w:rPr>
          <w:rFonts w:ascii="Verdana" w:hAnsi="Verdana"/>
          <w:bCs/>
          <w:sz w:val="16"/>
          <w:szCs w:val="16"/>
        </w:rPr>
        <w:t>párr</w:t>
      </w:r>
      <w:r>
        <w:rPr>
          <w:rFonts w:ascii="Verdana" w:hAnsi="Verdana"/>
          <w:bCs/>
          <w:sz w:val="16"/>
          <w:szCs w:val="16"/>
        </w:rPr>
        <w:t>s</w:t>
      </w:r>
      <w:proofErr w:type="spellEnd"/>
      <w:r w:rsidRPr="00D53262">
        <w:rPr>
          <w:rFonts w:ascii="Verdana" w:hAnsi="Verdana"/>
          <w:bCs/>
          <w:sz w:val="16"/>
          <w:szCs w:val="16"/>
        </w:rPr>
        <w:t xml:space="preserve">. 136 a 153 y 162. </w:t>
      </w:r>
    </w:p>
    <w:p w14:paraId="58C8E3C0" w14:textId="77777777" w:rsidR="00DD280C" w:rsidRPr="000031DD" w:rsidRDefault="00DD280C" w:rsidP="002A53BF">
      <w:pPr>
        <w:pStyle w:val="Textonotapie"/>
        <w:jc w:val="both"/>
        <w:rPr>
          <w:rFonts w:ascii="Verdana" w:hAnsi="Verdana"/>
          <w:b/>
          <w:sz w:val="16"/>
          <w:szCs w:val="16"/>
        </w:rPr>
      </w:pPr>
    </w:p>
  </w:footnote>
  <w:footnote w:id="169">
    <w:p w14:paraId="2DD60FC6" w14:textId="2C63B72D" w:rsidR="00DD280C" w:rsidRDefault="00DD280C" w:rsidP="002A53BF">
      <w:pPr>
        <w:pStyle w:val="Textonotapie"/>
        <w:jc w:val="both"/>
        <w:rPr>
          <w:rFonts w:ascii="Verdana" w:hAnsi="Verdana"/>
          <w:bCs/>
          <w:sz w:val="16"/>
          <w:szCs w:val="16"/>
        </w:rPr>
      </w:pPr>
      <w:r w:rsidRPr="000031DD">
        <w:rPr>
          <w:rStyle w:val="Refdenotaalpie"/>
          <w:rFonts w:ascii="Verdana" w:eastAsia="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iCs/>
          <w:sz w:val="16"/>
          <w:szCs w:val="16"/>
        </w:rPr>
        <w:t xml:space="preserve">Cfr. Caso de la Masacre de Pueblo Bello Vs. Colombia. </w:t>
      </w:r>
      <w:r w:rsidRPr="000031DD">
        <w:rPr>
          <w:rFonts w:ascii="Verdana" w:hAnsi="Verdana"/>
          <w:sz w:val="16"/>
          <w:szCs w:val="16"/>
        </w:rPr>
        <w:t>Sentencia de 31 de enero de 2006. Serie C No. 140</w:t>
      </w:r>
      <w:r w:rsidRPr="000031DD">
        <w:rPr>
          <w:rFonts w:ascii="Verdana" w:hAnsi="Verdana"/>
          <w:i/>
          <w:iCs/>
          <w:sz w:val="16"/>
          <w:szCs w:val="16"/>
        </w:rPr>
        <w:t xml:space="preserve">, </w:t>
      </w:r>
      <w:r w:rsidRPr="000031DD">
        <w:rPr>
          <w:rFonts w:ascii="Verdana" w:hAnsi="Verdana"/>
          <w:sz w:val="16"/>
          <w:szCs w:val="16"/>
        </w:rPr>
        <w:t>párr. 143</w:t>
      </w:r>
      <w:r>
        <w:rPr>
          <w:rFonts w:ascii="Verdana" w:hAnsi="Verdana"/>
          <w:sz w:val="16"/>
          <w:szCs w:val="16"/>
        </w:rPr>
        <w:t xml:space="preserve">, y </w:t>
      </w:r>
      <w:r w:rsidRPr="00340E47">
        <w:rPr>
          <w:rFonts w:ascii="Verdana" w:hAnsi="Verdana" w:cs="Open Sans"/>
          <w:i/>
          <w:sz w:val="16"/>
          <w:szCs w:val="16"/>
          <w:shd w:val="clear" w:color="auto" w:fill="FFFFFF"/>
        </w:rPr>
        <w:t>Caso Guerrero, Molina y otros Vs. Venezuela</w:t>
      </w:r>
      <w:r w:rsidRPr="00340E47">
        <w:rPr>
          <w:rFonts w:ascii="Verdana" w:hAnsi="Verdana"/>
          <w:bCs/>
          <w:sz w:val="16"/>
          <w:szCs w:val="16"/>
        </w:rPr>
        <w:t>, párr. 136 a 153 y 162.</w:t>
      </w:r>
    </w:p>
    <w:p w14:paraId="0827DC4D" w14:textId="77777777" w:rsidR="00DD280C" w:rsidRPr="000031DD" w:rsidRDefault="00DD280C" w:rsidP="002A53BF">
      <w:pPr>
        <w:pStyle w:val="Textonotapie"/>
        <w:jc w:val="both"/>
        <w:rPr>
          <w:rFonts w:ascii="Verdana" w:hAnsi="Verdana"/>
          <w:sz w:val="16"/>
          <w:szCs w:val="16"/>
        </w:rPr>
      </w:pPr>
    </w:p>
  </w:footnote>
  <w:footnote w:id="170">
    <w:p w14:paraId="7C3B2061" w14:textId="602887F2" w:rsidR="00DD280C" w:rsidRPr="00E5668D" w:rsidRDefault="00DD280C" w:rsidP="00FB35D3">
      <w:pPr>
        <w:pStyle w:val="Textonotapie"/>
        <w:jc w:val="both"/>
        <w:rPr>
          <w:rFonts w:ascii="Verdana" w:hAnsi="Verdana"/>
          <w:sz w:val="16"/>
          <w:szCs w:val="16"/>
        </w:rPr>
      </w:pPr>
      <w:r w:rsidRPr="00685170">
        <w:rPr>
          <w:rStyle w:val="Refdenotaalpie"/>
          <w:rFonts w:ascii="Verdana" w:hAnsi="Verdana"/>
          <w:sz w:val="16"/>
          <w:szCs w:val="16"/>
        </w:rPr>
        <w:footnoteRef/>
      </w:r>
      <w:r w:rsidRPr="00685170">
        <w:rPr>
          <w:rFonts w:ascii="Verdana" w:hAnsi="Verdana"/>
          <w:sz w:val="16"/>
          <w:szCs w:val="16"/>
        </w:rPr>
        <w:t xml:space="preserve">  </w:t>
      </w:r>
      <w:r w:rsidRPr="00685170">
        <w:rPr>
          <w:rFonts w:ascii="Verdana" w:hAnsi="Verdana"/>
          <w:sz w:val="16"/>
          <w:szCs w:val="16"/>
        </w:rPr>
        <w:tab/>
      </w:r>
      <w:r w:rsidRPr="00E5668D">
        <w:rPr>
          <w:rFonts w:ascii="Verdana" w:hAnsi="Verdana"/>
          <w:i/>
          <w:sz w:val="16"/>
          <w:szCs w:val="16"/>
        </w:rPr>
        <w:t>Caso Velásquez Rodríguez Vs. Honduras.</w:t>
      </w:r>
      <w:r w:rsidRPr="00E5668D">
        <w:rPr>
          <w:rFonts w:ascii="Verdana" w:hAnsi="Verdana"/>
          <w:sz w:val="16"/>
          <w:szCs w:val="16"/>
        </w:rPr>
        <w:t xml:space="preserve"> </w:t>
      </w:r>
      <w:r w:rsidRPr="00E5668D">
        <w:rPr>
          <w:rFonts w:ascii="Verdana" w:hAnsi="Verdana"/>
          <w:i/>
          <w:sz w:val="16"/>
          <w:szCs w:val="16"/>
        </w:rPr>
        <w:t>Fondo,</w:t>
      </w:r>
      <w:r w:rsidRPr="00E5668D">
        <w:rPr>
          <w:rFonts w:ascii="Verdana" w:hAnsi="Verdana"/>
          <w:sz w:val="16"/>
          <w:szCs w:val="16"/>
        </w:rPr>
        <w:t xml:space="preserve"> párr. 177,</w:t>
      </w:r>
      <w:r>
        <w:rPr>
          <w:rFonts w:ascii="Verdana" w:hAnsi="Verdana"/>
          <w:sz w:val="16"/>
          <w:szCs w:val="16"/>
        </w:rPr>
        <w:t xml:space="preserve"> y </w:t>
      </w:r>
      <w:r w:rsidRPr="00685170">
        <w:rPr>
          <w:rFonts w:ascii="Verdana" w:hAnsi="Verdana" w:cs="Open Sans"/>
          <w:i/>
          <w:sz w:val="16"/>
          <w:szCs w:val="16"/>
          <w:shd w:val="clear" w:color="auto" w:fill="FFFFFF"/>
        </w:rPr>
        <w:t>Caso Garzón Guzmán y otros Vs. Ecuador</w:t>
      </w:r>
      <w:r>
        <w:rPr>
          <w:rFonts w:ascii="Verdana" w:hAnsi="Verdana" w:cs="Open Sans"/>
          <w:sz w:val="16"/>
          <w:szCs w:val="16"/>
          <w:shd w:val="clear" w:color="auto" w:fill="FFFFFF"/>
        </w:rPr>
        <w:t xml:space="preserve">, </w:t>
      </w:r>
      <w:proofErr w:type="spellStart"/>
      <w:r>
        <w:rPr>
          <w:rFonts w:ascii="Verdana" w:hAnsi="Verdana" w:cs="Open Sans"/>
          <w:sz w:val="16"/>
          <w:szCs w:val="16"/>
          <w:shd w:val="clear" w:color="auto" w:fill="FFFFFF"/>
        </w:rPr>
        <w:t>pá</w:t>
      </w:r>
      <w:r w:rsidRPr="00685170">
        <w:rPr>
          <w:rFonts w:ascii="Verdana" w:hAnsi="Verdana" w:cs="Open Sans"/>
          <w:sz w:val="16"/>
          <w:szCs w:val="16"/>
          <w:shd w:val="clear" w:color="auto" w:fill="FFFFFF"/>
        </w:rPr>
        <w:t>rrs</w:t>
      </w:r>
      <w:proofErr w:type="spellEnd"/>
      <w:r w:rsidRPr="00685170">
        <w:rPr>
          <w:rFonts w:ascii="Verdana" w:hAnsi="Verdana" w:cs="Open Sans"/>
          <w:sz w:val="16"/>
          <w:szCs w:val="16"/>
          <w:shd w:val="clear" w:color="auto" w:fill="FFFFFF"/>
        </w:rPr>
        <w:t>. 66 a 89.</w:t>
      </w:r>
    </w:p>
    <w:p w14:paraId="0356221A" w14:textId="77777777" w:rsidR="00DD280C" w:rsidRDefault="00DD280C" w:rsidP="002A53BF">
      <w:pPr>
        <w:pStyle w:val="Textonotapie"/>
      </w:pPr>
    </w:p>
  </w:footnote>
  <w:footnote w:id="171">
    <w:p w14:paraId="1A66F279" w14:textId="074E6330" w:rsidR="00DD280C" w:rsidRPr="008D6EFE" w:rsidRDefault="00DD280C" w:rsidP="002A53BF">
      <w:pPr>
        <w:pStyle w:val="Textonotapie"/>
        <w:jc w:val="both"/>
        <w:rPr>
          <w:rFonts w:ascii="Verdana" w:hAnsi="Verdana" w:cs="Arial"/>
          <w:sz w:val="16"/>
          <w:szCs w:val="16"/>
          <w:shd w:val="clear" w:color="auto" w:fill="FFFFFF"/>
        </w:rPr>
      </w:pPr>
      <w:r w:rsidRPr="008D6EFE">
        <w:rPr>
          <w:rStyle w:val="Refdenotaalpie"/>
          <w:rFonts w:ascii="Verdana" w:hAnsi="Verdana"/>
          <w:sz w:val="16"/>
          <w:szCs w:val="16"/>
        </w:rPr>
        <w:footnoteRef/>
      </w:r>
      <w:r w:rsidRPr="008D6EFE">
        <w:rPr>
          <w:rFonts w:ascii="Verdana" w:hAnsi="Verdana"/>
          <w:sz w:val="16"/>
          <w:szCs w:val="16"/>
        </w:rPr>
        <w:t xml:space="preserve">  </w:t>
      </w:r>
      <w:r w:rsidRPr="008D6EFE">
        <w:rPr>
          <w:rFonts w:ascii="Verdana" w:hAnsi="Verdana"/>
          <w:sz w:val="16"/>
          <w:szCs w:val="16"/>
        </w:rPr>
        <w:tab/>
      </w:r>
      <w:r w:rsidRPr="00685170">
        <w:rPr>
          <w:rFonts w:ascii="Verdana" w:hAnsi="Verdana"/>
          <w:i/>
          <w:sz w:val="16"/>
          <w:szCs w:val="16"/>
        </w:rPr>
        <w:t xml:space="preserve">Cfr. </w:t>
      </w:r>
      <w:r w:rsidRPr="00685170">
        <w:rPr>
          <w:rFonts w:ascii="Verdana" w:hAnsi="Verdana" w:cs="Open Sans"/>
          <w:i/>
          <w:sz w:val="16"/>
          <w:szCs w:val="16"/>
          <w:shd w:val="clear" w:color="auto" w:fill="FFFFFF"/>
        </w:rPr>
        <w:t>Caso Terrones Silva y otros Vs. Perú. Excepciones Preliminares, Fondo, Reparaciones y Costas.</w:t>
      </w:r>
      <w:r w:rsidRPr="00685170">
        <w:rPr>
          <w:rFonts w:ascii="Verdana" w:hAnsi="Verdana" w:cs="Open Sans"/>
          <w:sz w:val="16"/>
          <w:szCs w:val="16"/>
          <w:shd w:val="clear" w:color="auto" w:fill="FFFFFF"/>
        </w:rPr>
        <w:t xml:space="preserve"> Sentencia de 26 de septiembre de 2018. Serie C No. 360, párr. 181, y </w:t>
      </w:r>
      <w:r w:rsidRPr="00685170">
        <w:rPr>
          <w:rFonts w:ascii="Verdana" w:hAnsi="Verdana" w:cs="Open Sans"/>
          <w:i/>
          <w:sz w:val="16"/>
          <w:szCs w:val="16"/>
          <w:shd w:val="clear" w:color="auto" w:fill="FFFFFF"/>
        </w:rPr>
        <w:t>Caso Garzón Guzmán y otros Vs. Ecuador</w:t>
      </w:r>
      <w:r w:rsidRPr="00685170">
        <w:rPr>
          <w:rFonts w:ascii="Verdana" w:hAnsi="Verdana" w:cs="Open Sans"/>
          <w:sz w:val="16"/>
          <w:szCs w:val="16"/>
          <w:shd w:val="clear" w:color="auto" w:fill="FFFFFF"/>
        </w:rPr>
        <w:t>, párr. 66.</w:t>
      </w:r>
    </w:p>
    <w:p w14:paraId="7A70DA2E" w14:textId="77777777" w:rsidR="00DD280C" w:rsidRPr="00DF5836" w:rsidRDefault="00DD280C" w:rsidP="002A53BF">
      <w:pPr>
        <w:pStyle w:val="Textonotapie"/>
        <w:jc w:val="both"/>
        <w:rPr>
          <w:rFonts w:ascii="Verdana" w:hAnsi="Verdana"/>
          <w:sz w:val="16"/>
          <w:szCs w:val="16"/>
        </w:rPr>
      </w:pPr>
    </w:p>
  </w:footnote>
  <w:footnote w:id="172">
    <w:p w14:paraId="566F08D3" w14:textId="6E1A9303" w:rsidR="00DD280C" w:rsidRPr="000031DD" w:rsidRDefault="00DD280C" w:rsidP="002A53BF">
      <w:pPr>
        <w:pStyle w:val="Textonotapie"/>
        <w:jc w:val="both"/>
        <w:rPr>
          <w:rFonts w:ascii="Verdana" w:hAnsi="Verdana" w:cs="Arial"/>
          <w:sz w:val="16"/>
          <w:szCs w:val="16"/>
          <w:shd w:val="clear" w:color="auto" w:fill="FFFFFF"/>
        </w:rPr>
      </w:pPr>
      <w:r w:rsidRPr="00DF5836">
        <w:rPr>
          <w:rStyle w:val="Refdenotaalpie"/>
          <w:rFonts w:ascii="Verdana" w:hAnsi="Verdana"/>
          <w:sz w:val="16"/>
          <w:szCs w:val="16"/>
        </w:rPr>
        <w:footnoteRef/>
      </w:r>
      <w:r w:rsidRPr="00DF5836">
        <w:rPr>
          <w:rStyle w:val="Refdenotaalpie"/>
          <w:rFonts w:ascii="Verdana" w:hAnsi="Verdana"/>
          <w:sz w:val="16"/>
          <w:szCs w:val="16"/>
        </w:rPr>
        <w:t xml:space="preserve"> </w:t>
      </w:r>
      <w:r w:rsidRPr="00DF5836">
        <w:rPr>
          <w:rFonts w:ascii="Verdana" w:hAnsi="Verdana"/>
          <w:sz w:val="16"/>
          <w:szCs w:val="16"/>
        </w:rPr>
        <w:tab/>
      </w:r>
      <w:r w:rsidRPr="00DF5836">
        <w:rPr>
          <w:rFonts w:ascii="Verdana" w:hAnsi="Verdana"/>
          <w:i/>
          <w:sz w:val="16"/>
          <w:szCs w:val="16"/>
        </w:rPr>
        <w:t xml:space="preserve">Cfr. </w:t>
      </w:r>
      <w:r w:rsidRPr="00685170">
        <w:rPr>
          <w:rFonts w:ascii="Verdana" w:hAnsi="Verdana"/>
          <w:i/>
          <w:sz w:val="16"/>
          <w:szCs w:val="16"/>
        </w:rPr>
        <w:t>Caso Velásquez Rodríguez Vs. Honduras. Fondo</w:t>
      </w:r>
      <w:r w:rsidRPr="00685170">
        <w:rPr>
          <w:rFonts w:ascii="Verdana" w:hAnsi="Verdana"/>
          <w:sz w:val="16"/>
          <w:szCs w:val="16"/>
        </w:rPr>
        <w:t>,</w:t>
      </w:r>
      <w:r>
        <w:rPr>
          <w:rFonts w:ascii="Verdana" w:hAnsi="Verdana"/>
          <w:i/>
          <w:sz w:val="16"/>
          <w:szCs w:val="16"/>
        </w:rPr>
        <w:t xml:space="preserve"> </w:t>
      </w:r>
      <w:r w:rsidRPr="00685170">
        <w:rPr>
          <w:rFonts w:ascii="Verdana" w:hAnsi="Verdana"/>
          <w:sz w:val="16"/>
          <w:szCs w:val="16"/>
        </w:rPr>
        <w:t>párr. 177</w:t>
      </w:r>
      <w:r w:rsidRPr="000031DD">
        <w:rPr>
          <w:rFonts w:ascii="Verdana" w:hAnsi="Verdana"/>
          <w:sz w:val="16"/>
          <w:szCs w:val="16"/>
        </w:rPr>
        <w:t xml:space="preserve">, y </w:t>
      </w:r>
      <w:r w:rsidRPr="00340E47">
        <w:rPr>
          <w:rFonts w:ascii="Verdana" w:hAnsi="Verdana" w:cs="Open Sans"/>
          <w:i/>
          <w:sz w:val="16"/>
          <w:szCs w:val="16"/>
          <w:shd w:val="clear" w:color="auto" w:fill="FFFFFF"/>
        </w:rPr>
        <w:t>Caso Garzón Guzmán y otros Vs. Ecuador</w:t>
      </w:r>
      <w:r w:rsidRPr="00340E47">
        <w:rPr>
          <w:rFonts w:ascii="Verdana" w:hAnsi="Verdana" w:cs="Open Sans"/>
          <w:sz w:val="16"/>
          <w:szCs w:val="16"/>
          <w:shd w:val="clear" w:color="auto" w:fill="FFFFFF"/>
        </w:rPr>
        <w:t>, párr.</w:t>
      </w:r>
      <w:r>
        <w:rPr>
          <w:rFonts w:ascii="Verdana" w:hAnsi="Verdana" w:cs="Open Sans"/>
          <w:sz w:val="16"/>
          <w:szCs w:val="16"/>
          <w:shd w:val="clear" w:color="auto" w:fill="FFFFFF"/>
        </w:rPr>
        <w:t xml:space="preserve"> 69</w:t>
      </w:r>
      <w:r w:rsidRPr="000031DD">
        <w:rPr>
          <w:rFonts w:ascii="Verdana" w:hAnsi="Verdana" w:cs="Arial"/>
          <w:sz w:val="16"/>
          <w:szCs w:val="16"/>
          <w:shd w:val="clear" w:color="auto" w:fill="FFFFFF"/>
        </w:rPr>
        <w:t>.</w:t>
      </w:r>
    </w:p>
    <w:p w14:paraId="7CB27911" w14:textId="77777777" w:rsidR="00DD280C" w:rsidRPr="000031DD" w:rsidRDefault="00DD280C" w:rsidP="002A53BF">
      <w:pPr>
        <w:pStyle w:val="Textonotapie"/>
        <w:jc w:val="both"/>
        <w:rPr>
          <w:rStyle w:val="Refdenotaalpie"/>
          <w:rFonts w:ascii="Verdana" w:hAnsi="Verdana"/>
          <w:sz w:val="16"/>
          <w:szCs w:val="16"/>
        </w:rPr>
      </w:pPr>
    </w:p>
  </w:footnote>
  <w:footnote w:id="173">
    <w:p w14:paraId="65DB6906" w14:textId="77777777" w:rsidR="00DD280C" w:rsidRPr="00DF5836" w:rsidRDefault="00DD280C" w:rsidP="002A53BF">
      <w:pPr>
        <w:autoSpaceDE w:val="0"/>
        <w:autoSpaceDN w:val="0"/>
        <w:spacing w:after="0" w:line="240" w:lineRule="auto"/>
        <w:jc w:val="both"/>
        <w:rPr>
          <w:rFonts w:ascii="Verdana" w:hAnsi="Verdana"/>
          <w:sz w:val="16"/>
          <w:szCs w:val="16"/>
          <w:lang w:val="es-ES_tradnl"/>
        </w:rPr>
      </w:pPr>
      <w:r w:rsidRPr="00DF5836">
        <w:rPr>
          <w:rStyle w:val="Refdenotaalpie"/>
          <w:rFonts w:ascii="Verdana" w:hAnsi="Verdana"/>
          <w:sz w:val="16"/>
          <w:szCs w:val="16"/>
        </w:rPr>
        <w:footnoteRef/>
      </w:r>
      <w:r w:rsidRPr="00DF5836">
        <w:rPr>
          <w:rFonts w:ascii="Verdana" w:hAnsi="Verdana"/>
          <w:sz w:val="16"/>
          <w:szCs w:val="16"/>
        </w:rPr>
        <w:t xml:space="preserve"> </w:t>
      </w:r>
      <w:r w:rsidRPr="00DF5836">
        <w:rPr>
          <w:rFonts w:ascii="Verdana" w:hAnsi="Verdana"/>
          <w:sz w:val="16"/>
          <w:szCs w:val="16"/>
        </w:rPr>
        <w:tab/>
      </w:r>
      <w:r w:rsidRPr="00DF5836">
        <w:rPr>
          <w:rFonts w:ascii="Verdana" w:hAnsi="Verdana"/>
          <w:i/>
          <w:sz w:val="16"/>
          <w:szCs w:val="16"/>
        </w:rPr>
        <w:t xml:space="preserve">Cfr. </w:t>
      </w:r>
      <w:r w:rsidRPr="00685170">
        <w:rPr>
          <w:rFonts w:ascii="Verdana" w:hAnsi="Verdana"/>
          <w:sz w:val="16"/>
          <w:szCs w:val="16"/>
        </w:rPr>
        <w:t>en el mismo sentido,</w:t>
      </w:r>
      <w:r w:rsidRPr="00DF5836">
        <w:rPr>
          <w:rFonts w:ascii="Verdana" w:hAnsi="Verdana"/>
          <w:i/>
          <w:sz w:val="16"/>
          <w:szCs w:val="16"/>
        </w:rPr>
        <w:t xml:space="preserve"> </w:t>
      </w:r>
      <w:r w:rsidRPr="00685170">
        <w:rPr>
          <w:rFonts w:ascii="Verdana" w:hAnsi="Verdana"/>
          <w:i/>
          <w:sz w:val="16"/>
          <w:szCs w:val="16"/>
        </w:rPr>
        <w:t>Caso Juan Humberto Sánchez Vs. Honduras</w:t>
      </w:r>
      <w:r w:rsidRPr="00C05DFE">
        <w:rPr>
          <w:rFonts w:ascii="Verdana" w:hAnsi="Verdana"/>
          <w:sz w:val="16"/>
          <w:szCs w:val="16"/>
        </w:rPr>
        <w:t>. Excepción Preliminar, Fondo, Reparaciones y Costas</w:t>
      </w:r>
      <w:r w:rsidRPr="00685170">
        <w:rPr>
          <w:rFonts w:ascii="Verdana" w:hAnsi="Verdana"/>
          <w:sz w:val="16"/>
          <w:szCs w:val="16"/>
        </w:rPr>
        <w:t xml:space="preserve">. Sentencia de 7 de junio de 2003. Serie C No. 99, párr. 127, y </w:t>
      </w:r>
      <w:r w:rsidRPr="00685170">
        <w:rPr>
          <w:rFonts w:ascii="Verdana" w:hAnsi="Verdana" w:cs="Open Sans"/>
          <w:i/>
          <w:sz w:val="16"/>
          <w:szCs w:val="16"/>
          <w:shd w:val="clear" w:color="auto" w:fill="FFFFFF"/>
        </w:rPr>
        <w:t>Caso Barbosa de Souza y otros Vs. Brasil. Excepciones preliminares, Fondo, Reparaciones y Costas</w:t>
      </w:r>
      <w:r w:rsidRPr="00685170">
        <w:rPr>
          <w:rFonts w:ascii="Verdana" w:hAnsi="Verdana" w:cs="Open Sans"/>
          <w:sz w:val="16"/>
          <w:szCs w:val="16"/>
          <w:shd w:val="clear" w:color="auto" w:fill="FFFFFF"/>
        </w:rPr>
        <w:t>. Sentencia de 7 de septiembre de 2021. Serie C No. 435, párr. 128.</w:t>
      </w:r>
    </w:p>
    <w:p w14:paraId="2D590218" w14:textId="77777777" w:rsidR="00DD280C" w:rsidRPr="000031DD" w:rsidRDefault="00DD280C" w:rsidP="002A53BF">
      <w:pPr>
        <w:autoSpaceDE w:val="0"/>
        <w:autoSpaceDN w:val="0"/>
        <w:spacing w:after="0" w:line="240" w:lineRule="auto"/>
        <w:jc w:val="both"/>
        <w:rPr>
          <w:rFonts w:ascii="Verdana" w:hAnsi="Verdana"/>
          <w:sz w:val="16"/>
          <w:szCs w:val="16"/>
          <w:lang w:val="es-ES_tradnl"/>
        </w:rPr>
      </w:pPr>
    </w:p>
  </w:footnote>
  <w:footnote w:id="174">
    <w:p w14:paraId="4AB2104F" w14:textId="3C756C46" w:rsidR="00DD280C" w:rsidRPr="00685170" w:rsidRDefault="00DD280C" w:rsidP="002A53BF">
      <w:pPr>
        <w:autoSpaceDE w:val="0"/>
        <w:autoSpaceDN w:val="0"/>
        <w:spacing w:after="0" w:line="240" w:lineRule="auto"/>
        <w:jc w:val="both"/>
        <w:rPr>
          <w:rFonts w:ascii="Verdana" w:hAnsi="Verdana"/>
          <w:sz w:val="16"/>
          <w:szCs w:val="16"/>
        </w:rPr>
      </w:pPr>
      <w:r w:rsidRPr="000031DD">
        <w:rPr>
          <w:rStyle w:val="Refdenotaalpie"/>
          <w:rFonts w:ascii="Verdana" w:hAnsi="Verdana"/>
          <w:sz w:val="16"/>
          <w:szCs w:val="16"/>
        </w:rPr>
        <w:footnoteRef/>
      </w:r>
      <w:r w:rsidRPr="000031DD">
        <w:rPr>
          <w:rStyle w:val="Refdenotaalpie"/>
          <w:rFonts w:ascii="Verdana" w:hAnsi="Verdana"/>
          <w:sz w:val="16"/>
          <w:szCs w:val="16"/>
          <w:lang w:val="es-CO"/>
        </w:rPr>
        <w:tab/>
      </w:r>
      <w:r w:rsidRPr="000031DD">
        <w:rPr>
          <w:rFonts w:ascii="Verdana" w:hAnsi="Verdana"/>
          <w:i/>
          <w:sz w:val="16"/>
          <w:szCs w:val="16"/>
          <w:lang w:val="es-CO"/>
        </w:rPr>
        <w:t>Cfr. Caso Velásquez Rodríguez</w:t>
      </w:r>
      <w:r w:rsidRPr="000031DD">
        <w:rPr>
          <w:rFonts w:ascii="Verdana" w:hAnsi="Verdana"/>
          <w:sz w:val="16"/>
          <w:szCs w:val="16"/>
          <w:lang w:val="es-CO"/>
        </w:rPr>
        <w:t xml:space="preserve">. </w:t>
      </w:r>
      <w:r w:rsidRPr="000031DD">
        <w:rPr>
          <w:rFonts w:ascii="Verdana" w:hAnsi="Verdana"/>
          <w:i/>
          <w:sz w:val="16"/>
          <w:szCs w:val="16"/>
          <w:lang w:val="es-CO"/>
        </w:rPr>
        <w:t>Fondo</w:t>
      </w:r>
      <w:r w:rsidRPr="000031DD">
        <w:rPr>
          <w:rFonts w:ascii="Verdana" w:hAnsi="Verdana"/>
          <w:sz w:val="16"/>
          <w:szCs w:val="16"/>
          <w:lang w:val="es-CO"/>
        </w:rPr>
        <w:t>,</w:t>
      </w:r>
      <w:r w:rsidRPr="000031DD">
        <w:rPr>
          <w:rFonts w:ascii="Verdana" w:hAnsi="Verdana"/>
          <w:i/>
          <w:sz w:val="16"/>
          <w:szCs w:val="16"/>
          <w:lang w:val="es-CO"/>
        </w:rPr>
        <w:t xml:space="preserve"> </w:t>
      </w:r>
      <w:r w:rsidRPr="000031DD">
        <w:rPr>
          <w:rFonts w:ascii="Verdana" w:hAnsi="Verdana"/>
          <w:sz w:val="16"/>
          <w:szCs w:val="16"/>
          <w:lang w:val="es-CO"/>
        </w:rPr>
        <w:t xml:space="preserve">párr. </w:t>
      </w:r>
      <w:r w:rsidRPr="00685170">
        <w:rPr>
          <w:rFonts w:ascii="Verdana" w:hAnsi="Verdana"/>
          <w:sz w:val="16"/>
          <w:szCs w:val="16"/>
        </w:rPr>
        <w:t>177</w:t>
      </w:r>
      <w:r>
        <w:rPr>
          <w:rFonts w:ascii="Verdana" w:hAnsi="Verdana"/>
          <w:sz w:val="16"/>
          <w:szCs w:val="16"/>
        </w:rPr>
        <w:t>, y</w:t>
      </w:r>
      <w:r w:rsidRPr="00685170">
        <w:rPr>
          <w:rFonts w:ascii="Verdana" w:hAnsi="Verdana"/>
          <w:i/>
          <w:sz w:val="16"/>
          <w:szCs w:val="16"/>
        </w:rPr>
        <w:t xml:space="preserve"> </w:t>
      </w:r>
      <w:r w:rsidRPr="00340E47">
        <w:rPr>
          <w:rFonts w:ascii="Verdana" w:hAnsi="Verdana" w:cs="Open Sans"/>
          <w:i/>
          <w:sz w:val="16"/>
          <w:szCs w:val="16"/>
          <w:shd w:val="clear" w:color="auto" w:fill="FFFFFF"/>
        </w:rPr>
        <w:t>Caso Barbosa de Souza y otros Vs. Brasil</w:t>
      </w:r>
      <w:r w:rsidRPr="00180B05">
        <w:rPr>
          <w:rFonts w:ascii="Verdana" w:hAnsi="Verdana" w:cs="Open Sans"/>
          <w:sz w:val="16"/>
          <w:szCs w:val="16"/>
          <w:shd w:val="clear" w:color="auto" w:fill="FFFFFF"/>
        </w:rPr>
        <w:t>, párr. 128.</w:t>
      </w:r>
    </w:p>
    <w:p w14:paraId="2C288C61" w14:textId="77777777" w:rsidR="00DD280C" w:rsidRPr="000031DD" w:rsidRDefault="00DD280C" w:rsidP="002A53BF">
      <w:pPr>
        <w:tabs>
          <w:tab w:val="left" w:pos="709"/>
        </w:tabs>
        <w:spacing w:after="0"/>
        <w:jc w:val="both"/>
        <w:rPr>
          <w:rStyle w:val="Refdenotaalpie"/>
          <w:rFonts w:ascii="Verdana" w:hAnsi="Verdana"/>
          <w:sz w:val="16"/>
          <w:szCs w:val="16"/>
          <w:lang w:val="es-CO"/>
        </w:rPr>
      </w:pPr>
    </w:p>
  </w:footnote>
  <w:footnote w:id="175">
    <w:p w14:paraId="2A9E2B5F" w14:textId="6D6ADB68" w:rsidR="00DD280C" w:rsidRPr="000031DD" w:rsidRDefault="00DD280C" w:rsidP="002A53BF">
      <w:pPr>
        <w:pStyle w:val="Textonotapie"/>
        <w:spacing w:line="20" w:lineRule="atLeast"/>
        <w:jc w:val="both"/>
        <w:rPr>
          <w:rFonts w:ascii="Verdana" w:hAnsi="Verdana" w:cs="Arial"/>
          <w:sz w:val="16"/>
          <w:szCs w:val="16"/>
          <w:shd w:val="clear" w:color="auto" w:fill="FFFFFF"/>
        </w:rPr>
      </w:pPr>
      <w:r w:rsidRPr="000031DD">
        <w:rPr>
          <w:rStyle w:val="Refdenotaalpie"/>
          <w:rFonts w:ascii="Verdana" w:hAnsi="Verdana"/>
          <w:spacing w:val="-1"/>
          <w:sz w:val="16"/>
          <w:szCs w:val="16"/>
          <w:lang w:eastAsia="x-none"/>
        </w:rPr>
        <w:footnoteRef/>
      </w:r>
      <w:r w:rsidRPr="000031DD">
        <w:rPr>
          <w:rFonts w:ascii="Verdana" w:hAnsi="Verdana"/>
          <w:i/>
          <w:spacing w:val="-4"/>
          <w:sz w:val="16"/>
          <w:szCs w:val="16"/>
          <w:lang w:val="es-GT"/>
        </w:rPr>
        <w:t xml:space="preserve"> </w:t>
      </w:r>
      <w:r w:rsidRPr="000031DD">
        <w:rPr>
          <w:rFonts w:ascii="Verdana" w:hAnsi="Verdana"/>
          <w:i/>
          <w:spacing w:val="-4"/>
          <w:sz w:val="16"/>
          <w:szCs w:val="16"/>
          <w:lang w:val="es-GT"/>
        </w:rPr>
        <w:tab/>
        <w:t xml:space="preserve">Cfr. </w:t>
      </w:r>
      <w:r w:rsidRPr="000031DD">
        <w:rPr>
          <w:rFonts w:ascii="Verdana" w:hAnsi="Verdana"/>
          <w:bCs/>
          <w:i/>
          <w:spacing w:val="-4"/>
          <w:sz w:val="16"/>
          <w:szCs w:val="16"/>
          <w:lang w:val="es-GT"/>
        </w:rPr>
        <w:t xml:space="preserve">Caso </w:t>
      </w:r>
      <w:r w:rsidRPr="000031DD">
        <w:rPr>
          <w:rFonts w:ascii="Verdana" w:hAnsi="Verdana"/>
          <w:i/>
          <w:spacing w:val="-4"/>
          <w:sz w:val="16"/>
          <w:szCs w:val="16"/>
        </w:rPr>
        <w:t>de</w:t>
      </w:r>
      <w:r w:rsidRPr="000031DD">
        <w:rPr>
          <w:rFonts w:ascii="Verdana" w:hAnsi="Verdana"/>
          <w:bCs/>
          <w:i/>
          <w:spacing w:val="-4"/>
          <w:sz w:val="16"/>
          <w:szCs w:val="16"/>
          <w:lang w:val="es-GT"/>
        </w:rPr>
        <w:t xml:space="preserve"> las Hermanas Serrano Cruz Vs. El Salvador. Fondo, Reparaciones y Costas. </w:t>
      </w:r>
      <w:r w:rsidRPr="000031DD">
        <w:rPr>
          <w:rFonts w:ascii="Verdana" w:hAnsi="Verdana"/>
          <w:bCs/>
          <w:spacing w:val="-4"/>
          <w:sz w:val="16"/>
          <w:szCs w:val="16"/>
          <w:lang w:val="es-GT"/>
        </w:rPr>
        <w:t>Sentencia de 1 de marzo de 2005. Serie C No. 120</w:t>
      </w:r>
      <w:r w:rsidRPr="000031DD">
        <w:rPr>
          <w:rFonts w:ascii="Verdana" w:hAnsi="Verdana"/>
          <w:bCs/>
          <w:i/>
          <w:spacing w:val="-4"/>
          <w:sz w:val="16"/>
          <w:szCs w:val="16"/>
          <w:lang w:val="es-GT"/>
        </w:rPr>
        <w:t xml:space="preserve">, </w:t>
      </w:r>
      <w:r w:rsidRPr="000031DD">
        <w:rPr>
          <w:rFonts w:ascii="Verdana" w:hAnsi="Verdana"/>
          <w:spacing w:val="-4"/>
          <w:sz w:val="16"/>
          <w:szCs w:val="16"/>
          <w:lang w:val="es-GT"/>
        </w:rPr>
        <w:t xml:space="preserve">párr. 83, </w:t>
      </w:r>
      <w:r w:rsidRPr="000031DD">
        <w:rPr>
          <w:rFonts w:ascii="Verdana" w:hAnsi="Verdana"/>
          <w:bCs/>
          <w:spacing w:val="-1"/>
          <w:sz w:val="16"/>
          <w:szCs w:val="16"/>
        </w:rPr>
        <w:t xml:space="preserve">y </w:t>
      </w:r>
      <w:r w:rsidRPr="00340E47">
        <w:rPr>
          <w:rFonts w:ascii="Verdana" w:hAnsi="Verdana" w:cs="Open Sans"/>
          <w:i/>
          <w:sz w:val="16"/>
          <w:szCs w:val="16"/>
          <w:shd w:val="clear" w:color="auto" w:fill="FFFFFF"/>
        </w:rPr>
        <w:t>Caso Garzón Guzmán y otros Vs. Ecuador</w:t>
      </w:r>
      <w:r w:rsidRPr="00340E47">
        <w:rPr>
          <w:rFonts w:ascii="Verdana" w:hAnsi="Verdana" w:cs="Open Sans"/>
          <w:sz w:val="16"/>
          <w:szCs w:val="16"/>
          <w:shd w:val="clear" w:color="auto" w:fill="FFFFFF"/>
        </w:rPr>
        <w:t>, párr.</w:t>
      </w:r>
      <w:r>
        <w:rPr>
          <w:rFonts w:ascii="Verdana" w:hAnsi="Verdana" w:cs="Open Sans"/>
          <w:sz w:val="16"/>
          <w:szCs w:val="16"/>
          <w:shd w:val="clear" w:color="auto" w:fill="FFFFFF"/>
        </w:rPr>
        <w:t xml:space="preserve"> 67</w:t>
      </w:r>
      <w:r w:rsidRPr="000031DD">
        <w:rPr>
          <w:rFonts w:ascii="Verdana" w:hAnsi="Verdana" w:cs="Arial"/>
          <w:sz w:val="16"/>
          <w:szCs w:val="16"/>
          <w:shd w:val="clear" w:color="auto" w:fill="FFFFFF"/>
        </w:rPr>
        <w:t xml:space="preserve">. </w:t>
      </w:r>
    </w:p>
    <w:p w14:paraId="10F2B5F4" w14:textId="77777777" w:rsidR="00DD280C" w:rsidRPr="000031DD" w:rsidRDefault="00DD280C" w:rsidP="002A53BF">
      <w:pPr>
        <w:pStyle w:val="Textonotapie"/>
        <w:spacing w:line="20" w:lineRule="atLeast"/>
        <w:jc w:val="both"/>
        <w:rPr>
          <w:rFonts w:ascii="Verdana" w:hAnsi="Verdana"/>
          <w:b/>
          <w:spacing w:val="-1"/>
          <w:sz w:val="16"/>
          <w:szCs w:val="16"/>
        </w:rPr>
      </w:pPr>
    </w:p>
  </w:footnote>
  <w:footnote w:id="176">
    <w:p w14:paraId="4A3B0E55" w14:textId="0C545B93" w:rsidR="00DD280C" w:rsidRDefault="00DD280C" w:rsidP="002A53BF">
      <w:pPr>
        <w:spacing w:after="0"/>
        <w:jc w:val="both"/>
        <w:rPr>
          <w:rFonts w:ascii="Verdana" w:eastAsia="Times New Roman" w:hAnsi="Verdana" w:cs="Open Sans"/>
          <w:sz w:val="16"/>
          <w:szCs w:val="16"/>
          <w:shd w:val="clear" w:color="auto" w:fill="FFFFFF"/>
          <w:lang w:eastAsia="es-CR"/>
        </w:rPr>
      </w:pPr>
      <w:r w:rsidRPr="00B10F58">
        <w:rPr>
          <w:rStyle w:val="Refdenotaalpie"/>
          <w:rFonts w:ascii="Verdana" w:hAnsi="Verdana"/>
          <w:sz w:val="16"/>
          <w:szCs w:val="16"/>
        </w:rPr>
        <w:footnoteRef/>
      </w:r>
      <w:r w:rsidRPr="00B10F58">
        <w:rPr>
          <w:rFonts w:ascii="Verdana" w:hAnsi="Verdana"/>
          <w:i/>
          <w:sz w:val="16"/>
          <w:szCs w:val="16"/>
        </w:rPr>
        <w:t xml:space="preserve"> </w:t>
      </w:r>
      <w:r w:rsidRPr="00B10F58">
        <w:rPr>
          <w:rFonts w:ascii="Verdana" w:hAnsi="Verdana"/>
          <w:i/>
          <w:sz w:val="16"/>
          <w:szCs w:val="16"/>
        </w:rPr>
        <w:tab/>
        <w:t xml:space="preserve">Cfr. Caso Hilaire </w:t>
      </w:r>
      <w:proofErr w:type="spellStart"/>
      <w:r w:rsidRPr="00B10F58">
        <w:rPr>
          <w:rFonts w:ascii="Verdana" w:hAnsi="Verdana"/>
          <w:i/>
          <w:sz w:val="16"/>
          <w:szCs w:val="16"/>
        </w:rPr>
        <w:t>Constantine</w:t>
      </w:r>
      <w:proofErr w:type="spellEnd"/>
      <w:r w:rsidRPr="00B10F58">
        <w:rPr>
          <w:rFonts w:ascii="Verdana" w:hAnsi="Verdana"/>
          <w:i/>
          <w:sz w:val="16"/>
          <w:szCs w:val="16"/>
        </w:rPr>
        <w:t xml:space="preserve"> y </w:t>
      </w:r>
      <w:proofErr w:type="spellStart"/>
      <w:r w:rsidRPr="00B10F58">
        <w:rPr>
          <w:rFonts w:ascii="Verdana" w:hAnsi="Verdana"/>
          <w:i/>
          <w:sz w:val="16"/>
          <w:szCs w:val="16"/>
        </w:rPr>
        <w:t>Benjamin</w:t>
      </w:r>
      <w:proofErr w:type="spellEnd"/>
      <w:r w:rsidRPr="00B10F58">
        <w:rPr>
          <w:rFonts w:ascii="Verdana" w:hAnsi="Verdana"/>
          <w:i/>
          <w:sz w:val="16"/>
          <w:szCs w:val="16"/>
        </w:rPr>
        <w:t xml:space="preserve"> y otros Vs. Trinidad y Tobago. Fondo, Reparaciones y Costas.</w:t>
      </w:r>
      <w:r w:rsidRPr="00B10F58">
        <w:rPr>
          <w:rFonts w:ascii="Verdana" w:hAnsi="Verdana"/>
          <w:sz w:val="16"/>
          <w:szCs w:val="16"/>
        </w:rPr>
        <w:t xml:space="preserve"> Sentencia de 21 de junio de 2002. Serie C No. 94, párr. 145, y </w:t>
      </w:r>
      <w:r w:rsidRPr="00685170">
        <w:rPr>
          <w:rFonts w:ascii="Verdana" w:eastAsia="Times New Roman" w:hAnsi="Verdana" w:cs="Open Sans"/>
          <w:i/>
          <w:sz w:val="16"/>
          <w:szCs w:val="16"/>
          <w:shd w:val="clear" w:color="auto" w:fill="FFFFFF"/>
          <w:lang w:eastAsia="es-CR"/>
        </w:rPr>
        <w:t>Caso González y otros Vs. Venezuela</w:t>
      </w:r>
      <w:r w:rsidRPr="00685170">
        <w:rPr>
          <w:rFonts w:ascii="Verdana" w:eastAsia="Times New Roman" w:hAnsi="Verdana" w:cs="Open Sans"/>
          <w:sz w:val="16"/>
          <w:szCs w:val="16"/>
          <w:shd w:val="clear" w:color="auto" w:fill="FFFFFF"/>
          <w:lang w:eastAsia="es-CR"/>
        </w:rPr>
        <w:t xml:space="preserve">, párr. 185. </w:t>
      </w:r>
    </w:p>
    <w:p w14:paraId="56A1B1AA" w14:textId="77777777" w:rsidR="00DD280C" w:rsidRPr="003D7BC5" w:rsidRDefault="00DD280C" w:rsidP="003D7BC5">
      <w:pPr>
        <w:spacing w:after="0"/>
        <w:jc w:val="both"/>
        <w:rPr>
          <w:rFonts w:ascii="Verdana" w:hAnsi="Verdana"/>
          <w:sz w:val="16"/>
          <w:szCs w:val="16"/>
        </w:rPr>
      </w:pPr>
    </w:p>
  </w:footnote>
  <w:footnote w:id="177">
    <w:p w14:paraId="0CF8331F" w14:textId="3B133B99" w:rsidR="00DD280C" w:rsidRPr="007375D3" w:rsidRDefault="00DD280C" w:rsidP="003D7BC5">
      <w:pPr>
        <w:pStyle w:val="Textonotapie"/>
        <w:jc w:val="both"/>
      </w:pPr>
      <w:r w:rsidRPr="003D7BC5">
        <w:rPr>
          <w:rStyle w:val="Refdenotaalpie"/>
          <w:rFonts w:ascii="Verdana" w:hAnsi="Verdana"/>
          <w:sz w:val="16"/>
          <w:szCs w:val="16"/>
        </w:rPr>
        <w:footnoteRef/>
      </w:r>
      <w:r w:rsidRPr="003D7BC5">
        <w:rPr>
          <w:rFonts w:ascii="Verdana" w:hAnsi="Verdana"/>
          <w:sz w:val="16"/>
          <w:szCs w:val="16"/>
        </w:rPr>
        <w:t xml:space="preserve">  </w:t>
      </w:r>
      <w:r w:rsidRPr="003D7BC5">
        <w:rPr>
          <w:rFonts w:ascii="Verdana" w:hAnsi="Verdana"/>
          <w:sz w:val="16"/>
          <w:szCs w:val="16"/>
        </w:rPr>
        <w:tab/>
        <w:t>Teniendo en cuenta la fecha de su fallecimiento y la competencia temporal de la Corte (</w:t>
      </w:r>
      <w:r w:rsidRPr="003D7BC5">
        <w:rPr>
          <w:rFonts w:ascii="Verdana" w:hAnsi="Verdana"/>
          <w:i/>
          <w:sz w:val="16"/>
          <w:szCs w:val="16"/>
        </w:rPr>
        <w:t xml:space="preserve">supra </w:t>
      </w:r>
      <w:proofErr w:type="spellStart"/>
      <w:r w:rsidRPr="003D7BC5">
        <w:rPr>
          <w:rFonts w:ascii="Verdana" w:hAnsi="Verdana"/>
          <w:sz w:val="16"/>
          <w:szCs w:val="16"/>
        </w:rPr>
        <w:t>párrs</w:t>
      </w:r>
      <w:proofErr w:type="spellEnd"/>
      <w:r w:rsidRPr="003D7BC5">
        <w:rPr>
          <w:rFonts w:ascii="Verdana" w:hAnsi="Verdana"/>
          <w:sz w:val="16"/>
          <w:szCs w:val="16"/>
        </w:rPr>
        <w:t xml:space="preserve">. 12 y 55 a 60), este Tribunal entiende que no es procedente examinar violaciones a derechos humanos respecto de Silvia Reyes, Diana </w:t>
      </w:r>
      <w:proofErr w:type="spellStart"/>
      <w:r w:rsidRPr="003D7BC5">
        <w:rPr>
          <w:rFonts w:ascii="Verdana" w:hAnsi="Verdana"/>
          <w:sz w:val="16"/>
          <w:szCs w:val="16"/>
        </w:rPr>
        <w:t>Maidanik</w:t>
      </w:r>
      <w:proofErr w:type="spellEnd"/>
      <w:r w:rsidRPr="003D7BC5">
        <w:rPr>
          <w:rFonts w:ascii="Verdana" w:hAnsi="Verdana"/>
          <w:sz w:val="16"/>
          <w:szCs w:val="16"/>
        </w:rPr>
        <w:t xml:space="preserve"> y Laura Raggio.</w:t>
      </w:r>
      <w:r>
        <w:t xml:space="preserve"> </w:t>
      </w:r>
    </w:p>
  </w:footnote>
  <w:footnote w:id="178">
    <w:p w14:paraId="142997FC" w14:textId="20161FC5" w:rsidR="00DD280C" w:rsidRPr="000031DD" w:rsidRDefault="00DD280C" w:rsidP="002A53BF">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rPr>
        <w:t xml:space="preserve">Cfr. Caso </w:t>
      </w:r>
      <w:r w:rsidRPr="000031DD">
        <w:rPr>
          <w:rFonts w:ascii="Verdana" w:hAnsi="Verdana"/>
          <w:i/>
          <w:sz w:val="16"/>
          <w:szCs w:val="16"/>
          <w:lang w:val="es-ES"/>
        </w:rPr>
        <w:t>“La Última Tentación de Cristo” (Olmedo Bustos y otros) Vs. Chile. Fondo, Reparaciones y Costas.</w:t>
      </w:r>
      <w:r w:rsidRPr="000031DD">
        <w:rPr>
          <w:rFonts w:ascii="Verdana" w:hAnsi="Verdana"/>
          <w:sz w:val="16"/>
          <w:szCs w:val="16"/>
          <w:lang w:val="es-ES"/>
        </w:rPr>
        <w:t xml:space="preserve"> Sentencia de 5 de febrero de 2001. Serie C No. 73,</w:t>
      </w:r>
      <w:r w:rsidRPr="000031DD">
        <w:rPr>
          <w:rFonts w:ascii="Verdana" w:hAnsi="Verdana"/>
          <w:sz w:val="16"/>
          <w:szCs w:val="16"/>
        </w:rPr>
        <w:t xml:space="preserve"> párr. 87, y </w:t>
      </w:r>
      <w:r w:rsidRPr="000031DD">
        <w:rPr>
          <w:rFonts w:ascii="Verdana" w:hAnsi="Verdana" w:cs="Arial"/>
          <w:i/>
          <w:sz w:val="16"/>
          <w:szCs w:val="16"/>
          <w:shd w:val="clear" w:color="auto" w:fill="FFFFFF"/>
        </w:rPr>
        <w:t>Caso Alvarado Espinoza y otros Vs. México</w:t>
      </w:r>
      <w:r w:rsidRPr="000031DD">
        <w:rPr>
          <w:rFonts w:ascii="Verdana" w:hAnsi="Verdana" w:cs="Arial"/>
          <w:sz w:val="16"/>
          <w:szCs w:val="16"/>
          <w:shd w:val="clear" w:color="auto" w:fill="FFFFFF"/>
        </w:rPr>
        <w:t>, párr</w:t>
      </w:r>
      <w:r w:rsidRPr="000031DD">
        <w:rPr>
          <w:rFonts w:ascii="Verdana" w:hAnsi="Verdana"/>
          <w:sz w:val="16"/>
          <w:szCs w:val="16"/>
        </w:rPr>
        <w:t xml:space="preserve">. 258. </w:t>
      </w:r>
    </w:p>
    <w:p w14:paraId="1AB84E21" w14:textId="77777777" w:rsidR="00DD280C" w:rsidRPr="000031DD" w:rsidRDefault="00DD280C" w:rsidP="002A53BF">
      <w:pPr>
        <w:pStyle w:val="Textonotapie"/>
        <w:jc w:val="both"/>
        <w:rPr>
          <w:rFonts w:ascii="Verdana" w:hAnsi="Verdana"/>
          <w:sz w:val="16"/>
          <w:szCs w:val="16"/>
        </w:rPr>
      </w:pPr>
    </w:p>
  </w:footnote>
  <w:footnote w:id="179">
    <w:p w14:paraId="2B9A0894" w14:textId="28DF039D" w:rsidR="00DD280C" w:rsidRPr="00685170" w:rsidRDefault="00DD280C" w:rsidP="002A53BF">
      <w:pPr>
        <w:autoSpaceDE w:val="0"/>
        <w:autoSpaceDN w:val="0"/>
        <w:adjustRightInd w:val="0"/>
        <w:spacing w:after="0"/>
        <w:jc w:val="both"/>
        <w:rPr>
          <w:rFonts w:ascii="Verdana" w:hAnsi="Verdana" w:cs="Open Sans"/>
          <w:sz w:val="16"/>
          <w:szCs w:val="16"/>
          <w:shd w:val="clear" w:color="auto" w:fill="FFFFFF"/>
        </w:rPr>
      </w:pPr>
      <w:r w:rsidRPr="000031DD">
        <w:rPr>
          <w:rStyle w:val="Refdenotaalpie"/>
          <w:rFonts w:ascii="Verdana" w:hAnsi="Verdana"/>
          <w:sz w:val="16"/>
          <w:szCs w:val="16"/>
        </w:rPr>
        <w:footnoteRef/>
      </w:r>
      <w:r w:rsidRPr="000031DD">
        <w:rPr>
          <w:rFonts w:ascii="Verdana" w:hAnsi="Verdana"/>
          <w:sz w:val="16"/>
          <w:szCs w:val="16"/>
          <w:lang w:val="es-MX"/>
        </w:rPr>
        <w:t xml:space="preserve"> </w:t>
      </w:r>
      <w:r w:rsidRPr="000031DD">
        <w:rPr>
          <w:rFonts w:ascii="Verdana" w:hAnsi="Verdana"/>
          <w:sz w:val="16"/>
          <w:szCs w:val="16"/>
          <w:lang w:val="es-MX"/>
        </w:rPr>
        <w:tab/>
      </w:r>
      <w:r w:rsidRPr="00685170">
        <w:rPr>
          <w:rFonts w:ascii="Verdana" w:hAnsi="Verdana" w:cs="Open Sans"/>
          <w:i/>
          <w:sz w:val="16"/>
          <w:szCs w:val="16"/>
          <w:shd w:val="clear" w:color="auto" w:fill="FFFFFF"/>
        </w:rPr>
        <w:t>Caso García Lucero y otras Vs. Chile. Excepción Preliminar, Fondo y Reparaciones.</w:t>
      </w:r>
      <w:r w:rsidRPr="00685170">
        <w:rPr>
          <w:rFonts w:ascii="Verdana" w:hAnsi="Verdana" w:cs="Open Sans"/>
          <w:sz w:val="16"/>
          <w:szCs w:val="16"/>
          <w:shd w:val="clear" w:color="auto" w:fill="FFFFFF"/>
        </w:rPr>
        <w:t xml:space="preserve"> Sentencia de 28 de agosto de 2013. Serie C No. 267. </w:t>
      </w:r>
      <w:r>
        <w:rPr>
          <w:rFonts w:ascii="Verdana" w:hAnsi="Verdana" w:cs="Open Sans"/>
          <w:i/>
          <w:sz w:val="16"/>
          <w:szCs w:val="16"/>
          <w:shd w:val="clear" w:color="auto" w:fill="FFFFFF"/>
        </w:rPr>
        <w:t>Cfr</w:t>
      </w:r>
      <w:r w:rsidRPr="00685170">
        <w:rPr>
          <w:rFonts w:ascii="Verdana" w:hAnsi="Verdana" w:cs="Open Sans"/>
          <w:i/>
          <w:sz w:val="16"/>
          <w:szCs w:val="16"/>
          <w:shd w:val="clear" w:color="auto" w:fill="FFFFFF"/>
        </w:rPr>
        <w:t>.</w:t>
      </w:r>
      <w:r w:rsidRPr="00685170">
        <w:rPr>
          <w:rFonts w:ascii="Verdana" w:hAnsi="Verdana" w:cs="Open Sans"/>
          <w:sz w:val="16"/>
          <w:szCs w:val="16"/>
          <w:shd w:val="clear" w:color="auto" w:fill="FFFFFF"/>
        </w:rPr>
        <w:t xml:space="preserve"> </w:t>
      </w:r>
      <w:r>
        <w:rPr>
          <w:rFonts w:ascii="Verdana" w:hAnsi="Verdana" w:cs="Open Sans"/>
          <w:sz w:val="16"/>
          <w:szCs w:val="16"/>
          <w:shd w:val="clear" w:color="auto" w:fill="FFFFFF"/>
        </w:rPr>
        <w:t>t</w:t>
      </w:r>
      <w:r w:rsidRPr="00685170">
        <w:rPr>
          <w:rFonts w:ascii="Verdana" w:hAnsi="Verdana" w:cs="Open Sans"/>
          <w:sz w:val="16"/>
          <w:szCs w:val="16"/>
          <w:shd w:val="clear" w:color="auto" w:fill="FFFFFF"/>
        </w:rPr>
        <w:t>ambién,</w:t>
      </w:r>
      <w:r>
        <w:rPr>
          <w:rFonts w:ascii="Verdana" w:hAnsi="Verdana" w:cs="Open Sans"/>
          <w:sz w:val="16"/>
          <w:szCs w:val="16"/>
          <w:shd w:val="clear" w:color="auto" w:fill="FFFFFF"/>
        </w:rPr>
        <w:t xml:space="preserve"> </w:t>
      </w:r>
      <w:proofErr w:type="gramStart"/>
      <w:r w:rsidRPr="00685170">
        <w:rPr>
          <w:rFonts w:ascii="Verdana" w:hAnsi="Verdana"/>
          <w:i/>
          <w:sz w:val="16"/>
          <w:szCs w:val="16"/>
        </w:rPr>
        <w:t xml:space="preserve">mutatis </w:t>
      </w:r>
      <w:proofErr w:type="spellStart"/>
      <w:r w:rsidRPr="00685170">
        <w:rPr>
          <w:rFonts w:ascii="Verdana" w:hAnsi="Verdana"/>
          <w:i/>
          <w:sz w:val="16"/>
          <w:szCs w:val="16"/>
        </w:rPr>
        <w:t>mutandi</w:t>
      </w:r>
      <w:proofErr w:type="spellEnd"/>
      <w:proofErr w:type="gramEnd"/>
      <w:r w:rsidRPr="00685170">
        <w:rPr>
          <w:rFonts w:ascii="Verdana" w:hAnsi="Verdana"/>
          <w:i/>
          <w:sz w:val="16"/>
          <w:szCs w:val="16"/>
        </w:rPr>
        <w:t xml:space="preserve">, Caso La Cantuta Vs. Perú. Fondo, Reparaciones y Costas. </w:t>
      </w:r>
      <w:r w:rsidRPr="00685170">
        <w:rPr>
          <w:rFonts w:ascii="Verdana" w:hAnsi="Verdana"/>
          <w:sz w:val="16"/>
          <w:szCs w:val="16"/>
        </w:rPr>
        <w:t xml:space="preserve">Sentencia de 29 de noviembre de 2006. </w:t>
      </w:r>
      <w:hyperlink r:id="rId1" w:history="1">
        <w:r w:rsidRPr="00685170">
          <w:rPr>
            <w:rStyle w:val="Hipervnculo"/>
            <w:rFonts w:ascii="Verdana" w:hAnsi="Verdana"/>
            <w:color w:val="auto"/>
            <w:sz w:val="16"/>
            <w:szCs w:val="16"/>
            <w:u w:val="none"/>
          </w:rPr>
          <w:t>Serie C No. 162</w:t>
        </w:r>
      </w:hyperlink>
      <w:r w:rsidRPr="00685170">
        <w:rPr>
          <w:rFonts w:ascii="Verdana" w:hAnsi="Verdana"/>
          <w:sz w:val="16"/>
          <w:szCs w:val="16"/>
        </w:rPr>
        <w:t xml:space="preserve">, </w:t>
      </w:r>
      <w:proofErr w:type="spellStart"/>
      <w:r w:rsidRPr="00685170">
        <w:rPr>
          <w:rFonts w:ascii="Verdana" w:hAnsi="Verdana"/>
          <w:sz w:val="16"/>
          <w:szCs w:val="16"/>
        </w:rPr>
        <w:t>párrs</w:t>
      </w:r>
      <w:proofErr w:type="spellEnd"/>
      <w:r w:rsidRPr="00685170">
        <w:rPr>
          <w:rFonts w:ascii="Verdana" w:hAnsi="Verdana"/>
          <w:sz w:val="16"/>
          <w:szCs w:val="16"/>
        </w:rPr>
        <w:t xml:space="preserve">. 96, 157 y 160, y </w:t>
      </w:r>
      <w:r w:rsidRPr="00685170">
        <w:rPr>
          <w:rFonts w:ascii="Verdana" w:hAnsi="Verdana"/>
          <w:i/>
          <w:sz w:val="16"/>
          <w:szCs w:val="16"/>
        </w:rPr>
        <w:t>Caso Gelman Vs. Uruguay. Fondo y Reparaciones</w:t>
      </w:r>
      <w:r w:rsidRPr="00685170">
        <w:rPr>
          <w:rFonts w:ascii="Verdana" w:hAnsi="Verdana"/>
          <w:sz w:val="16"/>
          <w:szCs w:val="16"/>
        </w:rPr>
        <w:t>, párr. 183.</w:t>
      </w:r>
    </w:p>
    <w:p w14:paraId="4F47DF45" w14:textId="77777777" w:rsidR="00DD280C" w:rsidRPr="00F13012" w:rsidRDefault="00DD280C" w:rsidP="002A53BF">
      <w:pPr>
        <w:autoSpaceDE w:val="0"/>
        <w:autoSpaceDN w:val="0"/>
        <w:adjustRightInd w:val="0"/>
        <w:spacing w:after="0"/>
        <w:jc w:val="both"/>
        <w:rPr>
          <w:rFonts w:ascii="Verdana" w:hAnsi="Verdana"/>
          <w:sz w:val="16"/>
          <w:szCs w:val="16"/>
          <w:lang w:val="es-MX"/>
        </w:rPr>
      </w:pPr>
    </w:p>
  </w:footnote>
  <w:footnote w:id="180">
    <w:p w14:paraId="134D3B2D" w14:textId="77777777" w:rsidR="00DD280C" w:rsidRPr="000031DD" w:rsidRDefault="00DD280C" w:rsidP="002A53BF">
      <w:pPr>
        <w:pStyle w:val="Textonotapie"/>
        <w:jc w:val="both"/>
        <w:rPr>
          <w:rFonts w:ascii="Verdana" w:hAnsi="Verdana" w:cs="Arial"/>
          <w:sz w:val="16"/>
          <w:szCs w:val="16"/>
          <w:shd w:val="clear" w:color="auto" w:fill="FFFFFF"/>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Arial"/>
          <w:i/>
          <w:sz w:val="16"/>
          <w:szCs w:val="16"/>
          <w:shd w:val="clear" w:color="auto" w:fill="FFFFFF"/>
        </w:rPr>
        <w:t>Cfr. Caso Herzog y otros Vs. Brasil. Excepciones Preliminares, Fondo, Reparaciones y Costas</w:t>
      </w:r>
      <w:r w:rsidRPr="000031DD">
        <w:rPr>
          <w:rFonts w:ascii="Verdana" w:hAnsi="Verdana" w:cs="Arial"/>
          <w:sz w:val="16"/>
          <w:szCs w:val="16"/>
          <w:shd w:val="clear" w:color="auto" w:fill="FFFFFF"/>
        </w:rPr>
        <w:t>. Sentencia de 15 de marzo de 2018. Serie C No. 353, párr. 277. En el mismo párrafo la Corte señaló que en el mismo sentido se han pronunciado “la Comisión Interamericana de Derechos Humanos, los órganos de las Naciones Unidas y otros organismos universales y regionales de protección de los derechos humanos”. En el párrafo siguiente de la misma sentencia, la Corte recordó que “</w:t>
      </w:r>
      <w:r w:rsidRPr="000031DD">
        <w:rPr>
          <w:rFonts w:ascii="Verdana" w:hAnsi="Verdana"/>
          <w:sz w:val="16"/>
          <w:szCs w:val="16"/>
        </w:rPr>
        <w:t>se ha pronunciado sobre la incompatibilidad de las amnistías con la Convención Americana en casos de graves violaciones a los derechos humanos o crímenes de lesa humanidad relativos a Perú (Barrios Altos y La Cantuta), Chile (Almonacid Arellano y otros), Brasil (Gomes Lund y Otros), Uruguay (Gelman) y El Salvador (Masacre de El Mozote y lugares aledaños)”.</w:t>
      </w:r>
    </w:p>
    <w:p w14:paraId="14E3F069" w14:textId="77777777" w:rsidR="00DD280C" w:rsidRPr="000031DD" w:rsidRDefault="00DD280C" w:rsidP="002A53BF">
      <w:pPr>
        <w:pStyle w:val="Textonotapie"/>
        <w:jc w:val="both"/>
        <w:rPr>
          <w:rFonts w:ascii="Verdana" w:hAnsi="Verdana"/>
          <w:sz w:val="16"/>
          <w:szCs w:val="16"/>
        </w:rPr>
      </w:pPr>
    </w:p>
  </w:footnote>
  <w:footnote w:id="181">
    <w:p w14:paraId="078AB56E" w14:textId="05384E7A" w:rsidR="00DD280C" w:rsidRPr="000031DD" w:rsidRDefault="00DD280C" w:rsidP="002A53BF">
      <w:pPr>
        <w:pStyle w:val="Textonotapie"/>
        <w:jc w:val="both"/>
        <w:rPr>
          <w:rFonts w:ascii="Verdana" w:hAnsi="Verdana" w:cs="Arial"/>
          <w:sz w:val="16"/>
          <w:szCs w:val="16"/>
          <w:shd w:val="clear" w:color="auto" w:fill="FFFFFF"/>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Arial"/>
          <w:i/>
          <w:sz w:val="16"/>
          <w:szCs w:val="16"/>
          <w:shd w:val="clear" w:color="auto" w:fill="FFFFFF"/>
        </w:rPr>
        <w:t>Caso Gelman Vs. Uruguay. Fondo y Reparaciones</w:t>
      </w:r>
      <w:r w:rsidRPr="000031DD">
        <w:rPr>
          <w:rFonts w:ascii="Verdana" w:hAnsi="Verdana" w:cs="Arial"/>
          <w:sz w:val="16"/>
          <w:szCs w:val="16"/>
          <w:shd w:val="clear" w:color="auto" w:fill="FFFFFF"/>
        </w:rPr>
        <w:t>, párr. 232.</w:t>
      </w:r>
    </w:p>
    <w:p w14:paraId="6F5EE2CC" w14:textId="77777777" w:rsidR="00DD280C" w:rsidRPr="000031DD" w:rsidRDefault="00DD280C" w:rsidP="002A53BF">
      <w:pPr>
        <w:pStyle w:val="Textonotapie"/>
        <w:jc w:val="both"/>
        <w:rPr>
          <w:rFonts w:ascii="Verdana" w:hAnsi="Verdana"/>
          <w:sz w:val="16"/>
          <w:szCs w:val="16"/>
        </w:rPr>
      </w:pPr>
    </w:p>
  </w:footnote>
  <w:footnote w:id="182">
    <w:p w14:paraId="262FA1E6" w14:textId="5846E227" w:rsidR="00DD280C" w:rsidRPr="000031DD" w:rsidRDefault="00DD280C" w:rsidP="002A53BF">
      <w:pPr>
        <w:pStyle w:val="Textonotapie"/>
        <w:jc w:val="both"/>
        <w:rPr>
          <w:rFonts w:ascii="Verdana" w:hAnsi="Verdana" w:cs="Arial"/>
          <w:sz w:val="16"/>
          <w:szCs w:val="16"/>
          <w:shd w:val="clear" w:color="auto" w:fill="FFFFFF"/>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cs="Arial"/>
          <w:i/>
          <w:sz w:val="16"/>
          <w:szCs w:val="16"/>
          <w:shd w:val="clear" w:color="auto" w:fill="FFFFFF"/>
        </w:rPr>
        <w:t>Caso Gelman Vs. Uruguay. Fondo y Reparaciones</w:t>
      </w:r>
      <w:r w:rsidRPr="000031DD">
        <w:rPr>
          <w:rFonts w:ascii="Verdana" w:hAnsi="Verdana" w:cs="Arial"/>
          <w:sz w:val="16"/>
          <w:szCs w:val="16"/>
          <w:shd w:val="clear" w:color="auto" w:fill="FFFFFF"/>
        </w:rPr>
        <w:t>, párr. 240.</w:t>
      </w:r>
    </w:p>
    <w:p w14:paraId="0C62BCB7" w14:textId="77777777" w:rsidR="00DD280C" w:rsidRPr="000031DD" w:rsidRDefault="00DD280C" w:rsidP="002A53BF">
      <w:pPr>
        <w:pStyle w:val="Textonotapie"/>
        <w:jc w:val="both"/>
        <w:rPr>
          <w:rFonts w:ascii="Verdana" w:hAnsi="Verdana"/>
          <w:sz w:val="16"/>
          <w:szCs w:val="16"/>
        </w:rPr>
      </w:pPr>
    </w:p>
  </w:footnote>
  <w:footnote w:id="183">
    <w:p w14:paraId="42EE68E2" w14:textId="283AA389" w:rsidR="00DD280C" w:rsidRDefault="00DD280C" w:rsidP="002A53BF">
      <w:pPr>
        <w:pStyle w:val="Textonotapie"/>
        <w:jc w:val="both"/>
        <w:rPr>
          <w:rFonts w:ascii="Verdana" w:hAnsi="Verdana"/>
          <w:sz w:val="16"/>
          <w:szCs w:val="16"/>
        </w:rPr>
      </w:pPr>
      <w:r w:rsidRPr="00685170">
        <w:rPr>
          <w:rStyle w:val="Refdenotaalpie"/>
          <w:rFonts w:ascii="Verdana" w:hAnsi="Verdana"/>
          <w:sz w:val="16"/>
          <w:szCs w:val="16"/>
        </w:rPr>
        <w:footnoteRef/>
      </w:r>
      <w:r w:rsidRPr="00685170">
        <w:rPr>
          <w:rFonts w:ascii="Verdana" w:hAnsi="Verdana"/>
          <w:sz w:val="16"/>
          <w:szCs w:val="16"/>
        </w:rPr>
        <w:t xml:space="preserve">  </w:t>
      </w:r>
      <w:r w:rsidRPr="00685170">
        <w:rPr>
          <w:rFonts w:ascii="Verdana" w:hAnsi="Verdana"/>
          <w:sz w:val="16"/>
          <w:szCs w:val="16"/>
        </w:rPr>
        <w:tab/>
      </w:r>
      <w:r w:rsidRPr="00685170">
        <w:rPr>
          <w:rFonts w:ascii="Verdana" w:hAnsi="Verdana"/>
          <w:i/>
          <w:sz w:val="16"/>
          <w:szCs w:val="16"/>
        </w:rPr>
        <w:t>Cfr.,</w:t>
      </w:r>
      <w:r w:rsidRPr="00685170">
        <w:rPr>
          <w:rFonts w:ascii="Verdana" w:hAnsi="Verdana"/>
          <w:sz w:val="16"/>
          <w:szCs w:val="16"/>
        </w:rPr>
        <w:t xml:space="preserve"> en el mismo sentido, </w:t>
      </w:r>
      <w:r w:rsidRPr="00685170">
        <w:rPr>
          <w:rFonts w:ascii="Verdana" w:hAnsi="Verdana"/>
          <w:i/>
          <w:sz w:val="16"/>
          <w:szCs w:val="16"/>
        </w:rPr>
        <w:t>Caso Velásquez Rodríguez Vs. Honduras. Fondo</w:t>
      </w:r>
      <w:r w:rsidRPr="00685170">
        <w:rPr>
          <w:rFonts w:ascii="Verdana" w:hAnsi="Verdana"/>
          <w:sz w:val="16"/>
          <w:szCs w:val="16"/>
        </w:rPr>
        <w:t xml:space="preserve">, </w:t>
      </w:r>
      <w:proofErr w:type="spellStart"/>
      <w:r w:rsidRPr="00685170">
        <w:rPr>
          <w:rFonts w:ascii="Verdana" w:hAnsi="Verdana"/>
          <w:sz w:val="16"/>
          <w:szCs w:val="16"/>
        </w:rPr>
        <w:t>párrs</w:t>
      </w:r>
      <w:proofErr w:type="spellEnd"/>
      <w:r w:rsidRPr="00685170">
        <w:rPr>
          <w:rFonts w:ascii="Verdana" w:hAnsi="Verdana"/>
          <w:sz w:val="16"/>
          <w:szCs w:val="16"/>
        </w:rPr>
        <w:t xml:space="preserve">. 174 y 176; </w:t>
      </w:r>
      <w:r w:rsidRPr="00685170">
        <w:rPr>
          <w:rFonts w:ascii="Verdana" w:hAnsi="Verdana"/>
          <w:i/>
          <w:sz w:val="16"/>
          <w:szCs w:val="16"/>
        </w:rPr>
        <w:t xml:space="preserve">Caso Gudiel Álvarez y otros (“Diario Militar”) Vs. Guatemala. Fondo, Reparaciones y Costas. </w:t>
      </w:r>
      <w:r w:rsidRPr="00685170">
        <w:rPr>
          <w:rFonts w:ascii="Verdana" w:hAnsi="Verdana"/>
          <w:sz w:val="16"/>
          <w:szCs w:val="16"/>
        </w:rPr>
        <w:t xml:space="preserve">Sentencia de 20 de noviembre de 2012. Serie C No. 253, párr. 334, y </w:t>
      </w:r>
      <w:r w:rsidRPr="00685170">
        <w:rPr>
          <w:rFonts w:ascii="Verdana" w:hAnsi="Verdana" w:cs="Open Sans"/>
          <w:i/>
          <w:sz w:val="16"/>
          <w:szCs w:val="16"/>
          <w:shd w:val="clear" w:color="auto" w:fill="FFFFFF"/>
        </w:rPr>
        <w:t>Caso Garzón Guzmán y otros Vs. Ecuador</w:t>
      </w:r>
      <w:r w:rsidRPr="00685170">
        <w:rPr>
          <w:rFonts w:ascii="Verdana" w:hAnsi="Verdana" w:cs="Open Sans"/>
          <w:sz w:val="16"/>
          <w:szCs w:val="16"/>
          <w:shd w:val="clear" w:color="auto" w:fill="FFFFFF"/>
        </w:rPr>
        <w:t>, párr. 74. En el párrafo 75 de la última decisión citada, la Corte señaló que “</w:t>
      </w:r>
      <w:r w:rsidRPr="00685170">
        <w:rPr>
          <w:rFonts w:ascii="Verdana" w:hAnsi="Verdana"/>
          <w:sz w:val="16"/>
          <w:szCs w:val="16"/>
        </w:rPr>
        <w:t>aunque el deber de debida diligencia en las labores de búsqueda está relacionado con la obligación de investigar el delito de desaparición forzada, tiene un carácter autónomo. Así lo reconoce la Corte cuando indica que las labores de búsqueda pueden darse por vías diferentes a las judiciales”.</w:t>
      </w:r>
    </w:p>
    <w:p w14:paraId="4F3A8CFA" w14:textId="77777777" w:rsidR="00DD280C" w:rsidRPr="00685170" w:rsidRDefault="00DD280C" w:rsidP="002A53BF">
      <w:pPr>
        <w:pStyle w:val="Textonotapie"/>
        <w:jc w:val="both"/>
        <w:rPr>
          <w:rFonts w:ascii="Verdana" w:hAnsi="Verdana" w:cs="Open Sans"/>
          <w:color w:val="494848"/>
          <w:sz w:val="16"/>
          <w:szCs w:val="16"/>
          <w:shd w:val="clear" w:color="auto" w:fill="FFFFFF"/>
        </w:rPr>
      </w:pPr>
    </w:p>
  </w:footnote>
  <w:footnote w:id="184">
    <w:p w14:paraId="143F3BB9" w14:textId="7CF6DE88" w:rsidR="00DD280C" w:rsidRPr="00FE618E" w:rsidRDefault="00DD280C" w:rsidP="002A53BF">
      <w:pPr>
        <w:pStyle w:val="Textonotapie"/>
        <w:jc w:val="both"/>
        <w:rPr>
          <w:rFonts w:ascii="Verdana" w:hAnsi="Verdana"/>
          <w:i/>
          <w:sz w:val="16"/>
          <w:szCs w:val="16"/>
          <w:lang w:val="es-ES" w:bidi="es-ES"/>
        </w:rPr>
      </w:pPr>
      <w:r w:rsidRPr="00FE618E">
        <w:rPr>
          <w:rStyle w:val="Refdenotaalpie"/>
          <w:rFonts w:ascii="Verdana" w:hAnsi="Verdana"/>
          <w:sz w:val="16"/>
          <w:szCs w:val="16"/>
        </w:rPr>
        <w:footnoteRef/>
      </w:r>
      <w:r w:rsidRPr="00FE618E">
        <w:rPr>
          <w:rFonts w:ascii="Verdana" w:hAnsi="Verdana"/>
          <w:sz w:val="16"/>
          <w:szCs w:val="16"/>
          <w:lang w:val="es-ES"/>
        </w:rPr>
        <w:t xml:space="preserve"> </w:t>
      </w:r>
      <w:r w:rsidRPr="00FE618E">
        <w:rPr>
          <w:rFonts w:ascii="Verdana" w:hAnsi="Verdana"/>
          <w:sz w:val="16"/>
          <w:szCs w:val="16"/>
          <w:lang w:val="es-ES"/>
        </w:rPr>
        <w:tab/>
      </w:r>
      <w:r w:rsidRPr="00685170">
        <w:rPr>
          <w:rFonts w:ascii="Verdana" w:hAnsi="Verdana"/>
          <w:i/>
          <w:sz w:val="16"/>
          <w:szCs w:val="16"/>
        </w:rPr>
        <w:t>Cfr.</w:t>
      </w:r>
      <w:r w:rsidRPr="00685170">
        <w:rPr>
          <w:rFonts w:ascii="Verdana" w:hAnsi="Verdana"/>
          <w:sz w:val="16"/>
          <w:szCs w:val="16"/>
        </w:rPr>
        <w:t xml:space="preserve"> </w:t>
      </w:r>
      <w:r w:rsidRPr="00685170">
        <w:rPr>
          <w:rFonts w:ascii="Verdana" w:hAnsi="Verdana"/>
          <w:i/>
          <w:sz w:val="16"/>
          <w:szCs w:val="16"/>
        </w:rPr>
        <w:t>Caso Fernández Ortega y otros Vs. México. Excepción preliminar, Fondo, Reparaciones y Costas</w:t>
      </w:r>
      <w:r w:rsidRPr="00685170">
        <w:rPr>
          <w:rFonts w:ascii="Verdana" w:hAnsi="Verdana"/>
          <w:sz w:val="16"/>
          <w:szCs w:val="16"/>
        </w:rPr>
        <w:t>. Sentencia de 30 de agosto de 2010. Serie C No. 215, párr. 193</w:t>
      </w:r>
      <w:r w:rsidRPr="00FE618E">
        <w:rPr>
          <w:rFonts w:ascii="Verdana" w:hAnsi="Verdana"/>
          <w:sz w:val="16"/>
          <w:szCs w:val="16"/>
        </w:rPr>
        <w:t xml:space="preserve">, y </w:t>
      </w:r>
      <w:r w:rsidRPr="00685170">
        <w:rPr>
          <w:rFonts w:ascii="Verdana" w:hAnsi="Verdana" w:cs="Open Sans"/>
          <w:i/>
          <w:sz w:val="16"/>
          <w:szCs w:val="16"/>
          <w:shd w:val="clear" w:color="auto" w:fill="FFFFFF"/>
        </w:rPr>
        <w:t>Caso Barbosa de Souza y otros Vs. Brasil</w:t>
      </w:r>
      <w:r w:rsidRPr="00685170">
        <w:rPr>
          <w:rFonts w:ascii="Verdana" w:hAnsi="Verdana" w:cs="Open Sans"/>
          <w:sz w:val="16"/>
          <w:szCs w:val="16"/>
          <w:shd w:val="clear" w:color="auto" w:fill="FFFFFF"/>
        </w:rPr>
        <w:t xml:space="preserve">, párr. 129. </w:t>
      </w:r>
    </w:p>
    <w:p w14:paraId="58E2E712" w14:textId="77777777" w:rsidR="00DD280C" w:rsidRPr="000031DD" w:rsidRDefault="00DD280C" w:rsidP="002A53BF">
      <w:pPr>
        <w:pStyle w:val="Textonotapie"/>
        <w:jc w:val="both"/>
        <w:rPr>
          <w:rFonts w:ascii="Verdana" w:hAnsi="Verdana"/>
          <w:i/>
          <w:sz w:val="16"/>
          <w:szCs w:val="16"/>
          <w:lang w:val="es-ES" w:bidi="es-ES"/>
        </w:rPr>
      </w:pPr>
    </w:p>
  </w:footnote>
  <w:footnote w:id="185">
    <w:p w14:paraId="13C78697" w14:textId="4650AA21" w:rsidR="00DD280C" w:rsidRPr="00340E47" w:rsidRDefault="00DD280C" w:rsidP="002A53BF">
      <w:pPr>
        <w:pStyle w:val="Textonotapie"/>
        <w:jc w:val="both"/>
        <w:rPr>
          <w:rFonts w:ascii="Verdana" w:hAnsi="Verdana"/>
          <w:i/>
          <w:sz w:val="16"/>
          <w:szCs w:val="16"/>
          <w:lang w:val="es-ES" w:bidi="es-ES"/>
        </w:rPr>
      </w:pPr>
      <w:r w:rsidRPr="00340E47">
        <w:rPr>
          <w:rStyle w:val="Refdenotaalpie"/>
          <w:rFonts w:ascii="Verdana" w:hAnsi="Verdana"/>
          <w:sz w:val="16"/>
          <w:szCs w:val="16"/>
        </w:rPr>
        <w:footnoteRef/>
      </w:r>
      <w:r w:rsidRPr="00340E47">
        <w:rPr>
          <w:rFonts w:ascii="Verdana" w:hAnsi="Verdana"/>
          <w:sz w:val="16"/>
          <w:szCs w:val="16"/>
          <w:lang w:val="es-ES"/>
        </w:rPr>
        <w:t xml:space="preserve"> </w:t>
      </w:r>
      <w:r w:rsidRPr="00340E47">
        <w:rPr>
          <w:rFonts w:ascii="Verdana" w:hAnsi="Verdana"/>
          <w:sz w:val="16"/>
          <w:szCs w:val="16"/>
          <w:lang w:val="es-ES"/>
        </w:rPr>
        <w:tab/>
      </w:r>
      <w:r w:rsidRPr="00340E47">
        <w:rPr>
          <w:rFonts w:ascii="Verdana" w:hAnsi="Verdana"/>
          <w:i/>
          <w:sz w:val="16"/>
          <w:szCs w:val="16"/>
        </w:rPr>
        <w:t>Caso Fernández Ortega y otros Vs. México</w:t>
      </w:r>
      <w:r w:rsidRPr="00340E47">
        <w:rPr>
          <w:rFonts w:ascii="Verdana" w:hAnsi="Verdana"/>
          <w:sz w:val="16"/>
          <w:szCs w:val="16"/>
        </w:rPr>
        <w:t xml:space="preserve">, párr. 193, y </w:t>
      </w:r>
      <w:r w:rsidRPr="00340E47">
        <w:rPr>
          <w:rFonts w:ascii="Verdana" w:hAnsi="Verdana" w:cs="Open Sans"/>
          <w:i/>
          <w:sz w:val="16"/>
          <w:szCs w:val="16"/>
          <w:shd w:val="clear" w:color="auto" w:fill="FFFFFF"/>
        </w:rPr>
        <w:t>Caso Barbosa de Souza y otros Vs. Brasil</w:t>
      </w:r>
      <w:r w:rsidRPr="00340E47">
        <w:rPr>
          <w:rFonts w:ascii="Verdana" w:hAnsi="Verdana" w:cs="Open Sans"/>
          <w:sz w:val="16"/>
          <w:szCs w:val="16"/>
          <w:shd w:val="clear" w:color="auto" w:fill="FFFFFF"/>
        </w:rPr>
        <w:t xml:space="preserve">, párr. 129. </w:t>
      </w:r>
    </w:p>
    <w:p w14:paraId="68831BA8" w14:textId="77777777" w:rsidR="00DD280C" w:rsidRPr="000031DD" w:rsidRDefault="00DD280C" w:rsidP="002A53BF">
      <w:pPr>
        <w:pStyle w:val="Textonotapie"/>
        <w:jc w:val="both"/>
        <w:rPr>
          <w:rFonts w:ascii="Verdana" w:hAnsi="Verdana"/>
          <w:i/>
          <w:sz w:val="16"/>
          <w:szCs w:val="16"/>
          <w:lang w:val="es-ES" w:bidi="es-ES"/>
        </w:rPr>
      </w:pPr>
    </w:p>
  </w:footnote>
  <w:footnote w:id="186">
    <w:p w14:paraId="08C8DCD8" w14:textId="77777777" w:rsidR="00DD280C" w:rsidRDefault="00DD280C" w:rsidP="002A53BF">
      <w:pPr>
        <w:pStyle w:val="Textonotapie"/>
        <w:jc w:val="both"/>
        <w:rPr>
          <w:rFonts w:ascii="Verdana" w:hAnsi="Verdana"/>
          <w:sz w:val="16"/>
          <w:szCs w:val="16"/>
        </w:rPr>
      </w:pPr>
      <w:r w:rsidRPr="000031DD">
        <w:rPr>
          <w:rStyle w:val="Refdenotaalpie"/>
          <w:rFonts w:ascii="Verdana" w:hAnsi="Verdana"/>
          <w:sz w:val="16"/>
          <w:szCs w:val="16"/>
        </w:rPr>
        <w:footnoteRef/>
      </w:r>
      <w:r w:rsidRPr="005A5029">
        <w:rPr>
          <w:rFonts w:ascii="Verdana" w:hAnsi="Verdana"/>
          <w:sz w:val="16"/>
          <w:szCs w:val="16"/>
        </w:rPr>
        <w:t xml:space="preserve"> </w:t>
      </w:r>
      <w:r w:rsidRPr="005A5029">
        <w:rPr>
          <w:rFonts w:ascii="Verdana" w:hAnsi="Verdana"/>
          <w:sz w:val="16"/>
          <w:szCs w:val="16"/>
        </w:rPr>
        <w:tab/>
      </w:r>
      <w:r w:rsidRPr="005A5029">
        <w:rPr>
          <w:rFonts w:ascii="Verdana" w:hAnsi="Verdana"/>
          <w:i/>
          <w:sz w:val="16"/>
          <w:szCs w:val="16"/>
        </w:rPr>
        <w:t xml:space="preserve">Caso Myrna Mack Chang Vs. </w:t>
      </w:r>
      <w:r w:rsidRPr="000031DD">
        <w:rPr>
          <w:rFonts w:ascii="Verdana" w:hAnsi="Verdana"/>
          <w:i/>
          <w:sz w:val="16"/>
          <w:szCs w:val="16"/>
        </w:rPr>
        <w:t>Guatemala. Fondo, Reparaciones y Costas.</w:t>
      </w:r>
      <w:r w:rsidRPr="000031DD">
        <w:rPr>
          <w:rFonts w:ascii="Verdana" w:hAnsi="Verdana"/>
          <w:sz w:val="16"/>
          <w:szCs w:val="16"/>
        </w:rPr>
        <w:t xml:space="preserve"> Sentencia de 25 de noviembre de 2003. Serie C No. 101, párr. 211.</w:t>
      </w:r>
    </w:p>
    <w:p w14:paraId="1CCCF1A9" w14:textId="77777777" w:rsidR="00DD280C" w:rsidRPr="000031DD" w:rsidRDefault="00DD280C" w:rsidP="002A53BF">
      <w:pPr>
        <w:pStyle w:val="Textonotapie"/>
        <w:jc w:val="both"/>
        <w:rPr>
          <w:rFonts w:ascii="Verdana" w:hAnsi="Verdana"/>
          <w:sz w:val="16"/>
          <w:szCs w:val="16"/>
        </w:rPr>
      </w:pPr>
    </w:p>
  </w:footnote>
  <w:footnote w:id="187">
    <w:p w14:paraId="7D5F93CB"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 xml:space="preserve">Escrito sin fecha de solicitud de “suspensión de </w:t>
      </w:r>
      <w:proofErr w:type="gramStart"/>
      <w:r>
        <w:rPr>
          <w:rFonts w:ascii="Verdana" w:hAnsi="Verdana" w:cs="Times New Roman"/>
          <w:sz w:val="16"/>
          <w:szCs w:val="16"/>
        </w:rPr>
        <w:t>actuaciones[</w:t>
      </w:r>
      <w:proofErr w:type="gramEnd"/>
      <w:r>
        <w:rPr>
          <w:rFonts w:ascii="Verdana" w:hAnsi="Verdana" w:cs="Times New Roman"/>
          <w:sz w:val="16"/>
          <w:szCs w:val="16"/>
        </w:rPr>
        <w:t>,] clausura y archivo de la causa por prescripción” (</w:t>
      </w:r>
      <w:r w:rsidRPr="00E40C37">
        <w:rPr>
          <w:rFonts w:ascii="Verdana" w:hAnsi="Verdana"/>
          <w:sz w:val="16"/>
          <w:szCs w:val="16"/>
        </w:rPr>
        <w:t>expediente de prueba, expedientes remitidos por el Estado, fs. 6357 a 6368</w:t>
      </w:r>
      <w:r>
        <w:rPr>
          <w:rFonts w:ascii="Verdana" w:hAnsi="Verdana"/>
          <w:sz w:val="16"/>
          <w:szCs w:val="16"/>
        </w:rPr>
        <w:t>)</w:t>
      </w:r>
      <w:r w:rsidRPr="00E40C37">
        <w:rPr>
          <w:rFonts w:ascii="Verdana" w:hAnsi="Verdana"/>
          <w:sz w:val="16"/>
          <w:szCs w:val="16"/>
        </w:rPr>
        <w:t>.</w:t>
      </w:r>
    </w:p>
    <w:p w14:paraId="56B5C3D0" w14:textId="77777777" w:rsidR="00DD280C" w:rsidRPr="00E40C37" w:rsidRDefault="00DD280C" w:rsidP="002A53BF">
      <w:pPr>
        <w:pStyle w:val="Textonotapie"/>
        <w:jc w:val="both"/>
        <w:rPr>
          <w:rFonts w:ascii="Verdana" w:hAnsi="Verdana"/>
          <w:sz w:val="16"/>
          <w:szCs w:val="16"/>
        </w:rPr>
      </w:pPr>
    </w:p>
  </w:footnote>
  <w:footnote w:id="188">
    <w:p w14:paraId="1625E027"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interposición de recursos de reposición y apelación en subsidio, presentado por E.K al Juzgado 8vo el 11 de octubre de 2016 (</w:t>
      </w:r>
      <w:r w:rsidRPr="00E40C37">
        <w:rPr>
          <w:rFonts w:ascii="Verdana" w:hAnsi="Verdana"/>
          <w:sz w:val="16"/>
          <w:szCs w:val="16"/>
        </w:rPr>
        <w:t>expediente de prueba, expedientes remitidos por el Estado, fs. 64</w:t>
      </w:r>
      <w:r>
        <w:rPr>
          <w:rFonts w:ascii="Verdana" w:hAnsi="Verdana"/>
          <w:sz w:val="16"/>
          <w:szCs w:val="16"/>
        </w:rPr>
        <w:t>24</w:t>
      </w:r>
      <w:r w:rsidRPr="00E40C37">
        <w:rPr>
          <w:rFonts w:ascii="Verdana" w:hAnsi="Verdana"/>
          <w:sz w:val="16"/>
          <w:szCs w:val="16"/>
        </w:rPr>
        <w:t xml:space="preserve"> a 6436</w:t>
      </w:r>
      <w:r>
        <w:rPr>
          <w:rFonts w:ascii="Verdana" w:hAnsi="Verdana"/>
          <w:sz w:val="16"/>
          <w:szCs w:val="16"/>
        </w:rPr>
        <w:t>)</w:t>
      </w:r>
      <w:r w:rsidRPr="00E40C37">
        <w:rPr>
          <w:rFonts w:ascii="Verdana" w:hAnsi="Verdana"/>
          <w:sz w:val="16"/>
          <w:szCs w:val="16"/>
        </w:rPr>
        <w:t>.</w:t>
      </w:r>
      <w:r>
        <w:rPr>
          <w:rFonts w:ascii="Verdana" w:hAnsi="Verdana"/>
          <w:sz w:val="16"/>
          <w:szCs w:val="16"/>
        </w:rPr>
        <w:t xml:space="preserve"> El Escrito </w:t>
      </w:r>
      <w:proofErr w:type="gramStart"/>
      <w:r>
        <w:rPr>
          <w:rFonts w:ascii="Verdana" w:hAnsi="Verdana"/>
          <w:sz w:val="16"/>
          <w:szCs w:val="16"/>
        </w:rPr>
        <w:t>hace mención de</w:t>
      </w:r>
      <w:proofErr w:type="gramEnd"/>
      <w:r>
        <w:rPr>
          <w:rFonts w:ascii="Verdana" w:hAnsi="Verdana"/>
          <w:sz w:val="16"/>
          <w:szCs w:val="16"/>
        </w:rPr>
        <w:t xml:space="preserve"> la sentencia interlocutoria 2010/2016, de 19 de septiembre de 2016, señalando que “no h[izo] lugar a la solicitud de clausura y archivo de las actuaciones”. </w:t>
      </w:r>
    </w:p>
    <w:p w14:paraId="4614E6A0" w14:textId="77777777" w:rsidR="00DD280C" w:rsidRPr="00E40C37" w:rsidRDefault="00DD280C" w:rsidP="002A53BF">
      <w:pPr>
        <w:pStyle w:val="Textonotapie"/>
        <w:jc w:val="both"/>
        <w:rPr>
          <w:rFonts w:ascii="Verdana" w:hAnsi="Verdana"/>
          <w:sz w:val="16"/>
          <w:szCs w:val="16"/>
        </w:rPr>
      </w:pPr>
    </w:p>
  </w:footnote>
  <w:footnote w:id="189">
    <w:p w14:paraId="2AE05348"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Decreto No. 2333/2016 de la jueza actuante, de 21 de octubre de 2016 (</w:t>
      </w:r>
      <w:r w:rsidRPr="00E40C37">
        <w:rPr>
          <w:rFonts w:ascii="Verdana" w:hAnsi="Verdana"/>
          <w:sz w:val="16"/>
          <w:szCs w:val="16"/>
        </w:rPr>
        <w:t>expediente de prueba, expedientes remitidos por el Estado, f. 6446</w:t>
      </w:r>
      <w:r>
        <w:rPr>
          <w:rFonts w:ascii="Verdana" w:hAnsi="Verdana"/>
          <w:sz w:val="16"/>
          <w:szCs w:val="16"/>
        </w:rPr>
        <w:t>)</w:t>
      </w:r>
      <w:r w:rsidRPr="00E40C37">
        <w:rPr>
          <w:rFonts w:ascii="Verdana" w:hAnsi="Verdana"/>
          <w:sz w:val="16"/>
          <w:szCs w:val="16"/>
        </w:rPr>
        <w:t>.</w:t>
      </w:r>
    </w:p>
    <w:p w14:paraId="7AE7ABBF" w14:textId="77777777" w:rsidR="00DD280C" w:rsidRPr="00E40C37" w:rsidRDefault="00DD280C" w:rsidP="002A53BF">
      <w:pPr>
        <w:pStyle w:val="Textonotapie"/>
        <w:jc w:val="both"/>
        <w:rPr>
          <w:rFonts w:ascii="Verdana" w:hAnsi="Verdana"/>
          <w:sz w:val="16"/>
          <w:szCs w:val="16"/>
        </w:rPr>
      </w:pPr>
    </w:p>
  </w:footnote>
  <w:footnote w:id="190">
    <w:p w14:paraId="24B4C03D" w14:textId="77777777" w:rsidR="00DD280C"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Sentencia No. 32 del Tribunal de Apelaciones en lo Penal de Segundo Turno, de 8 de marzo de 2017 (</w:t>
      </w:r>
      <w:r w:rsidRPr="00E40C37">
        <w:rPr>
          <w:rFonts w:ascii="Verdana" w:hAnsi="Verdana"/>
          <w:sz w:val="16"/>
          <w:szCs w:val="16"/>
        </w:rPr>
        <w:t xml:space="preserve">expediente de prueba, expedientes remitidos por el Estado, fs. 6459 </w:t>
      </w:r>
      <w:r>
        <w:rPr>
          <w:rFonts w:ascii="Verdana" w:hAnsi="Verdana"/>
          <w:sz w:val="16"/>
          <w:szCs w:val="16"/>
        </w:rPr>
        <w:t xml:space="preserve">a </w:t>
      </w:r>
      <w:r w:rsidRPr="00E40C37">
        <w:rPr>
          <w:rFonts w:ascii="Verdana" w:hAnsi="Verdana"/>
          <w:sz w:val="16"/>
          <w:szCs w:val="16"/>
        </w:rPr>
        <w:t>6464</w:t>
      </w:r>
      <w:r>
        <w:rPr>
          <w:rFonts w:ascii="Verdana" w:hAnsi="Verdana"/>
          <w:sz w:val="16"/>
          <w:szCs w:val="16"/>
        </w:rPr>
        <w:t>)</w:t>
      </w:r>
      <w:r w:rsidRPr="00E40C37">
        <w:rPr>
          <w:rFonts w:ascii="Verdana" w:hAnsi="Verdana"/>
          <w:sz w:val="16"/>
          <w:szCs w:val="16"/>
        </w:rPr>
        <w:t>.</w:t>
      </w:r>
    </w:p>
    <w:p w14:paraId="453FB5C2" w14:textId="77777777" w:rsidR="00DD280C" w:rsidRPr="00E40C37" w:rsidRDefault="00DD280C" w:rsidP="002A53BF">
      <w:pPr>
        <w:pStyle w:val="Textonotapie"/>
        <w:jc w:val="both"/>
        <w:rPr>
          <w:rFonts w:ascii="Verdana" w:hAnsi="Verdana"/>
          <w:sz w:val="16"/>
          <w:szCs w:val="16"/>
        </w:rPr>
      </w:pPr>
    </w:p>
  </w:footnote>
  <w:footnote w:id="191">
    <w:p w14:paraId="382CA5E6"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interposición de un recurso de casación y una excepción de inconstitucionalidad, presentado por la defensa de imputado el 3 de abril de 2017 (</w:t>
      </w:r>
      <w:r w:rsidRPr="00E40C37">
        <w:rPr>
          <w:rFonts w:ascii="Verdana" w:hAnsi="Verdana"/>
          <w:sz w:val="16"/>
          <w:szCs w:val="16"/>
        </w:rPr>
        <w:t>expediente de prueba, expedientes remitidos por el Estado, fs. 6468 a 6511</w:t>
      </w:r>
      <w:r>
        <w:rPr>
          <w:rFonts w:ascii="Verdana" w:hAnsi="Verdana"/>
          <w:sz w:val="16"/>
          <w:szCs w:val="16"/>
        </w:rPr>
        <w:t>)</w:t>
      </w:r>
      <w:r w:rsidRPr="00E40C37">
        <w:rPr>
          <w:rFonts w:ascii="Verdana" w:hAnsi="Verdana"/>
          <w:sz w:val="16"/>
          <w:szCs w:val="16"/>
        </w:rPr>
        <w:t>.</w:t>
      </w:r>
    </w:p>
    <w:p w14:paraId="23E53AE7" w14:textId="77777777" w:rsidR="00DD280C" w:rsidRPr="00E40C37" w:rsidRDefault="00DD280C" w:rsidP="002A53BF">
      <w:pPr>
        <w:pStyle w:val="Textonotapie"/>
        <w:jc w:val="both"/>
        <w:rPr>
          <w:rFonts w:ascii="Verdana" w:hAnsi="Verdana"/>
          <w:sz w:val="16"/>
          <w:szCs w:val="16"/>
        </w:rPr>
      </w:pPr>
    </w:p>
  </w:footnote>
  <w:footnote w:id="192">
    <w:p w14:paraId="2C117B4C"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 xml:space="preserve">Sentencia No. 1984 de la Suprema Corte de Justicia de 20 de diciembre de 2017, en autos “Reyes, Arturo Ricardo – </w:t>
      </w:r>
      <w:proofErr w:type="spellStart"/>
      <w:r>
        <w:rPr>
          <w:rFonts w:ascii="Verdana" w:hAnsi="Verdana" w:cs="Times New Roman"/>
          <w:sz w:val="16"/>
          <w:szCs w:val="16"/>
        </w:rPr>
        <w:t>Odizzio</w:t>
      </w:r>
      <w:proofErr w:type="spellEnd"/>
      <w:r>
        <w:rPr>
          <w:rFonts w:ascii="Verdana" w:hAnsi="Verdana" w:cs="Times New Roman"/>
          <w:sz w:val="16"/>
          <w:szCs w:val="16"/>
        </w:rPr>
        <w:t xml:space="preserve"> Di Raggio, Marta – </w:t>
      </w:r>
      <w:proofErr w:type="spellStart"/>
      <w:r>
        <w:rPr>
          <w:rFonts w:ascii="Verdana" w:hAnsi="Verdana" w:cs="Times New Roman"/>
          <w:sz w:val="16"/>
          <w:szCs w:val="16"/>
        </w:rPr>
        <w:t>Potasnik</w:t>
      </w:r>
      <w:proofErr w:type="spellEnd"/>
      <w:r>
        <w:rPr>
          <w:rFonts w:ascii="Verdana" w:hAnsi="Verdana" w:cs="Times New Roman"/>
          <w:sz w:val="16"/>
          <w:szCs w:val="16"/>
        </w:rPr>
        <w:t>, Flora – Denuncia – Excepción de inconstitucionalidad – Ley No. 18.831 y casación penal” (</w:t>
      </w:r>
      <w:r w:rsidRPr="00E40C37">
        <w:rPr>
          <w:rFonts w:ascii="Verdana" w:hAnsi="Verdana"/>
          <w:sz w:val="16"/>
          <w:szCs w:val="16"/>
        </w:rPr>
        <w:t>expediente de prueba, expedientes remitidos por el Estado, fs. 6608 y 6609</w:t>
      </w:r>
      <w:r>
        <w:rPr>
          <w:rFonts w:ascii="Verdana" w:hAnsi="Verdana"/>
          <w:sz w:val="16"/>
          <w:szCs w:val="16"/>
        </w:rPr>
        <w:t>)</w:t>
      </w:r>
      <w:r w:rsidRPr="00E40C37">
        <w:rPr>
          <w:rFonts w:ascii="Verdana" w:hAnsi="Verdana"/>
          <w:sz w:val="16"/>
          <w:szCs w:val="16"/>
        </w:rPr>
        <w:t>.</w:t>
      </w:r>
    </w:p>
    <w:p w14:paraId="35B3E21C" w14:textId="77777777" w:rsidR="00DD280C" w:rsidRPr="00E40C37" w:rsidRDefault="00DD280C" w:rsidP="002A53BF">
      <w:pPr>
        <w:pStyle w:val="Textonotapie"/>
        <w:jc w:val="both"/>
        <w:rPr>
          <w:rFonts w:ascii="Verdana" w:hAnsi="Verdana"/>
          <w:sz w:val="16"/>
          <w:szCs w:val="16"/>
        </w:rPr>
      </w:pPr>
    </w:p>
  </w:footnote>
  <w:footnote w:id="193">
    <w:p w14:paraId="50F61B4C"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 xml:space="preserve">Sentencia No 1300 de la Suprema Corte de Justicia de 23 de mayo de 2018, en autos “Reyes, Arturo Ricardo – </w:t>
      </w:r>
      <w:proofErr w:type="spellStart"/>
      <w:r>
        <w:rPr>
          <w:rFonts w:ascii="Verdana" w:hAnsi="Verdana" w:cs="Times New Roman"/>
          <w:sz w:val="16"/>
          <w:szCs w:val="16"/>
        </w:rPr>
        <w:t>Odizzio</w:t>
      </w:r>
      <w:proofErr w:type="spellEnd"/>
      <w:r>
        <w:rPr>
          <w:rFonts w:ascii="Verdana" w:hAnsi="Verdana" w:cs="Times New Roman"/>
          <w:sz w:val="16"/>
          <w:szCs w:val="16"/>
        </w:rPr>
        <w:t xml:space="preserve"> Di Raggio, Marta – </w:t>
      </w:r>
      <w:proofErr w:type="spellStart"/>
      <w:r>
        <w:rPr>
          <w:rFonts w:ascii="Verdana" w:hAnsi="Verdana" w:cs="Times New Roman"/>
          <w:sz w:val="16"/>
          <w:szCs w:val="16"/>
        </w:rPr>
        <w:t>Potasnik</w:t>
      </w:r>
      <w:proofErr w:type="spellEnd"/>
      <w:r>
        <w:rPr>
          <w:rFonts w:ascii="Verdana" w:hAnsi="Verdana" w:cs="Times New Roman"/>
          <w:sz w:val="16"/>
          <w:szCs w:val="16"/>
        </w:rPr>
        <w:t>, Flora – Denuncia – Excepción de inconstitucionalidad – Ley No. 18.831 y casación penal” (</w:t>
      </w:r>
      <w:r w:rsidRPr="00E40C37">
        <w:rPr>
          <w:rFonts w:ascii="Verdana" w:hAnsi="Verdana"/>
          <w:sz w:val="16"/>
          <w:szCs w:val="16"/>
        </w:rPr>
        <w:t>expediente de prueba, expedientes remitidos por el Estado, fs. 6620 a 6623</w:t>
      </w:r>
      <w:r>
        <w:rPr>
          <w:rFonts w:ascii="Verdana" w:hAnsi="Verdana"/>
          <w:sz w:val="16"/>
          <w:szCs w:val="16"/>
        </w:rPr>
        <w:t>)</w:t>
      </w:r>
      <w:r w:rsidRPr="00E40C37">
        <w:rPr>
          <w:rFonts w:ascii="Verdana" w:hAnsi="Verdana"/>
          <w:sz w:val="16"/>
          <w:szCs w:val="16"/>
        </w:rPr>
        <w:t>.</w:t>
      </w:r>
    </w:p>
    <w:p w14:paraId="0C820542" w14:textId="77777777" w:rsidR="00DD280C" w:rsidRPr="00E40C37" w:rsidRDefault="00DD280C" w:rsidP="002A53BF">
      <w:pPr>
        <w:pStyle w:val="Textonotapie"/>
        <w:jc w:val="both"/>
        <w:rPr>
          <w:rFonts w:ascii="Verdana" w:hAnsi="Verdana"/>
          <w:sz w:val="16"/>
          <w:szCs w:val="16"/>
        </w:rPr>
      </w:pPr>
    </w:p>
  </w:footnote>
  <w:footnote w:id="194">
    <w:p w14:paraId="731075DD"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interposición de una excepción de inconstitucionalidad, presentado por E.K. el 12 de noviembre de 2018 (</w:t>
      </w:r>
      <w:r w:rsidRPr="00E40C37">
        <w:rPr>
          <w:rFonts w:ascii="Verdana" w:hAnsi="Verdana"/>
          <w:sz w:val="16"/>
          <w:szCs w:val="16"/>
        </w:rPr>
        <w:t>expediente de prueba, expedientes remitidos por el Estado, fs. 6686 a 6706</w:t>
      </w:r>
      <w:r>
        <w:rPr>
          <w:rFonts w:ascii="Verdana" w:hAnsi="Verdana"/>
          <w:sz w:val="16"/>
          <w:szCs w:val="16"/>
        </w:rPr>
        <w:t>)</w:t>
      </w:r>
      <w:r w:rsidRPr="00E40C37">
        <w:rPr>
          <w:rFonts w:ascii="Verdana" w:hAnsi="Verdana"/>
          <w:sz w:val="16"/>
          <w:szCs w:val="16"/>
        </w:rPr>
        <w:t>.</w:t>
      </w:r>
    </w:p>
    <w:p w14:paraId="598684A9" w14:textId="77777777" w:rsidR="00DD280C" w:rsidRPr="00E40C37" w:rsidRDefault="00DD280C" w:rsidP="002A53BF">
      <w:pPr>
        <w:pStyle w:val="Textonotapie"/>
        <w:jc w:val="both"/>
        <w:rPr>
          <w:rFonts w:ascii="Verdana" w:hAnsi="Verdana"/>
          <w:sz w:val="16"/>
          <w:szCs w:val="16"/>
        </w:rPr>
      </w:pPr>
    </w:p>
  </w:footnote>
  <w:footnote w:id="195">
    <w:p w14:paraId="189C3E75" w14:textId="77777777" w:rsidR="00DD280C"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Decreto No. 2487/2018 de la jueza interviniente, de 13 de noviembre de 2018 (</w:t>
      </w:r>
      <w:r w:rsidRPr="00E40C37">
        <w:rPr>
          <w:rFonts w:ascii="Verdana" w:hAnsi="Verdana"/>
          <w:sz w:val="16"/>
          <w:szCs w:val="16"/>
        </w:rPr>
        <w:t>expediente de prueba, expedientes remitidos por el Estado, f.  6707</w:t>
      </w:r>
      <w:r>
        <w:rPr>
          <w:rFonts w:ascii="Verdana" w:hAnsi="Verdana"/>
          <w:sz w:val="16"/>
          <w:szCs w:val="16"/>
        </w:rPr>
        <w:t>)</w:t>
      </w:r>
      <w:r w:rsidRPr="00E40C37">
        <w:rPr>
          <w:rFonts w:ascii="Verdana" w:hAnsi="Verdana"/>
          <w:sz w:val="16"/>
          <w:szCs w:val="16"/>
        </w:rPr>
        <w:t>.</w:t>
      </w:r>
    </w:p>
    <w:p w14:paraId="3D14DA08" w14:textId="77777777" w:rsidR="00DD280C" w:rsidRPr="00E40C37" w:rsidRDefault="00DD280C" w:rsidP="002A53BF">
      <w:pPr>
        <w:pStyle w:val="Textonotapie"/>
        <w:jc w:val="both"/>
        <w:rPr>
          <w:rFonts w:ascii="Verdana" w:hAnsi="Verdana"/>
          <w:sz w:val="16"/>
          <w:szCs w:val="16"/>
        </w:rPr>
      </w:pPr>
    </w:p>
  </w:footnote>
  <w:footnote w:id="196">
    <w:p w14:paraId="63FD4257"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Dictamen fuera de audiencia No. 5844/18/FPM4, de la Fiscalía Penal de 4to Turno, de 3 de diciembre de 2018; escrito del Fiscal de Corte y Procurador General de la Nación de 5 de febrero de 2019, y escrito de la Fiscalía Especializada de 3 de abril de 2019 (</w:t>
      </w:r>
      <w:r w:rsidRPr="00E40C37">
        <w:rPr>
          <w:rFonts w:ascii="Verdana" w:hAnsi="Verdana"/>
          <w:sz w:val="16"/>
          <w:szCs w:val="16"/>
        </w:rPr>
        <w:t xml:space="preserve">expediente de prueba, expedientes remitidos por el Estado, fs.  </w:t>
      </w:r>
      <w:r>
        <w:rPr>
          <w:rFonts w:ascii="Verdana" w:hAnsi="Verdana"/>
          <w:sz w:val="16"/>
          <w:szCs w:val="16"/>
        </w:rPr>
        <w:t xml:space="preserve">6722 a 6726, </w:t>
      </w:r>
      <w:r w:rsidRPr="00E40C37">
        <w:rPr>
          <w:rFonts w:ascii="Verdana" w:hAnsi="Verdana"/>
          <w:sz w:val="16"/>
          <w:szCs w:val="16"/>
        </w:rPr>
        <w:t>6733 a 6758</w:t>
      </w:r>
      <w:r>
        <w:rPr>
          <w:rFonts w:ascii="Verdana" w:hAnsi="Verdana"/>
          <w:sz w:val="16"/>
          <w:szCs w:val="16"/>
        </w:rPr>
        <w:t xml:space="preserve">, y </w:t>
      </w:r>
      <w:r w:rsidRPr="00E40C37">
        <w:rPr>
          <w:rFonts w:ascii="Verdana" w:hAnsi="Verdana"/>
          <w:sz w:val="16"/>
          <w:szCs w:val="16"/>
        </w:rPr>
        <w:t>6781 a 6794</w:t>
      </w:r>
      <w:r>
        <w:rPr>
          <w:rFonts w:ascii="Verdana" w:hAnsi="Verdana"/>
          <w:sz w:val="16"/>
          <w:szCs w:val="16"/>
        </w:rPr>
        <w:t>, respectivamente)</w:t>
      </w:r>
      <w:r w:rsidRPr="00E40C37">
        <w:rPr>
          <w:rFonts w:ascii="Verdana" w:hAnsi="Verdana"/>
          <w:sz w:val="16"/>
          <w:szCs w:val="16"/>
        </w:rPr>
        <w:t>.</w:t>
      </w:r>
      <w:r>
        <w:rPr>
          <w:rFonts w:ascii="Verdana" w:hAnsi="Verdana"/>
          <w:sz w:val="16"/>
          <w:szCs w:val="16"/>
        </w:rPr>
        <w:t xml:space="preserve"> Cabe señalar que el traslado al Fiscal Especializado se produjo luego del 14 de marzo de 2019, después de que se diera traslado a la Fiscalía Penal de 4to Turno y al Fiscal de Corte y Procurador General de la Nación (</w:t>
      </w:r>
      <w:r w:rsidRPr="00685170">
        <w:rPr>
          <w:rFonts w:ascii="Verdana" w:hAnsi="Verdana"/>
          <w:i/>
          <w:sz w:val="16"/>
          <w:szCs w:val="16"/>
        </w:rPr>
        <w:t>cfr.</w:t>
      </w:r>
      <w:r>
        <w:rPr>
          <w:rFonts w:ascii="Verdana" w:hAnsi="Verdana"/>
          <w:sz w:val="16"/>
          <w:szCs w:val="16"/>
        </w:rPr>
        <w:t xml:space="preserve"> Proveído de la Suprema Corte de Justicia de 14 de marzo de 2019 (expediente de prueba, expedientes remitidos por el Estado, f. 6768)).</w:t>
      </w:r>
    </w:p>
    <w:p w14:paraId="05E6F0DB" w14:textId="77777777" w:rsidR="00DD280C" w:rsidRPr="00E40C37" w:rsidRDefault="00DD280C" w:rsidP="002A53BF">
      <w:pPr>
        <w:pStyle w:val="Textonotapie"/>
        <w:jc w:val="both"/>
        <w:rPr>
          <w:rFonts w:ascii="Verdana" w:hAnsi="Verdana"/>
          <w:sz w:val="16"/>
          <w:szCs w:val="16"/>
        </w:rPr>
      </w:pPr>
    </w:p>
  </w:footnote>
  <w:footnote w:id="197">
    <w:p w14:paraId="07B2AE98"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Sentencia No. 1278 de la Suprema Corte de Justicia, de 29 de agosto de 2019 (</w:t>
      </w:r>
      <w:r w:rsidRPr="00E40C37">
        <w:rPr>
          <w:rFonts w:ascii="Verdana" w:hAnsi="Verdana"/>
          <w:sz w:val="16"/>
          <w:szCs w:val="16"/>
        </w:rPr>
        <w:t xml:space="preserve">expediente de prueba, expedientes remitidos por el Estado, fs.  7054 </w:t>
      </w:r>
      <w:r>
        <w:rPr>
          <w:rFonts w:ascii="Verdana" w:hAnsi="Verdana"/>
          <w:sz w:val="16"/>
          <w:szCs w:val="16"/>
        </w:rPr>
        <w:t>y</w:t>
      </w:r>
      <w:r w:rsidRPr="00E40C37">
        <w:rPr>
          <w:rFonts w:ascii="Verdana" w:hAnsi="Verdana"/>
          <w:sz w:val="16"/>
          <w:szCs w:val="16"/>
        </w:rPr>
        <w:t xml:space="preserve"> 7055</w:t>
      </w:r>
      <w:r>
        <w:rPr>
          <w:rFonts w:ascii="Verdana" w:hAnsi="Verdana"/>
          <w:sz w:val="16"/>
          <w:szCs w:val="16"/>
        </w:rPr>
        <w:t>)</w:t>
      </w:r>
      <w:r w:rsidRPr="00E40C37">
        <w:rPr>
          <w:rFonts w:ascii="Verdana" w:hAnsi="Verdana"/>
          <w:sz w:val="16"/>
          <w:szCs w:val="16"/>
        </w:rPr>
        <w:t>.</w:t>
      </w:r>
    </w:p>
    <w:p w14:paraId="6CE0B710" w14:textId="77777777" w:rsidR="00DD280C" w:rsidRPr="00E40C37" w:rsidRDefault="00DD280C" w:rsidP="002A53BF">
      <w:pPr>
        <w:pStyle w:val="Textonotapie"/>
        <w:jc w:val="both"/>
        <w:rPr>
          <w:rFonts w:ascii="Verdana" w:hAnsi="Verdana"/>
          <w:sz w:val="16"/>
          <w:szCs w:val="16"/>
        </w:rPr>
      </w:pPr>
    </w:p>
  </w:footnote>
  <w:footnote w:id="198">
    <w:p w14:paraId="03DBC359"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la defensa del imputado solicitando la “clausura y archivo por prescripción”, de 23 de octubre de 2019 (</w:t>
      </w:r>
      <w:r w:rsidRPr="00E40C37">
        <w:rPr>
          <w:rFonts w:ascii="Verdana" w:hAnsi="Verdana"/>
          <w:sz w:val="16"/>
          <w:szCs w:val="16"/>
        </w:rPr>
        <w:t>expediente de prueba, expedientes remitidos por el Estado, fs.  7092 a 7095</w:t>
      </w:r>
      <w:r>
        <w:rPr>
          <w:rFonts w:ascii="Verdana" w:hAnsi="Verdana"/>
          <w:sz w:val="16"/>
          <w:szCs w:val="16"/>
        </w:rPr>
        <w:t>)</w:t>
      </w:r>
      <w:r w:rsidRPr="00E40C37">
        <w:rPr>
          <w:rFonts w:ascii="Verdana" w:hAnsi="Verdana"/>
          <w:sz w:val="16"/>
          <w:szCs w:val="16"/>
        </w:rPr>
        <w:t>.</w:t>
      </w:r>
    </w:p>
    <w:p w14:paraId="20E1DB6A" w14:textId="77777777" w:rsidR="00DD280C" w:rsidRPr="00E40C37" w:rsidRDefault="00DD280C" w:rsidP="002A53BF">
      <w:pPr>
        <w:pStyle w:val="Textonotapie"/>
        <w:jc w:val="both"/>
        <w:rPr>
          <w:rFonts w:ascii="Verdana" w:hAnsi="Verdana"/>
          <w:sz w:val="16"/>
          <w:szCs w:val="16"/>
        </w:rPr>
      </w:pPr>
    </w:p>
  </w:footnote>
  <w:footnote w:id="199">
    <w:p w14:paraId="13AB4030"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la Fiscalía Especializada, No. de actuación 338, de 29 de octubre de 2019 (</w:t>
      </w:r>
      <w:r w:rsidRPr="00E40C37">
        <w:rPr>
          <w:rFonts w:ascii="Verdana" w:hAnsi="Verdana"/>
          <w:sz w:val="16"/>
          <w:szCs w:val="16"/>
        </w:rPr>
        <w:t xml:space="preserve">expediente de prueba, expedientes remitidos por el Estado, fs.  7098 </w:t>
      </w:r>
      <w:r>
        <w:rPr>
          <w:rFonts w:ascii="Verdana" w:hAnsi="Verdana"/>
          <w:sz w:val="16"/>
          <w:szCs w:val="16"/>
        </w:rPr>
        <w:t>y</w:t>
      </w:r>
      <w:r w:rsidRPr="00E40C37">
        <w:rPr>
          <w:rFonts w:ascii="Verdana" w:hAnsi="Verdana"/>
          <w:sz w:val="16"/>
          <w:szCs w:val="16"/>
        </w:rPr>
        <w:t xml:space="preserve"> 7099</w:t>
      </w:r>
      <w:r>
        <w:rPr>
          <w:rFonts w:ascii="Verdana" w:hAnsi="Verdana"/>
          <w:sz w:val="16"/>
          <w:szCs w:val="16"/>
        </w:rPr>
        <w:t>)</w:t>
      </w:r>
      <w:r w:rsidRPr="00E40C37">
        <w:rPr>
          <w:rFonts w:ascii="Verdana" w:hAnsi="Verdana"/>
          <w:sz w:val="16"/>
          <w:szCs w:val="16"/>
        </w:rPr>
        <w:t>.</w:t>
      </w:r>
    </w:p>
    <w:p w14:paraId="2BCA1A46" w14:textId="77777777" w:rsidR="00DD280C" w:rsidRPr="00E40C37" w:rsidRDefault="00DD280C" w:rsidP="002A53BF">
      <w:pPr>
        <w:pStyle w:val="Textonotapie"/>
        <w:jc w:val="both"/>
        <w:rPr>
          <w:rFonts w:ascii="Verdana" w:hAnsi="Verdana"/>
          <w:sz w:val="16"/>
          <w:szCs w:val="16"/>
        </w:rPr>
      </w:pPr>
    </w:p>
  </w:footnote>
  <w:footnote w:id="200">
    <w:p w14:paraId="035EC90C" w14:textId="77777777" w:rsidR="00DD280C" w:rsidRPr="00E40C37" w:rsidRDefault="00DD280C" w:rsidP="002A53BF">
      <w:pPr>
        <w:pStyle w:val="Textonotapie"/>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Decretos No. 3518/2019 y 3578/2019 de la jueza actuante, de 1 y 6 de noviembre de 2019, respectivamente, y “señalamiento”, del día 7 del mismo mes (</w:t>
      </w:r>
      <w:r w:rsidRPr="00E40C37">
        <w:rPr>
          <w:rFonts w:ascii="Verdana" w:hAnsi="Verdana"/>
          <w:sz w:val="16"/>
          <w:szCs w:val="16"/>
        </w:rPr>
        <w:t>expediente de prueba, expedientes remitidos por el Estado, fs.  7101 a 7104</w:t>
      </w:r>
      <w:r>
        <w:rPr>
          <w:rFonts w:ascii="Verdana" w:hAnsi="Verdana"/>
          <w:sz w:val="16"/>
          <w:szCs w:val="16"/>
        </w:rPr>
        <w:t xml:space="preserve">, </w:t>
      </w:r>
      <w:r w:rsidRPr="00E40C37">
        <w:rPr>
          <w:rFonts w:ascii="Verdana" w:hAnsi="Verdana"/>
          <w:sz w:val="16"/>
          <w:szCs w:val="16"/>
        </w:rPr>
        <w:t>7132</w:t>
      </w:r>
      <w:r>
        <w:rPr>
          <w:rFonts w:ascii="Verdana" w:hAnsi="Verdana"/>
          <w:sz w:val="16"/>
          <w:szCs w:val="16"/>
        </w:rPr>
        <w:t xml:space="preserve"> y 7134, respectivamente)</w:t>
      </w:r>
      <w:r w:rsidRPr="00E40C37">
        <w:rPr>
          <w:rFonts w:ascii="Verdana" w:hAnsi="Verdana"/>
          <w:sz w:val="16"/>
          <w:szCs w:val="16"/>
        </w:rPr>
        <w:t>.</w:t>
      </w:r>
    </w:p>
    <w:p w14:paraId="66538E20" w14:textId="77777777" w:rsidR="00DD280C" w:rsidRPr="00E40C37" w:rsidRDefault="00DD280C" w:rsidP="002A53BF">
      <w:pPr>
        <w:pStyle w:val="Textonotapie"/>
        <w:jc w:val="both"/>
        <w:rPr>
          <w:rFonts w:ascii="Verdana" w:hAnsi="Verdana"/>
          <w:sz w:val="16"/>
          <w:szCs w:val="16"/>
        </w:rPr>
      </w:pPr>
    </w:p>
  </w:footnote>
  <w:footnote w:id="201">
    <w:p w14:paraId="2E804761" w14:textId="77777777" w:rsidR="00DD280C" w:rsidRPr="00E40C37" w:rsidRDefault="00DD280C" w:rsidP="002A53BF">
      <w:pPr>
        <w:pStyle w:val="Prrafodelista"/>
        <w:spacing w:after="0"/>
        <w:ind w:left="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la defensa del imputado de interposición de recursos de reposición y apelación en subsidio, de 11 de noviembre de 2019 (</w:t>
      </w:r>
      <w:r w:rsidRPr="00E40C37">
        <w:rPr>
          <w:rFonts w:ascii="Verdana" w:hAnsi="Verdana"/>
          <w:sz w:val="16"/>
          <w:szCs w:val="16"/>
        </w:rPr>
        <w:t>expediente de prueba, expedientes remitidos por el Estado, fs.  7147 a 7160</w:t>
      </w:r>
      <w:r>
        <w:rPr>
          <w:rFonts w:ascii="Verdana" w:hAnsi="Verdana"/>
          <w:sz w:val="16"/>
          <w:szCs w:val="16"/>
        </w:rPr>
        <w:t>)</w:t>
      </w:r>
      <w:r w:rsidRPr="00E40C37">
        <w:rPr>
          <w:rFonts w:ascii="Verdana" w:hAnsi="Verdana"/>
          <w:sz w:val="16"/>
          <w:szCs w:val="16"/>
        </w:rPr>
        <w:t>.</w:t>
      </w:r>
    </w:p>
    <w:p w14:paraId="0A3F2158" w14:textId="77777777" w:rsidR="00DD280C" w:rsidRPr="00E40C37" w:rsidRDefault="00DD280C" w:rsidP="002A53BF">
      <w:pPr>
        <w:pStyle w:val="Textonotapie"/>
        <w:jc w:val="both"/>
        <w:rPr>
          <w:rFonts w:ascii="Verdana" w:hAnsi="Verdana"/>
          <w:sz w:val="16"/>
          <w:szCs w:val="16"/>
        </w:rPr>
      </w:pPr>
    </w:p>
  </w:footnote>
  <w:footnote w:id="202">
    <w:p w14:paraId="32EEDCED" w14:textId="77777777" w:rsidR="00DD280C" w:rsidRPr="00E40C37" w:rsidRDefault="00DD280C" w:rsidP="002A53BF">
      <w:pPr>
        <w:pStyle w:val="Prrafodelista"/>
        <w:spacing w:after="0"/>
        <w:ind w:left="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 de la Fiscalía Especializada, No. de actuación 372, de 14 de noviembre de 2019 (</w:t>
      </w:r>
      <w:r w:rsidRPr="00E40C37">
        <w:rPr>
          <w:rFonts w:ascii="Verdana" w:hAnsi="Verdana"/>
          <w:sz w:val="16"/>
          <w:szCs w:val="16"/>
        </w:rPr>
        <w:t>expediente de prueba, expedientes remitidos por el Estado, f.  7163</w:t>
      </w:r>
      <w:r>
        <w:rPr>
          <w:rFonts w:ascii="Verdana" w:hAnsi="Verdana"/>
          <w:sz w:val="16"/>
          <w:szCs w:val="16"/>
        </w:rPr>
        <w:t>)</w:t>
      </w:r>
      <w:r w:rsidRPr="00E40C37">
        <w:rPr>
          <w:rFonts w:ascii="Verdana" w:hAnsi="Verdana"/>
          <w:sz w:val="16"/>
          <w:szCs w:val="16"/>
        </w:rPr>
        <w:t>.</w:t>
      </w:r>
    </w:p>
    <w:p w14:paraId="109E2D2B" w14:textId="77777777" w:rsidR="00DD280C" w:rsidRPr="00E40C37" w:rsidRDefault="00DD280C" w:rsidP="002A53BF">
      <w:pPr>
        <w:pStyle w:val="Textonotapie"/>
        <w:jc w:val="both"/>
        <w:rPr>
          <w:rFonts w:ascii="Verdana" w:hAnsi="Verdana"/>
          <w:sz w:val="16"/>
          <w:szCs w:val="16"/>
        </w:rPr>
      </w:pPr>
    </w:p>
  </w:footnote>
  <w:footnote w:id="203">
    <w:p w14:paraId="1F377F86" w14:textId="77777777" w:rsidR="00DD280C" w:rsidRPr="00E40C37" w:rsidRDefault="00DD280C" w:rsidP="002A53BF">
      <w:pPr>
        <w:pStyle w:val="Prrafodelista"/>
        <w:spacing w:after="0"/>
        <w:ind w:left="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Decreto No. 3714/2019 de la jueza actuante, de 18 de noviembre de 2019 (</w:t>
      </w:r>
      <w:r w:rsidRPr="00E40C37">
        <w:rPr>
          <w:rFonts w:ascii="Verdana" w:hAnsi="Verdana"/>
          <w:sz w:val="16"/>
          <w:szCs w:val="16"/>
        </w:rPr>
        <w:t>expediente de prueba, expedientes remitidos por el Estado, f.  7165</w:t>
      </w:r>
      <w:r>
        <w:rPr>
          <w:rFonts w:ascii="Verdana" w:hAnsi="Verdana"/>
          <w:sz w:val="16"/>
          <w:szCs w:val="16"/>
        </w:rPr>
        <w:t>)</w:t>
      </w:r>
      <w:r w:rsidRPr="00E40C37">
        <w:rPr>
          <w:rFonts w:ascii="Verdana" w:hAnsi="Verdana"/>
          <w:sz w:val="16"/>
          <w:szCs w:val="16"/>
        </w:rPr>
        <w:t>.</w:t>
      </w:r>
    </w:p>
    <w:p w14:paraId="2F23F44C" w14:textId="77777777" w:rsidR="00DD280C" w:rsidRPr="00E40C37" w:rsidRDefault="00DD280C" w:rsidP="002A53BF">
      <w:pPr>
        <w:pStyle w:val="Textonotapie"/>
        <w:jc w:val="both"/>
        <w:rPr>
          <w:rFonts w:ascii="Verdana" w:hAnsi="Verdana"/>
          <w:sz w:val="16"/>
          <w:szCs w:val="16"/>
        </w:rPr>
      </w:pPr>
    </w:p>
  </w:footnote>
  <w:footnote w:id="204">
    <w:p w14:paraId="115FDF6E" w14:textId="77777777" w:rsidR="00DD280C" w:rsidRPr="00FD5090" w:rsidRDefault="00DD280C" w:rsidP="002A53BF">
      <w:pPr>
        <w:pStyle w:val="Prrafodelista"/>
        <w:autoSpaceDE w:val="0"/>
        <w:autoSpaceDN w:val="0"/>
        <w:adjustRightInd w:val="0"/>
        <w:spacing w:after="0" w:line="240" w:lineRule="auto"/>
        <w:ind w:left="0"/>
        <w:jc w:val="both"/>
        <w:rPr>
          <w:rFonts w:ascii="Verdana" w:hAnsi="Verdana" w:cs="Times New Roman"/>
          <w:sz w:val="16"/>
          <w:szCs w:val="16"/>
          <w:highlight w:val="yellow"/>
        </w:rPr>
      </w:pPr>
      <w:r w:rsidRPr="000F5A15">
        <w:rPr>
          <w:rStyle w:val="Refdenotaalpie"/>
          <w:rFonts w:ascii="Verdana" w:hAnsi="Verdana"/>
          <w:sz w:val="16"/>
          <w:szCs w:val="16"/>
        </w:rPr>
        <w:footnoteRef/>
      </w:r>
      <w:r w:rsidRPr="000F5A15">
        <w:rPr>
          <w:rFonts w:ascii="Verdana" w:hAnsi="Verdana"/>
          <w:sz w:val="16"/>
          <w:szCs w:val="16"/>
        </w:rPr>
        <w:t xml:space="preserve"> </w:t>
      </w:r>
      <w:r w:rsidRPr="000F5A15">
        <w:rPr>
          <w:rFonts w:ascii="Verdana" w:hAnsi="Verdana"/>
          <w:sz w:val="16"/>
          <w:szCs w:val="16"/>
        </w:rPr>
        <w:tab/>
      </w:r>
      <w:r w:rsidRPr="000F5A15">
        <w:rPr>
          <w:rFonts w:ascii="Verdana" w:hAnsi="Verdana" w:cs="Times New Roman"/>
          <w:i/>
          <w:sz w:val="16"/>
          <w:szCs w:val="16"/>
        </w:rPr>
        <w:t>Cfr.</w:t>
      </w:r>
      <w:r w:rsidRPr="000F5A15">
        <w:rPr>
          <w:rFonts w:ascii="Verdana" w:hAnsi="Verdana" w:cs="Times New Roman"/>
          <w:sz w:val="16"/>
          <w:szCs w:val="16"/>
        </w:rPr>
        <w:t xml:space="preserve"> </w:t>
      </w:r>
      <w:r>
        <w:rPr>
          <w:rFonts w:ascii="Verdana" w:hAnsi="Verdana" w:cs="Times New Roman"/>
          <w:sz w:val="16"/>
          <w:szCs w:val="16"/>
        </w:rPr>
        <w:t>Sentencia No. 489/2020 del Tribunal de Apelación de 19 de agosto de 2020 (</w:t>
      </w:r>
      <w:r w:rsidRPr="000F5A15">
        <w:rPr>
          <w:rFonts w:ascii="Verdana" w:hAnsi="Verdana"/>
          <w:sz w:val="16"/>
          <w:szCs w:val="16"/>
        </w:rPr>
        <w:t>expediente de prueba, expedientes remitidos por el Estado, fs.  7295 a 7305</w:t>
      </w:r>
      <w:r>
        <w:rPr>
          <w:rFonts w:ascii="Verdana" w:hAnsi="Verdana"/>
          <w:sz w:val="16"/>
          <w:szCs w:val="16"/>
        </w:rPr>
        <w:t>)</w:t>
      </w:r>
      <w:r w:rsidRPr="000F5A15">
        <w:rPr>
          <w:rFonts w:ascii="Verdana" w:hAnsi="Verdana"/>
          <w:sz w:val="16"/>
          <w:szCs w:val="16"/>
        </w:rPr>
        <w:t xml:space="preserve">. </w:t>
      </w:r>
      <w:r w:rsidRPr="00DE69BB">
        <w:rPr>
          <w:rFonts w:ascii="Verdana" w:hAnsi="Verdana"/>
          <w:sz w:val="16"/>
          <w:szCs w:val="16"/>
        </w:rPr>
        <w:t>Antes, el 19 de diciembre de 2019 E.K. compareció a prestar declaración indagatoria, pero luego de iniciado el acto su defensa lo instruyó sobre la impertinencia de su declaración pues estaba pendiente la resolución de la cuestión de la prescripción, por lo que el imputado se abstuvo de continuar declarando (</w:t>
      </w:r>
      <w:r>
        <w:rPr>
          <w:rFonts w:ascii="Verdana" w:hAnsi="Verdana" w:cs="Times New Roman"/>
          <w:i/>
          <w:sz w:val="16"/>
          <w:szCs w:val="16"/>
        </w:rPr>
        <w:t>c</w:t>
      </w:r>
      <w:r w:rsidRPr="000F5A15">
        <w:rPr>
          <w:rFonts w:ascii="Verdana" w:hAnsi="Verdana" w:cs="Times New Roman"/>
          <w:i/>
          <w:sz w:val="16"/>
          <w:szCs w:val="16"/>
        </w:rPr>
        <w:t>fr.</w:t>
      </w:r>
      <w:r w:rsidRPr="00FD5090">
        <w:rPr>
          <w:rFonts w:ascii="Verdana" w:hAnsi="Verdana" w:cs="Times New Roman"/>
          <w:sz w:val="16"/>
          <w:szCs w:val="16"/>
        </w:rPr>
        <w:t xml:space="preserve"> </w:t>
      </w:r>
      <w:r>
        <w:rPr>
          <w:rFonts w:ascii="Verdana" w:hAnsi="Verdana" w:cs="Times New Roman"/>
          <w:sz w:val="16"/>
          <w:szCs w:val="16"/>
        </w:rPr>
        <w:t>Acta de 19 de indagatoria de 19 de diciembre de 2019 (</w:t>
      </w:r>
      <w:r w:rsidRPr="00FD5090">
        <w:rPr>
          <w:rFonts w:ascii="Verdana" w:hAnsi="Verdana"/>
          <w:sz w:val="16"/>
          <w:szCs w:val="16"/>
        </w:rPr>
        <w:t>expediente de prueba, expedientes remitidos por el Estado, fs.  7175 y 7176)</w:t>
      </w:r>
      <w:r>
        <w:rPr>
          <w:rFonts w:ascii="Verdana" w:hAnsi="Verdana"/>
          <w:sz w:val="16"/>
          <w:szCs w:val="16"/>
        </w:rPr>
        <w:t>).</w:t>
      </w:r>
    </w:p>
    <w:p w14:paraId="260B2DF1" w14:textId="77777777" w:rsidR="00DD280C" w:rsidRPr="00E40C37" w:rsidRDefault="00DD280C" w:rsidP="002A53BF">
      <w:pPr>
        <w:pStyle w:val="Textonotapie"/>
        <w:jc w:val="both"/>
        <w:rPr>
          <w:rFonts w:ascii="Verdana" w:hAnsi="Verdana"/>
          <w:sz w:val="16"/>
          <w:szCs w:val="16"/>
        </w:rPr>
      </w:pPr>
    </w:p>
  </w:footnote>
  <w:footnote w:id="205">
    <w:p w14:paraId="15EE4C1F" w14:textId="77777777" w:rsidR="00DD280C" w:rsidRPr="00E40C37" w:rsidRDefault="00DD280C" w:rsidP="002A53BF">
      <w:pPr>
        <w:spacing w:after="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Escritos de solicitud de “suspensión de actuaciones, clausura y archivo de la causa por prescripción”, presentados por J.R. y la representación de J.G. el 4 de febrero de 2021 (</w:t>
      </w:r>
      <w:r w:rsidRPr="00E40C37">
        <w:rPr>
          <w:rFonts w:ascii="Verdana" w:hAnsi="Verdana"/>
          <w:sz w:val="16"/>
          <w:szCs w:val="16"/>
        </w:rPr>
        <w:t>expediente de prueba, expedientes remitidos por el Estado, fs. 7394 a 7408</w:t>
      </w:r>
      <w:r>
        <w:rPr>
          <w:rFonts w:ascii="Verdana" w:hAnsi="Verdana"/>
          <w:sz w:val="16"/>
          <w:szCs w:val="16"/>
        </w:rPr>
        <w:t>)</w:t>
      </w:r>
      <w:r w:rsidRPr="00E40C37">
        <w:rPr>
          <w:rFonts w:ascii="Verdana" w:hAnsi="Verdana"/>
          <w:sz w:val="16"/>
          <w:szCs w:val="16"/>
        </w:rPr>
        <w:t>.</w:t>
      </w:r>
    </w:p>
    <w:p w14:paraId="71EB055E" w14:textId="77777777" w:rsidR="00DD280C" w:rsidRPr="00E40C37" w:rsidRDefault="00DD280C" w:rsidP="002A53BF">
      <w:pPr>
        <w:pStyle w:val="Textonotapie"/>
        <w:jc w:val="both"/>
        <w:rPr>
          <w:rFonts w:ascii="Verdana" w:hAnsi="Verdana"/>
          <w:sz w:val="16"/>
          <w:szCs w:val="16"/>
        </w:rPr>
      </w:pPr>
    </w:p>
  </w:footnote>
  <w:footnote w:id="206">
    <w:p w14:paraId="6039EB9F" w14:textId="77777777" w:rsidR="00DD280C" w:rsidRPr="00E40C37" w:rsidRDefault="00DD280C" w:rsidP="002A53BF">
      <w:pPr>
        <w:spacing w:after="0"/>
        <w:jc w:val="both"/>
        <w:rPr>
          <w:rFonts w:ascii="Verdana" w:hAnsi="Verdana"/>
          <w:sz w:val="16"/>
          <w:szCs w:val="16"/>
        </w:rPr>
      </w:pPr>
      <w:r w:rsidRPr="00E40C37">
        <w:rPr>
          <w:rStyle w:val="Refdenotaalpie"/>
          <w:rFonts w:ascii="Verdana" w:hAnsi="Verdana"/>
          <w:sz w:val="16"/>
          <w:szCs w:val="16"/>
        </w:rPr>
        <w:footnoteRef/>
      </w:r>
      <w:r w:rsidRPr="00E40C37">
        <w:rPr>
          <w:rFonts w:ascii="Verdana" w:hAnsi="Verdana"/>
          <w:sz w:val="16"/>
          <w:szCs w:val="16"/>
        </w:rPr>
        <w:t xml:space="preserve"> </w:t>
      </w:r>
      <w:r w:rsidRPr="00E40C37">
        <w:rPr>
          <w:rFonts w:ascii="Verdana" w:hAnsi="Verdana"/>
          <w:sz w:val="16"/>
          <w:szCs w:val="16"/>
        </w:rPr>
        <w:tab/>
      </w:r>
      <w:r w:rsidRPr="00E40C37">
        <w:rPr>
          <w:rFonts w:ascii="Verdana" w:hAnsi="Verdana" w:cs="Times New Roman"/>
          <w:i/>
          <w:sz w:val="16"/>
          <w:szCs w:val="16"/>
        </w:rPr>
        <w:t>Cfr.</w:t>
      </w:r>
      <w:r w:rsidRPr="00E40C37">
        <w:rPr>
          <w:rFonts w:ascii="Verdana" w:hAnsi="Verdana" w:cs="Times New Roman"/>
          <w:sz w:val="16"/>
          <w:szCs w:val="16"/>
        </w:rPr>
        <w:t xml:space="preserve"> </w:t>
      </w:r>
      <w:r>
        <w:rPr>
          <w:rFonts w:ascii="Verdana" w:hAnsi="Verdana" w:cs="Times New Roman"/>
          <w:sz w:val="16"/>
          <w:szCs w:val="16"/>
        </w:rPr>
        <w:t>Decreto No. 274/2021 de la jueza actuante de 7 de mayo de 2021 (</w:t>
      </w:r>
      <w:r w:rsidRPr="00E40C37">
        <w:rPr>
          <w:rFonts w:ascii="Verdana" w:hAnsi="Verdana"/>
          <w:sz w:val="16"/>
          <w:szCs w:val="16"/>
        </w:rPr>
        <w:t>expediente de prueba, expedientes remitidos por el Estado, fs. 7422 a 7431</w:t>
      </w:r>
      <w:r>
        <w:rPr>
          <w:rFonts w:ascii="Verdana" w:hAnsi="Verdana"/>
          <w:sz w:val="16"/>
          <w:szCs w:val="16"/>
        </w:rPr>
        <w:t>).</w:t>
      </w:r>
    </w:p>
    <w:p w14:paraId="291111FF" w14:textId="77777777" w:rsidR="00DD280C" w:rsidRPr="00E40C37" w:rsidRDefault="00DD280C" w:rsidP="002A53BF">
      <w:pPr>
        <w:pStyle w:val="Textonotapie"/>
        <w:jc w:val="both"/>
        <w:rPr>
          <w:rFonts w:ascii="Verdana" w:hAnsi="Verdana"/>
          <w:sz w:val="16"/>
          <w:szCs w:val="16"/>
        </w:rPr>
      </w:pPr>
    </w:p>
  </w:footnote>
  <w:footnote w:id="207">
    <w:p w14:paraId="0EEC384F" w14:textId="54ED5880" w:rsidR="00DD280C" w:rsidRPr="00E53751" w:rsidRDefault="00DD280C" w:rsidP="002A53BF">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 xml:space="preserve">Al respecto, el Estado afirmó, sin brindar </w:t>
      </w:r>
      <w:r w:rsidRPr="005932ED">
        <w:rPr>
          <w:rFonts w:ascii="Verdana" w:hAnsi="Verdana"/>
          <w:sz w:val="16"/>
          <w:szCs w:val="16"/>
        </w:rPr>
        <w:t xml:space="preserve">detalles, que su ordenamiento jurídico cuenta con </w:t>
      </w:r>
      <w:r w:rsidRPr="005932ED">
        <w:rPr>
          <w:rFonts w:ascii="Verdana" w:hAnsi="Verdana"/>
          <w:sz w:val="16"/>
          <w:szCs w:val="16"/>
          <w:lang w:val="es-ES_tradnl"/>
        </w:rPr>
        <w:t>las herramientas necesarias para detectar los abusos de derecho (</w:t>
      </w:r>
      <w:r w:rsidRPr="005932ED">
        <w:rPr>
          <w:rFonts w:ascii="Verdana" w:hAnsi="Verdana"/>
          <w:i/>
          <w:sz w:val="16"/>
          <w:szCs w:val="16"/>
          <w:lang w:val="es-ES_tradnl"/>
        </w:rPr>
        <w:t>infra</w:t>
      </w:r>
      <w:r w:rsidRPr="005932ED">
        <w:rPr>
          <w:rFonts w:ascii="Verdana" w:hAnsi="Verdana"/>
          <w:sz w:val="16"/>
          <w:szCs w:val="16"/>
          <w:lang w:val="es-ES_tradnl"/>
        </w:rPr>
        <w:t xml:space="preserve"> </w:t>
      </w:r>
      <w:proofErr w:type="spellStart"/>
      <w:r w:rsidRPr="005932ED">
        <w:rPr>
          <w:rFonts w:ascii="Verdana" w:hAnsi="Verdana"/>
          <w:sz w:val="16"/>
          <w:szCs w:val="16"/>
          <w:lang w:val="es-ES_tradnl"/>
        </w:rPr>
        <w:t>parr</w:t>
      </w:r>
      <w:proofErr w:type="spellEnd"/>
      <w:r w:rsidRPr="005932ED">
        <w:rPr>
          <w:rFonts w:ascii="Verdana" w:hAnsi="Verdana"/>
          <w:sz w:val="16"/>
          <w:szCs w:val="16"/>
          <w:lang w:val="es-ES_tradnl"/>
        </w:rPr>
        <w:t>. 244).</w:t>
      </w:r>
      <w:r w:rsidRPr="00E53751">
        <w:rPr>
          <w:rFonts w:ascii="Verdana" w:hAnsi="Verdana"/>
          <w:sz w:val="16"/>
          <w:szCs w:val="16"/>
          <w:lang w:val="es-ES_tradnl"/>
        </w:rPr>
        <w:t xml:space="preserve"> </w:t>
      </w:r>
    </w:p>
    <w:p w14:paraId="1738EBEB" w14:textId="77777777" w:rsidR="00DD280C" w:rsidRDefault="00DD280C" w:rsidP="002A53BF">
      <w:pPr>
        <w:pStyle w:val="Textonotapie"/>
      </w:pPr>
    </w:p>
  </w:footnote>
  <w:footnote w:id="208">
    <w:p w14:paraId="7DBF5934" w14:textId="4EA38A72" w:rsidR="00DD280C" w:rsidRDefault="00DD280C" w:rsidP="002A53BF">
      <w:pPr>
        <w:tabs>
          <w:tab w:val="left" w:pos="360"/>
        </w:tabs>
        <w:autoSpaceDE w:val="0"/>
        <w:autoSpaceDN w:val="0"/>
        <w:spacing w:after="0" w:line="240" w:lineRule="auto"/>
        <w:jc w:val="both"/>
        <w:rPr>
          <w:rFonts w:ascii="Verdana" w:hAnsi="Verdana"/>
          <w:sz w:val="16"/>
          <w:szCs w:val="16"/>
          <w:lang w:val="es-PR"/>
        </w:rPr>
      </w:pPr>
      <w:r w:rsidRPr="000031DD">
        <w:rPr>
          <w:rStyle w:val="Refdenotaalpie"/>
          <w:rFonts w:ascii="Verdana" w:hAnsi="Verdana"/>
          <w:sz w:val="16"/>
          <w:szCs w:val="16"/>
        </w:rPr>
        <w:footnoteRef/>
      </w:r>
      <w:r w:rsidRPr="000031DD">
        <w:rPr>
          <w:rFonts w:ascii="Verdana" w:hAnsi="Verdana"/>
          <w:sz w:val="16"/>
          <w:szCs w:val="16"/>
          <w:lang w:val="es-PR"/>
        </w:rPr>
        <w:t xml:space="preserve"> </w:t>
      </w:r>
      <w:r w:rsidRPr="000031DD">
        <w:rPr>
          <w:rFonts w:ascii="Verdana" w:hAnsi="Verdana"/>
          <w:sz w:val="16"/>
          <w:szCs w:val="16"/>
          <w:lang w:val="es-PR"/>
        </w:rPr>
        <w:tab/>
      </w:r>
      <w:r w:rsidRPr="000031DD">
        <w:rPr>
          <w:rFonts w:ascii="Verdana" w:hAnsi="Verdana"/>
          <w:i/>
          <w:sz w:val="16"/>
          <w:szCs w:val="16"/>
          <w:lang w:val="es-PR"/>
        </w:rPr>
        <w:t>Cfr.</w:t>
      </w:r>
      <w:r w:rsidRPr="000031DD">
        <w:rPr>
          <w:rFonts w:ascii="Verdana" w:hAnsi="Verdana"/>
          <w:sz w:val="16"/>
          <w:szCs w:val="16"/>
          <w:lang w:val="es-PR"/>
        </w:rPr>
        <w:t xml:space="preserve"> </w:t>
      </w:r>
      <w:r w:rsidRPr="000031DD">
        <w:rPr>
          <w:rFonts w:ascii="Verdana" w:hAnsi="Verdana"/>
          <w:bCs/>
          <w:i/>
          <w:sz w:val="16"/>
          <w:szCs w:val="16"/>
          <w:lang w:val="es-ES_tradnl"/>
        </w:rPr>
        <w:t xml:space="preserve">Caso Hilaire, </w:t>
      </w:r>
      <w:proofErr w:type="spellStart"/>
      <w:r w:rsidRPr="000031DD">
        <w:rPr>
          <w:rFonts w:ascii="Verdana" w:hAnsi="Verdana"/>
          <w:bCs/>
          <w:i/>
          <w:sz w:val="16"/>
          <w:szCs w:val="16"/>
          <w:lang w:val="es-ES_tradnl"/>
        </w:rPr>
        <w:t>Constantine</w:t>
      </w:r>
      <w:proofErr w:type="spellEnd"/>
      <w:r w:rsidRPr="000031DD">
        <w:rPr>
          <w:rFonts w:ascii="Verdana" w:hAnsi="Verdana"/>
          <w:bCs/>
          <w:i/>
          <w:sz w:val="16"/>
          <w:szCs w:val="16"/>
          <w:lang w:val="es-ES_tradnl"/>
        </w:rPr>
        <w:t xml:space="preserve"> y </w:t>
      </w:r>
      <w:proofErr w:type="spellStart"/>
      <w:r w:rsidRPr="000031DD">
        <w:rPr>
          <w:rFonts w:ascii="Verdana" w:hAnsi="Verdana"/>
          <w:bCs/>
          <w:i/>
          <w:sz w:val="16"/>
          <w:szCs w:val="16"/>
          <w:lang w:val="es-ES_tradnl"/>
        </w:rPr>
        <w:t>Benjamin</w:t>
      </w:r>
      <w:proofErr w:type="spellEnd"/>
      <w:r w:rsidRPr="000031DD">
        <w:rPr>
          <w:rFonts w:ascii="Verdana" w:hAnsi="Verdana"/>
          <w:bCs/>
          <w:i/>
          <w:sz w:val="16"/>
          <w:szCs w:val="16"/>
          <w:lang w:val="es-ES_tradnl"/>
        </w:rPr>
        <w:t xml:space="preserve"> y otros </w:t>
      </w:r>
      <w:r w:rsidRPr="00180B05">
        <w:rPr>
          <w:rFonts w:ascii="Verdana" w:hAnsi="Verdana"/>
          <w:bCs/>
          <w:i/>
          <w:sz w:val="16"/>
          <w:szCs w:val="16"/>
          <w:lang w:val="es-ES_tradnl"/>
        </w:rPr>
        <w:t>Vs. Trinidad y Tobago</w:t>
      </w:r>
      <w:r w:rsidRPr="00180B05">
        <w:rPr>
          <w:rFonts w:ascii="Verdana" w:hAnsi="Verdana"/>
          <w:bCs/>
          <w:sz w:val="16"/>
          <w:szCs w:val="16"/>
          <w:lang w:val="es-ES_tradnl"/>
        </w:rPr>
        <w:t>, párr. 145</w:t>
      </w:r>
      <w:r w:rsidRPr="00180B05">
        <w:rPr>
          <w:rFonts w:ascii="Verdana" w:hAnsi="Verdana"/>
          <w:sz w:val="16"/>
          <w:szCs w:val="16"/>
          <w:lang w:val="es-PR"/>
        </w:rPr>
        <w:t xml:space="preserve">, y </w:t>
      </w:r>
      <w:r w:rsidRPr="00685170">
        <w:rPr>
          <w:rFonts w:ascii="Verdana" w:hAnsi="Verdana" w:cs="Open Sans"/>
          <w:i/>
          <w:sz w:val="16"/>
          <w:szCs w:val="16"/>
          <w:shd w:val="clear" w:color="auto" w:fill="FFFFFF"/>
        </w:rPr>
        <w:t>Caso González y otros Vs. Venezuela</w:t>
      </w:r>
      <w:r w:rsidRPr="00685170">
        <w:rPr>
          <w:rFonts w:ascii="Verdana" w:hAnsi="Verdana" w:cs="Open Sans"/>
          <w:sz w:val="16"/>
          <w:szCs w:val="16"/>
          <w:shd w:val="clear" w:color="auto" w:fill="FFFFFF"/>
        </w:rPr>
        <w:t>,</w:t>
      </w:r>
      <w:r w:rsidRPr="00180B05">
        <w:rPr>
          <w:rFonts w:ascii="Verdana" w:hAnsi="Verdana"/>
          <w:i/>
          <w:sz w:val="16"/>
          <w:szCs w:val="16"/>
          <w:lang w:val="es-PR"/>
        </w:rPr>
        <w:t xml:space="preserve"> </w:t>
      </w:r>
      <w:r w:rsidRPr="00180B05">
        <w:rPr>
          <w:rFonts w:ascii="Verdana" w:hAnsi="Verdana"/>
          <w:sz w:val="16"/>
          <w:szCs w:val="16"/>
          <w:lang w:val="es-PR"/>
        </w:rPr>
        <w:t>párr. 185.</w:t>
      </w:r>
    </w:p>
    <w:p w14:paraId="30CE20FE" w14:textId="77777777" w:rsidR="00DD280C" w:rsidRPr="000031DD" w:rsidRDefault="00DD280C" w:rsidP="002A53BF">
      <w:pPr>
        <w:tabs>
          <w:tab w:val="left" w:pos="360"/>
        </w:tabs>
        <w:autoSpaceDE w:val="0"/>
        <w:autoSpaceDN w:val="0"/>
        <w:spacing w:after="0" w:line="240" w:lineRule="auto"/>
        <w:jc w:val="both"/>
        <w:rPr>
          <w:rFonts w:ascii="Verdana" w:hAnsi="Verdana"/>
          <w:sz w:val="16"/>
          <w:szCs w:val="16"/>
          <w:lang w:val="es-PR"/>
        </w:rPr>
      </w:pPr>
    </w:p>
  </w:footnote>
  <w:footnote w:id="209">
    <w:p w14:paraId="6ED488E9" w14:textId="449BBEC9" w:rsidR="00DD280C" w:rsidRPr="002339C1" w:rsidRDefault="00DD280C" w:rsidP="002A53BF">
      <w:pPr>
        <w:pStyle w:val="Textonotapie"/>
        <w:jc w:val="both"/>
        <w:rPr>
          <w:rFonts w:ascii="Verdana" w:hAnsi="Verdana" w:cs="Arial"/>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La Corte ha señalado que </w:t>
      </w:r>
      <w:r w:rsidRPr="000031DD">
        <w:rPr>
          <w:rFonts w:ascii="Verdana" w:hAnsi="Verdana" w:cs="Arial"/>
          <w:sz w:val="16"/>
          <w:szCs w:val="16"/>
        </w:rPr>
        <w:t>corresponde al Estado justificar la razón por la cual ha requerido del tiempo transcurrido para tratar un caso</w:t>
      </w:r>
      <w:r>
        <w:rPr>
          <w:rFonts w:ascii="Verdana" w:hAnsi="Verdana" w:cs="Arial"/>
          <w:sz w:val="16"/>
          <w:szCs w:val="16"/>
        </w:rPr>
        <w:t xml:space="preserve">; </w:t>
      </w:r>
      <w:r w:rsidRPr="004507B2">
        <w:rPr>
          <w:rFonts w:ascii="Verdana" w:hAnsi="Verdana" w:cs="Arial"/>
          <w:sz w:val="16"/>
          <w:szCs w:val="16"/>
        </w:rPr>
        <w:t>en la eventualidad de que este no lo de</w:t>
      </w:r>
      <w:r>
        <w:rPr>
          <w:rFonts w:ascii="Verdana" w:hAnsi="Verdana" w:cs="Arial"/>
          <w:sz w:val="16"/>
          <w:szCs w:val="16"/>
        </w:rPr>
        <w:t xml:space="preserve">muestre, la Corte tiene amplias </w:t>
      </w:r>
      <w:r w:rsidRPr="004507B2">
        <w:rPr>
          <w:rFonts w:ascii="Verdana" w:hAnsi="Verdana" w:cs="Arial"/>
          <w:sz w:val="16"/>
          <w:szCs w:val="16"/>
        </w:rPr>
        <w:t>atribuciones para hacer su propia estimación al respecto</w:t>
      </w:r>
      <w:r>
        <w:rPr>
          <w:rFonts w:ascii="Verdana" w:hAnsi="Verdana" w:cs="Arial"/>
          <w:sz w:val="16"/>
          <w:szCs w:val="16"/>
        </w:rPr>
        <w:t xml:space="preserve"> </w:t>
      </w:r>
      <w:r w:rsidRPr="000031DD">
        <w:rPr>
          <w:rFonts w:ascii="Verdana" w:hAnsi="Verdana" w:cs="Arial"/>
          <w:sz w:val="16"/>
          <w:szCs w:val="16"/>
        </w:rPr>
        <w:t>(</w:t>
      </w:r>
      <w:r>
        <w:rPr>
          <w:rFonts w:ascii="Verdana" w:hAnsi="Verdana"/>
          <w:i/>
          <w:sz w:val="16"/>
          <w:szCs w:val="16"/>
        </w:rPr>
        <w:t>c</w:t>
      </w:r>
      <w:r w:rsidRPr="000031DD">
        <w:rPr>
          <w:rFonts w:ascii="Verdana" w:hAnsi="Verdana"/>
          <w:i/>
          <w:sz w:val="16"/>
          <w:szCs w:val="16"/>
        </w:rPr>
        <w:t xml:space="preserve">fr. </w:t>
      </w:r>
      <w:r w:rsidRPr="000031DD">
        <w:rPr>
          <w:rFonts w:ascii="Verdana" w:hAnsi="Verdana" w:cs="Arial"/>
          <w:i/>
          <w:sz w:val="16"/>
          <w:szCs w:val="16"/>
          <w:shd w:val="clear" w:color="auto" w:fill="FFFFFF"/>
        </w:rPr>
        <w:t xml:space="preserve">Caso </w:t>
      </w:r>
      <w:proofErr w:type="spellStart"/>
      <w:r w:rsidRPr="000031DD">
        <w:rPr>
          <w:rFonts w:ascii="Verdana" w:hAnsi="Verdana" w:cs="Arial"/>
          <w:i/>
          <w:sz w:val="16"/>
          <w:szCs w:val="16"/>
          <w:shd w:val="clear" w:color="auto" w:fill="FFFFFF"/>
        </w:rPr>
        <w:t>Anzualdo</w:t>
      </w:r>
      <w:proofErr w:type="spellEnd"/>
      <w:r w:rsidRPr="000031DD">
        <w:rPr>
          <w:rFonts w:ascii="Verdana" w:hAnsi="Verdana" w:cs="Arial"/>
          <w:i/>
          <w:sz w:val="16"/>
          <w:szCs w:val="16"/>
          <w:shd w:val="clear" w:color="auto" w:fill="FFFFFF"/>
        </w:rPr>
        <w:t xml:space="preserve"> Castro Vs. Perú</w:t>
      </w:r>
      <w:r w:rsidRPr="000031DD">
        <w:rPr>
          <w:rFonts w:ascii="Verdana" w:hAnsi="Verdana"/>
          <w:sz w:val="16"/>
          <w:szCs w:val="16"/>
          <w:lang w:val="es-ES"/>
        </w:rPr>
        <w:t xml:space="preserve">, párr. 156, y </w:t>
      </w:r>
      <w:r w:rsidRPr="00685170">
        <w:rPr>
          <w:rFonts w:ascii="Verdana" w:hAnsi="Verdana"/>
          <w:i/>
          <w:sz w:val="16"/>
          <w:szCs w:val="16"/>
          <w:lang w:val="es-ES"/>
        </w:rPr>
        <w:t>Caso Bedoya Lima y otra Vs. Colombia</w:t>
      </w:r>
      <w:r>
        <w:rPr>
          <w:rFonts w:ascii="Verdana" w:hAnsi="Verdana"/>
          <w:sz w:val="16"/>
          <w:szCs w:val="16"/>
          <w:lang w:val="es-ES"/>
        </w:rPr>
        <w:t>, párr. 142</w:t>
      </w:r>
      <w:r w:rsidRPr="000031DD">
        <w:rPr>
          <w:rFonts w:ascii="Verdana" w:hAnsi="Verdana"/>
          <w:sz w:val="16"/>
          <w:szCs w:val="16"/>
        </w:rPr>
        <w:t xml:space="preserve">). Uruguay no ha presentado explicaciones satisfactorias al respecto. </w:t>
      </w:r>
    </w:p>
    <w:p w14:paraId="6A954E46" w14:textId="77777777" w:rsidR="00DD280C" w:rsidRPr="000031DD" w:rsidRDefault="00DD280C" w:rsidP="002A53BF">
      <w:pPr>
        <w:pStyle w:val="Textonotapie"/>
        <w:jc w:val="both"/>
        <w:rPr>
          <w:rFonts w:ascii="Verdana" w:hAnsi="Verdana"/>
          <w:sz w:val="16"/>
          <w:szCs w:val="16"/>
        </w:rPr>
      </w:pPr>
    </w:p>
  </w:footnote>
  <w:footnote w:id="210">
    <w:p w14:paraId="7CE8C88A" w14:textId="67794CEA" w:rsidR="00DD280C" w:rsidRPr="00492D1B" w:rsidRDefault="00DD280C" w:rsidP="002A53BF">
      <w:pPr>
        <w:pStyle w:val="Prrafodelista"/>
        <w:spacing w:after="0"/>
        <w:ind w:left="0"/>
        <w:jc w:val="both"/>
        <w:rPr>
          <w:rFonts w:ascii="Verdana" w:hAnsi="Verdana"/>
          <w:sz w:val="16"/>
          <w:szCs w:val="16"/>
        </w:rPr>
      </w:pPr>
      <w:r w:rsidRPr="00492D1B">
        <w:rPr>
          <w:rStyle w:val="Refdenotaalpie"/>
          <w:rFonts w:ascii="Verdana" w:hAnsi="Verdana"/>
          <w:sz w:val="16"/>
          <w:szCs w:val="16"/>
        </w:rPr>
        <w:footnoteRef/>
      </w:r>
      <w:r w:rsidRPr="00492D1B">
        <w:rPr>
          <w:rFonts w:ascii="Verdana" w:hAnsi="Verdana"/>
          <w:sz w:val="16"/>
          <w:szCs w:val="16"/>
        </w:rPr>
        <w:t xml:space="preserve"> </w:t>
      </w:r>
      <w:r w:rsidRPr="00492D1B">
        <w:rPr>
          <w:rFonts w:ascii="Verdana" w:hAnsi="Verdana"/>
          <w:sz w:val="16"/>
          <w:szCs w:val="16"/>
        </w:rPr>
        <w:tab/>
      </w:r>
      <w:r w:rsidRPr="00492D1B">
        <w:rPr>
          <w:rFonts w:ascii="Verdana" w:hAnsi="Verdana" w:cs="Arial"/>
          <w:sz w:val="16"/>
          <w:szCs w:val="16"/>
        </w:rPr>
        <w:t>La jurisprudencia de este Tribunal ha considerado cuatro elementos para determinar si se cumplió o no con la garantía judicial de plazo razonable, a saber: a) la complejidad del asunto; b) la actividad procesal del interesado; c) la conducta de las autoridades judiciales, y d) la afectación generada en la situación jurídica de la persona involucrada en el proceso (</w:t>
      </w:r>
      <w:r w:rsidRPr="00492D1B">
        <w:rPr>
          <w:rFonts w:ascii="Verdana" w:hAnsi="Verdana"/>
          <w:i/>
          <w:sz w:val="16"/>
          <w:szCs w:val="16"/>
        </w:rPr>
        <w:t xml:space="preserve">cfr. </w:t>
      </w:r>
      <w:r w:rsidRPr="00685170">
        <w:rPr>
          <w:rFonts w:ascii="Verdana" w:hAnsi="Verdana"/>
          <w:i/>
          <w:sz w:val="16"/>
          <w:szCs w:val="16"/>
        </w:rPr>
        <w:t>Caso Genie Lacayo Vs. Nicaragua</w:t>
      </w:r>
      <w:r w:rsidRPr="00685170">
        <w:rPr>
          <w:rFonts w:ascii="Verdana" w:hAnsi="Verdana"/>
          <w:sz w:val="16"/>
          <w:szCs w:val="16"/>
        </w:rPr>
        <w:t xml:space="preserve">, párr. 77; </w:t>
      </w:r>
      <w:r w:rsidRPr="00685170">
        <w:rPr>
          <w:rFonts w:ascii="Verdana" w:hAnsi="Verdana"/>
          <w:i/>
          <w:sz w:val="16"/>
          <w:szCs w:val="16"/>
        </w:rPr>
        <w:t>Caso Valle Jaramillo y otros Vs. Colombia</w:t>
      </w:r>
      <w:r w:rsidRPr="00685170">
        <w:rPr>
          <w:rFonts w:ascii="Verdana" w:hAnsi="Verdana"/>
          <w:sz w:val="16"/>
          <w:szCs w:val="16"/>
        </w:rPr>
        <w:t xml:space="preserve">. </w:t>
      </w:r>
      <w:r w:rsidRPr="004C0882">
        <w:rPr>
          <w:rFonts w:ascii="Verdana" w:hAnsi="Verdana"/>
          <w:i/>
          <w:sz w:val="16"/>
          <w:szCs w:val="16"/>
        </w:rPr>
        <w:t>Fondo, Reparaciones y Costas</w:t>
      </w:r>
      <w:r w:rsidRPr="00685170">
        <w:rPr>
          <w:rFonts w:ascii="Verdana" w:hAnsi="Verdana"/>
          <w:sz w:val="16"/>
          <w:szCs w:val="16"/>
        </w:rPr>
        <w:t>. Sentencia de 27 de noviembre de 2008. Serie C No. 192, párr. 155</w:t>
      </w:r>
      <w:r w:rsidRPr="00492D1B">
        <w:rPr>
          <w:rFonts w:ascii="Verdana" w:hAnsi="Verdana"/>
          <w:sz w:val="16"/>
          <w:szCs w:val="16"/>
          <w:lang w:val="es-ES"/>
        </w:rPr>
        <w:t xml:space="preserve">, y </w:t>
      </w:r>
      <w:r w:rsidRPr="00492D1B">
        <w:rPr>
          <w:rFonts w:ascii="Verdana" w:hAnsi="Verdana"/>
          <w:i/>
          <w:sz w:val="16"/>
          <w:szCs w:val="16"/>
          <w:lang w:val="es-ES"/>
        </w:rPr>
        <w:t>Caso Bedoya Lima y otra Vs. Colombia</w:t>
      </w:r>
      <w:r w:rsidRPr="00492D1B">
        <w:rPr>
          <w:rFonts w:ascii="Verdana" w:hAnsi="Verdana"/>
          <w:sz w:val="16"/>
          <w:szCs w:val="16"/>
          <w:lang w:val="es-ES"/>
        </w:rPr>
        <w:t>, párr. 142</w:t>
      </w:r>
      <w:r w:rsidRPr="00492D1B">
        <w:rPr>
          <w:rFonts w:ascii="Verdana" w:hAnsi="Verdana"/>
          <w:sz w:val="16"/>
          <w:szCs w:val="16"/>
        </w:rPr>
        <w:t>)</w:t>
      </w:r>
      <w:r w:rsidRPr="00492D1B">
        <w:rPr>
          <w:rFonts w:ascii="Verdana" w:hAnsi="Verdana" w:cs="Arial"/>
          <w:sz w:val="16"/>
          <w:szCs w:val="16"/>
        </w:rPr>
        <w:t xml:space="preserve">. En este caso no resulta necesario el examen de cada uno de esos elementos. </w:t>
      </w:r>
    </w:p>
    <w:p w14:paraId="096252AB" w14:textId="77777777" w:rsidR="00DD280C" w:rsidRPr="000031DD" w:rsidRDefault="00DD280C" w:rsidP="002A53BF">
      <w:pPr>
        <w:pStyle w:val="Textonotapie"/>
        <w:jc w:val="both"/>
        <w:rPr>
          <w:rFonts w:ascii="Verdana" w:hAnsi="Verdana"/>
          <w:sz w:val="16"/>
          <w:szCs w:val="16"/>
        </w:rPr>
      </w:pPr>
    </w:p>
  </w:footnote>
  <w:footnote w:id="211">
    <w:p w14:paraId="164EFC0F" w14:textId="43B5876F" w:rsidR="00DD280C" w:rsidRPr="00BE2698" w:rsidRDefault="00DD280C" w:rsidP="00342F65">
      <w:pPr>
        <w:pStyle w:val="Textonotapie"/>
        <w:tabs>
          <w:tab w:val="left" w:pos="709"/>
        </w:tabs>
        <w:jc w:val="both"/>
        <w:rPr>
          <w:rFonts w:ascii="Verdana" w:hAnsi="Verdana"/>
          <w:sz w:val="16"/>
          <w:szCs w:val="16"/>
          <w:lang w:val="es-ES"/>
        </w:rPr>
      </w:pPr>
      <w:r w:rsidRPr="00BE2698">
        <w:rPr>
          <w:rStyle w:val="Refdenotaalpie"/>
          <w:rFonts w:ascii="Verdana" w:hAnsi="Verdana"/>
          <w:sz w:val="16"/>
          <w:szCs w:val="16"/>
          <w:lang w:val="es-ES"/>
        </w:rPr>
        <w:footnoteRef/>
      </w:r>
      <w:r w:rsidRPr="00BE2698">
        <w:rPr>
          <w:rFonts w:ascii="Verdana" w:hAnsi="Verdana"/>
          <w:sz w:val="16"/>
          <w:szCs w:val="16"/>
          <w:lang w:val="es-ES"/>
        </w:rPr>
        <w:t xml:space="preserve"> </w:t>
      </w:r>
      <w:r w:rsidRPr="00BE2698">
        <w:rPr>
          <w:rFonts w:ascii="Verdana" w:hAnsi="Verdana"/>
          <w:sz w:val="16"/>
          <w:szCs w:val="16"/>
          <w:lang w:val="es-ES"/>
        </w:rPr>
        <w:tab/>
      </w:r>
      <w:r w:rsidRPr="00BE2698">
        <w:rPr>
          <w:rFonts w:ascii="Verdana" w:hAnsi="Verdana"/>
          <w:i/>
          <w:sz w:val="16"/>
          <w:szCs w:val="16"/>
          <w:lang w:val="es-ES"/>
        </w:rPr>
        <w:t>Cfr.</w:t>
      </w:r>
      <w:r w:rsidRPr="00BE2698">
        <w:rPr>
          <w:rFonts w:ascii="Verdana" w:hAnsi="Verdana"/>
          <w:sz w:val="16"/>
          <w:szCs w:val="16"/>
          <w:lang w:val="es-ES"/>
        </w:rPr>
        <w:t xml:space="preserve"> </w:t>
      </w:r>
      <w:r w:rsidRPr="00BE2698">
        <w:rPr>
          <w:rFonts w:ascii="Verdana" w:hAnsi="Verdana"/>
          <w:i/>
          <w:sz w:val="16"/>
          <w:szCs w:val="16"/>
          <w:lang w:val="es-ES"/>
        </w:rPr>
        <w:t xml:space="preserve">Caso Trujillo </w:t>
      </w:r>
      <w:proofErr w:type="spellStart"/>
      <w:r w:rsidRPr="00BE2698">
        <w:rPr>
          <w:rFonts w:ascii="Verdana" w:hAnsi="Verdana"/>
          <w:i/>
          <w:sz w:val="16"/>
          <w:szCs w:val="16"/>
          <w:lang w:val="es-ES"/>
        </w:rPr>
        <w:t>Oroza</w:t>
      </w:r>
      <w:proofErr w:type="spellEnd"/>
      <w:r w:rsidRPr="00BE2698">
        <w:rPr>
          <w:rFonts w:ascii="Verdana" w:hAnsi="Verdana"/>
          <w:i/>
          <w:sz w:val="16"/>
          <w:szCs w:val="16"/>
          <w:lang w:val="es-ES"/>
        </w:rPr>
        <w:t xml:space="preserve"> Vs. Bolivia. Reparaciones y Costas. </w:t>
      </w:r>
      <w:r w:rsidRPr="00BE2698">
        <w:rPr>
          <w:rFonts w:ascii="Verdana" w:hAnsi="Verdana"/>
          <w:sz w:val="16"/>
          <w:szCs w:val="16"/>
          <w:lang w:val="es-ES"/>
        </w:rPr>
        <w:t>Sentencia de 27 de febrero de 2002</w:t>
      </w:r>
      <w:r w:rsidRPr="00BE2698">
        <w:rPr>
          <w:rFonts w:ascii="Verdana" w:hAnsi="Verdana"/>
          <w:i/>
          <w:sz w:val="16"/>
          <w:szCs w:val="16"/>
          <w:lang w:val="es-ES"/>
        </w:rPr>
        <w:t xml:space="preserve">. </w:t>
      </w:r>
      <w:r w:rsidRPr="00BE2698">
        <w:rPr>
          <w:rFonts w:ascii="Verdana" w:hAnsi="Verdana"/>
          <w:sz w:val="16"/>
          <w:szCs w:val="16"/>
          <w:lang w:val="es-ES"/>
        </w:rPr>
        <w:t>Serie C No. 92, párr. 100</w:t>
      </w:r>
      <w:r>
        <w:rPr>
          <w:rFonts w:ascii="Verdana" w:hAnsi="Verdana"/>
          <w:sz w:val="16"/>
          <w:szCs w:val="16"/>
          <w:lang w:val="es-ES"/>
        </w:rPr>
        <w:t xml:space="preserve"> y </w:t>
      </w:r>
      <w:r w:rsidRPr="00BE2698">
        <w:rPr>
          <w:rFonts w:ascii="Verdana" w:hAnsi="Verdana"/>
          <w:i/>
          <w:sz w:val="16"/>
          <w:szCs w:val="16"/>
          <w:lang w:val="es-ES"/>
        </w:rPr>
        <w:t>Caso Herzog y otros Vs. Brasil</w:t>
      </w:r>
      <w:r w:rsidRPr="00BE2698">
        <w:rPr>
          <w:rFonts w:ascii="Verdana" w:hAnsi="Verdana"/>
          <w:sz w:val="16"/>
          <w:szCs w:val="16"/>
          <w:lang w:val="es-ES"/>
        </w:rPr>
        <w:t>, párr. 328.</w:t>
      </w:r>
      <w:r>
        <w:rPr>
          <w:rFonts w:ascii="Verdana" w:hAnsi="Verdana"/>
          <w:sz w:val="16"/>
          <w:szCs w:val="16"/>
          <w:lang w:val="es-ES"/>
        </w:rPr>
        <w:t xml:space="preserve"> En similar sentido, </w:t>
      </w:r>
      <w:r w:rsidRPr="00BE2698">
        <w:rPr>
          <w:rFonts w:ascii="Verdana" w:hAnsi="Verdana"/>
          <w:i/>
          <w:sz w:val="16"/>
          <w:szCs w:val="16"/>
          <w:lang w:val="es-ES"/>
        </w:rPr>
        <w:t>Caso Barbosa de Souza y otros Vs. Brasil</w:t>
      </w:r>
      <w:r>
        <w:rPr>
          <w:rFonts w:ascii="Verdana" w:hAnsi="Verdana"/>
          <w:sz w:val="16"/>
          <w:szCs w:val="16"/>
          <w:lang w:val="es-ES"/>
        </w:rPr>
        <w:t>, párr. 134</w:t>
      </w:r>
      <w:r w:rsidRPr="00B2557A">
        <w:rPr>
          <w:rFonts w:ascii="Verdana" w:hAnsi="Verdana"/>
          <w:sz w:val="16"/>
          <w:szCs w:val="16"/>
          <w:lang w:val="es-ES"/>
        </w:rPr>
        <w:t>.</w:t>
      </w:r>
      <w:r w:rsidRPr="00BE2698">
        <w:rPr>
          <w:rFonts w:ascii="Verdana" w:hAnsi="Verdana"/>
          <w:sz w:val="16"/>
          <w:szCs w:val="16"/>
          <w:lang w:val="es-ES"/>
        </w:rPr>
        <w:t xml:space="preserve">  </w:t>
      </w:r>
    </w:p>
    <w:p w14:paraId="6F287B8D" w14:textId="77777777" w:rsidR="00DD280C" w:rsidRPr="0028069D" w:rsidRDefault="00DD280C" w:rsidP="00342F65">
      <w:pPr>
        <w:pStyle w:val="Textonotapie"/>
        <w:tabs>
          <w:tab w:val="left" w:pos="426"/>
        </w:tabs>
        <w:rPr>
          <w:i/>
          <w:szCs w:val="16"/>
          <w:lang w:val="es-ES"/>
        </w:rPr>
      </w:pPr>
    </w:p>
  </w:footnote>
  <w:footnote w:id="212">
    <w:p w14:paraId="7F18C196" w14:textId="1EC26F0D" w:rsidR="00DD280C" w:rsidRDefault="00DD280C" w:rsidP="00342F65">
      <w:pPr>
        <w:pStyle w:val="Textonotapie"/>
        <w:jc w:val="both"/>
        <w:rPr>
          <w:rFonts w:ascii="Verdana" w:hAnsi="Verdana"/>
          <w:sz w:val="16"/>
          <w:szCs w:val="16"/>
        </w:rPr>
      </w:pPr>
      <w:r w:rsidRPr="00545A35">
        <w:rPr>
          <w:rStyle w:val="Refdenotaalpie"/>
          <w:rFonts w:ascii="Verdana" w:hAnsi="Verdana"/>
          <w:sz w:val="16"/>
          <w:szCs w:val="16"/>
        </w:rPr>
        <w:footnoteRef/>
      </w:r>
      <w:r w:rsidRPr="00545A35">
        <w:rPr>
          <w:rFonts w:ascii="Verdana" w:hAnsi="Verdana"/>
          <w:sz w:val="16"/>
          <w:szCs w:val="16"/>
        </w:rPr>
        <w:t xml:space="preserve">  </w:t>
      </w:r>
      <w:r w:rsidRPr="00545A35">
        <w:rPr>
          <w:rFonts w:ascii="Verdana" w:hAnsi="Verdana"/>
          <w:sz w:val="16"/>
          <w:szCs w:val="16"/>
        </w:rPr>
        <w:tab/>
      </w:r>
      <w:r w:rsidRPr="00545A35">
        <w:rPr>
          <w:rFonts w:ascii="Verdana" w:hAnsi="Verdana"/>
          <w:i/>
          <w:sz w:val="16"/>
          <w:szCs w:val="16"/>
        </w:rPr>
        <w:t xml:space="preserve">Cfr. Caso Trujillo </w:t>
      </w:r>
      <w:proofErr w:type="spellStart"/>
      <w:r w:rsidRPr="00545A35">
        <w:rPr>
          <w:rFonts w:ascii="Verdana" w:hAnsi="Verdana"/>
          <w:i/>
          <w:sz w:val="16"/>
          <w:szCs w:val="16"/>
        </w:rPr>
        <w:t>Oroza</w:t>
      </w:r>
      <w:proofErr w:type="spellEnd"/>
      <w:r w:rsidRPr="00545A35">
        <w:rPr>
          <w:rFonts w:ascii="Verdana" w:hAnsi="Verdana"/>
          <w:i/>
          <w:sz w:val="16"/>
          <w:szCs w:val="16"/>
        </w:rPr>
        <w:t xml:space="preserve"> Vs. Bolivia</w:t>
      </w:r>
      <w:r w:rsidRPr="00545A35">
        <w:rPr>
          <w:rFonts w:ascii="Verdana" w:hAnsi="Verdana"/>
          <w:sz w:val="16"/>
          <w:szCs w:val="16"/>
        </w:rPr>
        <w:t xml:space="preserve">, párr. 100, y </w:t>
      </w:r>
      <w:r w:rsidRPr="00545A35">
        <w:rPr>
          <w:rFonts w:ascii="Verdana" w:hAnsi="Verdana"/>
          <w:i/>
          <w:sz w:val="16"/>
          <w:szCs w:val="16"/>
        </w:rPr>
        <w:t>Caso Garzón Guzmán y otros Vs. Ecuador</w:t>
      </w:r>
      <w:r w:rsidRPr="00545A35">
        <w:rPr>
          <w:rFonts w:ascii="Verdana" w:hAnsi="Verdana"/>
          <w:sz w:val="16"/>
          <w:szCs w:val="16"/>
        </w:rPr>
        <w:t>, párr. 86</w:t>
      </w:r>
      <w:r w:rsidRPr="000031DD">
        <w:rPr>
          <w:rFonts w:ascii="Verdana" w:hAnsi="Verdana"/>
          <w:sz w:val="16"/>
          <w:szCs w:val="16"/>
        </w:rPr>
        <w:t xml:space="preserve">. </w:t>
      </w:r>
    </w:p>
    <w:p w14:paraId="73C790F3" w14:textId="77777777" w:rsidR="00DD280C" w:rsidRPr="000031DD" w:rsidRDefault="00DD280C" w:rsidP="00342F65">
      <w:pPr>
        <w:pStyle w:val="Textonotapie"/>
        <w:jc w:val="both"/>
        <w:rPr>
          <w:rFonts w:ascii="Verdana" w:hAnsi="Verdana"/>
          <w:sz w:val="16"/>
          <w:szCs w:val="16"/>
        </w:rPr>
      </w:pPr>
    </w:p>
  </w:footnote>
  <w:footnote w:id="213">
    <w:p w14:paraId="4A10A50D" w14:textId="1D073FBF" w:rsidR="00DD280C" w:rsidRPr="00744565" w:rsidRDefault="00DD280C" w:rsidP="00342F65">
      <w:pPr>
        <w:pStyle w:val="Textonotapie"/>
        <w:jc w:val="both"/>
        <w:rPr>
          <w:rFonts w:ascii="Verdana" w:hAnsi="Verdana"/>
          <w:sz w:val="16"/>
          <w:szCs w:val="16"/>
          <w:lang w:val="es-ES"/>
        </w:rPr>
      </w:pPr>
      <w:r w:rsidRPr="00744565">
        <w:rPr>
          <w:rStyle w:val="Refdenotaalpie"/>
          <w:rFonts w:ascii="Verdana" w:hAnsi="Verdana"/>
          <w:sz w:val="16"/>
          <w:szCs w:val="16"/>
        </w:rPr>
        <w:footnoteRef/>
      </w:r>
      <w:r w:rsidRPr="00744565">
        <w:rPr>
          <w:rFonts w:ascii="Verdana" w:hAnsi="Verdana"/>
          <w:sz w:val="16"/>
          <w:szCs w:val="16"/>
          <w:lang w:val="es-ES"/>
        </w:rPr>
        <w:t xml:space="preserve"> </w:t>
      </w:r>
      <w:r w:rsidRPr="00744565">
        <w:rPr>
          <w:rFonts w:ascii="Verdana" w:hAnsi="Verdana"/>
          <w:sz w:val="16"/>
          <w:szCs w:val="16"/>
          <w:lang w:val="es-ES"/>
        </w:rPr>
        <w:tab/>
      </w:r>
      <w:r w:rsidRPr="00744565">
        <w:rPr>
          <w:rFonts w:ascii="Verdana" w:hAnsi="Verdana"/>
          <w:i/>
          <w:sz w:val="16"/>
        </w:rPr>
        <w:t>Cfr.</w:t>
      </w:r>
      <w:r>
        <w:rPr>
          <w:rFonts w:ascii="Verdana" w:hAnsi="Verdana"/>
          <w:i/>
          <w:sz w:val="16"/>
        </w:rPr>
        <w:t xml:space="preserve"> </w:t>
      </w:r>
      <w:r w:rsidRPr="00744565">
        <w:rPr>
          <w:rFonts w:ascii="Verdana" w:hAnsi="Verdana"/>
          <w:i/>
          <w:sz w:val="16"/>
        </w:rPr>
        <w:t>Caso</w:t>
      </w:r>
      <w:r w:rsidRPr="00744565">
        <w:rPr>
          <w:rFonts w:ascii="Verdana" w:hAnsi="Verdana"/>
          <w:i/>
          <w:spacing w:val="-7"/>
          <w:sz w:val="16"/>
        </w:rPr>
        <w:t xml:space="preserve"> </w:t>
      </w:r>
      <w:r w:rsidRPr="00744565">
        <w:rPr>
          <w:rFonts w:ascii="Verdana" w:hAnsi="Verdana"/>
          <w:i/>
          <w:sz w:val="16"/>
        </w:rPr>
        <w:t>Velásquez</w:t>
      </w:r>
      <w:r w:rsidRPr="00744565">
        <w:rPr>
          <w:rFonts w:ascii="Verdana" w:hAnsi="Verdana"/>
          <w:i/>
          <w:spacing w:val="-3"/>
          <w:sz w:val="16"/>
        </w:rPr>
        <w:t xml:space="preserve"> </w:t>
      </w:r>
      <w:r w:rsidRPr="00744565">
        <w:rPr>
          <w:rFonts w:ascii="Verdana" w:hAnsi="Verdana"/>
          <w:i/>
          <w:sz w:val="16"/>
        </w:rPr>
        <w:t>Rodríguez</w:t>
      </w:r>
      <w:r w:rsidRPr="00744565">
        <w:rPr>
          <w:rFonts w:ascii="Verdana" w:hAnsi="Verdana"/>
          <w:i/>
          <w:spacing w:val="-4"/>
          <w:sz w:val="16"/>
        </w:rPr>
        <w:t xml:space="preserve"> </w:t>
      </w:r>
      <w:r w:rsidRPr="00744565">
        <w:rPr>
          <w:rFonts w:ascii="Verdana" w:hAnsi="Verdana"/>
          <w:i/>
          <w:sz w:val="16"/>
        </w:rPr>
        <w:t>Vs.</w:t>
      </w:r>
      <w:r w:rsidRPr="00744565">
        <w:rPr>
          <w:rFonts w:ascii="Verdana" w:hAnsi="Verdana"/>
          <w:i/>
          <w:spacing w:val="-3"/>
          <w:sz w:val="16"/>
        </w:rPr>
        <w:t xml:space="preserve"> </w:t>
      </w:r>
      <w:r w:rsidRPr="00744565">
        <w:rPr>
          <w:rFonts w:ascii="Verdana" w:hAnsi="Verdana"/>
          <w:i/>
          <w:sz w:val="16"/>
        </w:rPr>
        <w:t>Honduras.</w:t>
      </w:r>
      <w:r w:rsidRPr="00744565">
        <w:rPr>
          <w:rFonts w:ascii="Verdana" w:hAnsi="Verdana"/>
          <w:i/>
          <w:spacing w:val="-6"/>
          <w:sz w:val="16"/>
        </w:rPr>
        <w:t xml:space="preserve"> </w:t>
      </w:r>
      <w:r w:rsidRPr="00744565">
        <w:rPr>
          <w:rFonts w:ascii="Verdana" w:hAnsi="Verdana"/>
          <w:i/>
          <w:sz w:val="16"/>
        </w:rPr>
        <w:t>Fondo,</w:t>
      </w:r>
      <w:r w:rsidRPr="00744565">
        <w:rPr>
          <w:rFonts w:ascii="Verdana" w:hAnsi="Verdana"/>
          <w:i/>
          <w:spacing w:val="-3"/>
          <w:sz w:val="16"/>
        </w:rPr>
        <w:t xml:space="preserve"> </w:t>
      </w:r>
      <w:r w:rsidRPr="00744565">
        <w:rPr>
          <w:rFonts w:ascii="Verdana" w:hAnsi="Verdana"/>
          <w:sz w:val="16"/>
        </w:rPr>
        <w:t>párr.</w:t>
      </w:r>
      <w:r w:rsidRPr="00744565">
        <w:rPr>
          <w:rFonts w:ascii="Verdana" w:hAnsi="Verdana"/>
          <w:spacing w:val="-5"/>
          <w:sz w:val="16"/>
        </w:rPr>
        <w:t xml:space="preserve"> </w:t>
      </w:r>
      <w:r w:rsidRPr="00744565">
        <w:rPr>
          <w:rFonts w:ascii="Verdana" w:hAnsi="Verdana"/>
          <w:sz w:val="16"/>
        </w:rPr>
        <w:t xml:space="preserve">181, y </w:t>
      </w:r>
      <w:r w:rsidRPr="00744565">
        <w:rPr>
          <w:rFonts w:ascii="Verdana" w:hAnsi="Verdana"/>
          <w:i/>
          <w:sz w:val="16"/>
        </w:rPr>
        <w:t xml:space="preserve">Caso </w:t>
      </w:r>
      <w:proofErr w:type="spellStart"/>
      <w:r w:rsidRPr="00744565">
        <w:rPr>
          <w:rFonts w:ascii="Verdana" w:hAnsi="Verdana"/>
          <w:i/>
          <w:sz w:val="16"/>
        </w:rPr>
        <w:t>Guachalá</w:t>
      </w:r>
      <w:proofErr w:type="spellEnd"/>
      <w:r w:rsidRPr="00744565">
        <w:rPr>
          <w:rFonts w:ascii="Verdana" w:hAnsi="Verdana"/>
          <w:i/>
          <w:sz w:val="16"/>
        </w:rPr>
        <w:t xml:space="preserve"> Chimbo y otros Vs. Ecuador. Fondo, Reparaciones y Costas.</w:t>
      </w:r>
      <w:r w:rsidRPr="00744565">
        <w:rPr>
          <w:rFonts w:ascii="Verdana" w:hAnsi="Verdana"/>
          <w:sz w:val="16"/>
        </w:rPr>
        <w:t xml:space="preserve"> Sentencia de 26 de marzo de 2021. Serie C No. 423, párr. 213</w:t>
      </w:r>
      <w:r>
        <w:rPr>
          <w:rFonts w:ascii="Verdana" w:hAnsi="Verdana"/>
          <w:sz w:val="16"/>
        </w:rPr>
        <w:t>.</w:t>
      </w:r>
    </w:p>
    <w:p w14:paraId="7B98B76A" w14:textId="77777777" w:rsidR="00DD280C" w:rsidRPr="000031DD" w:rsidRDefault="00DD280C" w:rsidP="00342F65">
      <w:pPr>
        <w:pStyle w:val="Textonotapie"/>
        <w:jc w:val="both"/>
        <w:rPr>
          <w:rFonts w:ascii="Verdana" w:hAnsi="Verdana"/>
          <w:sz w:val="16"/>
          <w:szCs w:val="16"/>
          <w:lang w:val="es-ES"/>
        </w:rPr>
      </w:pPr>
    </w:p>
  </w:footnote>
  <w:footnote w:id="214">
    <w:p w14:paraId="2CC15997" w14:textId="641E8328" w:rsidR="00DD280C" w:rsidRPr="00E40C37" w:rsidRDefault="00DD280C" w:rsidP="00342F65">
      <w:pPr>
        <w:pStyle w:val="Textonotapie"/>
        <w:jc w:val="both"/>
        <w:rPr>
          <w:rFonts w:ascii="Verdana" w:hAnsi="Verdana"/>
          <w:sz w:val="16"/>
          <w:szCs w:val="16"/>
          <w:lang w:val="es-ES"/>
        </w:rPr>
      </w:pPr>
      <w:r w:rsidRPr="00E40C37">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Al respecto, cabe diferenciar las circunstancias de este caso de otras, como las presentadas, por ejemplo, </w:t>
      </w:r>
      <w:r w:rsidRPr="00E40C37">
        <w:rPr>
          <w:rFonts w:ascii="Verdana" w:hAnsi="Verdana"/>
          <w:sz w:val="16"/>
          <w:szCs w:val="16"/>
        </w:rPr>
        <w:t xml:space="preserve">en el caso </w:t>
      </w:r>
      <w:proofErr w:type="spellStart"/>
      <w:r w:rsidRPr="00E40C37">
        <w:rPr>
          <w:rFonts w:ascii="Verdana" w:hAnsi="Verdana"/>
          <w:i/>
          <w:sz w:val="16"/>
          <w:szCs w:val="16"/>
        </w:rPr>
        <w:t>Gómes</w:t>
      </w:r>
      <w:proofErr w:type="spellEnd"/>
      <w:r w:rsidRPr="00E40C37">
        <w:rPr>
          <w:rFonts w:ascii="Verdana" w:hAnsi="Verdana"/>
          <w:i/>
          <w:sz w:val="16"/>
          <w:szCs w:val="16"/>
        </w:rPr>
        <w:t xml:space="preserve"> Lund y otros</w:t>
      </w:r>
      <w:r>
        <w:rPr>
          <w:rFonts w:ascii="Verdana" w:hAnsi="Verdana"/>
          <w:sz w:val="16"/>
          <w:szCs w:val="16"/>
        </w:rPr>
        <w:t xml:space="preserve">. Respecto al mismo, </w:t>
      </w:r>
      <w:r w:rsidRPr="00E40C37">
        <w:rPr>
          <w:rFonts w:ascii="Verdana" w:hAnsi="Verdana"/>
          <w:sz w:val="16"/>
          <w:szCs w:val="16"/>
        </w:rPr>
        <w:t>la Corte observó que</w:t>
      </w:r>
      <w:r w:rsidRPr="00E40C37">
        <w:rPr>
          <w:rFonts w:ascii="Verdana" w:hAnsi="Verdana" w:cs="Verdana"/>
          <w:sz w:val="16"/>
          <w:szCs w:val="16"/>
          <w:lang w:bidi="en-US"/>
        </w:rPr>
        <w:t xml:space="preserve">, </w:t>
      </w:r>
      <w:r w:rsidRPr="00E40C37">
        <w:rPr>
          <w:rFonts w:ascii="Verdana" w:hAnsi="Verdana"/>
          <w:sz w:val="16"/>
          <w:szCs w:val="16"/>
          <w:lang w:val="es-ES"/>
        </w:rPr>
        <w:t>el derecho a conocer la verdad se relacionaba con una acción interpuesta por los familiares para acceder a determinada información.</w:t>
      </w:r>
      <w:r>
        <w:rPr>
          <w:rFonts w:ascii="Verdana" w:hAnsi="Verdana"/>
          <w:sz w:val="16"/>
          <w:szCs w:val="16"/>
          <w:lang w:val="es-ES"/>
        </w:rPr>
        <w:t xml:space="preserve"> </w:t>
      </w:r>
      <w:r w:rsidRPr="00BE2698">
        <w:rPr>
          <w:rFonts w:ascii="Verdana" w:hAnsi="Verdana"/>
          <w:sz w:val="16"/>
          <w:szCs w:val="16"/>
          <w:lang w:val="pt-BR"/>
        </w:rPr>
        <w:t xml:space="preserve">Ver </w:t>
      </w:r>
      <w:r w:rsidRPr="00E34247">
        <w:rPr>
          <w:rFonts w:ascii="Verdana" w:hAnsi="Verdana"/>
          <w:i/>
          <w:sz w:val="16"/>
          <w:szCs w:val="16"/>
          <w:lang w:val="pt-BR"/>
        </w:rPr>
        <w:t xml:space="preserve">Caso Gomes </w:t>
      </w:r>
      <w:proofErr w:type="spellStart"/>
      <w:r w:rsidRPr="00E34247">
        <w:rPr>
          <w:rFonts w:ascii="Verdana" w:hAnsi="Verdana"/>
          <w:i/>
          <w:sz w:val="16"/>
          <w:szCs w:val="16"/>
          <w:lang w:val="pt-BR"/>
        </w:rPr>
        <w:t>Lund</w:t>
      </w:r>
      <w:proofErr w:type="spellEnd"/>
      <w:r w:rsidRPr="00E34247">
        <w:rPr>
          <w:rFonts w:ascii="Verdana" w:hAnsi="Verdana"/>
          <w:i/>
          <w:sz w:val="16"/>
          <w:szCs w:val="16"/>
          <w:lang w:val="pt-BR"/>
        </w:rPr>
        <w:t xml:space="preserve"> y </w:t>
      </w:r>
      <w:proofErr w:type="spellStart"/>
      <w:r w:rsidRPr="00E34247">
        <w:rPr>
          <w:rFonts w:ascii="Verdana" w:hAnsi="Verdana"/>
          <w:i/>
          <w:sz w:val="16"/>
          <w:szCs w:val="16"/>
          <w:lang w:val="pt-BR"/>
        </w:rPr>
        <w:t>otros</w:t>
      </w:r>
      <w:proofErr w:type="spellEnd"/>
      <w:r w:rsidRPr="00E34247">
        <w:rPr>
          <w:rFonts w:ascii="Verdana" w:hAnsi="Verdana"/>
          <w:i/>
          <w:sz w:val="16"/>
          <w:szCs w:val="16"/>
          <w:lang w:val="pt-BR"/>
        </w:rPr>
        <w:t xml:space="preserve"> ("Guerrilha do Araguaia") Vs. </w:t>
      </w:r>
      <w:r w:rsidRPr="005A5029">
        <w:rPr>
          <w:rFonts w:ascii="Verdana" w:hAnsi="Verdana"/>
          <w:i/>
          <w:sz w:val="16"/>
          <w:szCs w:val="16"/>
        </w:rPr>
        <w:t xml:space="preserve">Brasil. </w:t>
      </w:r>
      <w:r w:rsidRPr="00E34247">
        <w:rPr>
          <w:rFonts w:ascii="Verdana" w:hAnsi="Verdana"/>
          <w:i/>
          <w:sz w:val="16"/>
          <w:szCs w:val="16"/>
        </w:rPr>
        <w:t>Excepciones Preliminares, Fondo, Reparaciones y Costas</w:t>
      </w:r>
      <w:r w:rsidRPr="00E34247">
        <w:rPr>
          <w:rFonts w:ascii="Verdana" w:hAnsi="Verdana"/>
          <w:sz w:val="16"/>
          <w:szCs w:val="16"/>
        </w:rPr>
        <w:t>. Sentencia de 24 de novi</w:t>
      </w:r>
      <w:r>
        <w:rPr>
          <w:rFonts w:ascii="Verdana" w:hAnsi="Verdana"/>
          <w:sz w:val="16"/>
          <w:szCs w:val="16"/>
        </w:rPr>
        <w:t>embre de 2010. Serie C No. 219</w:t>
      </w:r>
      <w:r w:rsidRPr="00E40C37">
        <w:rPr>
          <w:rFonts w:ascii="Verdana" w:hAnsi="Verdana"/>
          <w:bCs/>
          <w:sz w:val="16"/>
          <w:szCs w:val="16"/>
          <w:lang w:val="es-ES"/>
        </w:rPr>
        <w:t xml:space="preserve">, </w:t>
      </w:r>
      <w:r w:rsidRPr="00E40C37">
        <w:rPr>
          <w:rFonts w:ascii="Verdana" w:hAnsi="Verdana"/>
          <w:sz w:val="16"/>
          <w:szCs w:val="16"/>
          <w:lang w:val="es-ES"/>
        </w:rPr>
        <w:t xml:space="preserve">párr. </w:t>
      </w:r>
      <w:r w:rsidRPr="00E40C37">
        <w:rPr>
          <w:rFonts w:ascii="Verdana" w:hAnsi="Verdana"/>
          <w:sz w:val="16"/>
          <w:szCs w:val="16"/>
        </w:rPr>
        <w:t>200</w:t>
      </w:r>
      <w:r w:rsidRPr="00E40C37">
        <w:rPr>
          <w:rFonts w:ascii="Verdana" w:hAnsi="Verdana"/>
          <w:sz w:val="16"/>
          <w:szCs w:val="16"/>
          <w:lang w:val="es-ES"/>
        </w:rPr>
        <w:t xml:space="preserve">). Un supuesto de esas características no se presenta en este caso. </w:t>
      </w:r>
    </w:p>
    <w:p w14:paraId="1096C7E8" w14:textId="77777777" w:rsidR="00DD280C" w:rsidRPr="00E40C37" w:rsidRDefault="00DD280C" w:rsidP="00342F65">
      <w:pPr>
        <w:pStyle w:val="Textonotapie"/>
        <w:jc w:val="both"/>
        <w:rPr>
          <w:rFonts w:ascii="Verdana" w:hAnsi="Verdana"/>
          <w:sz w:val="16"/>
          <w:szCs w:val="16"/>
        </w:rPr>
      </w:pPr>
    </w:p>
  </w:footnote>
  <w:footnote w:id="215">
    <w:p w14:paraId="037FBECA" w14:textId="77777777" w:rsidR="00DD280C" w:rsidRPr="000F5A15" w:rsidRDefault="00DD280C" w:rsidP="00342F65">
      <w:pPr>
        <w:autoSpaceDE w:val="0"/>
        <w:autoSpaceDN w:val="0"/>
        <w:adjustRightInd w:val="0"/>
        <w:spacing w:after="0" w:line="240" w:lineRule="auto"/>
        <w:jc w:val="both"/>
        <w:rPr>
          <w:rFonts w:ascii="Verdana" w:hAnsi="Verdana" w:cs="Abadi Extra Light"/>
          <w:sz w:val="16"/>
          <w:szCs w:val="16"/>
        </w:rPr>
      </w:pPr>
      <w:r w:rsidRPr="006B4A28">
        <w:rPr>
          <w:rStyle w:val="Refdenotaalpie"/>
          <w:rFonts w:ascii="Verdana" w:hAnsi="Verdana"/>
          <w:sz w:val="16"/>
          <w:szCs w:val="16"/>
        </w:rPr>
        <w:footnoteRef/>
      </w:r>
      <w:r w:rsidRPr="006B4A28">
        <w:rPr>
          <w:rFonts w:ascii="Verdana" w:hAnsi="Verdana"/>
          <w:sz w:val="16"/>
          <w:szCs w:val="16"/>
        </w:rPr>
        <w:t xml:space="preserve"> </w:t>
      </w:r>
      <w:r w:rsidRPr="006B4A28">
        <w:rPr>
          <w:rFonts w:ascii="Verdana" w:hAnsi="Verdana"/>
          <w:sz w:val="16"/>
          <w:szCs w:val="16"/>
        </w:rPr>
        <w:tab/>
      </w:r>
      <w:r w:rsidRPr="006B4A28">
        <w:rPr>
          <w:rFonts w:ascii="Verdana" w:hAnsi="Verdana" w:cs="Abadi Extra Light"/>
          <w:sz w:val="16"/>
          <w:szCs w:val="16"/>
        </w:rPr>
        <w:t>Naciones Unidas. Consejo de Derechos Humanos (2009) Informe de la Oficina del Alto Comisionado de las Naciones Unidas para los Derechos Humanos. El derecho a la Verdad. Documento E/CN.4/2006/91, párr. 59.</w:t>
      </w:r>
    </w:p>
    <w:p w14:paraId="56C70500" w14:textId="77777777" w:rsidR="00DD280C" w:rsidRPr="00DE69BB" w:rsidRDefault="00DD280C" w:rsidP="00342F65">
      <w:pPr>
        <w:pStyle w:val="Textonotapie"/>
        <w:jc w:val="both"/>
        <w:rPr>
          <w:rFonts w:ascii="Verdana" w:hAnsi="Verdana"/>
          <w:sz w:val="16"/>
          <w:szCs w:val="16"/>
        </w:rPr>
      </w:pPr>
    </w:p>
  </w:footnote>
  <w:footnote w:id="216">
    <w:p w14:paraId="2C17C4FE" w14:textId="6A2850EF" w:rsidR="00DD280C" w:rsidRDefault="00DD280C" w:rsidP="00342F65">
      <w:pPr>
        <w:pStyle w:val="Textonotapie"/>
        <w:tabs>
          <w:tab w:val="left" w:pos="720"/>
        </w:tabs>
        <w:jc w:val="both"/>
        <w:rPr>
          <w:rFonts w:ascii="Verdana" w:hAnsi="Verdana" w:cs="Verdana"/>
          <w:sz w:val="16"/>
          <w:szCs w:val="16"/>
          <w:lang w:val="es-ES" w:bidi="en-US"/>
        </w:rPr>
      </w:pPr>
      <w:r w:rsidRPr="00744565">
        <w:rPr>
          <w:rStyle w:val="Refdenotaalpie"/>
          <w:rFonts w:ascii="Verdana" w:hAnsi="Verdana"/>
          <w:sz w:val="16"/>
          <w:szCs w:val="16"/>
        </w:rPr>
        <w:footnoteRef/>
      </w:r>
      <w:r w:rsidRPr="00744565">
        <w:rPr>
          <w:rFonts w:ascii="Verdana" w:hAnsi="Verdana"/>
          <w:sz w:val="16"/>
          <w:szCs w:val="16"/>
          <w:lang w:val="es-ES"/>
        </w:rPr>
        <w:t xml:space="preserve"> </w:t>
      </w:r>
      <w:r w:rsidRPr="00744565">
        <w:rPr>
          <w:rFonts w:ascii="Verdana" w:hAnsi="Verdana"/>
          <w:sz w:val="16"/>
          <w:szCs w:val="16"/>
          <w:lang w:val="es-ES"/>
        </w:rPr>
        <w:tab/>
      </w:r>
      <w:r w:rsidRPr="00744565">
        <w:rPr>
          <w:rFonts w:ascii="Verdana" w:hAnsi="Verdana" w:cs="Verdana"/>
          <w:bCs/>
          <w:i/>
          <w:sz w:val="16"/>
          <w:szCs w:val="16"/>
          <w:lang w:val="es-ES" w:bidi="en-US"/>
        </w:rPr>
        <w:t>Caso Velásquez Rodríguez</w:t>
      </w:r>
      <w:r w:rsidRPr="00744565">
        <w:rPr>
          <w:rFonts w:ascii="Verdana" w:hAnsi="Verdana" w:cs="Verdana"/>
          <w:bCs/>
          <w:sz w:val="16"/>
          <w:szCs w:val="16"/>
          <w:lang w:val="es-ES" w:bidi="en-US"/>
        </w:rPr>
        <w:t xml:space="preserve">. </w:t>
      </w:r>
      <w:r w:rsidRPr="00744565">
        <w:rPr>
          <w:rFonts w:ascii="Verdana" w:hAnsi="Verdana" w:cs="Verdana"/>
          <w:i/>
          <w:sz w:val="16"/>
          <w:szCs w:val="16"/>
          <w:lang w:val="es-ES" w:bidi="en-US"/>
        </w:rPr>
        <w:t>Fondo</w:t>
      </w:r>
      <w:r w:rsidRPr="00744565">
        <w:rPr>
          <w:rFonts w:ascii="Verdana" w:hAnsi="Verdana" w:cs="Verdana"/>
          <w:sz w:val="16"/>
          <w:szCs w:val="16"/>
          <w:lang w:val="es-ES" w:bidi="en-US"/>
        </w:rPr>
        <w:t xml:space="preserve">, párr. 181, y </w:t>
      </w:r>
      <w:r w:rsidRPr="00744565">
        <w:rPr>
          <w:rFonts w:ascii="Verdana" w:hAnsi="Verdana" w:cs="Open Sans"/>
          <w:i/>
          <w:sz w:val="16"/>
          <w:szCs w:val="16"/>
          <w:shd w:val="clear" w:color="auto" w:fill="FFFFFF"/>
        </w:rPr>
        <w:t>Caso Isaza Uribe y otros Vs. Colombia</w:t>
      </w:r>
      <w:r w:rsidRPr="00744565">
        <w:rPr>
          <w:rFonts w:ascii="Verdana" w:hAnsi="Verdana" w:cs="Open Sans"/>
          <w:sz w:val="16"/>
          <w:szCs w:val="16"/>
          <w:shd w:val="clear" w:color="auto" w:fill="FFFFFF"/>
        </w:rPr>
        <w:t xml:space="preserve">, </w:t>
      </w:r>
      <w:proofErr w:type="spellStart"/>
      <w:r w:rsidRPr="00744565">
        <w:rPr>
          <w:rFonts w:ascii="Verdana" w:hAnsi="Verdana" w:cs="Open Sans"/>
          <w:sz w:val="16"/>
          <w:szCs w:val="16"/>
          <w:shd w:val="clear" w:color="auto" w:fill="FFFFFF"/>
        </w:rPr>
        <w:t>párr</w:t>
      </w:r>
      <w:proofErr w:type="spellEnd"/>
      <w:r w:rsidRPr="00744565">
        <w:rPr>
          <w:rFonts w:ascii="Verdana" w:hAnsi="Verdana"/>
          <w:sz w:val="16"/>
          <w:szCs w:val="16"/>
          <w:lang w:val="es-ES"/>
        </w:rPr>
        <w:t>. 159.</w:t>
      </w:r>
      <w:r w:rsidRPr="00744565">
        <w:rPr>
          <w:rFonts w:ascii="Verdana" w:hAnsi="Verdana" w:cs="Verdana"/>
          <w:sz w:val="16"/>
          <w:szCs w:val="16"/>
          <w:lang w:val="es-ES" w:bidi="en-US"/>
        </w:rPr>
        <w:t xml:space="preserve"> </w:t>
      </w:r>
    </w:p>
    <w:p w14:paraId="19CABB6A" w14:textId="77777777" w:rsidR="00DD280C" w:rsidRPr="00744565" w:rsidRDefault="00DD280C" w:rsidP="00342F65">
      <w:pPr>
        <w:pStyle w:val="Textonotapie"/>
        <w:tabs>
          <w:tab w:val="left" w:pos="720"/>
        </w:tabs>
        <w:jc w:val="both"/>
        <w:rPr>
          <w:rFonts w:ascii="Verdana" w:hAnsi="Verdana" w:cs="Verdana"/>
          <w:sz w:val="16"/>
          <w:szCs w:val="16"/>
          <w:lang w:val="es-ES" w:bidi="en-US"/>
        </w:rPr>
      </w:pPr>
    </w:p>
  </w:footnote>
  <w:footnote w:id="217">
    <w:p w14:paraId="26ECFEA5" w14:textId="3A570C22" w:rsidR="00DD280C" w:rsidRPr="005A5029" w:rsidRDefault="00DD280C" w:rsidP="00342F65">
      <w:pPr>
        <w:pStyle w:val="Textonotapie"/>
        <w:jc w:val="both"/>
        <w:rPr>
          <w:rFonts w:ascii="Verdana" w:hAnsi="Verdana"/>
          <w:sz w:val="16"/>
          <w:szCs w:val="16"/>
          <w:lang w:val="pt-BR"/>
        </w:rPr>
      </w:pPr>
      <w:r w:rsidRPr="00DE69BB">
        <w:rPr>
          <w:rStyle w:val="Refdenotaalpie"/>
          <w:rFonts w:ascii="Verdana" w:hAnsi="Verdana"/>
          <w:sz w:val="16"/>
          <w:szCs w:val="16"/>
          <w:lang w:val="es-ES"/>
        </w:rPr>
        <w:footnoteRef/>
      </w:r>
      <w:r w:rsidRPr="00DE69BB">
        <w:rPr>
          <w:rFonts w:ascii="Verdana" w:hAnsi="Verdana"/>
          <w:i/>
          <w:sz w:val="16"/>
          <w:szCs w:val="16"/>
          <w:lang w:val="es-ES"/>
        </w:rPr>
        <w:t xml:space="preserve"> </w:t>
      </w:r>
      <w:r>
        <w:rPr>
          <w:rFonts w:ascii="Verdana" w:hAnsi="Verdana"/>
          <w:i/>
          <w:sz w:val="16"/>
          <w:szCs w:val="16"/>
          <w:lang w:val="es-ES"/>
        </w:rPr>
        <w:tab/>
        <w:t xml:space="preserve">Cfr. </w:t>
      </w:r>
      <w:r w:rsidRPr="00DE69BB">
        <w:rPr>
          <w:rFonts w:ascii="Verdana" w:hAnsi="Verdana"/>
          <w:i/>
          <w:sz w:val="16"/>
          <w:szCs w:val="16"/>
          <w:lang w:val="es-ES"/>
        </w:rPr>
        <w:t>Caso Almonacid Arellano y otros Vs. Chile</w:t>
      </w:r>
      <w:r>
        <w:rPr>
          <w:rFonts w:ascii="Verdana" w:hAnsi="Verdana"/>
          <w:i/>
          <w:sz w:val="16"/>
          <w:szCs w:val="16"/>
          <w:lang w:val="es-ES"/>
        </w:rPr>
        <w:t xml:space="preserve">. </w:t>
      </w:r>
      <w:r w:rsidRPr="000F31DB">
        <w:rPr>
          <w:rFonts w:ascii="Verdana" w:hAnsi="Verdana"/>
          <w:i/>
          <w:iCs/>
          <w:sz w:val="16"/>
          <w:szCs w:val="16"/>
          <w:lang w:val="es-MX"/>
        </w:rPr>
        <w:t xml:space="preserve">Excepciones Preliminares, Fondo, Reparaciones y Costas. </w:t>
      </w:r>
      <w:r w:rsidRPr="00617293">
        <w:rPr>
          <w:rFonts w:ascii="Verdana" w:hAnsi="Verdana"/>
          <w:iCs/>
          <w:sz w:val="16"/>
          <w:szCs w:val="16"/>
          <w:lang w:val="es-MX"/>
        </w:rPr>
        <w:t>Sentencia de 26 de septiembre de 2006. Serie C No. 154</w:t>
      </w:r>
      <w:r w:rsidRPr="00DE69BB">
        <w:rPr>
          <w:rFonts w:ascii="Verdana" w:hAnsi="Verdana"/>
          <w:sz w:val="16"/>
          <w:szCs w:val="16"/>
          <w:lang w:val="es-ES"/>
        </w:rPr>
        <w:t xml:space="preserve">, párr. 150; </w:t>
      </w:r>
      <w:r w:rsidRPr="00DE69BB">
        <w:rPr>
          <w:rFonts w:ascii="Verdana" w:hAnsi="Verdana"/>
          <w:i/>
          <w:sz w:val="16"/>
          <w:szCs w:val="16"/>
          <w:lang w:val="es-ES"/>
        </w:rPr>
        <w:t xml:space="preserve">Caso </w:t>
      </w:r>
      <w:proofErr w:type="spellStart"/>
      <w:r w:rsidRPr="00DE69BB">
        <w:rPr>
          <w:rFonts w:ascii="Verdana" w:hAnsi="Verdana"/>
          <w:i/>
          <w:sz w:val="16"/>
          <w:szCs w:val="16"/>
          <w:lang w:val="es-ES"/>
        </w:rPr>
        <w:t>Chitay</w:t>
      </w:r>
      <w:proofErr w:type="spellEnd"/>
      <w:r w:rsidRPr="00DE69BB">
        <w:rPr>
          <w:rFonts w:ascii="Verdana" w:hAnsi="Verdana"/>
          <w:i/>
          <w:sz w:val="16"/>
          <w:szCs w:val="16"/>
          <w:lang w:val="es-ES"/>
        </w:rPr>
        <w:t xml:space="preserve"> </w:t>
      </w:r>
      <w:proofErr w:type="spellStart"/>
      <w:r w:rsidRPr="00DE69BB">
        <w:rPr>
          <w:rFonts w:ascii="Verdana" w:hAnsi="Verdana"/>
          <w:i/>
          <w:sz w:val="16"/>
          <w:szCs w:val="16"/>
          <w:lang w:val="es-ES"/>
        </w:rPr>
        <w:t>Nech</w:t>
      </w:r>
      <w:proofErr w:type="spellEnd"/>
      <w:r w:rsidRPr="00DE69BB">
        <w:rPr>
          <w:rFonts w:ascii="Verdana" w:hAnsi="Verdana"/>
          <w:i/>
          <w:sz w:val="16"/>
          <w:szCs w:val="16"/>
          <w:lang w:val="es-ES"/>
        </w:rPr>
        <w:t xml:space="preserve"> y otros Vs. Guatemala</w:t>
      </w:r>
      <w:r w:rsidRPr="00DE69BB">
        <w:rPr>
          <w:rFonts w:ascii="Verdana" w:hAnsi="Verdana"/>
          <w:sz w:val="16"/>
          <w:szCs w:val="16"/>
          <w:lang w:val="es-ES"/>
        </w:rPr>
        <w:t xml:space="preserve">. Excepciones Preliminares, Fondo, Reparaciones y Costas. Sentencia de 25 de mayo de 2010. Serie C No. 212, párr. 234; </w:t>
      </w:r>
      <w:r w:rsidRPr="00DE69BB">
        <w:rPr>
          <w:rFonts w:ascii="Verdana" w:hAnsi="Verdana"/>
          <w:i/>
          <w:sz w:val="16"/>
          <w:szCs w:val="16"/>
          <w:lang w:val="es-ES"/>
        </w:rPr>
        <w:t>Caso Radilla Pacheco Vs. México</w:t>
      </w:r>
      <w:r w:rsidRPr="00DE69BB">
        <w:rPr>
          <w:rFonts w:ascii="Verdana" w:hAnsi="Verdana"/>
          <w:sz w:val="16"/>
          <w:szCs w:val="16"/>
          <w:lang w:val="es-ES"/>
        </w:rPr>
        <w:t xml:space="preserve">. Excepciones Preliminares, Fondo, Reparaciones y Costas. Sentencia de 23 de noviembre de 2009. </w:t>
      </w:r>
      <w:r w:rsidRPr="00DE69BB">
        <w:rPr>
          <w:rFonts w:ascii="Verdana" w:hAnsi="Verdana"/>
          <w:sz w:val="16"/>
          <w:szCs w:val="16"/>
        </w:rPr>
        <w:t>Serie C No. 209, párr. 179</w:t>
      </w:r>
      <w:r>
        <w:rPr>
          <w:rFonts w:ascii="Verdana" w:hAnsi="Verdana"/>
          <w:sz w:val="16"/>
          <w:szCs w:val="16"/>
        </w:rPr>
        <w:t>;</w:t>
      </w:r>
      <w:r w:rsidRPr="00DE69BB">
        <w:rPr>
          <w:rFonts w:ascii="Verdana" w:hAnsi="Verdana"/>
          <w:sz w:val="16"/>
          <w:szCs w:val="16"/>
        </w:rPr>
        <w:t xml:space="preserve"> </w:t>
      </w:r>
      <w:r w:rsidRPr="00DE69BB">
        <w:rPr>
          <w:rFonts w:ascii="Verdana" w:hAnsi="Verdana"/>
          <w:i/>
          <w:sz w:val="16"/>
          <w:szCs w:val="16"/>
          <w:lang w:val="es-ES"/>
        </w:rPr>
        <w:t xml:space="preserve">Caso Miembros de la Aldea </w:t>
      </w:r>
      <w:proofErr w:type="spellStart"/>
      <w:r w:rsidRPr="00DE69BB">
        <w:rPr>
          <w:rFonts w:ascii="Verdana" w:hAnsi="Verdana"/>
          <w:i/>
          <w:sz w:val="16"/>
          <w:szCs w:val="16"/>
          <w:lang w:val="es-ES"/>
        </w:rPr>
        <w:t>Chichupac</w:t>
      </w:r>
      <w:proofErr w:type="spellEnd"/>
      <w:r w:rsidRPr="00DE69BB">
        <w:rPr>
          <w:rFonts w:ascii="Verdana" w:hAnsi="Verdana"/>
          <w:i/>
          <w:sz w:val="16"/>
          <w:szCs w:val="16"/>
          <w:lang w:val="es-ES"/>
        </w:rPr>
        <w:t xml:space="preserve"> y comunidades vecinas del Municipio de Rabinal Vs. </w:t>
      </w:r>
      <w:r w:rsidRPr="00BE2698">
        <w:rPr>
          <w:rFonts w:ascii="Verdana" w:hAnsi="Verdana"/>
          <w:i/>
          <w:sz w:val="16"/>
          <w:szCs w:val="16"/>
        </w:rPr>
        <w:t>Guatemala</w:t>
      </w:r>
      <w:r w:rsidRPr="00BE2698">
        <w:rPr>
          <w:rFonts w:ascii="Verdana" w:hAnsi="Verdana"/>
          <w:sz w:val="16"/>
          <w:szCs w:val="16"/>
        </w:rPr>
        <w:t>, párr. 287,</w:t>
      </w:r>
      <w:r>
        <w:rPr>
          <w:rFonts w:ascii="Verdana" w:hAnsi="Verdana"/>
          <w:sz w:val="16"/>
          <w:szCs w:val="16"/>
        </w:rPr>
        <w:t xml:space="preserve"> y </w:t>
      </w:r>
      <w:r w:rsidRPr="00E34247">
        <w:rPr>
          <w:rFonts w:ascii="Verdana" w:hAnsi="Verdana"/>
          <w:i/>
          <w:sz w:val="16"/>
          <w:szCs w:val="16"/>
          <w:lang w:val="es-ES"/>
        </w:rPr>
        <w:t>Caso Herzog y otros Vs. Brasil</w:t>
      </w:r>
      <w:r w:rsidRPr="00BE2698">
        <w:rPr>
          <w:rFonts w:ascii="Verdana" w:hAnsi="Verdana"/>
          <w:sz w:val="16"/>
          <w:szCs w:val="16"/>
        </w:rPr>
        <w:t xml:space="preserve">, párr. </w:t>
      </w:r>
      <w:r w:rsidRPr="005A5029">
        <w:rPr>
          <w:rFonts w:ascii="Verdana" w:hAnsi="Verdana"/>
          <w:sz w:val="16"/>
          <w:szCs w:val="16"/>
          <w:lang w:val="pt-BR"/>
        </w:rPr>
        <w:t xml:space="preserve">330. </w:t>
      </w:r>
    </w:p>
    <w:p w14:paraId="6CF1C685" w14:textId="77777777" w:rsidR="00DD280C" w:rsidRPr="005A5029" w:rsidRDefault="00DD280C" w:rsidP="00342F65">
      <w:pPr>
        <w:pStyle w:val="Textonotapie"/>
        <w:rPr>
          <w:szCs w:val="16"/>
          <w:lang w:val="pt-BR"/>
        </w:rPr>
      </w:pPr>
    </w:p>
  </w:footnote>
  <w:footnote w:id="218">
    <w:p w14:paraId="1259E091" w14:textId="01EEC5F5" w:rsidR="00DD280C" w:rsidRPr="00DE69BB" w:rsidRDefault="00DD280C" w:rsidP="00342F65">
      <w:pPr>
        <w:pStyle w:val="Textonotapie"/>
        <w:jc w:val="both"/>
        <w:rPr>
          <w:rFonts w:ascii="Verdana" w:hAnsi="Verdana"/>
          <w:sz w:val="16"/>
          <w:szCs w:val="16"/>
          <w:lang w:val="es-ES"/>
        </w:rPr>
      </w:pPr>
      <w:r w:rsidRPr="00DE69BB">
        <w:rPr>
          <w:rStyle w:val="Refdenotaalpie"/>
          <w:rFonts w:ascii="Verdana" w:hAnsi="Verdana"/>
          <w:sz w:val="16"/>
          <w:szCs w:val="16"/>
          <w:lang w:val="es-ES"/>
        </w:rPr>
        <w:footnoteRef/>
      </w:r>
      <w:r w:rsidRPr="00DE69BB">
        <w:rPr>
          <w:rFonts w:ascii="Verdana" w:hAnsi="Verdana"/>
          <w:sz w:val="16"/>
          <w:szCs w:val="16"/>
          <w:lang w:val="pt-BR"/>
        </w:rPr>
        <w:t xml:space="preserve"> </w:t>
      </w:r>
      <w:r>
        <w:rPr>
          <w:rFonts w:ascii="Verdana" w:hAnsi="Verdana"/>
          <w:sz w:val="16"/>
          <w:szCs w:val="16"/>
          <w:lang w:val="pt-BR"/>
        </w:rPr>
        <w:tab/>
      </w:r>
      <w:r w:rsidRPr="00DE69BB">
        <w:rPr>
          <w:rFonts w:ascii="Verdana" w:hAnsi="Verdana"/>
          <w:i/>
          <w:sz w:val="16"/>
          <w:szCs w:val="16"/>
          <w:lang w:val="pt-BR"/>
        </w:rPr>
        <w:t xml:space="preserve">Caso Gomes </w:t>
      </w:r>
      <w:proofErr w:type="spellStart"/>
      <w:r w:rsidRPr="00DE69BB">
        <w:rPr>
          <w:rFonts w:ascii="Verdana" w:hAnsi="Verdana"/>
          <w:i/>
          <w:sz w:val="16"/>
          <w:szCs w:val="16"/>
          <w:lang w:val="pt-BR"/>
        </w:rPr>
        <w:t>Lund</w:t>
      </w:r>
      <w:proofErr w:type="spellEnd"/>
      <w:r w:rsidRPr="00DE69BB">
        <w:rPr>
          <w:rFonts w:ascii="Verdana" w:hAnsi="Verdana"/>
          <w:i/>
          <w:sz w:val="16"/>
          <w:szCs w:val="16"/>
          <w:lang w:val="pt-BR"/>
        </w:rPr>
        <w:t xml:space="preserve"> y </w:t>
      </w:r>
      <w:proofErr w:type="spellStart"/>
      <w:r w:rsidRPr="00DE69BB">
        <w:rPr>
          <w:rFonts w:ascii="Verdana" w:hAnsi="Verdana"/>
          <w:i/>
          <w:sz w:val="16"/>
          <w:szCs w:val="16"/>
          <w:lang w:val="pt-BR"/>
        </w:rPr>
        <w:t>otros</w:t>
      </w:r>
      <w:proofErr w:type="spellEnd"/>
      <w:r w:rsidRPr="00DE69BB">
        <w:rPr>
          <w:rFonts w:ascii="Verdana" w:hAnsi="Verdana"/>
          <w:i/>
          <w:sz w:val="16"/>
          <w:szCs w:val="16"/>
          <w:lang w:val="pt-BR"/>
        </w:rPr>
        <w:t xml:space="preserve"> ("Guerrilha do Araguaia") Vs. </w:t>
      </w:r>
      <w:r w:rsidRPr="005A5029">
        <w:rPr>
          <w:rFonts w:ascii="Verdana" w:hAnsi="Verdana"/>
          <w:i/>
          <w:sz w:val="16"/>
          <w:szCs w:val="16"/>
          <w:lang w:val="pt-BR"/>
        </w:rPr>
        <w:t>Brasil</w:t>
      </w:r>
      <w:r w:rsidRPr="005A5029">
        <w:rPr>
          <w:rFonts w:ascii="Verdana" w:hAnsi="Verdana"/>
          <w:sz w:val="16"/>
          <w:szCs w:val="16"/>
          <w:lang w:val="pt-BR"/>
        </w:rPr>
        <w:t xml:space="preserve">, </w:t>
      </w:r>
      <w:proofErr w:type="spellStart"/>
      <w:r w:rsidRPr="005A5029">
        <w:rPr>
          <w:rFonts w:ascii="Verdana" w:hAnsi="Verdana"/>
          <w:sz w:val="16"/>
          <w:szCs w:val="16"/>
          <w:lang w:val="pt-BR"/>
        </w:rPr>
        <w:t>párr</w:t>
      </w:r>
      <w:proofErr w:type="spellEnd"/>
      <w:r w:rsidRPr="005A5029">
        <w:rPr>
          <w:rFonts w:ascii="Verdana" w:hAnsi="Verdana"/>
          <w:sz w:val="16"/>
          <w:szCs w:val="16"/>
          <w:lang w:val="pt-BR"/>
        </w:rPr>
        <w:t xml:space="preserve">. </w:t>
      </w:r>
      <w:r w:rsidRPr="00DE69BB">
        <w:rPr>
          <w:rFonts w:ascii="Verdana" w:hAnsi="Verdana"/>
          <w:sz w:val="16"/>
          <w:szCs w:val="16"/>
          <w:lang w:val="es-ES"/>
        </w:rPr>
        <w:t xml:space="preserve">297, </w:t>
      </w:r>
      <w:r w:rsidRPr="00DE69BB">
        <w:rPr>
          <w:rFonts w:ascii="Verdana" w:hAnsi="Verdana"/>
          <w:i/>
          <w:sz w:val="16"/>
          <w:szCs w:val="16"/>
          <w:lang w:val="es-ES"/>
        </w:rPr>
        <w:t xml:space="preserve">Caso Miembros de la Aldea </w:t>
      </w:r>
      <w:proofErr w:type="spellStart"/>
      <w:r w:rsidRPr="00DE69BB">
        <w:rPr>
          <w:rFonts w:ascii="Verdana" w:hAnsi="Verdana"/>
          <w:i/>
          <w:sz w:val="16"/>
          <w:szCs w:val="16"/>
          <w:lang w:val="es-ES"/>
        </w:rPr>
        <w:t>Chichupac</w:t>
      </w:r>
      <w:proofErr w:type="spellEnd"/>
      <w:r w:rsidRPr="00DE69BB">
        <w:rPr>
          <w:rFonts w:ascii="Verdana" w:hAnsi="Verdana"/>
          <w:i/>
          <w:sz w:val="16"/>
          <w:szCs w:val="16"/>
          <w:lang w:val="es-ES"/>
        </w:rPr>
        <w:t xml:space="preserve"> y comunidades vecinas del Municipio de Rabinal Vs. Guatemala, </w:t>
      </w:r>
      <w:r w:rsidRPr="00DE69BB">
        <w:rPr>
          <w:rFonts w:ascii="Verdana" w:hAnsi="Verdana"/>
          <w:sz w:val="16"/>
          <w:szCs w:val="16"/>
          <w:lang w:val="es-ES"/>
        </w:rPr>
        <w:t>párr. 287</w:t>
      </w:r>
      <w:r>
        <w:rPr>
          <w:rFonts w:ascii="Verdana" w:hAnsi="Verdana"/>
          <w:sz w:val="16"/>
          <w:szCs w:val="16"/>
          <w:lang w:val="es-ES"/>
        </w:rPr>
        <w:t xml:space="preserve"> y</w:t>
      </w:r>
      <w:r w:rsidRPr="00DE69BB">
        <w:rPr>
          <w:rFonts w:ascii="Verdana" w:hAnsi="Verdana"/>
          <w:sz w:val="16"/>
          <w:szCs w:val="16"/>
          <w:lang w:val="es-ES"/>
        </w:rPr>
        <w:t xml:space="preserve">, </w:t>
      </w:r>
      <w:r w:rsidRPr="00E34247">
        <w:rPr>
          <w:rFonts w:ascii="Verdana" w:hAnsi="Verdana"/>
          <w:i/>
          <w:sz w:val="16"/>
          <w:szCs w:val="16"/>
          <w:lang w:val="es-ES"/>
        </w:rPr>
        <w:t>Caso Herzog y otros Vs. Brasil</w:t>
      </w:r>
      <w:r w:rsidRPr="00DE69BB">
        <w:rPr>
          <w:rFonts w:ascii="Verdana" w:hAnsi="Verdana"/>
          <w:sz w:val="16"/>
          <w:szCs w:val="16"/>
          <w:lang w:val="es-ES"/>
        </w:rPr>
        <w:t>, párr. 330.</w:t>
      </w:r>
    </w:p>
  </w:footnote>
  <w:footnote w:id="219">
    <w:p w14:paraId="1D08E515" w14:textId="77777777" w:rsidR="00DD280C" w:rsidRDefault="00DD280C" w:rsidP="00342F65">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Mencionaron, al respecto, que la incertidumbre, y la información falsa que la familia obtenía respecto de </w:t>
      </w:r>
      <w:r>
        <w:rPr>
          <w:rFonts w:ascii="Verdana" w:hAnsi="Verdana"/>
          <w:sz w:val="16"/>
          <w:szCs w:val="16"/>
        </w:rPr>
        <w:t>Ó</w:t>
      </w:r>
      <w:r w:rsidRPr="000031DD">
        <w:rPr>
          <w:rFonts w:ascii="Verdana" w:hAnsi="Verdana"/>
          <w:sz w:val="16"/>
          <w:szCs w:val="16"/>
        </w:rPr>
        <w:t xml:space="preserve">scar </w:t>
      </w:r>
      <w:proofErr w:type="spellStart"/>
      <w:r w:rsidRPr="000031DD">
        <w:rPr>
          <w:rFonts w:ascii="Verdana" w:hAnsi="Verdana"/>
          <w:sz w:val="16"/>
          <w:szCs w:val="16"/>
        </w:rPr>
        <w:t>Tassino</w:t>
      </w:r>
      <w:proofErr w:type="spellEnd"/>
      <w:r w:rsidRPr="000031DD">
        <w:rPr>
          <w:rFonts w:ascii="Verdana" w:hAnsi="Verdana"/>
          <w:sz w:val="16"/>
          <w:szCs w:val="16"/>
        </w:rPr>
        <w:t>, que la hacía “movilizarse de un lugar a otro del país” constituían una “forma adicional de tortura psicológica”. Señalaron también que la familia no pudo hacer el “duelo correspondiente”, ya que “nunca se le termina de dar por muerto”. Expresaron también que “el hijo de Luis Eduardo y Elena Zaffaroni nació en cautiverio y creció no solo sin conocer a su padre</w:t>
      </w:r>
      <w:r>
        <w:rPr>
          <w:rFonts w:ascii="Verdana" w:hAnsi="Verdana"/>
          <w:sz w:val="16"/>
          <w:szCs w:val="16"/>
        </w:rPr>
        <w:t>,</w:t>
      </w:r>
      <w:r w:rsidRPr="000031DD">
        <w:rPr>
          <w:rFonts w:ascii="Verdana" w:hAnsi="Verdana"/>
          <w:sz w:val="16"/>
          <w:szCs w:val="16"/>
        </w:rPr>
        <w:t xml:space="preserve"> sino que incluso siendo niño sintió el terror que le pasara algo similar por tener nada más y nada menos que el mismo nombre que su padre”</w:t>
      </w:r>
      <w:r>
        <w:rPr>
          <w:rFonts w:ascii="Verdana" w:hAnsi="Verdana"/>
          <w:sz w:val="16"/>
          <w:szCs w:val="16"/>
        </w:rPr>
        <w:t>.</w:t>
      </w:r>
    </w:p>
    <w:p w14:paraId="79491843" w14:textId="77777777" w:rsidR="00DD280C" w:rsidRPr="000031DD" w:rsidRDefault="00DD280C" w:rsidP="00342F65">
      <w:pPr>
        <w:pStyle w:val="Textonotapie"/>
        <w:jc w:val="both"/>
        <w:rPr>
          <w:rFonts w:ascii="Verdana" w:hAnsi="Verdana"/>
          <w:sz w:val="16"/>
          <w:szCs w:val="16"/>
        </w:rPr>
      </w:pPr>
    </w:p>
  </w:footnote>
  <w:footnote w:id="220">
    <w:p w14:paraId="0434C70B" w14:textId="1E4A919A" w:rsidR="00DD280C" w:rsidRDefault="00DD280C" w:rsidP="00342F65">
      <w:pPr>
        <w:pStyle w:val="Textonotapie"/>
        <w:jc w:val="both"/>
        <w:rPr>
          <w:rFonts w:ascii="Verdana" w:hAnsi="Verdana"/>
          <w:sz w:val="16"/>
          <w:szCs w:val="16"/>
        </w:rPr>
      </w:pPr>
      <w:r w:rsidRPr="000031DD">
        <w:rPr>
          <w:rStyle w:val="Refdenotaalpie"/>
          <w:rFonts w:ascii="Verdana" w:eastAsia="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 </w:t>
      </w:r>
      <w:r w:rsidRPr="000031DD">
        <w:rPr>
          <w:rFonts w:ascii="Verdana" w:hAnsi="Verdana"/>
          <w:i/>
          <w:sz w:val="16"/>
          <w:szCs w:val="16"/>
        </w:rPr>
        <w:t>Cfr.</w:t>
      </w:r>
      <w:r w:rsidRPr="000031DD">
        <w:rPr>
          <w:rFonts w:ascii="Verdana" w:hAnsi="Verdana"/>
          <w:sz w:val="16"/>
          <w:szCs w:val="16"/>
        </w:rPr>
        <w:t xml:space="preserve"> </w:t>
      </w:r>
      <w:r w:rsidRPr="000031DD">
        <w:rPr>
          <w:rFonts w:ascii="Verdana" w:hAnsi="Verdana"/>
          <w:i/>
          <w:sz w:val="16"/>
          <w:szCs w:val="16"/>
        </w:rPr>
        <w:t>Caso Blake Vs. Guatemala. Fondo</w:t>
      </w:r>
      <w:r w:rsidRPr="000031DD">
        <w:rPr>
          <w:rFonts w:ascii="Verdana" w:hAnsi="Verdana"/>
          <w:sz w:val="16"/>
          <w:szCs w:val="16"/>
        </w:rPr>
        <w:t xml:space="preserve">. Sentencia de 24 de enero de 1998. Serie C No. 36, párr. 114, </w:t>
      </w:r>
      <w:r w:rsidRPr="004C0882">
        <w:rPr>
          <w:rFonts w:ascii="Verdana" w:hAnsi="Verdana"/>
          <w:sz w:val="16"/>
          <w:szCs w:val="16"/>
        </w:rPr>
        <w:t xml:space="preserve">y </w:t>
      </w:r>
      <w:r w:rsidR="0027532E" w:rsidRPr="0027532E">
        <w:rPr>
          <w:rFonts w:ascii="Verdana" w:hAnsi="Verdana" w:cs="Arial"/>
          <w:i/>
          <w:sz w:val="16"/>
          <w:szCs w:val="16"/>
          <w:shd w:val="clear" w:color="auto" w:fill="FFFFFF"/>
        </w:rPr>
        <w:t>Caso Vera Rojas y otros Vs. Chile. Excepciones preliminares, Fondo, Reparaciones y Costas.</w:t>
      </w:r>
      <w:r w:rsidR="0027532E" w:rsidRPr="0027532E">
        <w:rPr>
          <w:rFonts w:ascii="Verdana" w:hAnsi="Verdana" w:cs="Arial"/>
          <w:sz w:val="16"/>
          <w:szCs w:val="16"/>
          <w:shd w:val="clear" w:color="auto" w:fill="FFFFFF"/>
        </w:rPr>
        <w:t xml:space="preserve"> Sentencia de 1 de octubre de 2021. Serie C No. 439, </w:t>
      </w:r>
      <w:proofErr w:type="spellStart"/>
      <w:r w:rsidR="0027532E" w:rsidRPr="0027532E">
        <w:rPr>
          <w:rFonts w:ascii="Verdana" w:hAnsi="Verdana" w:cs="Arial"/>
          <w:sz w:val="16"/>
          <w:szCs w:val="16"/>
          <w:shd w:val="clear" w:color="auto" w:fill="FFFFFF"/>
        </w:rPr>
        <w:t>párr</w:t>
      </w:r>
      <w:proofErr w:type="spellEnd"/>
      <w:r w:rsidRPr="004C0882">
        <w:rPr>
          <w:rFonts w:ascii="Verdana" w:hAnsi="Verdana"/>
          <w:sz w:val="16"/>
          <w:szCs w:val="16"/>
          <w:lang w:val="es-ES"/>
        </w:rPr>
        <w:t>, párr. 153</w:t>
      </w:r>
      <w:r>
        <w:rPr>
          <w:rFonts w:ascii="Verdana" w:hAnsi="Verdana"/>
          <w:sz w:val="16"/>
          <w:szCs w:val="16"/>
          <w:lang w:val="es-ES"/>
        </w:rPr>
        <w:t>.</w:t>
      </w:r>
    </w:p>
    <w:p w14:paraId="77C4987B" w14:textId="77777777" w:rsidR="00DD280C" w:rsidRPr="000031DD" w:rsidRDefault="00DD280C" w:rsidP="00342F65">
      <w:pPr>
        <w:pStyle w:val="Textonotapie"/>
        <w:jc w:val="both"/>
        <w:rPr>
          <w:rFonts w:ascii="Verdana" w:hAnsi="Verdana"/>
          <w:sz w:val="16"/>
          <w:szCs w:val="16"/>
        </w:rPr>
      </w:pPr>
    </w:p>
  </w:footnote>
  <w:footnote w:id="221">
    <w:p w14:paraId="4C1A9C52" w14:textId="5A053B23" w:rsidR="00DD280C" w:rsidRDefault="00DD280C" w:rsidP="00342F65">
      <w:pPr>
        <w:autoSpaceDE w:val="0"/>
        <w:autoSpaceDN w:val="0"/>
        <w:spacing w:after="0" w:line="240" w:lineRule="auto"/>
        <w:jc w:val="both"/>
        <w:rPr>
          <w:rFonts w:ascii="Verdana" w:hAnsi="Verdana"/>
          <w:sz w:val="16"/>
          <w:szCs w:val="16"/>
        </w:rPr>
      </w:pPr>
      <w:r w:rsidRPr="000031DD">
        <w:rPr>
          <w:rStyle w:val="Refdenotaalpie"/>
          <w:rFonts w:ascii="Verdana" w:eastAsia="Verdana" w:hAnsi="Verdana"/>
          <w:sz w:val="16"/>
          <w:szCs w:val="16"/>
          <w:lang w:eastAsia="x-none"/>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lang w:val="es-CL"/>
        </w:rPr>
        <w:t>Cfr</w:t>
      </w:r>
      <w:r w:rsidRPr="000031DD">
        <w:rPr>
          <w:rFonts w:ascii="Verdana" w:hAnsi="Verdana"/>
          <w:sz w:val="16"/>
          <w:szCs w:val="16"/>
          <w:lang w:val="es-CL"/>
        </w:rPr>
        <w:t>.</w:t>
      </w:r>
      <w:r w:rsidRPr="000031DD">
        <w:rPr>
          <w:rFonts w:ascii="Verdana" w:hAnsi="Verdana" w:cs="Verdana-Italic"/>
          <w:i/>
          <w:iCs/>
          <w:sz w:val="16"/>
          <w:szCs w:val="16"/>
        </w:rPr>
        <w:t xml:space="preserve"> Caso Valle Jaramillo y otros Vs. Colombia</w:t>
      </w:r>
      <w:r w:rsidRPr="000031DD">
        <w:rPr>
          <w:rFonts w:ascii="Verdana" w:hAnsi="Verdana" w:cs="Verdana"/>
          <w:sz w:val="16"/>
          <w:szCs w:val="16"/>
        </w:rPr>
        <w:t>, párr. 119;</w:t>
      </w:r>
      <w:r w:rsidRPr="000031DD">
        <w:rPr>
          <w:rFonts w:ascii="Verdana" w:hAnsi="Verdana" w:cs="Verdana-Italic"/>
          <w:i/>
          <w:iCs/>
          <w:sz w:val="16"/>
          <w:szCs w:val="16"/>
        </w:rPr>
        <w:t xml:space="preserve"> Caso Ruano Torres y otros Vs. El Salvador. </w:t>
      </w:r>
      <w:r w:rsidRPr="000031DD">
        <w:rPr>
          <w:rFonts w:ascii="Verdana" w:hAnsi="Verdana" w:cs="Verdana"/>
          <w:i/>
          <w:sz w:val="16"/>
          <w:szCs w:val="16"/>
        </w:rPr>
        <w:t>Fondo, Reparaciones y Costas.</w:t>
      </w:r>
      <w:r w:rsidRPr="000031DD">
        <w:rPr>
          <w:rFonts w:ascii="Verdana" w:hAnsi="Verdana" w:cs="Verdana"/>
          <w:sz w:val="16"/>
          <w:szCs w:val="16"/>
        </w:rPr>
        <w:t xml:space="preserve"> Sentencia de 5 de octubre de 2015.Serie C No. 303, párr. 177, y </w:t>
      </w:r>
      <w:r w:rsidRPr="00CF0778">
        <w:rPr>
          <w:rFonts w:ascii="Verdana" w:hAnsi="Verdana" w:cs="Verdana"/>
          <w:sz w:val="16"/>
          <w:szCs w:val="16"/>
        </w:rPr>
        <w:t>C</w:t>
      </w:r>
      <w:r w:rsidRPr="00BE2698">
        <w:rPr>
          <w:rFonts w:ascii="Verdana" w:hAnsi="Verdana" w:cs="Verdana"/>
          <w:i/>
          <w:sz w:val="16"/>
          <w:szCs w:val="16"/>
        </w:rPr>
        <w:t>aso Herzog y otros Vs. Brasil</w:t>
      </w:r>
      <w:r w:rsidRPr="000031DD">
        <w:rPr>
          <w:rFonts w:ascii="Verdana" w:hAnsi="Verdana"/>
          <w:bCs/>
          <w:sz w:val="16"/>
          <w:szCs w:val="16"/>
          <w:shd w:val="clear" w:color="auto" w:fill="FFFFFF"/>
        </w:rPr>
        <w:t>,</w:t>
      </w:r>
      <w:r w:rsidRPr="000031DD">
        <w:rPr>
          <w:rFonts w:ascii="Verdana" w:hAnsi="Verdana"/>
          <w:sz w:val="16"/>
          <w:szCs w:val="16"/>
        </w:rPr>
        <w:t xml:space="preserve"> párr. 351.</w:t>
      </w:r>
    </w:p>
    <w:p w14:paraId="33EBD686" w14:textId="77777777" w:rsidR="00DD280C" w:rsidRPr="000031DD" w:rsidRDefault="00DD280C" w:rsidP="00342F65">
      <w:pPr>
        <w:autoSpaceDE w:val="0"/>
        <w:autoSpaceDN w:val="0"/>
        <w:spacing w:after="0" w:line="240" w:lineRule="auto"/>
        <w:jc w:val="both"/>
        <w:rPr>
          <w:rFonts w:ascii="Verdana" w:hAnsi="Verdana"/>
          <w:sz w:val="16"/>
          <w:szCs w:val="16"/>
        </w:rPr>
      </w:pPr>
    </w:p>
  </w:footnote>
  <w:footnote w:id="222">
    <w:p w14:paraId="79919942" w14:textId="4E9487C0" w:rsidR="00DD280C" w:rsidRDefault="00DD280C" w:rsidP="00342F65">
      <w:pPr>
        <w:pStyle w:val="Textonotapie"/>
        <w:jc w:val="both"/>
        <w:rPr>
          <w:rFonts w:ascii="Verdana" w:hAnsi="Verdana"/>
          <w:sz w:val="16"/>
          <w:szCs w:val="16"/>
        </w:rPr>
      </w:pPr>
      <w:r w:rsidRPr="000031DD">
        <w:rPr>
          <w:rStyle w:val="Refdenotaalpie"/>
          <w:rFonts w:ascii="Verdana" w:eastAsia="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Tal presunción tiene como consecuencia una inversión de la carga argumentativa, en la que ya no corresponde probar la violación del derecho de tales “familiares directos”, sino que corresponde al Estado desvirtuarla (</w:t>
      </w:r>
      <w:r w:rsidRPr="000031DD">
        <w:rPr>
          <w:rFonts w:ascii="Verdana" w:hAnsi="Verdana"/>
          <w:bCs/>
          <w:i/>
          <w:sz w:val="16"/>
          <w:szCs w:val="16"/>
          <w:shd w:val="clear" w:color="auto" w:fill="FFFFFF"/>
        </w:rPr>
        <w:t xml:space="preserve">cfr. </w:t>
      </w:r>
      <w:r w:rsidRPr="00CF0778">
        <w:rPr>
          <w:rFonts w:ascii="Verdana" w:hAnsi="Verdana"/>
          <w:bCs/>
          <w:i/>
          <w:sz w:val="16"/>
          <w:szCs w:val="16"/>
          <w:shd w:val="clear" w:color="auto" w:fill="FFFFFF"/>
        </w:rPr>
        <w:t>Caso Valle Jaramillo y otros Vs. Colombia. Interpretación de la Sentencia de Fondo, Reparaciones y Costas. Sentencia de 7 de jul</w:t>
      </w:r>
      <w:r>
        <w:rPr>
          <w:rFonts w:ascii="Verdana" w:hAnsi="Verdana"/>
          <w:bCs/>
          <w:i/>
          <w:sz w:val="16"/>
          <w:szCs w:val="16"/>
          <w:shd w:val="clear" w:color="auto" w:fill="FFFFFF"/>
        </w:rPr>
        <w:t>io de 2009. Serie C No. 201</w:t>
      </w:r>
      <w:r w:rsidRPr="000031DD">
        <w:rPr>
          <w:rFonts w:ascii="Verdana" w:hAnsi="Verdana"/>
          <w:sz w:val="16"/>
          <w:szCs w:val="16"/>
        </w:rPr>
        <w:t>, párr. 119, y</w:t>
      </w:r>
      <w:r w:rsidRPr="000031DD">
        <w:rPr>
          <w:rFonts w:ascii="Verdana" w:hAnsi="Verdana"/>
          <w:bCs/>
          <w:i/>
          <w:sz w:val="16"/>
          <w:szCs w:val="16"/>
          <w:shd w:val="clear" w:color="auto" w:fill="FFFFFF"/>
        </w:rPr>
        <w:t xml:space="preserve"> </w:t>
      </w:r>
      <w:r w:rsidRPr="00CF0778">
        <w:rPr>
          <w:rFonts w:ascii="Verdana" w:hAnsi="Verdana"/>
          <w:bCs/>
          <w:i/>
          <w:sz w:val="16"/>
          <w:szCs w:val="16"/>
          <w:shd w:val="clear" w:color="auto" w:fill="FFFFFF"/>
        </w:rPr>
        <w:t>Caso Herzog y otros Vs. Brasil</w:t>
      </w:r>
      <w:r w:rsidRPr="000031DD">
        <w:rPr>
          <w:rFonts w:ascii="Verdana" w:hAnsi="Verdana"/>
          <w:bCs/>
          <w:sz w:val="16"/>
          <w:szCs w:val="16"/>
          <w:shd w:val="clear" w:color="auto" w:fill="FFFFFF"/>
        </w:rPr>
        <w:t>,</w:t>
      </w:r>
      <w:r w:rsidRPr="000031DD">
        <w:rPr>
          <w:rFonts w:ascii="Verdana" w:hAnsi="Verdana"/>
          <w:sz w:val="16"/>
          <w:szCs w:val="16"/>
        </w:rPr>
        <w:t xml:space="preserve"> párr. 351). </w:t>
      </w:r>
    </w:p>
    <w:p w14:paraId="61B17D39" w14:textId="77777777" w:rsidR="00DD280C" w:rsidRPr="000031DD" w:rsidRDefault="00DD280C" w:rsidP="00342F65">
      <w:pPr>
        <w:pStyle w:val="Textonotapie"/>
        <w:jc w:val="both"/>
        <w:rPr>
          <w:rFonts w:ascii="Verdana" w:hAnsi="Verdana"/>
          <w:sz w:val="16"/>
          <w:szCs w:val="16"/>
        </w:rPr>
      </w:pPr>
    </w:p>
  </w:footnote>
  <w:footnote w:id="223">
    <w:p w14:paraId="711DE479" w14:textId="73CD97FC" w:rsidR="00DD280C" w:rsidRDefault="00DD280C" w:rsidP="00342F65">
      <w:pPr>
        <w:autoSpaceDE w:val="0"/>
        <w:autoSpaceDN w:val="0"/>
        <w:spacing w:after="0" w:line="240" w:lineRule="auto"/>
        <w:jc w:val="both"/>
        <w:rPr>
          <w:rFonts w:ascii="Verdana" w:hAnsi="Verdana"/>
          <w:sz w:val="16"/>
          <w:szCs w:val="16"/>
        </w:rPr>
      </w:pPr>
      <w:r w:rsidRPr="000031DD">
        <w:rPr>
          <w:rStyle w:val="Refdenotaalpie"/>
          <w:rFonts w:ascii="Verdana" w:eastAsia="Verdana" w:hAnsi="Verdana"/>
          <w:sz w:val="16"/>
          <w:szCs w:val="16"/>
          <w:lang w:eastAsia="x-none"/>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rPr>
        <w:t>Cfr.</w:t>
      </w:r>
      <w:r w:rsidRPr="000031DD">
        <w:rPr>
          <w:rFonts w:ascii="Verdana" w:hAnsi="Verdana"/>
          <w:sz w:val="16"/>
          <w:szCs w:val="16"/>
        </w:rPr>
        <w:t xml:space="preserve"> </w:t>
      </w:r>
      <w:r w:rsidRPr="004C0882">
        <w:rPr>
          <w:rFonts w:ascii="Verdana" w:hAnsi="Verdana"/>
          <w:i/>
          <w:sz w:val="16"/>
          <w:szCs w:val="16"/>
        </w:rPr>
        <w:t>Caso de la "Masacre de Mapiripán" Vs. Colombia</w:t>
      </w:r>
      <w:r w:rsidRPr="00AB146A">
        <w:rPr>
          <w:rFonts w:ascii="Verdana" w:hAnsi="Verdana"/>
          <w:sz w:val="16"/>
          <w:szCs w:val="16"/>
        </w:rPr>
        <w:t>. Sentencia de 15 de sept</w:t>
      </w:r>
      <w:r>
        <w:rPr>
          <w:rFonts w:ascii="Verdana" w:hAnsi="Verdana"/>
          <w:sz w:val="16"/>
          <w:szCs w:val="16"/>
        </w:rPr>
        <w:t>iembre de 2005. Serie C No. 134,</w:t>
      </w:r>
      <w:r w:rsidRPr="000031DD">
        <w:rPr>
          <w:rFonts w:ascii="Verdana" w:hAnsi="Verdana" w:cs="Verdana"/>
          <w:sz w:val="16"/>
          <w:szCs w:val="16"/>
        </w:rPr>
        <w:t xml:space="preserve"> párr. 146; y </w:t>
      </w:r>
      <w:r w:rsidRPr="00CF0778">
        <w:rPr>
          <w:rFonts w:ascii="Verdana" w:hAnsi="Verdana"/>
          <w:bCs/>
          <w:i/>
          <w:sz w:val="16"/>
          <w:szCs w:val="16"/>
          <w:shd w:val="clear" w:color="auto" w:fill="FFFFFF"/>
        </w:rPr>
        <w:t>Caso Herzog y otros Vs. Brasil</w:t>
      </w:r>
      <w:r w:rsidRPr="000031DD">
        <w:rPr>
          <w:rFonts w:ascii="Verdana" w:hAnsi="Verdana"/>
          <w:bCs/>
          <w:sz w:val="16"/>
          <w:szCs w:val="16"/>
          <w:shd w:val="clear" w:color="auto" w:fill="FFFFFF"/>
        </w:rPr>
        <w:t>,</w:t>
      </w:r>
      <w:r w:rsidRPr="000031DD">
        <w:rPr>
          <w:rFonts w:ascii="Verdana" w:hAnsi="Verdana"/>
          <w:sz w:val="16"/>
          <w:szCs w:val="16"/>
        </w:rPr>
        <w:t xml:space="preserve"> párr. 351.</w:t>
      </w:r>
    </w:p>
    <w:p w14:paraId="22D2DDF6" w14:textId="77777777" w:rsidR="00DD280C" w:rsidRPr="000031DD" w:rsidRDefault="00DD280C" w:rsidP="00342F65">
      <w:pPr>
        <w:autoSpaceDE w:val="0"/>
        <w:autoSpaceDN w:val="0"/>
        <w:spacing w:after="0" w:line="240" w:lineRule="auto"/>
        <w:jc w:val="both"/>
        <w:rPr>
          <w:rFonts w:ascii="Verdana" w:hAnsi="Verdana" w:cs="Verdana"/>
          <w:sz w:val="16"/>
          <w:szCs w:val="16"/>
        </w:rPr>
      </w:pPr>
    </w:p>
  </w:footnote>
  <w:footnote w:id="224">
    <w:p w14:paraId="0E99DE58" w14:textId="4C9A2E87" w:rsidR="00DD280C" w:rsidRPr="000031DD" w:rsidRDefault="00DD280C" w:rsidP="00342F65">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rPr>
        <w:t>Cfr</w:t>
      </w:r>
      <w:r w:rsidRPr="000031DD">
        <w:rPr>
          <w:rFonts w:ascii="Verdana" w:hAnsi="Verdana"/>
          <w:sz w:val="16"/>
          <w:szCs w:val="16"/>
        </w:rPr>
        <w:t xml:space="preserve">. </w:t>
      </w:r>
      <w:r w:rsidRPr="000031DD">
        <w:rPr>
          <w:rFonts w:ascii="Verdana" w:hAnsi="Verdana"/>
          <w:i/>
          <w:sz w:val="16"/>
          <w:szCs w:val="16"/>
        </w:rPr>
        <w:t>Caso Blake Vs. Guatemala</w:t>
      </w:r>
      <w:r w:rsidRPr="000031DD">
        <w:rPr>
          <w:rFonts w:ascii="Verdana" w:hAnsi="Verdana" w:cs="Arial"/>
          <w:sz w:val="16"/>
          <w:szCs w:val="16"/>
          <w:shd w:val="clear" w:color="auto" w:fill="FFFFFF"/>
        </w:rPr>
        <w:t>, párr. 263.</w:t>
      </w:r>
    </w:p>
  </w:footnote>
  <w:footnote w:id="225">
    <w:p w14:paraId="3FF37D62" w14:textId="77777777" w:rsidR="00DD280C" w:rsidRDefault="00DD280C" w:rsidP="00342F65">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 xml:space="preserve">La Corte recuerda que, de conformidad con el artículo 41.3 del Reglamento, “podrá considerar aceptados aquellos hechos que no hayan sido expresamente negados y las pretensiones que no hayan sido expresamente controvertidas”. </w:t>
      </w:r>
    </w:p>
    <w:p w14:paraId="7B1DE0E7" w14:textId="77777777" w:rsidR="00DD280C" w:rsidRPr="00E53751" w:rsidRDefault="00DD280C" w:rsidP="00342F65">
      <w:pPr>
        <w:pStyle w:val="Textonotapie"/>
        <w:jc w:val="both"/>
        <w:rPr>
          <w:rFonts w:ascii="Verdana" w:hAnsi="Verdana"/>
          <w:sz w:val="16"/>
          <w:szCs w:val="16"/>
        </w:rPr>
      </w:pPr>
    </w:p>
  </w:footnote>
  <w:footnote w:id="226">
    <w:p w14:paraId="444A08FC" w14:textId="21860B38" w:rsidR="00DD280C" w:rsidRPr="004C0882" w:rsidRDefault="00DD280C" w:rsidP="00342F65">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rPr>
        <w:t xml:space="preserve">Cfr. Caso Velásquez </w:t>
      </w:r>
      <w:r w:rsidRPr="004C0882">
        <w:rPr>
          <w:rFonts w:ascii="Verdana" w:hAnsi="Verdana"/>
          <w:i/>
          <w:sz w:val="16"/>
          <w:szCs w:val="16"/>
        </w:rPr>
        <w:t xml:space="preserve">Rodríguez Vs. Honduras. Reparaciones y Costas. </w:t>
      </w:r>
      <w:r w:rsidRPr="004C0882">
        <w:rPr>
          <w:rFonts w:ascii="Verdana" w:hAnsi="Verdana"/>
          <w:sz w:val="16"/>
          <w:szCs w:val="16"/>
        </w:rPr>
        <w:t xml:space="preserve">Sentencia de 21 de julio de 1989. Serie C No. 7, párr. 25, y </w:t>
      </w:r>
      <w:r w:rsidR="00E11E49" w:rsidRPr="00E11E49">
        <w:rPr>
          <w:rFonts w:ascii="Verdana" w:hAnsi="Verdana" w:cs="Open Sans"/>
          <w:i/>
          <w:sz w:val="16"/>
          <w:szCs w:val="16"/>
          <w:shd w:val="clear" w:color="auto" w:fill="FFFFFF"/>
        </w:rPr>
        <w:t>Caso Pueblos Indígenas Maya Kaqchikel de Sumpango y otros Vs. Guatemala</w:t>
      </w:r>
      <w:r w:rsidRPr="004C0882">
        <w:rPr>
          <w:rFonts w:ascii="Verdana" w:hAnsi="Verdana"/>
          <w:sz w:val="16"/>
          <w:szCs w:val="16"/>
        </w:rPr>
        <w:t xml:space="preserve">, párr. </w:t>
      </w:r>
      <w:r w:rsidR="00E11E49">
        <w:rPr>
          <w:rFonts w:ascii="Verdana" w:hAnsi="Verdana"/>
          <w:sz w:val="16"/>
          <w:szCs w:val="16"/>
        </w:rPr>
        <w:t>173</w:t>
      </w:r>
      <w:r w:rsidRPr="004C0882">
        <w:rPr>
          <w:rFonts w:ascii="Verdana" w:hAnsi="Verdana"/>
          <w:sz w:val="16"/>
          <w:szCs w:val="16"/>
        </w:rPr>
        <w:t>.</w:t>
      </w:r>
    </w:p>
    <w:p w14:paraId="67478A2E" w14:textId="77777777" w:rsidR="00DD280C" w:rsidRPr="000031DD" w:rsidRDefault="00DD280C" w:rsidP="00342F65">
      <w:pPr>
        <w:pStyle w:val="Textonotapie"/>
        <w:jc w:val="both"/>
        <w:rPr>
          <w:rFonts w:ascii="Verdana" w:hAnsi="Verdana"/>
          <w:sz w:val="16"/>
          <w:szCs w:val="16"/>
          <w:lang w:val="es-MX"/>
        </w:rPr>
      </w:pPr>
    </w:p>
  </w:footnote>
  <w:footnote w:id="227">
    <w:p w14:paraId="3E8CF05C" w14:textId="71E58F87" w:rsidR="00DD280C" w:rsidRPr="000031DD" w:rsidRDefault="00DD280C" w:rsidP="00342F65">
      <w:pPr>
        <w:spacing w:after="0"/>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00E11E49">
        <w:rPr>
          <w:rFonts w:ascii="Verdana" w:hAnsi="Verdana"/>
          <w:i/>
          <w:sz w:val="16"/>
          <w:szCs w:val="16"/>
        </w:rPr>
        <w:t xml:space="preserve">Cfr. </w:t>
      </w:r>
      <w:r w:rsidRPr="000031DD">
        <w:rPr>
          <w:rFonts w:ascii="Verdana" w:hAnsi="Verdana"/>
          <w:i/>
          <w:sz w:val="16"/>
          <w:szCs w:val="16"/>
        </w:rPr>
        <w:t>Caso Velásquez Rodríguez Vs. Honduras. Reparaciones y Costas</w:t>
      </w:r>
      <w:r w:rsidRPr="000031DD">
        <w:rPr>
          <w:rFonts w:ascii="Verdana" w:hAnsi="Verdana"/>
          <w:sz w:val="16"/>
          <w:szCs w:val="16"/>
        </w:rPr>
        <w:t xml:space="preserve">, párr. 24, y </w:t>
      </w:r>
      <w:r w:rsidR="00E11E49" w:rsidRPr="00E11E49">
        <w:rPr>
          <w:rFonts w:ascii="Verdana" w:hAnsi="Verdana" w:cs="Open Sans"/>
          <w:i/>
          <w:sz w:val="16"/>
          <w:szCs w:val="16"/>
          <w:shd w:val="clear" w:color="auto" w:fill="FFFFFF"/>
        </w:rPr>
        <w:t>Caso Pueblos Indígenas Maya Kaqchikel de Sumpango y otros Vs. Guatemala</w:t>
      </w:r>
      <w:r w:rsidR="00E11E49" w:rsidRPr="004C0882">
        <w:rPr>
          <w:rFonts w:ascii="Verdana" w:hAnsi="Verdana"/>
          <w:sz w:val="16"/>
          <w:szCs w:val="16"/>
        </w:rPr>
        <w:t xml:space="preserve">, párr. </w:t>
      </w:r>
      <w:r w:rsidR="00E11E49">
        <w:rPr>
          <w:rFonts w:ascii="Verdana" w:hAnsi="Verdana"/>
          <w:sz w:val="16"/>
          <w:szCs w:val="16"/>
        </w:rPr>
        <w:t>174</w:t>
      </w:r>
      <w:r w:rsidRPr="000031DD">
        <w:rPr>
          <w:rFonts w:ascii="Verdana" w:hAnsi="Verdana"/>
          <w:sz w:val="16"/>
          <w:szCs w:val="16"/>
        </w:rPr>
        <w:t>.</w:t>
      </w:r>
    </w:p>
    <w:p w14:paraId="3FEDD79B" w14:textId="77777777" w:rsidR="00DD280C" w:rsidRPr="000031DD" w:rsidRDefault="00DD280C" w:rsidP="00342F65">
      <w:pPr>
        <w:spacing w:after="0"/>
        <w:jc w:val="both"/>
        <w:rPr>
          <w:rFonts w:ascii="Verdana" w:hAnsi="Verdana"/>
          <w:sz w:val="16"/>
          <w:szCs w:val="16"/>
        </w:rPr>
      </w:pPr>
    </w:p>
  </w:footnote>
  <w:footnote w:id="228">
    <w:p w14:paraId="22753B83" w14:textId="71416EF4" w:rsidR="00DD280C" w:rsidRDefault="00DD280C" w:rsidP="00342F65">
      <w:pPr>
        <w:spacing w:after="0"/>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rPr>
        <w:t xml:space="preserve">Cfr. Caso de la Masacre de Las Dos Erres Vs. Guatemala. Excepción Preliminar, Fondo, Reparaciones y Costas. </w:t>
      </w:r>
      <w:r w:rsidRPr="000031DD">
        <w:rPr>
          <w:rFonts w:ascii="Verdana" w:hAnsi="Verdana"/>
          <w:sz w:val="16"/>
          <w:szCs w:val="16"/>
        </w:rPr>
        <w:t>Sentencia</w:t>
      </w:r>
      <w:r w:rsidRPr="000031DD">
        <w:rPr>
          <w:rFonts w:ascii="Verdana" w:hAnsi="Verdana"/>
          <w:spacing w:val="-16"/>
          <w:sz w:val="16"/>
          <w:szCs w:val="16"/>
        </w:rPr>
        <w:t xml:space="preserve"> </w:t>
      </w:r>
      <w:r w:rsidRPr="000031DD">
        <w:rPr>
          <w:rFonts w:ascii="Verdana" w:hAnsi="Verdana"/>
          <w:sz w:val="16"/>
          <w:szCs w:val="16"/>
        </w:rPr>
        <w:t>de</w:t>
      </w:r>
      <w:r w:rsidRPr="000031DD">
        <w:rPr>
          <w:rFonts w:ascii="Verdana" w:hAnsi="Verdana"/>
          <w:spacing w:val="-14"/>
          <w:sz w:val="16"/>
          <w:szCs w:val="16"/>
        </w:rPr>
        <w:t xml:space="preserve"> </w:t>
      </w:r>
      <w:r w:rsidRPr="000031DD">
        <w:rPr>
          <w:rFonts w:ascii="Verdana" w:hAnsi="Verdana"/>
          <w:sz w:val="16"/>
          <w:szCs w:val="16"/>
        </w:rPr>
        <w:t>24</w:t>
      </w:r>
      <w:r w:rsidRPr="000031DD">
        <w:rPr>
          <w:rFonts w:ascii="Verdana" w:hAnsi="Verdana"/>
          <w:spacing w:val="-13"/>
          <w:sz w:val="16"/>
          <w:szCs w:val="16"/>
        </w:rPr>
        <w:t xml:space="preserve"> </w:t>
      </w:r>
      <w:r w:rsidRPr="000031DD">
        <w:rPr>
          <w:rFonts w:ascii="Verdana" w:hAnsi="Verdana"/>
          <w:sz w:val="16"/>
          <w:szCs w:val="16"/>
        </w:rPr>
        <w:t>de</w:t>
      </w:r>
      <w:r w:rsidRPr="000031DD">
        <w:rPr>
          <w:rFonts w:ascii="Verdana" w:hAnsi="Verdana"/>
          <w:spacing w:val="-15"/>
          <w:sz w:val="16"/>
          <w:szCs w:val="16"/>
        </w:rPr>
        <w:t xml:space="preserve"> </w:t>
      </w:r>
      <w:r w:rsidRPr="000031DD">
        <w:rPr>
          <w:rFonts w:ascii="Verdana" w:hAnsi="Verdana"/>
          <w:sz w:val="16"/>
          <w:szCs w:val="16"/>
        </w:rPr>
        <w:t>noviembre</w:t>
      </w:r>
      <w:r w:rsidRPr="000031DD">
        <w:rPr>
          <w:rFonts w:ascii="Verdana" w:hAnsi="Verdana"/>
          <w:spacing w:val="-14"/>
          <w:sz w:val="16"/>
          <w:szCs w:val="16"/>
        </w:rPr>
        <w:t xml:space="preserve"> </w:t>
      </w:r>
      <w:r w:rsidRPr="000031DD">
        <w:rPr>
          <w:rFonts w:ascii="Verdana" w:hAnsi="Verdana"/>
          <w:sz w:val="16"/>
          <w:szCs w:val="16"/>
        </w:rPr>
        <w:t>de</w:t>
      </w:r>
      <w:r w:rsidRPr="000031DD">
        <w:rPr>
          <w:rFonts w:ascii="Verdana" w:hAnsi="Verdana"/>
          <w:spacing w:val="-14"/>
          <w:sz w:val="16"/>
          <w:szCs w:val="16"/>
        </w:rPr>
        <w:t xml:space="preserve"> </w:t>
      </w:r>
      <w:r w:rsidRPr="000031DD">
        <w:rPr>
          <w:rFonts w:ascii="Verdana" w:hAnsi="Verdana"/>
          <w:sz w:val="16"/>
          <w:szCs w:val="16"/>
        </w:rPr>
        <w:t>2009.</w:t>
      </w:r>
      <w:r w:rsidRPr="000031DD">
        <w:rPr>
          <w:rFonts w:ascii="Verdana" w:hAnsi="Verdana"/>
          <w:spacing w:val="-15"/>
          <w:sz w:val="16"/>
          <w:szCs w:val="16"/>
        </w:rPr>
        <w:t xml:space="preserve"> </w:t>
      </w:r>
      <w:r w:rsidRPr="000031DD">
        <w:rPr>
          <w:rFonts w:ascii="Verdana" w:hAnsi="Verdana"/>
          <w:sz w:val="16"/>
          <w:szCs w:val="16"/>
        </w:rPr>
        <w:t>Serie</w:t>
      </w:r>
      <w:r w:rsidRPr="000031DD">
        <w:rPr>
          <w:rFonts w:ascii="Verdana" w:hAnsi="Verdana"/>
          <w:spacing w:val="-15"/>
          <w:sz w:val="16"/>
          <w:szCs w:val="16"/>
        </w:rPr>
        <w:t xml:space="preserve"> </w:t>
      </w:r>
      <w:r w:rsidRPr="000031DD">
        <w:rPr>
          <w:rFonts w:ascii="Verdana" w:hAnsi="Verdana"/>
          <w:sz w:val="16"/>
          <w:szCs w:val="16"/>
        </w:rPr>
        <w:t>C</w:t>
      </w:r>
      <w:r w:rsidRPr="000031DD">
        <w:rPr>
          <w:rFonts w:ascii="Verdana" w:hAnsi="Verdana"/>
          <w:spacing w:val="-14"/>
          <w:sz w:val="16"/>
          <w:szCs w:val="16"/>
        </w:rPr>
        <w:t xml:space="preserve"> </w:t>
      </w:r>
      <w:r w:rsidRPr="000031DD">
        <w:rPr>
          <w:rFonts w:ascii="Verdana" w:hAnsi="Verdana"/>
          <w:sz w:val="16"/>
          <w:szCs w:val="16"/>
        </w:rPr>
        <w:t>No.</w:t>
      </w:r>
      <w:r w:rsidRPr="000031DD">
        <w:rPr>
          <w:rFonts w:ascii="Verdana" w:hAnsi="Verdana"/>
          <w:spacing w:val="-15"/>
          <w:sz w:val="16"/>
          <w:szCs w:val="16"/>
        </w:rPr>
        <w:t xml:space="preserve"> </w:t>
      </w:r>
      <w:r w:rsidRPr="000031DD">
        <w:rPr>
          <w:rFonts w:ascii="Verdana" w:hAnsi="Verdana"/>
          <w:sz w:val="16"/>
          <w:szCs w:val="16"/>
        </w:rPr>
        <w:t>211,</w:t>
      </w:r>
      <w:r w:rsidRPr="000031DD">
        <w:rPr>
          <w:rFonts w:ascii="Verdana" w:hAnsi="Verdana"/>
          <w:spacing w:val="-15"/>
          <w:sz w:val="16"/>
          <w:szCs w:val="16"/>
        </w:rPr>
        <w:t xml:space="preserve"> </w:t>
      </w:r>
      <w:r w:rsidRPr="000031DD">
        <w:rPr>
          <w:rFonts w:ascii="Verdana" w:hAnsi="Verdana"/>
          <w:sz w:val="16"/>
          <w:szCs w:val="16"/>
        </w:rPr>
        <w:t>párr.</w:t>
      </w:r>
      <w:r w:rsidRPr="000031DD">
        <w:rPr>
          <w:rFonts w:ascii="Verdana" w:hAnsi="Verdana"/>
          <w:spacing w:val="-14"/>
          <w:sz w:val="16"/>
          <w:szCs w:val="16"/>
        </w:rPr>
        <w:t xml:space="preserve"> </w:t>
      </w:r>
      <w:r w:rsidRPr="000031DD">
        <w:rPr>
          <w:rFonts w:ascii="Verdana" w:hAnsi="Verdana"/>
          <w:sz w:val="16"/>
          <w:szCs w:val="16"/>
        </w:rPr>
        <w:t>226,</w:t>
      </w:r>
      <w:r w:rsidRPr="000031DD">
        <w:rPr>
          <w:rFonts w:ascii="Verdana" w:hAnsi="Verdana"/>
          <w:spacing w:val="-18"/>
          <w:sz w:val="16"/>
          <w:szCs w:val="16"/>
        </w:rPr>
        <w:t xml:space="preserve"> </w:t>
      </w:r>
      <w:r w:rsidRPr="000031DD">
        <w:rPr>
          <w:rFonts w:ascii="Verdana" w:hAnsi="Verdana"/>
          <w:sz w:val="16"/>
          <w:szCs w:val="16"/>
        </w:rPr>
        <w:t>y</w:t>
      </w:r>
      <w:r w:rsidRPr="000031DD">
        <w:rPr>
          <w:rFonts w:ascii="Verdana" w:hAnsi="Verdana"/>
          <w:spacing w:val="-14"/>
          <w:sz w:val="16"/>
          <w:szCs w:val="16"/>
        </w:rPr>
        <w:t xml:space="preserve"> </w:t>
      </w:r>
      <w:bookmarkStart w:id="73" w:name="_bookmark189"/>
      <w:bookmarkEnd w:id="73"/>
      <w:r w:rsidR="00E11E49" w:rsidRPr="00E11E49">
        <w:rPr>
          <w:rFonts w:ascii="Verdana" w:hAnsi="Verdana" w:cs="Open Sans"/>
          <w:i/>
          <w:sz w:val="16"/>
          <w:szCs w:val="16"/>
          <w:shd w:val="clear" w:color="auto" w:fill="FFFFFF"/>
        </w:rPr>
        <w:t>Caso Pueblos Indígenas Maya Kaqchikel de Sumpango y otros Vs. Guatemala</w:t>
      </w:r>
      <w:r w:rsidR="00E11E49" w:rsidRPr="004C0882">
        <w:rPr>
          <w:rFonts w:ascii="Verdana" w:hAnsi="Verdana"/>
          <w:sz w:val="16"/>
          <w:szCs w:val="16"/>
        </w:rPr>
        <w:t xml:space="preserve">, párr. </w:t>
      </w:r>
      <w:r w:rsidR="00E11E49">
        <w:rPr>
          <w:rFonts w:ascii="Verdana" w:hAnsi="Verdana"/>
          <w:sz w:val="16"/>
          <w:szCs w:val="16"/>
        </w:rPr>
        <w:t>174</w:t>
      </w:r>
      <w:r w:rsidRPr="000031DD">
        <w:rPr>
          <w:rFonts w:ascii="Verdana" w:hAnsi="Verdana"/>
          <w:sz w:val="16"/>
          <w:szCs w:val="16"/>
        </w:rPr>
        <w:t>.</w:t>
      </w:r>
    </w:p>
    <w:p w14:paraId="0678E124" w14:textId="77777777" w:rsidR="00DD280C" w:rsidRPr="000031DD" w:rsidRDefault="00DD280C" w:rsidP="00342F65">
      <w:pPr>
        <w:spacing w:after="0"/>
        <w:jc w:val="both"/>
        <w:rPr>
          <w:rFonts w:ascii="Verdana" w:hAnsi="Verdana"/>
          <w:sz w:val="16"/>
          <w:szCs w:val="16"/>
        </w:rPr>
      </w:pPr>
    </w:p>
  </w:footnote>
  <w:footnote w:id="229">
    <w:p w14:paraId="6661DFAB" w14:textId="3A6807A7" w:rsidR="00DD280C" w:rsidRPr="00BE2698" w:rsidRDefault="00DD280C" w:rsidP="00342F65">
      <w:pPr>
        <w:spacing w:after="0"/>
        <w:jc w:val="both"/>
        <w:rPr>
          <w:rFonts w:ascii="Verdana" w:hAnsi="Verdana"/>
          <w:i/>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rPr>
        <w:t xml:space="preserve">Cfr. </w:t>
      </w:r>
      <w:r w:rsidRPr="00CF0778">
        <w:rPr>
          <w:rFonts w:ascii="Verdana" w:hAnsi="Verdana"/>
          <w:i/>
          <w:sz w:val="16"/>
          <w:szCs w:val="16"/>
        </w:rPr>
        <w:t xml:space="preserve">Caso Ticona Estrada y otros Vs. Bolivia. Fondo, Reparaciones y Costas. </w:t>
      </w:r>
      <w:r w:rsidRPr="00BE2698">
        <w:rPr>
          <w:rFonts w:ascii="Verdana" w:hAnsi="Verdana"/>
          <w:sz w:val="16"/>
          <w:szCs w:val="16"/>
        </w:rPr>
        <w:t>Sentencia de 27 de noviembre de 2008. Serie C No. 191</w:t>
      </w:r>
      <w:r w:rsidRPr="000031DD">
        <w:rPr>
          <w:rFonts w:ascii="Verdana" w:hAnsi="Verdana"/>
          <w:sz w:val="16"/>
          <w:szCs w:val="16"/>
        </w:rPr>
        <w:t xml:space="preserve">, párr. 110, y </w:t>
      </w:r>
      <w:r w:rsidR="00D17EA2" w:rsidRPr="00E11E49">
        <w:rPr>
          <w:rFonts w:ascii="Verdana" w:hAnsi="Verdana" w:cs="Open Sans"/>
          <w:i/>
          <w:sz w:val="16"/>
          <w:szCs w:val="16"/>
          <w:shd w:val="clear" w:color="auto" w:fill="FFFFFF"/>
        </w:rPr>
        <w:t>Caso Pueblos Indígenas Maya Kaqchikel de Sumpango y otros Vs. Guatemala</w:t>
      </w:r>
      <w:r w:rsidR="00D17EA2" w:rsidRPr="004C0882">
        <w:rPr>
          <w:rFonts w:ascii="Verdana" w:hAnsi="Verdana"/>
          <w:sz w:val="16"/>
          <w:szCs w:val="16"/>
        </w:rPr>
        <w:t xml:space="preserve">, párr. </w:t>
      </w:r>
      <w:r w:rsidR="00D17EA2">
        <w:rPr>
          <w:rFonts w:ascii="Verdana" w:hAnsi="Verdana"/>
          <w:sz w:val="16"/>
          <w:szCs w:val="16"/>
        </w:rPr>
        <w:t>175</w:t>
      </w:r>
      <w:r w:rsidRPr="000031DD">
        <w:rPr>
          <w:rFonts w:ascii="Verdana" w:hAnsi="Verdana"/>
          <w:sz w:val="16"/>
          <w:szCs w:val="16"/>
        </w:rPr>
        <w:t>.</w:t>
      </w:r>
    </w:p>
    <w:p w14:paraId="53CE88CC" w14:textId="77777777" w:rsidR="00DD280C" w:rsidRPr="000031DD" w:rsidRDefault="00DD280C" w:rsidP="00342F65">
      <w:pPr>
        <w:pStyle w:val="Textonotapie"/>
        <w:jc w:val="both"/>
        <w:rPr>
          <w:rFonts w:ascii="Verdana" w:hAnsi="Verdana"/>
          <w:sz w:val="16"/>
          <w:szCs w:val="16"/>
          <w:lang w:val="es-MX"/>
        </w:rPr>
      </w:pPr>
    </w:p>
  </w:footnote>
  <w:footnote w:id="230">
    <w:p w14:paraId="3562E69B" w14:textId="035D9021" w:rsidR="00DD280C" w:rsidRPr="00D17EA2" w:rsidRDefault="00DD280C" w:rsidP="00342F65">
      <w:pPr>
        <w:spacing w:after="0"/>
        <w:jc w:val="both"/>
        <w:rPr>
          <w:rFonts w:ascii="Verdana" w:hAnsi="Verdana"/>
          <w:i/>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rPr>
        <w:t>Cfr</w:t>
      </w:r>
      <w:r w:rsidRPr="000031DD">
        <w:rPr>
          <w:rFonts w:ascii="Verdana" w:hAnsi="Verdana"/>
          <w:sz w:val="16"/>
          <w:szCs w:val="16"/>
        </w:rPr>
        <w:t xml:space="preserve">. </w:t>
      </w:r>
      <w:r w:rsidRPr="000031DD">
        <w:rPr>
          <w:rFonts w:ascii="Verdana" w:hAnsi="Verdana"/>
          <w:i/>
          <w:sz w:val="16"/>
          <w:szCs w:val="16"/>
        </w:rPr>
        <w:t>Caso Velásquez Rodríguez Vs. Honduras. Reparaciones y Costas</w:t>
      </w:r>
      <w:r w:rsidRPr="000031DD">
        <w:rPr>
          <w:rFonts w:ascii="Verdana" w:hAnsi="Verdana"/>
          <w:sz w:val="16"/>
          <w:szCs w:val="16"/>
        </w:rPr>
        <w:t xml:space="preserve">, </w:t>
      </w:r>
      <w:proofErr w:type="spellStart"/>
      <w:r w:rsidRPr="000031DD">
        <w:rPr>
          <w:rFonts w:ascii="Verdana" w:hAnsi="Verdana"/>
          <w:sz w:val="16"/>
          <w:szCs w:val="16"/>
        </w:rPr>
        <w:t>párrs</w:t>
      </w:r>
      <w:proofErr w:type="spellEnd"/>
      <w:r w:rsidRPr="000031DD">
        <w:rPr>
          <w:rFonts w:ascii="Verdana" w:hAnsi="Verdana"/>
          <w:sz w:val="16"/>
          <w:szCs w:val="16"/>
        </w:rPr>
        <w:t xml:space="preserve">. 25 a 27, </w:t>
      </w:r>
      <w:r w:rsidR="00D17EA2" w:rsidRPr="00E11E49">
        <w:rPr>
          <w:rFonts w:ascii="Verdana" w:hAnsi="Verdana" w:cs="Open Sans"/>
          <w:i/>
          <w:sz w:val="16"/>
          <w:szCs w:val="16"/>
          <w:shd w:val="clear" w:color="auto" w:fill="FFFFFF"/>
        </w:rPr>
        <w:t>Caso Pueblos Indígenas Maya Kaqchikel de Sumpango y otros Vs. Guatemala</w:t>
      </w:r>
      <w:r w:rsidR="00D17EA2" w:rsidRPr="004C0882">
        <w:rPr>
          <w:rFonts w:ascii="Verdana" w:hAnsi="Verdana"/>
          <w:sz w:val="16"/>
          <w:szCs w:val="16"/>
        </w:rPr>
        <w:t xml:space="preserve">, párr. </w:t>
      </w:r>
      <w:r w:rsidR="00D17EA2">
        <w:rPr>
          <w:rFonts w:ascii="Verdana" w:hAnsi="Verdana"/>
          <w:sz w:val="16"/>
          <w:szCs w:val="16"/>
        </w:rPr>
        <w:t>176</w:t>
      </w:r>
      <w:r w:rsidR="00D17EA2" w:rsidRPr="000031DD">
        <w:rPr>
          <w:rFonts w:ascii="Verdana" w:hAnsi="Verdana"/>
          <w:sz w:val="16"/>
          <w:szCs w:val="16"/>
        </w:rPr>
        <w:t>.</w:t>
      </w:r>
    </w:p>
    <w:p w14:paraId="2E35A2C0" w14:textId="77777777" w:rsidR="00DD280C" w:rsidRPr="000031DD" w:rsidRDefault="00DD280C" w:rsidP="00342F65">
      <w:pPr>
        <w:pStyle w:val="Textonotapie"/>
        <w:jc w:val="both"/>
        <w:rPr>
          <w:rFonts w:ascii="Verdana" w:hAnsi="Verdana"/>
          <w:sz w:val="16"/>
          <w:szCs w:val="16"/>
          <w:lang w:val="es-MX"/>
        </w:rPr>
      </w:pPr>
    </w:p>
  </w:footnote>
  <w:footnote w:id="231">
    <w:p w14:paraId="5AB15C71" w14:textId="77777777" w:rsidR="00DD280C" w:rsidRPr="000031DD" w:rsidRDefault="00DD280C" w:rsidP="00342F65">
      <w:pPr>
        <w:pStyle w:val="Textonotapie"/>
        <w:jc w:val="both"/>
        <w:rPr>
          <w:rFonts w:ascii="Verdana" w:hAnsi="Verdana"/>
          <w:sz w:val="16"/>
          <w:szCs w:val="16"/>
        </w:rPr>
      </w:pPr>
      <w:r>
        <w:rPr>
          <w:rStyle w:val="Refdenotaalpie"/>
        </w:rPr>
        <w:footnoteRef/>
      </w:r>
      <w:r>
        <w:t xml:space="preserve">  </w:t>
      </w:r>
      <w:r>
        <w:tab/>
      </w:r>
      <w:r w:rsidRPr="000031DD">
        <w:rPr>
          <w:rFonts w:ascii="Verdana" w:hAnsi="Verdana"/>
          <w:sz w:val="16"/>
          <w:szCs w:val="16"/>
        </w:rPr>
        <w:t xml:space="preserve">El Fiscal Especializado mencionó también, ejemplificando lo anterior, que en la investigación sobre “el caso </w:t>
      </w:r>
      <w:proofErr w:type="spellStart"/>
      <w:r w:rsidRPr="000031DD">
        <w:rPr>
          <w:rFonts w:ascii="Verdana" w:hAnsi="Verdana"/>
          <w:sz w:val="16"/>
          <w:szCs w:val="16"/>
        </w:rPr>
        <w:t>Tassino</w:t>
      </w:r>
      <w:proofErr w:type="spellEnd"/>
      <w:r w:rsidRPr="000031DD">
        <w:rPr>
          <w:rFonts w:ascii="Verdana" w:hAnsi="Verdana"/>
          <w:sz w:val="16"/>
          <w:szCs w:val="16"/>
        </w:rPr>
        <w:t xml:space="preserve">” la “defensa de uno de los oficiales que hoy se encuentra procesado con prisión planteó en tres ocasiones la excepción de inconstitucionalidad de la ley 18831”. También refirió que “en distintas ocasiones [la Fiscalía Especializada] </w:t>
      </w:r>
      <w:proofErr w:type="spellStart"/>
      <w:r w:rsidRPr="000031DD">
        <w:rPr>
          <w:rFonts w:ascii="Verdana" w:hAnsi="Verdana"/>
          <w:sz w:val="16"/>
          <w:szCs w:val="16"/>
        </w:rPr>
        <w:t>tuv</w:t>
      </w:r>
      <w:proofErr w:type="spellEnd"/>
      <w:r w:rsidRPr="000031DD">
        <w:rPr>
          <w:rFonts w:ascii="Verdana" w:hAnsi="Verdana"/>
          <w:sz w:val="16"/>
          <w:szCs w:val="16"/>
        </w:rPr>
        <w:t>[o] que plantear recurso</w:t>
      </w:r>
      <w:r>
        <w:rPr>
          <w:rFonts w:ascii="Verdana" w:hAnsi="Verdana"/>
          <w:sz w:val="16"/>
          <w:szCs w:val="16"/>
        </w:rPr>
        <w:t>s</w:t>
      </w:r>
      <w:r w:rsidRPr="000031DD">
        <w:rPr>
          <w:rFonts w:ascii="Verdana" w:hAnsi="Verdana"/>
          <w:sz w:val="16"/>
          <w:szCs w:val="16"/>
        </w:rPr>
        <w:t xml:space="preserve"> de distinta naturaleza para que no se suspendieran las causas”, lo que tuvo “respuesta[s] de distinta naturaleza”. El perito </w:t>
      </w:r>
      <w:proofErr w:type="spellStart"/>
      <w:r w:rsidRPr="000031DD">
        <w:rPr>
          <w:rFonts w:ascii="Verdana" w:hAnsi="Verdana"/>
          <w:sz w:val="16"/>
          <w:szCs w:val="16"/>
        </w:rPr>
        <w:t>Chargoñia</w:t>
      </w:r>
      <w:proofErr w:type="spellEnd"/>
      <w:r w:rsidRPr="000031DD">
        <w:rPr>
          <w:rFonts w:ascii="Verdana" w:hAnsi="Verdana"/>
          <w:sz w:val="16"/>
          <w:szCs w:val="16"/>
        </w:rPr>
        <w:t xml:space="preserve">, en el mismo sentido, señaló que </w:t>
      </w:r>
      <w:proofErr w:type="gramStart"/>
      <w:r w:rsidRPr="000031DD">
        <w:rPr>
          <w:rFonts w:ascii="Verdana" w:hAnsi="Verdana"/>
          <w:sz w:val="16"/>
          <w:szCs w:val="16"/>
        </w:rPr>
        <w:t>de acuerdo a</w:t>
      </w:r>
      <w:proofErr w:type="gramEnd"/>
      <w:r w:rsidRPr="000031DD">
        <w:rPr>
          <w:rFonts w:ascii="Verdana" w:hAnsi="Verdana"/>
          <w:sz w:val="16"/>
          <w:szCs w:val="16"/>
        </w:rPr>
        <w:t xml:space="preserve"> información de la Fiscalía Especializada, de 140 causas solo en 23 “se ha iniciado un juicio” y solo en 14 ha habido condena, por lo que “un 84% de las causas vinculadas a crímenes de lesa humanidad transcurren en la lentitud del </w:t>
      </w:r>
      <w:proofErr w:type="spellStart"/>
      <w:r w:rsidRPr="000031DD">
        <w:rPr>
          <w:rFonts w:ascii="Verdana" w:hAnsi="Verdana"/>
          <w:sz w:val="16"/>
          <w:szCs w:val="16"/>
        </w:rPr>
        <w:t>presumario</w:t>
      </w:r>
      <w:proofErr w:type="spellEnd"/>
      <w:r w:rsidRPr="000031DD">
        <w:rPr>
          <w:rFonts w:ascii="Verdana" w:hAnsi="Verdana"/>
          <w:sz w:val="16"/>
          <w:szCs w:val="16"/>
        </w:rPr>
        <w:t>, una etapa previa al juicio propiamente dicho que se ve desnaturalizado por las sucesiones en cascada [de acciones] con evidente intención dilatoria de los indagados y sus defensas”</w:t>
      </w:r>
      <w:r>
        <w:rPr>
          <w:rFonts w:ascii="Verdana" w:hAnsi="Verdana"/>
          <w:sz w:val="16"/>
          <w:szCs w:val="16"/>
        </w:rPr>
        <w:t>.</w:t>
      </w:r>
      <w:r w:rsidRPr="000031DD">
        <w:rPr>
          <w:rFonts w:ascii="Verdana" w:hAnsi="Verdana"/>
          <w:sz w:val="16"/>
          <w:szCs w:val="16"/>
        </w:rPr>
        <w:t xml:space="preserve"> Además, mencionó que “los </w:t>
      </w:r>
      <w:proofErr w:type="spellStart"/>
      <w:r w:rsidRPr="000031DD">
        <w:rPr>
          <w:rFonts w:ascii="Verdana" w:hAnsi="Verdana"/>
          <w:sz w:val="16"/>
          <w:szCs w:val="16"/>
        </w:rPr>
        <w:t>presumarios</w:t>
      </w:r>
      <w:proofErr w:type="spellEnd"/>
      <w:r w:rsidRPr="000031DD">
        <w:rPr>
          <w:rFonts w:ascii="Verdana" w:hAnsi="Verdana"/>
          <w:sz w:val="16"/>
          <w:szCs w:val="16"/>
        </w:rPr>
        <w:t xml:space="preserve"> en caso de graves violaciones a los derechos humanos tiene un promedio de [duración de] 10 años” que “supera ampliamente” el tiempo de “</w:t>
      </w:r>
      <w:proofErr w:type="spellStart"/>
      <w:r w:rsidRPr="000031DD">
        <w:rPr>
          <w:rFonts w:ascii="Verdana" w:hAnsi="Verdana"/>
          <w:sz w:val="16"/>
          <w:szCs w:val="16"/>
        </w:rPr>
        <w:t>presumarios</w:t>
      </w:r>
      <w:proofErr w:type="spellEnd"/>
      <w:r w:rsidRPr="000031DD">
        <w:rPr>
          <w:rFonts w:ascii="Verdana" w:hAnsi="Verdana"/>
          <w:sz w:val="16"/>
          <w:szCs w:val="16"/>
        </w:rPr>
        <w:t xml:space="preserve"> de delitos ordinarios”. </w:t>
      </w:r>
      <w:r w:rsidRPr="00BE2698">
        <w:rPr>
          <w:rFonts w:ascii="Verdana" w:hAnsi="Verdana"/>
          <w:sz w:val="16"/>
          <w:szCs w:val="16"/>
        </w:rPr>
        <w:t>Explicó que también “[e]</w:t>
      </w:r>
      <w:r w:rsidRPr="000031DD">
        <w:rPr>
          <w:rFonts w:ascii="Verdana" w:hAnsi="Verdana"/>
          <w:sz w:val="16"/>
          <w:szCs w:val="16"/>
        </w:rPr>
        <w:t xml:space="preserve">s una constante la demora entre el pedido de procesamiento fiscal y la resolución judicial”, siendo que entre uno y otro acto “en algunos casos pasan meses y en otros casos pasan años”. </w:t>
      </w:r>
    </w:p>
    <w:p w14:paraId="613439D5" w14:textId="77777777" w:rsidR="00DD280C" w:rsidRPr="00BE2698" w:rsidRDefault="00DD280C" w:rsidP="00342F65">
      <w:pPr>
        <w:pStyle w:val="Textonotapie"/>
        <w:rPr>
          <w:rFonts w:ascii="Verdana" w:hAnsi="Verdana"/>
          <w:sz w:val="16"/>
          <w:szCs w:val="16"/>
        </w:rPr>
      </w:pPr>
    </w:p>
  </w:footnote>
  <w:footnote w:id="232">
    <w:p w14:paraId="2B9B97F7" w14:textId="13F078E5" w:rsidR="00DD280C" w:rsidRPr="00563583" w:rsidRDefault="00DD280C" w:rsidP="00342F65">
      <w:pPr>
        <w:pStyle w:val="Textonotapie"/>
        <w:jc w:val="both"/>
        <w:rPr>
          <w:rFonts w:ascii="Verdana" w:hAnsi="Verdana"/>
          <w:sz w:val="16"/>
          <w:szCs w:val="16"/>
        </w:rPr>
      </w:pPr>
      <w:r w:rsidRPr="00563583">
        <w:rPr>
          <w:rStyle w:val="Refdenotaalpie"/>
          <w:rFonts w:ascii="Verdana" w:hAnsi="Verdana"/>
          <w:sz w:val="16"/>
          <w:szCs w:val="16"/>
        </w:rPr>
        <w:footnoteRef/>
      </w:r>
      <w:r w:rsidRPr="00563583">
        <w:rPr>
          <w:rFonts w:ascii="Verdana" w:hAnsi="Verdana"/>
          <w:sz w:val="16"/>
          <w:szCs w:val="16"/>
        </w:rPr>
        <w:t xml:space="preserve">  </w:t>
      </w:r>
      <w:r w:rsidRPr="00563583">
        <w:rPr>
          <w:rFonts w:ascii="Verdana" w:hAnsi="Verdana"/>
          <w:sz w:val="16"/>
          <w:szCs w:val="16"/>
        </w:rPr>
        <w:tab/>
      </w:r>
      <w:r w:rsidRPr="00BE2698">
        <w:rPr>
          <w:rFonts w:ascii="Verdana" w:hAnsi="Verdana"/>
          <w:i/>
          <w:sz w:val="16"/>
          <w:szCs w:val="16"/>
        </w:rPr>
        <w:t>Caso Gelman Vs. Uruguay. Fondo y Reparaciones</w:t>
      </w:r>
      <w:r w:rsidRPr="00563583">
        <w:rPr>
          <w:rFonts w:ascii="Verdana" w:hAnsi="Verdana"/>
          <w:sz w:val="16"/>
          <w:szCs w:val="16"/>
        </w:rPr>
        <w:t xml:space="preserve">, </w:t>
      </w:r>
      <w:proofErr w:type="spellStart"/>
      <w:r w:rsidRPr="00563583">
        <w:rPr>
          <w:rFonts w:ascii="Verdana" w:hAnsi="Verdana"/>
          <w:sz w:val="16"/>
          <w:szCs w:val="16"/>
        </w:rPr>
        <w:t>párr</w:t>
      </w:r>
      <w:proofErr w:type="spellEnd"/>
      <w:r w:rsidRPr="00563583">
        <w:rPr>
          <w:rFonts w:ascii="Verdana" w:hAnsi="Verdana"/>
          <w:sz w:val="16"/>
          <w:szCs w:val="16"/>
        </w:rPr>
        <w:t xml:space="preserve"> 253. </w:t>
      </w:r>
    </w:p>
    <w:p w14:paraId="0B21B4AD" w14:textId="77777777" w:rsidR="00DD280C" w:rsidRPr="00563583" w:rsidRDefault="00DD280C" w:rsidP="00342F65">
      <w:pPr>
        <w:pStyle w:val="Textonotapie"/>
        <w:jc w:val="both"/>
        <w:rPr>
          <w:rFonts w:ascii="Verdana" w:hAnsi="Verdana"/>
          <w:sz w:val="16"/>
          <w:szCs w:val="16"/>
        </w:rPr>
      </w:pPr>
    </w:p>
  </w:footnote>
  <w:footnote w:id="233">
    <w:p w14:paraId="271D1170" w14:textId="77777777" w:rsidR="00DD280C" w:rsidRPr="00BE2698" w:rsidRDefault="00DD280C" w:rsidP="00342F65">
      <w:pPr>
        <w:pStyle w:val="Textonotapie"/>
        <w:jc w:val="both"/>
        <w:rPr>
          <w:rFonts w:ascii="Verdana" w:hAnsi="Verdana"/>
          <w:sz w:val="16"/>
          <w:szCs w:val="16"/>
        </w:rPr>
      </w:pPr>
      <w:r w:rsidRPr="00BE2698">
        <w:rPr>
          <w:rStyle w:val="Refdenotaalpie"/>
          <w:rFonts w:ascii="Verdana" w:hAnsi="Verdana"/>
          <w:sz w:val="16"/>
          <w:szCs w:val="16"/>
        </w:rPr>
        <w:footnoteRef/>
      </w:r>
      <w:r w:rsidRPr="00BE2698">
        <w:rPr>
          <w:rFonts w:ascii="Verdana" w:hAnsi="Verdana"/>
          <w:sz w:val="16"/>
          <w:szCs w:val="16"/>
        </w:rPr>
        <w:t xml:space="preserve">  </w:t>
      </w:r>
      <w:r w:rsidRPr="00BE2698">
        <w:rPr>
          <w:rFonts w:ascii="Verdana" w:hAnsi="Verdana"/>
          <w:sz w:val="16"/>
          <w:szCs w:val="16"/>
        </w:rPr>
        <w:tab/>
      </w:r>
      <w:r w:rsidRPr="00BE2698">
        <w:rPr>
          <w:rFonts w:ascii="Verdana" w:hAnsi="Verdana"/>
          <w:i/>
          <w:sz w:val="16"/>
          <w:szCs w:val="16"/>
        </w:rPr>
        <w:t>Caso Gelman Vs. Uruguay. Supervisión de Cumplimiento de Sentencia.</w:t>
      </w:r>
      <w:r w:rsidRPr="00A67132">
        <w:rPr>
          <w:rFonts w:ascii="Verdana" w:hAnsi="Verdana"/>
          <w:sz w:val="16"/>
          <w:szCs w:val="16"/>
        </w:rPr>
        <w:t xml:space="preserve"> Resolución de la Corte Interamericana de Derechos Humanos de 20 de marzo de 2013</w:t>
      </w:r>
      <w:r w:rsidRPr="00BE2698">
        <w:rPr>
          <w:rFonts w:ascii="Verdana" w:hAnsi="Verdana"/>
          <w:sz w:val="16"/>
          <w:szCs w:val="16"/>
        </w:rPr>
        <w:t>, Considerando 101.</w:t>
      </w:r>
    </w:p>
    <w:p w14:paraId="2132BF32" w14:textId="77777777" w:rsidR="00DD280C" w:rsidRPr="00BE2698" w:rsidRDefault="00DD280C" w:rsidP="00342F65">
      <w:pPr>
        <w:pStyle w:val="Textonotapie"/>
        <w:rPr>
          <w:rFonts w:ascii="Verdana" w:hAnsi="Verdana"/>
          <w:sz w:val="16"/>
          <w:szCs w:val="16"/>
        </w:rPr>
      </w:pPr>
    </w:p>
  </w:footnote>
  <w:footnote w:id="234">
    <w:p w14:paraId="32DD9BE9" w14:textId="77777777" w:rsidR="00DD280C" w:rsidRPr="00BE2698" w:rsidRDefault="00DD280C" w:rsidP="00342F65">
      <w:pPr>
        <w:pStyle w:val="Textonotapie"/>
        <w:jc w:val="both"/>
        <w:rPr>
          <w:rFonts w:ascii="Verdana" w:hAnsi="Verdana"/>
          <w:sz w:val="16"/>
          <w:szCs w:val="16"/>
        </w:rPr>
      </w:pPr>
      <w:r w:rsidRPr="00BE2698">
        <w:rPr>
          <w:rStyle w:val="Refdenotaalpie"/>
          <w:rFonts w:ascii="Verdana" w:hAnsi="Verdana"/>
          <w:sz w:val="16"/>
          <w:szCs w:val="16"/>
        </w:rPr>
        <w:footnoteRef/>
      </w:r>
      <w:r w:rsidRPr="00BE2698">
        <w:rPr>
          <w:rFonts w:ascii="Verdana" w:hAnsi="Verdana"/>
          <w:sz w:val="16"/>
          <w:szCs w:val="16"/>
        </w:rPr>
        <w:t xml:space="preserve">  </w:t>
      </w:r>
      <w:r w:rsidRPr="00BE2698">
        <w:rPr>
          <w:rFonts w:ascii="Verdana" w:hAnsi="Verdana"/>
          <w:sz w:val="16"/>
          <w:szCs w:val="16"/>
        </w:rPr>
        <w:tab/>
      </w:r>
      <w:r w:rsidRPr="00E34247">
        <w:rPr>
          <w:rFonts w:ascii="Verdana" w:hAnsi="Verdana"/>
          <w:i/>
          <w:sz w:val="16"/>
          <w:szCs w:val="16"/>
        </w:rPr>
        <w:t>Caso Gelman Vs. Uruguay. Supervisión de Cumplimiento de Sentencia.</w:t>
      </w:r>
      <w:r w:rsidRPr="00A67132">
        <w:rPr>
          <w:rFonts w:ascii="Verdana" w:hAnsi="Verdana"/>
          <w:sz w:val="16"/>
          <w:szCs w:val="16"/>
        </w:rPr>
        <w:t xml:space="preserve"> Resolución de la Corte Interamericana de Derechos Humanos de 20 de marzo de 2013</w:t>
      </w:r>
      <w:r w:rsidRPr="00BE2698">
        <w:rPr>
          <w:rFonts w:ascii="Verdana" w:hAnsi="Verdana"/>
          <w:sz w:val="16"/>
          <w:szCs w:val="16"/>
        </w:rPr>
        <w:t>, Considerando 94.</w:t>
      </w:r>
    </w:p>
    <w:p w14:paraId="7AB2FCB4" w14:textId="77777777" w:rsidR="00DD280C" w:rsidRPr="00BE2698" w:rsidRDefault="00DD280C" w:rsidP="00342F65">
      <w:pPr>
        <w:pStyle w:val="Textonotapie"/>
        <w:rPr>
          <w:rFonts w:ascii="Verdana" w:hAnsi="Verdana"/>
          <w:sz w:val="16"/>
          <w:szCs w:val="16"/>
        </w:rPr>
      </w:pPr>
    </w:p>
  </w:footnote>
  <w:footnote w:id="235">
    <w:p w14:paraId="3F957509" w14:textId="77777777" w:rsidR="00DD280C" w:rsidRPr="00BE2698" w:rsidRDefault="00DD280C" w:rsidP="00342F65">
      <w:pPr>
        <w:pStyle w:val="Textonotapie"/>
        <w:jc w:val="both"/>
        <w:rPr>
          <w:rFonts w:ascii="Verdana" w:hAnsi="Verdana"/>
          <w:sz w:val="16"/>
          <w:szCs w:val="16"/>
        </w:rPr>
      </w:pPr>
      <w:r w:rsidRPr="00BE2698">
        <w:rPr>
          <w:rStyle w:val="Refdenotaalpie"/>
          <w:rFonts w:ascii="Verdana" w:hAnsi="Verdana"/>
          <w:sz w:val="16"/>
          <w:szCs w:val="16"/>
        </w:rPr>
        <w:footnoteRef/>
      </w:r>
      <w:r w:rsidRPr="00BE2698">
        <w:rPr>
          <w:rFonts w:ascii="Verdana" w:hAnsi="Verdana"/>
          <w:sz w:val="16"/>
          <w:szCs w:val="16"/>
        </w:rPr>
        <w:t xml:space="preserve">  </w:t>
      </w:r>
      <w:r w:rsidRPr="00BE2698">
        <w:rPr>
          <w:rFonts w:ascii="Verdana" w:hAnsi="Verdana"/>
          <w:sz w:val="16"/>
          <w:szCs w:val="16"/>
        </w:rPr>
        <w:tab/>
      </w:r>
      <w:r w:rsidRPr="00E34247">
        <w:rPr>
          <w:rFonts w:ascii="Verdana" w:hAnsi="Verdana"/>
          <w:i/>
          <w:sz w:val="16"/>
          <w:szCs w:val="16"/>
        </w:rPr>
        <w:t>Caso Gelman Vs. Uruguay. Supervisión de Cumplimiento de Sentencia.</w:t>
      </w:r>
      <w:r w:rsidRPr="00A67132">
        <w:rPr>
          <w:rFonts w:ascii="Verdana" w:hAnsi="Verdana"/>
          <w:sz w:val="16"/>
          <w:szCs w:val="16"/>
        </w:rPr>
        <w:t xml:space="preserve"> Resolución de la Corte Interamericana de Derechos Humanos de 20 de marzo de 2013</w:t>
      </w:r>
      <w:r w:rsidRPr="00BE2698">
        <w:rPr>
          <w:rFonts w:ascii="Verdana" w:hAnsi="Verdana"/>
          <w:sz w:val="16"/>
          <w:szCs w:val="16"/>
        </w:rPr>
        <w:t>, Considerando 98.</w:t>
      </w:r>
    </w:p>
    <w:p w14:paraId="63B7A69F" w14:textId="77777777" w:rsidR="00DD280C" w:rsidRPr="00BE2698" w:rsidRDefault="00DD280C" w:rsidP="00342F65">
      <w:pPr>
        <w:pStyle w:val="Textonotapie"/>
        <w:rPr>
          <w:rFonts w:ascii="Verdana" w:hAnsi="Verdana"/>
          <w:sz w:val="16"/>
          <w:szCs w:val="16"/>
        </w:rPr>
      </w:pPr>
    </w:p>
  </w:footnote>
  <w:footnote w:id="236">
    <w:p w14:paraId="177FFF20" w14:textId="7FB1B9D6" w:rsidR="00DD280C" w:rsidRPr="00381932" w:rsidRDefault="00DD280C" w:rsidP="00342F65">
      <w:pPr>
        <w:pStyle w:val="Textonotapie"/>
        <w:jc w:val="both"/>
        <w:rPr>
          <w:rFonts w:ascii="Verdana" w:hAnsi="Verdana"/>
          <w:sz w:val="16"/>
          <w:szCs w:val="16"/>
        </w:rPr>
      </w:pPr>
      <w:r w:rsidRPr="00381932">
        <w:rPr>
          <w:rStyle w:val="Refdenotaalpie"/>
          <w:rFonts w:ascii="Verdana" w:hAnsi="Verdana"/>
          <w:sz w:val="16"/>
          <w:szCs w:val="16"/>
        </w:rPr>
        <w:footnoteRef/>
      </w:r>
      <w:r w:rsidRPr="00381932">
        <w:rPr>
          <w:rFonts w:ascii="Verdana" w:hAnsi="Verdana"/>
          <w:sz w:val="16"/>
          <w:szCs w:val="16"/>
        </w:rPr>
        <w:t xml:space="preserve"> </w:t>
      </w:r>
      <w:r w:rsidRPr="00381932">
        <w:rPr>
          <w:rFonts w:ascii="Verdana" w:hAnsi="Verdana"/>
          <w:sz w:val="16"/>
          <w:szCs w:val="16"/>
        </w:rPr>
        <w:tab/>
      </w:r>
      <w:r w:rsidRPr="00E34247">
        <w:rPr>
          <w:rFonts w:ascii="Verdana" w:hAnsi="Verdana"/>
          <w:i/>
          <w:sz w:val="16"/>
          <w:szCs w:val="16"/>
        </w:rPr>
        <w:t>Caso Gelman Vs. Uruguay. Fondo y Reparaciones</w:t>
      </w:r>
      <w:r w:rsidRPr="00381932">
        <w:rPr>
          <w:rFonts w:ascii="Verdana" w:hAnsi="Verdana"/>
          <w:sz w:val="16"/>
          <w:szCs w:val="16"/>
        </w:rPr>
        <w:t xml:space="preserve">, párr. 255. </w:t>
      </w:r>
    </w:p>
    <w:p w14:paraId="246B2E8A" w14:textId="77777777" w:rsidR="00DD280C" w:rsidRPr="00381932" w:rsidRDefault="00DD280C" w:rsidP="00342F65">
      <w:pPr>
        <w:pStyle w:val="Textonotapie"/>
        <w:jc w:val="both"/>
        <w:rPr>
          <w:rFonts w:ascii="Verdana" w:hAnsi="Verdana"/>
          <w:sz w:val="16"/>
          <w:szCs w:val="16"/>
        </w:rPr>
      </w:pPr>
    </w:p>
  </w:footnote>
  <w:footnote w:id="237">
    <w:p w14:paraId="3EE53BA6" w14:textId="027B1B38" w:rsidR="00DD280C" w:rsidRPr="00381932" w:rsidRDefault="00DD280C" w:rsidP="00342F65">
      <w:pPr>
        <w:pStyle w:val="Textonotapie"/>
        <w:jc w:val="both"/>
        <w:rPr>
          <w:rFonts w:ascii="Verdana" w:hAnsi="Verdana"/>
          <w:sz w:val="16"/>
          <w:szCs w:val="16"/>
        </w:rPr>
      </w:pPr>
      <w:r w:rsidRPr="00381932">
        <w:rPr>
          <w:rStyle w:val="Refdenotaalpie"/>
          <w:rFonts w:ascii="Verdana" w:hAnsi="Verdana"/>
          <w:sz w:val="16"/>
          <w:szCs w:val="16"/>
        </w:rPr>
        <w:footnoteRef/>
      </w:r>
      <w:r w:rsidRPr="00381932">
        <w:rPr>
          <w:rFonts w:ascii="Verdana" w:hAnsi="Verdana"/>
          <w:sz w:val="16"/>
          <w:szCs w:val="16"/>
        </w:rPr>
        <w:t xml:space="preserve">  </w:t>
      </w:r>
      <w:r w:rsidRPr="00381932">
        <w:rPr>
          <w:rFonts w:ascii="Verdana" w:hAnsi="Verdana"/>
          <w:sz w:val="16"/>
          <w:szCs w:val="16"/>
        </w:rPr>
        <w:tab/>
        <w:t xml:space="preserve">En el mismo sentido, </w:t>
      </w:r>
      <w:r w:rsidRPr="00BE2698">
        <w:rPr>
          <w:rFonts w:ascii="Verdana" w:hAnsi="Verdana"/>
          <w:i/>
          <w:sz w:val="16"/>
          <w:szCs w:val="16"/>
        </w:rPr>
        <w:t>Caso de la Masacre de Las Dos Erres Vs. Guatemala</w:t>
      </w:r>
      <w:r w:rsidRPr="00381932">
        <w:rPr>
          <w:rFonts w:ascii="Verdana" w:hAnsi="Verdana"/>
          <w:sz w:val="16"/>
          <w:szCs w:val="16"/>
        </w:rPr>
        <w:t xml:space="preserve">, párr. 233. </w:t>
      </w:r>
    </w:p>
    <w:p w14:paraId="7B2E2F22" w14:textId="77777777" w:rsidR="00DD280C" w:rsidRPr="00381932" w:rsidRDefault="00DD280C" w:rsidP="00342F65">
      <w:pPr>
        <w:pStyle w:val="Textonotapie"/>
        <w:jc w:val="both"/>
        <w:rPr>
          <w:rFonts w:ascii="Verdana" w:hAnsi="Verdana"/>
          <w:sz w:val="16"/>
          <w:szCs w:val="16"/>
        </w:rPr>
      </w:pPr>
    </w:p>
  </w:footnote>
  <w:footnote w:id="238">
    <w:p w14:paraId="35D337C5" w14:textId="77777777" w:rsidR="00DD280C" w:rsidRPr="00BE2698" w:rsidRDefault="00DD280C" w:rsidP="00342F65">
      <w:pPr>
        <w:pStyle w:val="Textonotapie"/>
        <w:jc w:val="both"/>
        <w:rPr>
          <w:rFonts w:ascii="Verdana" w:hAnsi="Verdana"/>
          <w:sz w:val="16"/>
          <w:szCs w:val="16"/>
        </w:rPr>
      </w:pPr>
      <w:r w:rsidRPr="00BE2698">
        <w:rPr>
          <w:rStyle w:val="Refdenotaalpie"/>
          <w:rFonts w:ascii="Verdana" w:hAnsi="Verdana"/>
          <w:sz w:val="16"/>
          <w:szCs w:val="16"/>
        </w:rPr>
        <w:footnoteRef/>
      </w:r>
      <w:r w:rsidRPr="00BE2698">
        <w:rPr>
          <w:rFonts w:ascii="Verdana" w:hAnsi="Verdana"/>
          <w:sz w:val="16"/>
          <w:szCs w:val="16"/>
        </w:rPr>
        <w:t xml:space="preserve">  </w:t>
      </w:r>
      <w:r w:rsidRPr="00BE2698">
        <w:rPr>
          <w:rFonts w:ascii="Verdana" w:hAnsi="Verdana"/>
          <w:sz w:val="16"/>
          <w:szCs w:val="16"/>
        </w:rPr>
        <w:tab/>
      </w:r>
      <w:r w:rsidRPr="00BE2698">
        <w:rPr>
          <w:rFonts w:ascii="Verdana" w:hAnsi="Verdana"/>
          <w:i/>
          <w:sz w:val="16"/>
          <w:szCs w:val="16"/>
        </w:rPr>
        <w:t>Caso Gelman Vs. Uruguay. Supervisión de Cumplimiento de Sentencia</w:t>
      </w:r>
      <w:r w:rsidRPr="005970D0">
        <w:rPr>
          <w:rFonts w:ascii="Verdana" w:hAnsi="Verdana"/>
          <w:sz w:val="16"/>
          <w:szCs w:val="16"/>
        </w:rPr>
        <w:t>. Resolución de la Corte Interamericana de Derechos Humanos de 19 de noviembre de 2020</w:t>
      </w:r>
      <w:r w:rsidRPr="00BE2698">
        <w:rPr>
          <w:rFonts w:ascii="Verdana" w:hAnsi="Verdana"/>
          <w:sz w:val="16"/>
          <w:szCs w:val="16"/>
        </w:rPr>
        <w:t xml:space="preserve">, Considerando 10. </w:t>
      </w:r>
    </w:p>
    <w:p w14:paraId="030F4355" w14:textId="77777777" w:rsidR="00DD280C" w:rsidRPr="00BE2698" w:rsidRDefault="00DD280C" w:rsidP="00342F65">
      <w:pPr>
        <w:pStyle w:val="Textonotapie"/>
        <w:rPr>
          <w:rFonts w:ascii="Verdana" w:hAnsi="Verdana"/>
          <w:sz w:val="16"/>
          <w:szCs w:val="16"/>
        </w:rPr>
      </w:pPr>
    </w:p>
  </w:footnote>
  <w:footnote w:id="239">
    <w:p w14:paraId="7B96C148" w14:textId="6FAEB468" w:rsidR="00DD280C" w:rsidRPr="00381932" w:rsidRDefault="00DD280C" w:rsidP="00342F65">
      <w:pPr>
        <w:pStyle w:val="Textonotapie"/>
        <w:jc w:val="both"/>
        <w:rPr>
          <w:rFonts w:ascii="Verdana" w:hAnsi="Verdana"/>
          <w:sz w:val="16"/>
          <w:szCs w:val="16"/>
        </w:rPr>
      </w:pPr>
      <w:r w:rsidRPr="00381932">
        <w:rPr>
          <w:rStyle w:val="Refdenotaalpie"/>
          <w:rFonts w:ascii="Verdana" w:hAnsi="Verdana"/>
          <w:sz w:val="16"/>
          <w:szCs w:val="16"/>
        </w:rPr>
        <w:footnoteRef/>
      </w:r>
      <w:r w:rsidRPr="00381932">
        <w:rPr>
          <w:rFonts w:ascii="Verdana" w:hAnsi="Verdana"/>
          <w:sz w:val="16"/>
          <w:szCs w:val="16"/>
        </w:rPr>
        <w:t xml:space="preserve">  </w:t>
      </w:r>
      <w:r w:rsidRPr="00381932">
        <w:rPr>
          <w:rFonts w:ascii="Verdana" w:hAnsi="Verdana"/>
          <w:sz w:val="16"/>
          <w:szCs w:val="16"/>
        </w:rPr>
        <w:tab/>
      </w:r>
      <w:r w:rsidRPr="00E34247">
        <w:rPr>
          <w:rFonts w:ascii="Verdana" w:hAnsi="Verdana"/>
          <w:i/>
          <w:sz w:val="16"/>
          <w:szCs w:val="16"/>
        </w:rPr>
        <w:t>Caso Gelman Vs. Uruguay. Fondo y Reparaciones</w:t>
      </w:r>
      <w:r w:rsidRPr="00381932">
        <w:rPr>
          <w:rFonts w:ascii="Verdana" w:hAnsi="Verdana"/>
          <w:sz w:val="16"/>
          <w:szCs w:val="16"/>
        </w:rPr>
        <w:t>, párr. 254.</w:t>
      </w:r>
    </w:p>
    <w:p w14:paraId="6181EA35" w14:textId="77777777" w:rsidR="00DD280C" w:rsidRPr="00381932" w:rsidRDefault="00DD280C" w:rsidP="00342F65">
      <w:pPr>
        <w:pStyle w:val="Textonotapie"/>
        <w:jc w:val="both"/>
        <w:rPr>
          <w:rFonts w:ascii="Verdana" w:hAnsi="Verdana"/>
          <w:sz w:val="16"/>
          <w:szCs w:val="16"/>
        </w:rPr>
      </w:pPr>
    </w:p>
  </w:footnote>
  <w:footnote w:id="240">
    <w:p w14:paraId="5002D82F" w14:textId="2BBBC496" w:rsidR="00DD280C" w:rsidRPr="00381932" w:rsidRDefault="00DD280C" w:rsidP="00342F65">
      <w:pPr>
        <w:spacing w:after="0"/>
        <w:jc w:val="both"/>
        <w:rPr>
          <w:rFonts w:ascii="Verdana" w:hAnsi="Verdana"/>
          <w:sz w:val="16"/>
          <w:szCs w:val="16"/>
        </w:rPr>
      </w:pPr>
      <w:r w:rsidRPr="00381932">
        <w:rPr>
          <w:rStyle w:val="Refdenotaalpie"/>
          <w:rFonts w:ascii="Verdana" w:hAnsi="Verdana"/>
          <w:sz w:val="16"/>
          <w:szCs w:val="16"/>
        </w:rPr>
        <w:footnoteRef/>
      </w:r>
      <w:r w:rsidRPr="00381932">
        <w:rPr>
          <w:rFonts w:ascii="Verdana" w:hAnsi="Verdana"/>
          <w:sz w:val="16"/>
          <w:szCs w:val="16"/>
        </w:rPr>
        <w:t xml:space="preserve"> </w:t>
      </w:r>
      <w:r w:rsidRPr="00381932">
        <w:rPr>
          <w:rFonts w:ascii="Verdana" w:hAnsi="Verdana"/>
          <w:sz w:val="16"/>
          <w:szCs w:val="16"/>
        </w:rPr>
        <w:tab/>
      </w:r>
      <w:r w:rsidRPr="00381932">
        <w:rPr>
          <w:rFonts w:ascii="Verdana" w:hAnsi="Verdana"/>
          <w:i/>
          <w:iCs/>
          <w:sz w:val="16"/>
          <w:szCs w:val="16"/>
        </w:rPr>
        <w:t xml:space="preserve">Cfr. </w:t>
      </w:r>
      <w:r w:rsidRPr="000031DD">
        <w:rPr>
          <w:rFonts w:ascii="Verdana" w:hAnsi="Verdana"/>
          <w:i/>
          <w:sz w:val="16"/>
          <w:szCs w:val="16"/>
        </w:rPr>
        <w:t>Caso Velásquez Rodríguez Vs. Honduras. Reparaciones y Costas</w:t>
      </w:r>
      <w:r w:rsidRPr="00381932">
        <w:rPr>
          <w:rFonts w:ascii="Verdana" w:hAnsi="Verdana"/>
          <w:sz w:val="16"/>
          <w:szCs w:val="16"/>
        </w:rPr>
        <w:t xml:space="preserve">, párr. 174; </w:t>
      </w:r>
      <w:r w:rsidRPr="00BE2698">
        <w:rPr>
          <w:rFonts w:ascii="Verdana" w:hAnsi="Verdana"/>
          <w:i/>
          <w:sz w:val="16"/>
          <w:szCs w:val="16"/>
        </w:rPr>
        <w:t>Caso Rosendo Cantú y otra Vs. México. Excepción Preliminar, Fondo, Reparaciones y Costas.</w:t>
      </w:r>
      <w:r w:rsidRPr="005970D0">
        <w:rPr>
          <w:rFonts w:ascii="Verdana" w:hAnsi="Verdana"/>
          <w:sz w:val="16"/>
          <w:szCs w:val="16"/>
        </w:rPr>
        <w:t xml:space="preserve"> Sentencia de 31 de agosto de 2010. Serie C No. 216</w:t>
      </w:r>
      <w:r w:rsidRPr="00381932">
        <w:rPr>
          <w:rFonts w:ascii="Verdana" w:hAnsi="Verdana" w:cs="Verdana"/>
          <w:bCs/>
          <w:sz w:val="16"/>
          <w:szCs w:val="16"/>
        </w:rPr>
        <w:t xml:space="preserve">, </w:t>
      </w:r>
      <w:r w:rsidRPr="00381932">
        <w:rPr>
          <w:rFonts w:ascii="Verdana" w:hAnsi="Verdana"/>
          <w:sz w:val="16"/>
          <w:szCs w:val="16"/>
          <w:lang w:bidi="en-US"/>
        </w:rPr>
        <w:t xml:space="preserve">párr. </w:t>
      </w:r>
      <w:r w:rsidRPr="00381932">
        <w:rPr>
          <w:rFonts w:ascii="Verdana" w:hAnsi="Verdana"/>
          <w:sz w:val="16"/>
          <w:szCs w:val="16"/>
        </w:rPr>
        <w:t xml:space="preserve">211; </w:t>
      </w:r>
      <w:r w:rsidRPr="00BE2698">
        <w:rPr>
          <w:rFonts w:ascii="Verdana" w:hAnsi="Verdana"/>
          <w:i/>
          <w:sz w:val="16"/>
          <w:szCs w:val="16"/>
        </w:rPr>
        <w:t xml:space="preserve">Caso Ibsen Cárdenas e Ibsen Peña Vs. </w:t>
      </w:r>
      <w:r w:rsidRPr="005A5029">
        <w:rPr>
          <w:rFonts w:ascii="Verdana" w:hAnsi="Verdana"/>
          <w:i/>
          <w:sz w:val="16"/>
          <w:szCs w:val="16"/>
        </w:rPr>
        <w:t>Bolivia</w:t>
      </w:r>
      <w:r w:rsidRPr="005A5029">
        <w:rPr>
          <w:rFonts w:ascii="Verdana" w:hAnsi="Verdana" w:cs="Verdana"/>
          <w:bCs/>
          <w:sz w:val="16"/>
          <w:szCs w:val="16"/>
        </w:rPr>
        <w:t>,</w:t>
      </w:r>
      <w:r w:rsidRPr="005A5029">
        <w:rPr>
          <w:rFonts w:ascii="Verdana" w:hAnsi="Verdana"/>
          <w:sz w:val="16"/>
          <w:szCs w:val="16"/>
        </w:rPr>
        <w:t xml:space="preserve"> párr. 237-c, </w:t>
      </w:r>
      <w:r w:rsidRPr="005A5029">
        <w:rPr>
          <w:rFonts w:ascii="Verdana" w:hAnsi="Verdana"/>
          <w:i/>
          <w:sz w:val="16"/>
          <w:szCs w:val="16"/>
        </w:rPr>
        <w:t>Caso Gomes Lund y otros ("</w:t>
      </w:r>
      <w:proofErr w:type="spellStart"/>
      <w:r w:rsidRPr="005A5029">
        <w:rPr>
          <w:rFonts w:ascii="Verdana" w:hAnsi="Verdana"/>
          <w:i/>
          <w:sz w:val="16"/>
          <w:szCs w:val="16"/>
        </w:rPr>
        <w:t>Guerrilha</w:t>
      </w:r>
      <w:proofErr w:type="spellEnd"/>
      <w:r w:rsidRPr="005A5029">
        <w:rPr>
          <w:rFonts w:ascii="Verdana" w:hAnsi="Verdana"/>
          <w:i/>
          <w:sz w:val="16"/>
          <w:szCs w:val="16"/>
        </w:rPr>
        <w:t xml:space="preserve"> do </w:t>
      </w:r>
      <w:proofErr w:type="spellStart"/>
      <w:r w:rsidRPr="005A5029">
        <w:rPr>
          <w:rFonts w:ascii="Verdana" w:hAnsi="Verdana"/>
          <w:i/>
          <w:sz w:val="16"/>
          <w:szCs w:val="16"/>
        </w:rPr>
        <w:t>Araguaia</w:t>
      </w:r>
      <w:proofErr w:type="spellEnd"/>
      <w:r w:rsidRPr="005A5029">
        <w:rPr>
          <w:rFonts w:ascii="Verdana" w:hAnsi="Verdana"/>
          <w:i/>
          <w:sz w:val="16"/>
          <w:szCs w:val="16"/>
        </w:rPr>
        <w:t xml:space="preserve">") Vs. </w:t>
      </w:r>
      <w:r w:rsidRPr="00DD280C">
        <w:rPr>
          <w:rFonts w:ascii="Verdana" w:hAnsi="Verdana"/>
          <w:i/>
          <w:sz w:val="16"/>
          <w:szCs w:val="16"/>
        </w:rPr>
        <w:t>Brasil</w:t>
      </w:r>
      <w:r w:rsidRPr="00BE2698">
        <w:rPr>
          <w:rFonts w:ascii="Verdana" w:hAnsi="Verdana"/>
          <w:bCs/>
          <w:sz w:val="16"/>
          <w:szCs w:val="16"/>
        </w:rPr>
        <w:t xml:space="preserve">, párr. </w:t>
      </w:r>
      <w:r w:rsidRPr="005970D0">
        <w:rPr>
          <w:rFonts w:ascii="Verdana" w:hAnsi="Verdana"/>
          <w:bCs/>
          <w:sz w:val="16"/>
          <w:szCs w:val="16"/>
        </w:rPr>
        <w:t>256-c</w:t>
      </w:r>
      <w:r w:rsidRPr="005970D0">
        <w:rPr>
          <w:rFonts w:ascii="Verdana" w:hAnsi="Verdana"/>
          <w:sz w:val="16"/>
          <w:szCs w:val="16"/>
        </w:rPr>
        <w:t>.</w:t>
      </w:r>
      <w:r w:rsidRPr="00BE2698">
        <w:rPr>
          <w:rFonts w:ascii="Verdana" w:hAnsi="Verdana"/>
          <w:sz w:val="16"/>
          <w:szCs w:val="16"/>
        </w:rPr>
        <w:t>, y</w:t>
      </w:r>
      <w:r w:rsidRPr="005970D0">
        <w:rPr>
          <w:rFonts w:ascii="Verdana" w:hAnsi="Verdana"/>
          <w:sz w:val="16"/>
          <w:szCs w:val="16"/>
        </w:rPr>
        <w:t xml:space="preserve"> </w:t>
      </w:r>
      <w:r w:rsidRPr="00E34247">
        <w:rPr>
          <w:rFonts w:ascii="Verdana" w:hAnsi="Verdana"/>
          <w:i/>
          <w:sz w:val="16"/>
          <w:szCs w:val="16"/>
        </w:rPr>
        <w:t>Caso Gelman Vs. Uruguay. Fondo y Reparaciones</w:t>
      </w:r>
      <w:r w:rsidRPr="00381932">
        <w:rPr>
          <w:rFonts w:ascii="Verdana" w:hAnsi="Verdana"/>
          <w:sz w:val="16"/>
          <w:szCs w:val="16"/>
        </w:rPr>
        <w:t>, párr. 255.</w:t>
      </w:r>
    </w:p>
    <w:p w14:paraId="182C5041" w14:textId="77777777" w:rsidR="00DD280C" w:rsidRPr="00381932" w:rsidRDefault="00DD280C" w:rsidP="00342F65">
      <w:pPr>
        <w:spacing w:after="0"/>
        <w:jc w:val="both"/>
        <w:rPr>
          <w:rFonts w:ascii="Verdana" w:hAnsi="Verdana"/>
          <w:sz w:val="16"/>
          <w:szCs w:val="16"/>
        </w:rPr>
      </w:pPr>
    </w:p>
  </w:footnote>
  <w:footnote w:id="241">
    <w:p w14:paraId="770F8488" w14:textId="77777777" w:rsidR="00DD280C" w:rsidRPr="00BE2698" w:rsidRDefault="00DD280C" w:rsidP="00342F65">
      <w:pPr>
        <w:pStyle w:val="Textonotapie"/>
        <w:jc w:val="both"/>
        <w:rPr>
          <w:rFonts w:ascii="Verdana" w:hAnsi="Verdana"/>
          <w:sz w:val="16"/>
          <w:szCs w:val="16"/>
        </w:rPr>
      </w:pPr>
      <w:r w:rsidRPr="00BE2698">
        <w:rPr>
          <w:rStyle w:val="Refdenotaalpie"/>
          <w:rFonts w:ascii="Verdana" w:hAnsi="Verdana"/>
          <w:sz w:val="16"/>
          <w:szCs w:val="16"/>
        </w:rPr>
        <w:footnoteRef/>
      </w:r>
      <w:r w:rsidRPr="00BE2698">
        <w:rPr>
          <w:rFonts w:ascii="Verdana" w:hAnsi="Verdana"/>
          <w:sz w:val="16"/>
          <w:szCs w:val="16"/>
        </w:rPr>
        <w:t xml:space="preserve">  </w:t>
      </w:r>
      <w:r w:rsidRPr="00BE2698">
        <w:rPr>
          <w:rFonts w:ascii="Verdana" w:hAnsi="Verdana"/>
          <w:sz w:val="16"/>
          <w:szCs w:val="16"/>
        </w:rPr>
        <w:tab/>
      </w:r>
      <w:r w:rsidRPr="00BE2698">
        <w:rPr>
          <w:rFonts w:ascii="Verdana" w:hAnsi="Verdana"/>
          <w:i/>
          <w:sz w:val="16"/>
          <w:szCs w:val="16"/>
        </w:rPr>
        <w:t>Caso Rodríguez Vera y otros (Desaparecidos del Palacio de Justicia) Vs. Colombia. Excepciones Preliminares, Fondo, Reparaciones y Costas</w:t>
      </w:r>
      <w:r w:rsidRPr="005970D0">
        <w:rPr>
          <w:rFonts w:ascii="Verdana" w:hAnsi="Verdana"/>
          <w:sz w:val="16"/>
          <w:szCs w:val="16"/>
        </w:rPr>
        <w:t>. Sentencia de 14 de noviembre de 2014. Serie C No. 287</w:t>
      </w:r>
      <w:r w:rsidRPr="00BE2698">
        <w:rPr>
          <w:rFonts w:ascii="Verdana" w:hAnsi="Verdana"/>
          <w:sz w:val="16"/>
          <w:szCs w:val="16"/>
        </w:rPr>
        <w:t xml:space="preserve">, párr. 556. </w:t>
      </w:r>
    </w:p>
    <w:p w14:paraId="295C5B14" w14:textId="77777777" w:rsidR="00DD280C" w:rsidRDefault="00DD280C" w:rsidP="00342F65">
      <w:pPr>
        <w:pStyle w:val="Textonotapie"/>
      </w:pPr>
    </w:p>
  </w:footnote>
  <w:footnote w:id="242">
    <w:p w14:paraId="571EE9E7" w14:textId="5422C513" w:rsidR="00DD280C" w:rsidRPr="00381932" w:rsidRDefault="00DD280C" w:rsidP="00342F65">
      <w:pPr>
        <w:pStyle w:val="Textonotapie"/>
        <w:jc w:val="both"/>
        <w:rPr>
          <w:rFonts w:ascii="Verdana" w:hAnsi="Verdana"/>
          <w:sz w:val="16"/>
          <w:szCs w:val="16"/>
        </w:rPr>
      </w:pPr>
      <w:r w:rsidRPr="00381932">
        <w:rPr>
          <w:rStyle w:val="Refdenotaalpie"/>
          <w:rFonts w:ascii="Verdana" w:hAnsi="Verdana"/>
          <w:sz w:val="16"/>
          <w:szCs w:val="16"/>
        </w:rPr>
        <w:footnoteRef/>
      </w:r>
      <w:r w:rsidRPr="00381932">
        <w:rPr>
          <w:rFonts w:ascii="Verdana" w:hAnsi="Verdana"/>
          <w:sz w:val="16"/>
          <w:szCs w:val="16"/>
        </w:rPr>
        <w:t xml:space="preserve"> </w:t>
      </w:r>
      <w:r w:rsidRPr="00381932">
        <w:rPr>
          <w:rFonts w:ascii="Verdana" w:hAnsi="Verdana"/>
          <w:sz w:val="16"/>
          <w:szCs w:val="16"/>
        </w:rPr>
        <w:tab/>
      </w:r>
      <w:r w:rsidRPr="00BE2698">
        <w:rPr>
          <w:rFonts w:ascii="Verdana" w:hAnsi="Verdana"/>
          <w:i/>
          <w:sz w:val="16"/>
          <w:szCs w:val="16"/>
        </w:rPr>
        <w:t>Caso de la Masacre de Las Dos Erres Vs. Guatemala</w:t>
      </w:r>
      <w:r w:rsidRPr="00381932">
        <w:rPr>
          <w:rFonts w:ascii="Verdana" w:hAnsi="Verdana"/>
          <w:sz w:val="16"/>
          <w:szCs w:val="16"/>
        </w:rPr>
        <w:t>, párr. 233.</w:t>
      </w:r>
    </w:p>
    <w:p w14:paraId="58002260" w14:textId="77777777" w:rsidR="00DD280C" w:rsidRPr="00381932" w:rsidRDefault="00DD280C" w:rsidP="00342F65">
      <w:pPr>
        <w:pStyle w:val="Textonotapie"/>
        <w:jc w:val="both"/>
        <w:rPr>
          <w:rFonts w:ascii="Verdana" w:hAnsi="Verdana"/>
          <w:sz w:val="16"/>
          <w:szCs w:val="16"/>
        </w:rPr>
      </w:pPr>
    </w:p>
  </w:footnote>
  <w:footnote w:id="243">
    <w:p w14:paraId="1833A674" w14:textId="46C52488" w:rsidR="00DD280C" w:rsidRPr="00BE2698" w:rsidRDefault="00DD280C" w:rsidP="00342F65">
      <w:pPr>
        <w:pStyle w:val="Textonotapie"/>
        <w:jc w:val="both"/>
        <w:rPr>
          <w:rFonts w:ascii="Verdana" w:hAnsi="Verdana"/>
          <w:sz w:val="16"/>
          <w:szCs w:val="16"/>
        </w:rPr>
      </w:pPr>
      <w:r w:rsidRPr="00BE2698">
        <w:rPr>
          <w:rStyle w:val="Refdenotaalpie"/>
          <w:rFonts w:ascii="Verdana" w:hAnsi="Verdana"/>
          <w:sz w:val="16"/>
          <w:szCs w:val="16"/>
        </w:rPr>
        <w:footnoteRef/>
      </w:r>
      <w:r w:rsidRPr="00BE2698">
        <w:rPr>
          <w:rFonts w:ascii="Verdana" w:hAnsi="Verdana"/>
          <w:sz w:val="16"/>
          <w:szCs w:val="16"/>
        </w:rPr>
        <w:t xml:space="preserve">  </w:t>
      </w:r>
      <w:r w:rsidRPr="00BE2698">
        <w:rPr>
          <w:rFonts w:ascii="Verdana" w:hAnsi="Verdana"/>
          <w:sz w:val="16"/>
          <w:szCs w:val="16"/>
        </w:rPr>
        <w:tab/>
        <w:t xml:space="preserve">En similar sentido, </w:t>
      </w:r>
      <w:r w:rsidRPr="00BE2698">
        <w:rPr>
          <w:rFonts w:ascii="Verdana" w:hAnsi="Verdana"/>
          <w:i/>
          <w:sz w:val="16"/>
          <w:szCs w:val="16"/>
        </w:rPr>
        <w:t xml:space="preserve">Caso </w:t>
      </w:r>
      <w:proofErr w:type="spellStart"/>
      <w:r w:rsidRPr="00BE2698">
        <w:rPr>
          <w:rFonts w:ascii="Verdana" w:hAnsi="Verdana"/>
          <w:i/>
          <w:sz w:val="16"/>
          <w:szCs w:val="16"/>
        </w:rPr>
        <w:t>Goiburú</w:t>
      </w:r>
      <w:proofErr w:type="spellEnd"/>
      <w:r w:rsidRPr="00BE2698">
        <w:rPr>
          <w:rFonts w:ascii="Verdana" w:hAnsi="Verdana"/>
          <w:i/>
          <w:sz w:val="16"/>
          <w:szCs w:val="16"/>
        </w:rPr>
        <w:t xml:space="preserve"> y otros Vs. Paraguay</w:t>
      </w:r>
      <w:r w:rsidRPr="00BE2698">
        <w:rPr>
          <w:rFonts w:ascii="Verdana" w:hAnsi="Verdana"/>
          <w:sz w:val="16"/>
          <w:szCs w:val="16"/>
        </w:rPr>
        <w:t>, párr. 166.</w:t>
      </w:r>
    </w:p>
    <w:p w14:paraId="108560FF" w14:textId="77777777" w:rsidR="00DD280C" w:rsidRDefault="00DD280C" w:rsidP="00342F65">
      <w:pPr>
        <w:pStyle w:val="Textonotapie"/>
      </w:pPr>
    </w:p>
  </w:footnote>
  <w:footnote w:id="244">
    <w:p w14:paraId="67E6DA98" w14:textId="26277B08" w:rsidR="00DD280C" w:rsidRDefault="00DD280C" w:rsidP="00342F65">
      <w:pPr>
        <w:spacing w:after="0"/>
        <w:jc w:val="both"/>
        <w:rPr>
          <w:rFonts w:ascii="Verdana" w:hAnsi="Verdana"/>
          <w:sz w:val="16"/>
          <w:szCs w:val="16"/>
          <w:lang w:val="es-ES"/>
        </w:rPr>
      </w:pPr>
      <w:r w:rsidRPr="000031DD">
        <w:rPr>
          <w:rStyle w:val="Refdenotaalpie"/>
          <w:rFonts w:ascii="Verdana" w:hAnsi="Verdana"/>
          <w:sz w:val="16"/>
          <w:szCs w:val="16"/>
        </w:rPr>
        <w:footnoteRef/>
      </w:r>
      <w:r w:rsidRPr="000031DD">
        <w:rPr>
          <w:rFonts w:ascii="Verdana" w:hAnsi="Verdana"/>
          <w:sz w:val="16"/>
          <w:szCs w:val="16"/>
        </w:rPr>
        <w:tab/>
      </w:r>
      <w:r w:rsidRPr="000031DD">
        <w:rPr>
          <w:rFonts w:ascii="Verdana" w:hAnsi="Verdana"/>
          <w:i/>
          <w:iCs/>
          <w:sz w:val="16"/>
          <w:szCs w:val="16"/>
        </w:rPr>
        <w:t>Cfr</w:t>
      </w:r>
      <w:r w:rsidRPr="000031DD">
        <w:rPr>
          <w:rFonts w:ascii="Verdana" w:hAnsi="Verdana"/>
          <w:iCs/>
          <w:sz w:val="16"/>
          <w:szCs w:val="16"/>
        </w:rPr>
        <w:t>.</w:t>
      </w:r>
      <w:r w:rsidRPr="000031DD">
        <w:rPr>
          <w:rFonts w:ascii="Verdana" w:hAnsi="Verdana"/>
          <w:sz w:val="16"/>
          <w:szCs w:val="16"/>
        </w:rPr>
        <w:t xml:space="preserve"> </w:t>
      </w:r>
      <w:r w:rsidRPr="000031DD">
        <w:rPr>
          <w:rFonts w:ascii="Verdana" w:hAnsi="Verdana" w:cs="Verdana"/>
          <w:i/>
          <w:iCs/>
          <w:sz w:val="16"/>
          <w:szCs w:val="16"/>
        </w:rPr>
        <w:t>Caso del Caracazo Vs. Venezuela</w:t>
      </w:r>
      <w:r w:rsidRPr="000031DD">
        <w:rPr>
          <w:rFonts w:ascii="Verdana" w:hAnsi="Verdana" w:cs="Verdana"/>
          <w:iCs/>
          <w:sz w:val="16"/>
          <w:szCs w:val="16"/>
        </w:rPr>
        <w:t xml:space="preserve">. </w:t>
      </w:r>
      <w:r w:rsidRPr="000031DD">
        <w:rPr>
          <w:rFonts w:ascii="Verdana" w:hAnsi="Verdana" w:cs="Verdana"/>
          <w:i/>
          <w:sz w:val="16"/>
          <w:szCs w:val="16"/>
        </w:rPr>
        <w:t>Reparaciones y Costas</w:t>
      </w:r>
      <w:r w:rsidRPr="000031DD">
        <w:rPr>
          <w:rFonts w:ascii="Verdana" w:hAnsi="Verdana" w:cs="Verdana"/>
          <w:sz w:val="16"/>
          <w:szCs w:val="16"/>
        </w:rPr>
        <w:t xml:space="preserve">. Sentencia de 29 de agosto de 2002. Serie C No. 95, párr. 118; </w:t>
      </w:r>
      <w:r w:rsidRPr="00E34247">
        <w:rPr>
          <w:rFonts w:ascii="Verdana" w:hAnsi="Verdana"/>
          <w:i/>
          <w:sz w:val="16"/>
          <w:szCs w:val="16"/>
        </w:rPr>
        <w:t xml:space="preserve">Caso Ibsen Cárdenas e Ibsen Peña Vs. </w:t>
      </w:r>
      <w:r w:rsidRPr="00DD280C">
        <w:rPr>
          <w:rFonts w:ascii="Verdana" w:hAnsi="Verdana"/>
          <w:i/>
          <w:sz w:val="16"/>
          <w:szCs w:val="16"/>
        </w:rPr>
        <w:t>Bolivia</w:t>
      </w:r>
      <w:r w:rsidRPr="00DD280C">
        <w:rPr>
          <w:rFonts w:ascii="Verdana" w:hAnsi="Verdana" w:cs="Verdana"/>
          <w:bCs/>
          <w:sz w:val="16"/>
          <w:szCs w:val="16"/>
        </w:rPr>
        <w:t>,</w:t>
      </w:r>
      <w:r w:rsidRPr="00DD280C">
        <w:rPr>
          <w:rFonts w:ascii="Verdana" w:hAnsi="Verdana"/>
          <w:sz w:val="16"/>
          <w:szCs w:val="16"/>
        </w:rPr>
        <w:t xml:space="preserve"> párr. 238, y </w:t>
      </w:r>
      <w:r w:rsidRPr="00DD280C">
        <w:rPr>
          <w:rFonts w:ascii="Verdana" w:hAnsi="Verdana"/>
          <w:i/>
          <w:sz w:val="16"/>
          <w:szCs w:val="16"/>
        </w:rPr>
        <w:t>Caso Gomes Lund y otros ("</w:t>
      </w:r>
      <w:proofErr w:type="spellStart"/>
      <w:r w:rsidRPr="00DD280C">
        <w:rPr>
          <w:rFonts w:ascii="Verdana" w:hAnsi="Verdana"/>
          <w:i/>
          <w:sz w:val="16"/>
          <w:szCs w:val="16"/>
        </w:rPr>
        <w:t>Guerrilha</w:t>
      </w:r>
      <w:proofErr w:type="spellEnd"/>
      <w:r w:rsidRPr="00DD280C">
        <w:rPr>
          <w:rFonts w:ascii="Verdana" w:hAnsi="Verdana"/>
          <w:i/>
          <w:sz w:val="16"/>
          <w:szCs w:val="16"/>
        </w:rPr>
        <w:t xml:space="preserve"> do </w:t>
      </w:r>
      <w:proofErr w:type="spellStart"/>
      <w:r w:rsidRPr="00DD280C">
        <w:rPr>
          <w:rFonts w:ascii="Verdana" w:hAnsi="Verdana"/>
          <w:i/>
          <w:sz w:val="16"/>
          <w:szCs w:val="16"/>
        </w:rPr>
        <w:t>Araguaia</w:t>
      </w:r>
      <w:proofErr w:type="spellEnd"/>
      <w:r w:rsidRPr="00DD280C">
        <w:rPr>
          <w:rFonts w:ascii="Verdana" w:hAnsi="Verdana"/>
          <w:i/>
          <w:sz w:val="16"/>
          <w:szCs w:val="16"/>
        </w:rPr>
        <w:t>") Vs. Brasil</w:t>
      </w:r>
      <w:r w:rsidRPr="000031DD">
        <w:rPr>
          <w:rFonts w:ascii="Verdana" w:hAnsi="Verdana"/>
          <w:bCs/>
          <w:sz w:val="16"/>
          <w:szCs w:val="16"/>
        </w:rPr>
        <w:t>, párr. 257</w:t>
      </w:r>
      <w:r>
        <w:rPr>
          <w:rFonts w:ascii="Verdana" w:hAnsi="Verdana"/>
          <w:bCs/>
          <w:sz w:val="16"/>
          <w:szCs w:val="16"/>
        </w:rPr>
        <w:t>, y</w:t>
      </w:r>
      <w:r w:rsidRPr="000031DD">
        <w:rPr>
          <w:rFonts w:ascii="Verdana" w:hAnsi="Verdana"/>
          <w:sz w:val="16"/>
          <w:szCs w:val="16"/>
          <w:lang w:val="es-ES"/>
        </w:rPr>
        <w:t xml:space="preserve"> </w:t>
      </w:r>
      <w:r w:rsidRPr="00E34247">
        <w:rPr>
          <w:rFonts w:ascii="Verdana" w:hAnsi="Verdana"/>
          <w:i/>
          <w:sz w:val="16"/>
          <w:szCs w:val="16"/>
        </w:rPr>
        <w:t>Caso Gelman Vs. Uruguay. Fondo y Reparaciones</w:t>
      </w:r>
      <w:r w:rsidRPr="000031DD">
        <w:rPr>
          <w:rFonts w:ascii="Verdana" w:hAnsi="Verdana"/>
          <w:sz w:val="16"/>
          <w:szCs w:val="16"/>
          <w:lang w:val="es-ES"/>
        </w:rPr>
        <w:t>, párr. 256</w:t>
      </w:r>
      <w:r>
        <w:rPr>
          <w:rFonts w:ascii="Verdana" w:hAnsi="Verdana"/>
          <w:sz w:val="16"/>
          <w:szCs w:val="16"/>
          <w:lang w:val="es-ES"/>
        </w:rPr>
        <w:t>.</w:t>
      </w:r>
    </w:p>
    <w:p w14:paraId="1E5CEFC2" w14:textId="77777777" w:rsidR="00DD280C" w:rsidRPr="000031DD" w:rsidRDefault="00DD280C" w:rsidP="00342F65">
      <w:pPr>
        <w:spacing w:after="0"/>
        <w:jc w:val="both"/>
        <w:rPr>
          <w:rFonts w:ascii="Verdana" w:hAnsi="Verdana"/>
          <w:sz w:val="16"/>
          <w:szCs w:val="16"/>
        </w:rPr>
      </w:pPr>
    </w:p>
  </w:footnote>
  <w:footnote w:id="245">
    <w:p w14:paraId="6E66A696" w14:textId="70452630" w:rsidR="00DD280C" w:rsidRDefault="00DD280C" w:rsidP="00342F65">
      <w:pPr>
        <w:spacing w:after="0"/>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E34247">
        <w:rPr>
          <w:rFonts w:ascii="Verdana" w:hAnsi="Verdana"/>
          <w:i/>
          <w:iCs/>
          <w:sz w:val="16"/>
          <w:szCs w:val="16"/>
        </w:rPr>
        <w:t xml:space="preserve">Cfr. </w:t>
      </w:r>
      <w:r w:rsidRPr="000031DD">
        <w:rPr>
          <w:rFonts w:ascii="Verdana" w:hAnsi="Verdana"/>
          <w:i/>
          <w:sz w:val="16"/>
          <w:szCs w:val="16"/>
        </w:rPr>
        <w:t>Caso Velásquez Rodríguez Vs. Honduras. Reparaciones y Costas</w:t>
      </w:r>
      <w:r w:rsidRPr="00E34247">
        <w:rPr>
          <w:rFonts w:ascii="Verdana" w:hAnsi="Verdana"/>
          <w:sz w:val="16"/>
          <w:szCs w:val="16"/>
        </w:rPr>
        <w:t xml:space="preserve">, párr. 174; </w:t>
      </w:r>
      <w:r w:rsidRPr="00E34247">
        <w:rPr>
          <w:rFonts w:ascii="Verdana" w:hAnsi="Verdana"/>
          <w:i/>
          <w:sz w:val="16"/>
          <w:szCs w:val="16"/>
        </w:rPr>
        <w:t>Caso Rosendo Cantú y otra Vs. México</w:t>
      </w:r>
      <w:r w:rsidRPr="00E34247">
        <w:rPr>
          <w:rFonts w:ascii="Verdana" w:hAnsi="Verdana" w:cs="Verdana"/>
          <w:bCs/>
          <w:sz w:val="16"/>
          <w:szCs w:val="16"/>
        </w:rPr>
        <w:t xml:space="preserve">, </w:t>
      </w:r>
      <w:r w:rsidRPr="00E34247">
        <w:rPr>
          <w:rFonts w:ascii="Verdana" w:hAnsi="Verdana"/>
          <w:sz w:val="16"/>
          <w:szCs w:val="16"/>
          <w:lang w:bidi="en-US"/>
        </w:rPr>
        <w:t xml:space="preserve">párr. </w:t>
      </w:r>
      <w:r w:rsidRPr="00E34247">
        <w:rPr>
          <w:rFonts w:ascii="Verdana" w:hAnsi="Verdana"/>
          <w:sz w:val="16"/>
          <w:szCs w:val="16"/>
        </w:rPr>
        <w:t xml:space="preserve">211; </w:t>
      </w:r>
      <w:r w:rsidRPr="00E34247">
        <w:rPr>
          <w:rFonts w:ascii="Verdana" w:hAnsi="Verdana"/>
          <w:i/>
          <w:sz w:val="16"/>
          <w:szCs w:val="16"/>
        </w:rPr>
        <w:t xml:space="preserve">Caso Ibsen Cárdenas e Ibsen Peña Vs. </w:t>
      </w:r>
      <w:proofErr w:type="spellStart"/>
      <w:r w:rsidRPr="00DD280C">
        <w:rPr>
          <w:rFonts w:ascii="Verdana" w:hAnsi="Verdana"/>
          <w:i/>
          <w:sz w:val="16"/>
          <w:szCs w:val="16"/>
          <w:lang w:val="pt-BR"/>
        </w:rPr>
        <w:t>Bolivia</w:t>
      </w:r>
      <w:proofErr w:type="spellEnd"/>
      <w:r w:rsidRPr="00342F65">
        <w:rPr>
          <w:rFonts w:ascii="Verdana" w:hAnsi="Verdana" w:cs="Verdana"/>
          <w:bCs/>
          <w:sz w:val="16"/>
          <w:szCs w:val="16"/>
          <w:lang w:val="pt-BR"/>
        </w:rPr>
        <w:t>,</w:t>
      </w:r>
      <w:r w:rsidRPr="00342F65">
        <w:rPr>
          <w:rFonts w:ascii="Verdana" w:hAnsi="Verdana"/>
          <w:sz w:val="16"/>
          <w:szCs w:val="16"/>
          <w:lang w:val="pt-BR"/>
        </w:rPr>
        <w:t xml:space="preserve"> </w:t>
      </w:r>
      <w:proofErr w:type="spellStart"/>
      <w:r w:rsidRPr="00342F65">
        <w:rPr>
          <w:rFonts w:ascii="Verdana" w:hAnsi="Verdana"/>
          <w:sz w:val="16"/>
          <w:szCs w:val="16"/>
          <w:lang w:val="pt-BR"/>
        </w:rPr>
        <w:t>párr</w:t>
      </w:r>
      <w:proofErr w:type="spellEnd"/>
      <w:r w:rsidRPr="00342F65">
        <w:rPr>
          <w:rFonts w:ascii="Verdana" w:hAnsi="Verdana"/>
          <w:sz w:val="16"/>
          <w:szCs w:val="16"/>
          <w:lang w:val="pt-BR"/>
        </w:rPr>
        <w:t xml:space="preserve">. </w:t>
      </w:r>
      <w:r w:rsidRPr="00BE2698">
        <w:rPr>
          <w:rFonts w:ascii="Verdana" w:hAnsi="Verdana"/>
          <w:sz w:val="16"/>
          <w:szCs w:val="16"/>
          <w:lang w:val="pt-BR"/>
        </w:rPr>
        <w:t xml:space="preserve">237-c, </w:t>
      </w:r>
      <w:r w:rsidRPr="00BE2698">
        <w:rPr>
          <w:rFonts w:ascii="Verdana" w:hAnsi="Verdana"/>
          <w:i/>
          <w:sz w:val="16"/>
          <w:szCs w:val="16"/>
          <w:lang w:val="pt-BR"/>
        </w:rPr>
        <w:t xml:space="preserve">Caso Gomes </w:t>
      </w:r>
      <w:proofErr w:type="spellStart"/>
      <w:r w:rsidRPr="00BE2698">
        <w:rPr>
          <w:rFonts w:ascii="Verdana" w:hAnsi="Verdana"/>
          <w:i/>
          <w:sz w:val="16"/>
          <w:szCs w:val="16"/>
          <w:lang w:val="pt-BR"/>
        </w:rPr>
        <w:t>Lund</w:t>
      </w:r>
      <w:proofErr w:type="spellEnd"/>
      <w:r w:rsidRPr="00BE2698">
        <w:rPr>
          <w:rFonts w:ascii="Verdana" w:hAnsi="Verdana"/>
          <w:i/>
          <w:sz w:val="16"/>
          <w:szCs w:val="16"/>
          <w:lang w:val="pt-BR"/>
        </w:rPr>
        <w:t xml:space="preserve"> y </w:t>
      </w:r>
      <w:proofErr w:type="spellStart"/>
      <w:r w:rsidRPr="00BE2698">
        <w:rPr>
          <w:rFonts w:ascii="Verdana" w:hAnsi="Verdana"/>
          <w:i/>
          <w:sz w:val="16"/>
          <w:szCs w:val="16"/>
          <w:lang w:val="pt-BR"/>
        </w:rPr>
        <w:t>otros</w:t>
      </w:r>
      <w:proofErr w:type="spellEnd"/>
      <w:r w:rsidRPr="00BE2698">
        <w:rPr>
          <w:rFonts w:ascii="Verdana" w:hAnsi="Verdana"/>
          <w:i/>
          <w:sz w:val="16"/>
          <w:szCs w:val="16"/>
          <w:lang w:val="pt-BR"/>
        </w:rPr>
        <w:t xml:space="preserve"> ("Guerrilha do Araguaia") Vs. </w:t>
      </w:r>
      <w:r w:rsidRPr="00E34247">
        <w:rPr>
          <w:rFonts w:ascii="Verdana" w:hAnsi="Verdana"/>
          <w:i/>
          <w:sz w:val="16"/>
          <w:szCs w:val="16"/>
        </w:rPr>
        <w:t>Brasil</w:t>
      </w:r>
      <w:r w:rsidRPr="00BE2698">
        <w:rPr>
          <w:rFonts w:ascii="Verdana" w:hAnsi="Verdana"/>
          <w:bCs/>
          <w:sz w:val="16"/>
          <w:szCs w:val="16"/>
        </w:rPr>
        <w:t xml:space="preserve">, párr. </w:t>
      </w:r>
      <w:r w:rsidRPr="00E34247">
        <w:rPr>
          <w:rFonts w:ascii="Verdana" w:hAnsi="Verdana"/>
          <w:bCs/>
          <w:sz w:val="16"/>
          <w:szCs w:val="16"/>
        </w:rPr>
        <w:t>256-c</w:t>
      </w:r>
      <w:r w:rsidRPr="00E34247">
        <w:rPr>
          <w:rFonts w:ascii="Verdana" w:hAnsi="Verdana"/>
          <w:sz w:val="16"/>
          <w:szCs w:val="16"/>
        </w:rPr>
        <w:t xml:space="preserve">., y </w:t>
      </w:r>
      <w:r w:rsidRPr="00E34247">
        <w:rPr>
          <w:rFonts w:ascii="Verdana" w:hAnsi="Verdana"/>
          <w:i/>
          <w:sz w:val="16"/>
          <w:szCs w:val="16"/>
        </w:rPr>
        <w:t>Caso Gelman Vs. Uruguay. Fondo y Reparaciones</w:t>
      </w:r>
      <w:r w:rsidRPr="00E34247">
        <w:rPr>
          <w:rFonts w:ascii="Verdana" w:hAnsi="Verdana"/>
          <w:sz w:val="16"/>
          <w:szCs w:val="16"/>
        </w:rPr>
        <w:t>, párr. 255</w:t>
      </w:r>
      <w:r>
        <w:rPr>
          <w:rFonts w:ascii="Verdana" w:hAnsi="Verdana"/>
          <w:sz w:val="16"/>
          <w:szCs w:val="16"/>
        </w:rPr>
        <w:t>.</w:t>
      </w:r>
    </w:p>
    <w:p w14:paraId="7311C2C6" w14:textId="77777777" w:rsidR="00DD280C" w:rsidRPr="000031DD" w:rsidRDefault="00DD280C" w:rsidP="00342F65">
      <w:pPr>
        <w:spacing w:after="0"/>
        <w:jc w:val="both"/>
        <w:rPr>
          <w:rFonts w:ascii="Verdana" w:hAnsi="Verdana"/>
          <w:sz w:val="16"/>
          <w:szCs w:val="16"/>
        </w:rPr>
      </w:pPr>
    </w:p>
  </w:footnote>
  <w:footnote w:id="246">
    <w:p w14:paraId="0B6A108E" w14:textId="1BA53144" w:rsidR="00DD280C" w:rsidRPr="000031DD" w:rsidRDefault="00DD280C" w:rsidP="00342F65">
      <w:pPr>
        <w:spacing w:after="0"/>
        <w:jc w:val="both"/>
        <w:rPr>
          <w:rFonts w:ascii="Verdana" w:hAnsi="Verdana"/>
          <w:sz w:val="16"/>
          <w:szCs w:val="16"/>
          <w:lang w:val="es-ES"/>
        </w:rPr>
      </w:pPr>
      <w:r w:rsidRPr="000031DD">
        <w:rPr>
          <w:rStyle w:val="Refdenotaalpie"/>
          <w:rFonts w:ascii="Verdana" w:hAnsi="Verdana"/>
          <w:sz w:val="16"/>
          <w:szCs w:val="16"/>
        </w:rPr>
        <w:footnoteRef/>
      </w:r>
      <w:r w:rsidRPr="000031DD">
        <w:rPr>
          <w:rFonts w:ascii="Verdana" w:hAnsi="Verdana"/>
          <w:sz w:val="16"/>
          <w:szCs w:val="16"/>
        </w:rPr>
        <w:tab/>
      </w:r>
      <w:r w:rsidRPr="000031DD">
        <w:rPr>
          <w:rFonts w:ascii="Verdana" w:hAnsi="Verdana"/>
          <w:i/>
          <w:sz w:val="16"/>
          <w:szCs w:val="16"/>
        </w:rPr>
        <w:t>Cfr</w:t>
      </w:r>
      <w:r w:rsidRPr="000031DD">
        <w:rPr>
          <w:rFonts w:ascii="Verdana" w:hAnsi="Verdana"/>
          <w:sz w:val="16"/>
          <w:szCs w:val="16"/>
        </w:rPr>
        <w:t xml:space="preserve">. </w:t>
      </w:r>
      <w:r w:rsidRPr="000031DD">
        <w:rPr>
          <w:rFonts w:ascii="Verdana" w:hAnsi="Verdana" w:cs="Verdana"/>
          <w:i/>
          <w:iCs/>
          <w:sz w:val="16"/>
          <w:szCs w:val="16"/>
        </w:rPr>
        <w:t>Caso del Caracazo Vs. Venezuela</w:t>
      </w:r>
      <w:r w:rsidRPr="000031DD">
        <w:rPr>
          <w:rFonts w:ascii="Verdana" w:hAnsi="Verdana" w:cs="Verdana"/>
          <w:sz w:val="16"/>
          <w:szCs w:val="16"/>
        </w:rPr>
        <w:t>, párr. 118</w:t>
      </w:r>
      <w:r w:rsidRPr="00BE2698">
        <w:rPr>
          <w:rFonts w:ascii="Verdana" w:hAnsi="Verdana" w:cs="Verdana"/>
          <w:i/>
          <w:sz w:val="16"/>
          <w:szCs w:val="16"/>
        </w:rPr>
        <w:t>; Caso Cepeda Vargas Vs. Colombia. Excepciones Preliminares, Fondo, Reparaciones y Costas.</w:t>
      </w:r>
      <w:r w:rsidRPr="00B04EDC">
        <w:rPr>
          <w:rFonts w:ascii="Verdana" w:hAnsi="Verdana" w:cs="Verdana"/>
          <w:sz w:val="16"/>
          <w:szCs w:val="16"/>
        </w:rPr>
        <w:t xml:space="preserve"> Sentencia de 26 d</w:t>
      </w:r>
      <w:r>
        <w:rPr>
          <w:rFonts w:ascii="Verdana" w:hAnsi="Verdana" w:cs="Verdana"/>
          <w:sz w:val="16"/>
          <w:szCs w:val="16"/>
        </w:rPr>
        <w:t>e mayo de 2010. Serie C No. 213</w:t>
      </w:r>
      <w:r w:rsidRPr="000031DD">
        <w:rPr>
          <w:rFonts w:ascii="Verdana" w:hAnsi="Verdana" w:cs="Verdana"/>
          <w:bCs/>
          <w:sz w:val="16"/>
          <w:szCs w:val="16"/>
        </w:rPr>
        <w:t xml:space="preserve">, </w:t>
      </w:r>
      <w:r w:rsidRPr="000031DD">
        <w:rPr>
          <w:rFonts w:ascii="Verdana" w:hAnsi="Verdana"/>
          <w:sz w:val="16"/>
          <w:szCs w:val="16"/>
          <w:lang w:bidi="en-US"/>
        </w:rPr>
        <w:t xml:space="preserve">párr. </w:t>
      </w:r>
      <w:r w:rsidRPr="000031DD">
        <w:rPr>
          <w:rFonts w:ascii="Verdana" w:hAnsi="Verdana"/>
          <w:sz w:val="16"/>
          <w:szCs w:val="16"/>
        </w:rPr>
        <w:t>217</w:t>
      </w:r>
      <w:r>
        <w:rPr>
          <w:rFonts w:ascii="Verdana" w:hAnsi="Verdana"/>
          <w:sz w:val="16"/>
          <w:szCs w:val="16"/>
        </w:rPr>
        <w:t>;</w:t>
      </w:r>
      <w:r w:rsidRPr="000031DD">
        <w:rPr>
          <w:rFonts w:ascii="Verdana" w:hAnsi="Verdana"/>
          <w:sz w:val="16"/>
          <w:szCs w:val="16"/>
        </w:rPr>
        <w:t xml:space="preserve"> </w:t>
      </w:r>
      <w:r w:rsidRPr="00E34247">
        <w:rPr>
          <w:rFonts w:ascii="Verdana" w:hAnsi="Verdana"/>
          <w:i/>
          <w:sz w:val="16"/>
          <w:szCs w:val="16"/>
        </w:rPr>
        <w:t>Caso Ibsen Cárdenas e Ibsen Peña Vs. Bolivia</w:t>
      </w:r>
      <w:r w:rsidRPr="000031DD">
        <w:rPr>
          <w:rFonts w:ascii="Verdana" w:hAnsi="Verdana" w:cs="Verdana"/>
          <w:bCs/>
          <w:sz w:val="16"/>
          <w:szCs w:val="16"/>
        </w:rPr>
        <w:t>,</w:t>
      </w:r>
      <w:r w:rsidRPr="000031DD">
        <w:rPr>
          <w:rFonts w:ascii="Verdana" w:hAnsi="Verdana"/>
          <w:sz w:val="16"/>
          <w:szCs w:val="16"/>
        </w:rPr>
        <w:t xml:space="preserve"> párr. 238</w:t>
      </w:r>
      <w:r>
        <w:rPr>
          <w:rFonts w:ascii="Verdana" w:hAnsi="Verdana"/>
          <w:sz w:val="16"/>
          <w:szCs w:val="16"/>
          <w:lang w:val="es-ES"/>
        </w:rPr>
        <w:t>, y</w:t>
      </w:r>
      <w:r w:rsidRPr="000031DD">
        <w:rPr>
          <w:rFonts w:ascii="Verdana" w:hAnsi="Verdana"/>
          <w:sz w:val="16"/>
          <w:szCs w:val="16"/>
          <w:lang w:val="es-ES"/>
        </w:rPr>
        <w:t xml:space="preserve"> </w:t>
      </w:r>
      <w:r w:rsidRPr="00E34247">
        <w:rPr>
          <w:rFonts w:ascii="Verdana" w:hAnsi="Verdana"/>
          <w:i/>
          <w:sz w:val="16"/>
          <w:szCs w:val="16"/>
        </w:rPr>
        <w:t>Caso Gelman Vs. Uruguay. Fondo y Reparaciones</w:t>
      </w:r>
      <w:r w:rsidRPr="000031DD">
        <w:rPr>
          <w:rFonts w:ascii="Verdana" w:hAnsi="Verdana"/>
          <w:sz w:val="16"/>
          <w:szCs w:val="16"/>
          <w:lang w:val="es-ES"/>
        </w:rPr>
        <w:t>,</w:t>
      </w:r>
      <w:r>
        <w:rPr>
          <w:rFonts w:ascii="Verdana" w:hAnsi="Verdana"/>
          <w:sz w:val="16"/>
          <w:szCs w:val="16"/>
          <w:lang w:val="es-ES"/>
        </w:rPr>
        <w:t xml:space="preserve"> párr.</w:t>
      </w:r>
      <w:r w:rsidRPr="000031DD">
        <w:rPr>
          <w:rFonts w:ascii="Verdana" w:hAnsi="Verdana"/>
          <w:sz w:val="16"/>
          <w:szCs w:val="16"/>
          <w:lang w:val="es-ES"/>
        </w:rPr>
        <w:t xml:space="preserve"> 256.</w:t>
      </w:r>
    </w:p>
    <w:p w14:paraId="7F09DD57" w14:textId="77777777" w:rsidR="00DD280C" w:rsidRPr="000031DD" w:rsidRDefault="00DD280C" w:rsidP="00342F65">
      <w:pPr>
        <w:spacing w:after="0"/>
        <w:jc w:val="both"/>
        <w:rPr>
          <w:rFonts w:ascii="Verdana" w:hAnsi="Verdana"/>
          <w:sz w:val="16"/>
          <w:szCs w:val="16"/>
        </w:rPr>
      </w:pPr>
    </w:p>
  </w:footnote>
  <w:footnote w:id="247">
    <w:p w14:paraId="738C20F7" w14:textId="77777777" w:rsidR="00DD280C" w:rsidRPr="000031DD" w:rsidRDefault="00DD280C" w:rsidP="001B6F20">
      <w:pPr>
        <w:spacing w:after="0" w:line="276" w:lineRule="auto"/>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Pr>
          <w:rFonts w:ascii="Verdana" w:hAnsi="Verdana"/>
          <w:sz w:val="16"/>
          <w:szCs w:val="16"/>
        </w:rPr>
        <w:tab/>
      </w:r>
      <w:r w:rsidRPr="000031DD">
        <w:rPr>
          <w:rFonts w:ascii="Verdana" w:hAnsi="Verdana"/>
          <w:sz w:val="16"/>
          <w:szCs w:val="16"/>
        </w:rPr>
        <w:t>Al respecto, el Estado se refirió a diversas políticas generales, no referidas directamente a los hechos del caso. En primer término, hizo alusión a la Comisión Investigadora creada en 1985</w:t>
      </w:r>
      <w:r>
        <w:rPr>
          <w:rFonts w:ascii="Verdana" w:hAnsi="Verdana"/>
          <w:sz w:val="16"/>
          <w:szCs w:val="16"/>
        </w:rPr>
        <w:t xml:space="preserve"> y</w:t>
      </w:r>
      <w:r w:rsidRPr="000031DD">
        <w:rPr>
          <w:rFonts w:ascii="Verdana" w:hAnsi="Verdana"/>
          <w:sz w:val="16"/>
          <w:szCs w:val="16"/>
        </w:rPr>
        <w:t xml:space="preserve"> a la Comisión para la Paz creada en el 2000 (</w:t>
      </w:r>
      <w:r w:rsidRPr="000031DD">
        <w:rPr>
          <w:rFonts w:ascii="Verdana" w:hAnsi="Verdana"/>
          <w:i/>
          <w:sz w:val="16"/>
          <w:szCs w:val="16"/>
        </w:rPr>
        <w:t xml:space="preserve">supra </w:t>
      </w:r>
      <w:proofErr w:type="spellStart"/>
      <w:r w:rsidRPr="000031DD">
        <w:rPr>
          <w:rFonts w:ascii="Verdana" w:hAnsi="Verdana"/>
          <w:sz w:val="16"/>
          <w:szCs w:val="16"/>
        </w:rPr>
        <w:t>párrs</w:t>
      </w:r>
      <w:proofErr w:type="spellEnd"/>
      <w:r w:rsidRPr="000031DD">
        <w:rPr>
          <w:rFonts w:ascii="Verdana" w:hAnsi="Verdana"/>
          <w:sz w:val="16"/>
          <w:szCs w:val="16"/>
        </w:rPr>
        <w:t xml:space="preserve">. </w:t>
      </w:r>
      <w:r>
        <w:rPr>
          <w:rFonts w:ascii="Verdana" w:hAnsi="Verdana"/>
          <w:sz w:val="16"/>
          <w:szCs w:val="16"/>
        </w:rPr>
        <w:t>33 a 36</w:t>
      </w:r>
      <w:r w:rsidRPr="000031DD">
        <w:rPr>
          <w:rFonts w:ascii="Verdana" w:hAnsi="Verdana"/>
          <w:sz w:val="16"/>
          <w:szCs w:val="16"/>
        </w:rPr>
        <w:t xml:space="preserve">). Agregó los que sigue: i.-La Resolución 832/006, de 26 de diciembre de 2006, ordenó publicar los informes elevados por los Comandantes en Jefe de las Fuerzas Armadas y de la Universidad de la República, y fijó el 19 de junio de cada año como “fecha conmemorativa de que nunca más deberán ocurrir estos episodios entre uruguayos”.   </w:t>
      </w:r>
      <w:proofErr w:type="spellStart"/>
      <w:r w:rsidRPr="000031DD">
        <w:rPr>
          <w:rFonts w:ascii="Verdana" w:hAnsi="Verdana"/>
          <w:sz w:val="16"/>
          <w:szCs w:val="16"/>
        </w:rPr>
        <w:t>ii</w:t>
      </w:r>
      <w:proofErr w:type="spellEnd"/>
      <w:r w:rsidRPr="000031DD">
        <w:rPr>
          <w:rFonts w:ascii="Verdana" w:hAnsi="Verdana"/>
          <w:sz w:val="16"/>
          <w:szCs w:val="16"/>
        </w:rPr>
        <w:t xml:space="preserve">.- La Resolución 297/007 de 14 de mayo de 2007 dispuso la impresión de la obra “Investigación Histórica sobre Detenidos Desaparecidos en cumplimiento del artículo 4 de la Ley 15.848”. </w:t>
      </w:r>
      <w:proofErr w:type="spellStart"/>
      <w:r w:rsidRPr="000031DD">
        <w:rPr>
          <w:rFonts w:ascii="Verdana" w:hAnsi="Verdana"/>
          <w:sz w:val="16"/>
          <w:szCs w:val="16"/>
        </w:rPr>
        <w:t>iii</w:t>
      </w:r>
      <w:proofErr w:type="spellEnd"/>
      <w:r w:rsidRPr="000031DD">
        <w:rPr>
          <w:rFonts w:ascii="Verdana" w:hAnsi="Verdana"/>
          <w:sz w:val="16"/>
          <w:szCs w:val="16"/>
        </w:rPr>
        <w:t xml:space="preserve">.- En cumplimiento de la sentencia de la Corte Interamericana sobre el caso </w:t>
      </w:r>
      <w:r w:rsidRPr="000031DD">
        <w:rPr>
          <w:rFonts w:ascii="Verdana" w:hAnsi="Verdana"/>
          <w:i/>
          <w:sz w:val="16"/>
          <w:szCs w:val="16"/>
        </w:rPr>
        <w:t>Gelman</w:t>
      </w:r>
      <w:r w:rsidRPr="000031DD">
        <w:rPr>
          <w:rFonts w:ascii="Verdana" w:hAnsi="Verdana"/>
          <w:sz w:val="16"/>
          <w:szCs w:val="16"/>
        </w:rPr>
        <w:t>, la Resolución 450/011 de 31 de agosto de 2011 dispuso la creación de una Comisión Interministerial dependiente de la Presidencia de la República, y el 4 de diciembre de 2011 la Resolución 805/013 aprobó un “Protocolo de Procedimientos a seguir en la búsqueda, recuperación y análisis de restos óseos de personas detenidas desaparecidas”.</w:t>
      </w:r>
      <w:r w:rsidRPr="000031DD">
        <w:rPr>
          <w:rFonts w:ascii="Verdana" w:hAnsi="Verdana"/>
          <w:b/>
          <w:sz w:val="16"/>
          <w:szCs w:val="16"/>
        </w:rPr>
        <w:t xml:space="preserve"> </w:t>
      </w:r>
      <w:proofErr w:type="spellStart"/>
      <w:r w:rsidRPr="000031DD">
        <w:rPr>
          <w:rFonts w:ascii="Verdana" w:hAnsi="Verdana"/>
          <w:sz w:val="16"/>
          <w:szCs w:val="16"/>
        </w:rPr>
        <w:t>iv</w:t>
      </w:r>
      <w:proofErr w:type="spellEnd"/>
      <w:r w:rsidRPr="000031DD">
        <w:rPr>
          <w:rFonts w:ascii="Verdana" w:hAnsi="Verdana"/>
          <w:sz w:val="16"/>
          <w:szCs w:val="16"/>
        </w:rPr>
        <w:t>.-El Decreto 131/015 de 19 de mayo de 2015 creó el Grupo de Trabajo por Verdad y Justicia, con el propósito esencial de investigar crímenes de lesa humanidad, contribuir a la verdad histórica y a la promoción de la justicia, estableciendo que la Secretaría de Derechos Humanos para el pasado reciente fuera su “soporte funcional y administrativo”. v.- El 14 de octubre de 2019 el Grupo de Trabajo por Verdad y Justicia presentó su informe final (</w:t>
      </w:r>
      <w:r w:rsidRPr="00617293">
        <w:rPr>
          <w:rFonts w:ascii="Verdana" w:hAnsi="Verdana"/>
          <w:i/>
          <w:sz w:val="16"/>
          <w:szCs w:val="16"/>
        </w:rPr>
        <w:t>cfr</w:t>
      </w:r>
      <w:r w:rsidRPr="000031DD">
        <w:rPr>
          <w:rFonts w:ascii="Verdana" w:hAnsi="Verdana"/>
          <w:sz w:val="16"/>
          <w:szCs w:val="16"/>
        </w:rPr>
        <w:t>. expediente de prueba, anexo</w:t>
      </w:r>
      <w:r>
        <w:rPr>
          <w:rFonts w:ascii="Verdana" w:hAnsi="Verdana"/>
          <w:sz w:val="16"/>
          <w:szCs w:val="16"/>
        </w:rPr>
        <w:t xml:space="preserve"> XIX</w:t>
      </w:r>
      <w:r w:rsidRPr="000031DD">
        <w:rPr>
          <w:rFonts w:ascii="Verdana" w:hAnsi="Verdana"/>
          <w:sz w:val="16"/>
          <w:szCs w:val="16"/>
        </w:rPr>
        <w:t xml:space="preserve"> a la contestación fs</w:t>
      </w:r>
      <w:r>
        <w:rPr>
          <w:rFonts w:ascii="Verdana" w:hAnsi="Verdana"/>
          <w:sz w:val="16"/>
          <w:szCs w:val="16"/>
        </w:rPr>
        <w:t>.</w:t>
      </w:r>
      <w:r w:rsidRPr="000031DD">
        <w:rPr>
          <w:rFonts w:ascii="Verdana" w:hAnsi="Verdana"/>
          <w:sz w:val="16"/>
          <w:szCs w:val="16"/>
        </w:rPr>
        <w:t xml:space="preserve"> 2973 a 2995). vi.- “En paralelo”, el Grupo de Investigación en Antropología Forense (GIAF) ha publicado diversos informes (el Estado remitió copia de los “Informe[s] de Actividades” de 2005, de “2005-2010” y de “2013 y 2014” (expediente de prueba, anexo</w:t>
      </w:r>
      <w:r>
        <w:rPr>
          <w:rFonts w:ascii="Verdana" w:hAnsi="Verdana"/>
          <w:sz w:val="16"/>
          <w:szCs w:val="16"/>
        </w:rPr>
        <w:t xml:space="preserve"> XXI </w:t>
      </w:r>
      <w:r w:rsidRPr="000031DD">
        <w:rPr>
          <w:rFonts w:ascii="Verdana" w:hAnsi="Verdana"/>
          <w:sz w:val="16"/>
          <w:szCs w:val="16"/>
        </w:rPr>
        <w:t xml:space="preserve">a la contestación, fs. 3111 a 3774)).   </w:t>
      </w:r>
      <w:proofErr w:type="spellStart"/>
      <w:r w:rsidRPr="000031DD">
        <w:rPr>
          <w:rFonts w:ascii="Verdana" w:hAnsi="Verdana"/>
          <w:sz w:val="16"/>
          <w:szCs w:val="16"/>
        </w:rPr>
        <w:t>vii</w:t>
      </w:r>
      <w:proofErr w:type="spellEnd"/>
      <w:r w:rsidRPr="000031DD">
        <w:rPr>
          <w:rFonts w:ascii="Verdana" w:hAnsi="Verdana"/>
          <w:sz w:val="16"/>
          <w:szCs w:val="16"/>
        </w:rPr>
        <w:t>.- El 18 de septiembre de 2019 se sancionó la Ley 19.822, que encomendó a la INDDHH,</w:t>
      </w:r>
      <w:r w:rsidRPr="000031DD">
        <w:rPr>
          <w:rFonts w:ascii="Verdana" w:hAnsi="Verdana"/>
          <w:b/>
          <w:sz w:val="16"/>
          <w:szCs w:val="16"/>
        </w:rPr>
        <w:t xml:space="preserve"> </w:t>
      </w:r>
      <w:r w:rsidRPr="000031DD">
        <w:rPr>
          <w:rFonts w:ascii="Verdana" w:hAnsi="Verdana"/>
          <w:sz w:val="16"/>
          <w:szCs w:val="16"/>
        </w:rPr>
        <w:t>que es independiente del Poder Ejecutivo, “la búsqueda de las personas detenidas y desaparecidas” durante la dictadura, que ya ha elaborado dos informes, uno el 18 de mayo de 2020 y otro el 7 de octubre del mismo año, que muestran que “la búsqueda de los restos mortales de los detenidos desaparecidos constituye una verdadera política de Estado del Uruguay”,</w:t>
      </w:r>
      <w:r w:rsidRPr="000031DD">
        <w:rPr>
          <w:rFonts w:ascii="Verdana" w:hAnsi="Verdana"/>
          <w:b/>
          <w:sz w:val="16"/>
          <w:szCs w:val="16"/>
        </w:rPr>
        <w:t xml:space="preserve"> </w:t>
      </w:r>
      <w:r w:rsidRPr="000031DD">
        <w:rPr>
          <w:rFonts w:ascii="Verdana" w:hAnsi="Verdana"/>
          <w:sz w:val="16"/>
          <w:szCs w:val="16"/>
        </w:rPr>
        <w:t>cuya continuidad “a largo plazo” está garantizada, incluso a nivel presupuestario. El Estado presentó tales informes (expediente de prueba, anexo</w:t>
      </w:r>
      <w:r>
        <w:rPr>
          <w:rFonts w:ascii="Verdana" w:hAnsi="Verdana"/>
          <w:sz w:val="16"/>
          <w:szCs w:val="16"/>
        </w:rPr>
        <w:t xml:space="preserve"> XV</w:t>
      </w:r>
      <w:r w:rsidRPr="000031DD">
        <w:rPr>
          <w:rFonts w:ascii="Verdana" w:hAnsi="Verdana"/>
          <w:sz w:val="16"/>
          <w:szCs w:val="16"/>
        </w:rPr>
        <w:t xml:space="preserve"> a la contestación, fs. 2675 a 2698), y destacó que en febrero de 2021 “la Cámara de Senadores aprobó, junto al presupuesto de la INDDHH- un proyecto de inversión para la búsqueda de los detenidos desaparecidos”. Señaló que las partidas presupuestarias asignadas fueron las requeridas por la INDDHH”, y que “[e]l proyecto de inversión tiene dos objetivos: a) garantizar la coherencia y continuidad de los trabajos de búsqueda durante los próximos 5 años y b) mantener los recursos asignados a la búsqueda en el nivel que se encontraban cuando la INDDHH se hiciera cargo de </w:t>
      </w:r>
      <w:proofErr w:type="gramStart"/>
      <w:r w:rsidRPr="000031DD">
        <w:rPr>
          <w:rFonts w:ascii="Verdana" w:hAnsi="Verdana"/>
          <w:sz w:val="16"/>
          <w:szCs w:val="16"/>
        </w:rPr>
        <w:t>la misma</w:t>
      </w:r>
      <w:proofErr w:type="gramEnd"/>
      <w:r w:rsidRPr="000031DD">
        <w:rPr>
          <w:rFonts w:ascii="Verdana" w:hAnsi="Verdana"/>
          <w:sz w:val="16"/>
          <w:szCs w:val="16"/>
        </w:rPr>
        <w:t>”</w:t>
      </w:r>
      <w:r>
        <w:rPr>
          <w:rFonts w:ascii="Verdana" w:hAnsi="Verdana"/>
          <w:sz w:val="16"/>
          <w:szCs w:val="16"/>
        </w:rPr>
        <w:t xml:space="preserve">. </w:t>
      </w:r>
      <w:r w:rsidRPr="000031DD">
        <w:rPr>
          <w:rFonts w:ascii="Verdana" w:hAnsi="Verdana"/>
          <w:sz w:val="16"/>
          <w:szCs w:val="16"/>
        </w:rPr>
        <w:t>El Estado también presentó los “lineamientos estratégicos” para la implementación de la Ley. 19.822 de 2019, que, entre otros aspectos, asigna funciones a la Institución Nacional de Derechos Humanos y a la Defensoría del Pueblo en la búsqueda de personas desaparecidas (expediente de prueba, anexo</w:t>
      </w:r>
      <w:r>
        <w:rPr>
          <w:rFonts w:ascii="Verdana" w:hAnsi="Verdana"/>
          <w:sz w:val="16"/>
          <w:szCs w:val="16"/>
        </w:rPr>
        <w:t xml:space="preserve"> XVII</w:t>
      </w:r>
      <w:r w:rsidRPr="000031DD">
        <w:rPr>
          <w:rFonts w:ascii="Verdana" w:hAnsi="Verdana"/>
          <w:sz w:val="16"/>
          <w:szCs w:val="16"/>
        </w:rPr>
        <w:t xml:space="preserve"> a la contestación, f</w:t>
      </w:r>
      <w:r>
        <w:rPr>
          <w:rFonts w:ascii="Verdana" w:hAnsi="Verdana"/>
          <w:sz w:val="16"/>
          <w:szCs w:val="16"/>
        </w:rPr>
        <w:t>s</w:t>
      </w:r>
      <w:r w:rsidRPr="000031DD">
        <w:rPr>
          <w:rFonts w:ascii="Verdana" w:hAnsi="Verdana"/>
          <w:sz w:val="16"/>
          <w:szCs w:val="16"/>
        </w:rPr>
        <w:t xml:space="preserve">. </w:t>
      </w:r>
      <w:r>
        <w:rPr>
          <w:rFonts w:ascii="Verdana" w:hAnsi="Verdana"/>
          <w:sz w:val="16"/>
          <w:szCs w:val="16"/>
        </w:rPr>
        <w:t xml:space="preserve">2702 a </w:t>
      </w:r>
      <w:r w:rsidRPr="000031DD">
        <w:rPr>
          <w:rFonts w:ascii="Verdana" w:hAnsi="Verdana"/>
          <w:sz w:val="16"/>
          <w:szCs w:val="16"/>
        </w:rPr>
        <w:t>27</w:t>
      </w:r>
      <w:r>
        <w:rPr>
          <w:rFonts w:ascii="Verdana" w:hAnsi="Verdana"/>
          <w:sz w:val="16"/>
          <w:szCs w:val="16"/>
        </w:rPr>
        <w:t>11</w:t>
      </w:r>
      <w:r w:rsidRPr="000031DD">
        <w:rPr>
          <w:rFonts w:ascii="Verdana" w:hAnsi="Verdana"/>
          <w:sz w:val="16"/>
          <w:szCs w:val="16"/>
        </w:rPr>
        <w:t xml:space="preserve">). </w:t>
      </w:r>
    </w:p>
    <w:p w14:paraId="61D99518" w14:textId="77777777" w:rsidR="00DD280C" w:rsidRPr="000031DD" w:rsidRDefault="00DD280C" w:rsidP="001B6F20">
      <w:pPr>
        <w:pStyle w:val="Textonotapie"/>
        <w:jc w:val="both"/>
        <w:rPr>
          <w:rFonts w:ascii="Verdana" w:hAnsi="Verdana"/>
          <w:sz w:val="16"/>
          <w:szCs w:val="16"/>
        </w:rPr>
      </w:pPr>
    </w:p>
  </w:footnote>
  <w:footnote w:id="248">
    <w:p w14:paraId="7339B32D" w14:textId="624A0711"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Pr>
          <w:rFonts w:ascii="Verdana" w:hAnsi="Verdana"/>
          <w:sz w:val="16"/>
          <w:szCs w:val="16"/>
        </w:rPr>
        <w:tab/>
      </w:r>
      <w:r w:rsidRPr="00617293">
        <w:rPr>
          <w:rFonts w:ascii="Verdana" w:hAnsi="Verdana"/>
          <w:i/>
          <w:sz w:val="16"/>
          <w:szCs w:val="16"/>
        </w:rPr>
        <w:t>Caso Gelman Vs. Uruguay. Fondo y Reparaciones</w:t>
      </w:r>
      <w:r w:rsidRPr="000031DD">
        <w:rPr>
          <w:rFonts w:ascii="Verdana" w:hAnsi="Verdana"/>
          <w:sz w:val="16"/>
          <w:szCs w:val="16"/>
        </w:rPr>
        <w:t xml:space="preserve">, </w:t>
      </w:r>
      <w:r>
        <w:rPr>
          <w:rFonts w:ascii="Verdana" w:hAnsi="Verdana"/>
          <w:sz w:val="16"/>
          <w:szCs w:val="16"/>
        </w:rPr>
        <w:t xml:space="preserve">párr. </w:t>
      </w:r>
      <w:r w:rsidRPr="000031DD">
        <w:rPr>
          <w:rFonts w:ascii="Verdana" w:hAnsi="Verdana"/>
          <w:sz w:val="16"/>
          <w:szCs w:val="16"/>
        </w:rPr>
        <w:t>258.</w:t>
      </w:r>
    </w:p>
    <w:p w14:paraId="079BB00D" w14:textId="77777777" w:rsidR="00DD280C" w:rsidRPr="000031DD" w:rsidRDefault="00DD280C" w:rsidP="001B6F20">
      <w:pPr>
        <w:pStyle w:val="Textonotapie"/>
        <w:jc w:val="both"/>
        <w:rPr>
          <w:rFonts w:ascii="Verdana" w:hAnsi="Verdana"/>
          <w:sz w:val="16"/>
          <w:szCs w:val="16"/>
        </w:rPr>
      </w:pPr>
    </w:p>
  </w:footnote>
  <w:footnote w:id="249">
    <w:p w14:paraId="7ABD8902" w14:textId="51024AB1"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Pr>
          <w:rFonts w:ascii="Verdana" w:hAnsi="Verdana"/>
          <w:sz w:val="16"/>
          <w:szCs w:val="16"/>
        </w:rPr>
        <w:tab/>
      </w:r>
      <w:r w:rsidRPr="000031DD">
        <w:rPr>
          <w:rFonts w:ascii="Verdana" w:hAnsi="Verdana"/>
          <w:sz w:val="16"/>
          <w:szCs w:val="16"/>
        </w:rPr>
        <w:t xml:space="preserve">En igual sentido, </w:t>
      </w:r>
      <w:r w:rsidRPr="00E34247">
        <w:rPr>
          <w:rFonts w:ascii="Verdana" w:hAnsi="Verdana"/>
          <w:i/>
          <w:sz w:val="16"/>
          <w:szCs w:val="16"/>
        </w:rPr>
        <w:t xml:space="preserve">Caso Gelman Vs. </w:t>
      </w:r>
      <w:r w:rsidRPr="00242D9E">
        <w:rPr>
          <w:rFonts w:ascii="Verdana" w:hAnsi="Verdana"/>
          <w:i/>
          <w:sz w:val="16"/>
          <w:szCs w:val="16"/>
        </w:rPr>
        <w:t>Uruguay</w:t>
      </w:r>
      <w:r>
        <w:rPr>
          <w:rFonts w:ascii="Verdana" w:hAnsi="Verdana"/>
          <w:sz w:val="16"/>
          <w:szCs w:val="16"/>
        </w:rPr>
        <w:t xml:space="preserve">. </w:t>
      </w:r>
      <w:r w:rsidRPr="00617293">
        <w:rPr>
          <w:rFonts w:ascii="Verdana" w:hAnsi="Verdana"/>
          <w:i/>
          <w:sz w:val="16"/>
          <w:szCs w:val="16"/>
        </w:rPr>
        <w:t>Fondo y Reparaciones</w:t>
      </w:r>
      <w:r>
        <w:rPr>
          <w:rFonts w:ascii="Verdana" w:hAnsi="Verdana"/>
          <w:i/>
          <w:sz w:val="16"/>
          <w:szCs w:val="16"/>
        </w:rPr>
        <w:t>,</w:t>
      </w:r>
      <w:r w:rsidRPr="00242D9E">
        <w:rPr>
          <w:rFonts w:ascii="Verdana" w:hAnsi="Verdana"/>
          <w:sz w:val="16"/>
          <w:szCs w:val="16"/>
        </w:rPr>
        <w:t xml:space="preserve"> </w:t>
      </w:r>
      <w:r w:rsidRPr="00617293">
        <w:rPr>
          <w:rFonts w:ascii="Verdana" w:hAnsi="Verdana"/>
          <w:sz w:val="16"/>
          <w:szCs w:val="16"/>
        </w:rPr>
        <w:t xml:space="preserve">párr. </w:t>
      </w:r>
      <w:r w:rsidRPr="00242D9E">
        <w:rPr>
          <w:rFonts w:ascii="Verdana" w:hAnsi="Verdana"/>
          <w:sz w:val="16"/>
          <w:szCs w:val="16"/>
        </w:rPr>
        <w:t xml:space="preserve">260, </w:t>
      </w:r>
      <w:r w:rsidRPr="00617293">
        <w:rPr>
          <w:rFonts w:ascii="Verdana" w:hAnsi="Verdana"/>
          <w:sz w:val="16"/>
          <w:szCs w:val="16"/>
        </w:rPr>
        <w:t xml:space="preserve">y </w:t>
      </w:r>
      <w:r w:rsidRPr="00617293">
        <w:rPr>
          <w:rFonts w:ascii="Verdana" w:hAnsi="Verdana"/>
          <w:i/>
          <w:sz w:val="16"/>
          <w:szCs w:val="16"/>
        </w:rPr>
        <w:t>Caso Rodríguez Vera y otros (Desaparecidos del Palacio de Justicia) Vs. Colombia</w:t>
      </w:r>
      <w:r w:rsidRPr="0025077B">
        <w:rPr>
          <w:rFonts w:ascii="Verdana" w:hAnsi="Verdana"/>
          <w:sz w:val="16"/>
          <w:szCs w:val="16"/>
        </w:rPr>
        <w:t xml:space="preserve">, párr. </w:t>
      </w:r>
      <w:r>
        <w:rPr>
          <w:rFonts w:ascii="Verdana" w:hAnsi="Verdana"/>
          <w:sz w:val="16"/>
          <w:szCs w:val="16"/>
        </w:rPr>
        <w:t>564.</w:t>
      </w:r>
    </w:p>
    <w:p w14:paraId="543E0AF6" w14:textId="77777777" w:rsidR="00DD280C" w:rsidRPr="000031DD" w:rsidRDefault="00DD280C" w:rsidP="001B6F20">
      <w:pPr>
        <w:pStyle w:val="Textonotapie"/>
        <w:jc w:val="both"/>
        <w:rPr>
          <w:rFonts w:ascii="Verdana" w:hAnsi="Verdana"/>
          <w:sz w:val="16"/>
          <w:szCs w:val="16"/>
        </w:rPr>
      </w:pPr>
    </w:p>
  </w:footnote>
  <w:footnote w:id="250">
    <w:p w14:paraId="6B37554F"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En relación con estas medidas, la Comisión “</w:t>
      </w:r>
      <w:proofErr w:type="spellStart"/>
      <w:r w:rsidRPr="000031DD">
        <w:rPr>
          <w:rFonts w:ascii="Verdana" w:hAnsi="Verdana"/>
          <w:sz w:val="16"/>
          <w:szCs w:val="16"/>
        </w:rPr>
        <w:t>tom</w:t>
      </w:r>
      <w:proofErr w:type="spellEnd"/>
      <w:r w:rsidRPr="000031DD">
        <w:rPr>
          <w:rFonts w:ascii="Verdana" w:hAnsi="Verdana"/>
          <w:sz w:val="16"/>
          <w:szCs w:val="16"/>
        </w:rPr>
        <w:t>[</w:t>
      </w:r>
      <w:proofErr w:type="spellStart"/>
      <w:r w:rsidRPr="000031DD">
        <w:rPr>
          <w:rFonts w:ascii="Verdana" w:hAnsi="Verdana"/>
          <w:sz w:val="16"/>
          <w:szCs w:val="16"/>
        </w:rPr>
        <w:t>ó</w:t>
      </w:r>
      <w:proofErr w:type="spellEnd"/>
      <w:r w:rsidRPr="000031DD">
        <w:rPr>
          <w:rFonts w:ascii="Verdana" w:hAnsi="Verdana"/>
          <w:sz w:val="16"/>
          <w:szCs w:val="16"/>
        </w:rPr>
        <w:t>] nota que, según lo informó el E</w:t>
      </w:r>
      <w:r>
        <w:rPr>
          <w:rFonts w:ascii="Verdana" w:hAnsi="Verdana"/>
          <w:sz w:val="16"/>
          <w:szCs w:val="16"/>
        </w:rPr>
        <w:t>s</w:t>
      </w:r>
      <w:r w:rsidRPr="000031DD">
        <w:rPr>
          <w:rFonts w:ascii="Verdana" w:hAnsi="Verdana"/>
          <w:sz w:val="16"/>
          <w:szCs w:val="16"/>
        </w:rPr>
        <w:t xml:space="preserve">tado, los familiares de las cinco [presuntas] víctimas [directas] recibieron alguna reparación al amparo de la Ley 18.596” y, aunque la Comisión no cuenta con respaldo documental de ello, entendió que “el Estado podrá tener en cuenta dichas reparaciones previas al momento de determinar el monto a pagar” en virtud de las violaciones a derechos humanos determinadas en el Informe de Fondo. </w:t>
      </w:r>
    </w:p>
    <w:p w14:paraId="44D09EA7" w14:textId="77777777" w:rsidR="00DD280C" w:rsidRPr="000031DD" w:rsidRDefault="00DD280C" w:rsidP="001B6F20">
      <w:pPr>
        <w:pStyle w:val="Textonotapie"/>
        <w:jc w:val="both"/>
        <w:rPr>
          <w:rFonts w:ascii="Verdana" w:hAnsi="Verdana"/>
          <w:sz w:val="16"/>
          <w:szCs w:val="16"/>
        </w:rPr>
      </w:pPr>
    </w:p>
  </w:footnote>
  <w:footnote w:id="251">
    <w:p w14:paraId="12633653"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El Estado se refirió a “aquellas personas que hubiesen permanecido detenidas por más de seis (6) meses sin haber sido procesadas, o que hubiesen sido procesadas o hubiesen sufrido lesiones gravísimas a raíz o en ocasión del accionar de agentes de Estado o que siendo niños o niñas hayan sido secuestrados o hayan permanecido en cautiverio con sus padres”. </w:t>
      </w:r>
    </w:p>
    <w:p w14:paraId="0327D6D6" w14:textId="77777777" w:rsidR="00DD280C" w:rsidRPr="000031DD" w:rsidRDefault="00DD280C" w:rsidP="001B6F20">
      <w:pPr>
        <w:pStyle w:val="Textonotapie"/>
        <w:jc w:val="both"/>
        <w:rPr>
          <w:rFonts w:ascii="Verdana" w:hAnsi="Verdana"/>
          <w:sz w:val="16"/>
          <w:szCs w:val="16"/>
        </w:rPr>
      </w:pPr>
    </w:p>
  </w:footnote>
  <w:footnote w:id="252">
    <w:p w14:paraId="2A698A90" w14:textId="2A943CC7" w:rsidR="00DD280C" w:rsidRPr="000031DD" w:rsidRDefault="00DD280C" w:rsidP="001B6F20">
      <w:pPr>
        <w:pStyle w:val="Textonotapie"/>
        <w:jc w:val="both"/>
        <w:rPr>
          <w:rFonts w:ascii="Verdana" w:hAnsi="Verdana"/>
          <w:sz w:val="16"/>
          <w:szCs w:val="16"/>
          <w:lang w:val="es-MX"/>
        </w:rPr>
      </w:pPr>
      <w:r w:rsidRPr="000031DD">
        <w:rPr>
          <w:rStyle w:val="Refdenotaalpie"/>
          <w:rFonts w:ascii="Verdana" w:eastAsia="MS Mincho"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0031DD">
        <w:rPr>
          <w:rFonts w:ascii="Verdana" w:hAnsi="Verdana"/>
          <w:i/>
          <w:sz w:val="16"/>
          <w:szCs w:val="16"/>
        </w:rPr>
        <w:t xml:space="preserve">Cfr. </w:t>
      </w:r>
      <w:r w:rsidRPr="000031DD">
        <w:rPr>
          <w:rFonts w:ascii="Verdana" w:hAnsi="Verdana" w:cs="Arial"/>
          <w:i/>
          <w:sz w:val="16"/>
          <w:szCs w:val="16"/>
          <w:shd w:val="clear" w:color="auto" w:fill="FFFFFF"/>
        </w:rPr>
        <w:t>Caso de la Masacre de Las Dos Erres Vs. Guatemala</w:t>
      </w:r>
      <w:r w:rsidRPr="000031DD">
        <w:rPr>
          <w:rFonts w:ascii="Verdana" w:hAnsi="Verdana"/>
          <w:sz w:val="16"/>
          <w:szCs w:val="16"/>
        </w:rPr>
        <w:t>,</w:t>
      </w:r>
      <w:r w:rsidRPr="000031DD">
        <w:rPr>
          <w:rFonts w:ascii="Verdana" w:hAnsi="Verdana"/>
          <w:i/>
          <w:sz w:val="16"/>
          <w:szCs w:val="16"/>
        </w:rPr>
        <w:t xml:space="preserve"> </w:t>
      </w:r>
      <w:r w:rsidRPr="000031DD">
        <w:rPr>
          <w:rFonts w:ascii="Verdana" w:hAnsi="Verdana"/>
          <w:iCs/>
          <w:sz w:val="16"/>
          <w:szCs w:val="16"/>
        </w:rPr>
        <w:t xml:space="preserve">párr. 270, </w:t>
      </w:r>
      <w:r w:rsidRPr="000031DD">
        <w:rPr>
          <w:rFonts w:ascii="Verdana" w:hAnsi="Verdana"/>
          <w:i/>
          <w:sz w:val="16"/>
          <w:szCs w:val="16"/>
        </w:rPr>
        <w:t xml:space="preserve">Caso Poblete Vilches y otros Vs. Chile. Fondo, Reparaciones y Costas. </w:t>
      </w:r>
      <w:r w:rsidRPr="000031DD">
        <w:rPr>
          <w:rFonts w:ascii="Verdana" w:hAnsi="Verdana"/>
          <w:iCs/>
          <w:sz w:val="16"/>
          <w:szCs w:val="16"/>
        </w:rPr>
        <w:t>Sentencia de 8 de marzo de 2018. Serie C No. 349, párr. 231</w:t>
      </w:r>
      <w:r>
        <w:rPr>
          <w:rFonts w:ascii="Verdana" w:hAnsi="Verdana"/>
          <w:iCs/>
          <w:sz w:val="16"/>
          <w:szCs w:val="16"/>
        </w:rPr>
        <w:t xml:space="preserve">, y </w:t>
      </w:r>
      <w:r w:rsidRPr="006577DC">
        <w:rPr>
          <w:rFonts w:ascii="Verdana" w:hAnsi="Verdana"/>
          <w:i/>
          <w:sz w:val="16"/>
          <w:szCs w:val="16"/>
          <w:lang w:val="es-MX"/>
        </w:rPr>
        <w:t>Caso Garzón Guzmán y otros Vs. Ecuador</w:t>
      </w:r>
      <w:r w:rsidRPr="000031DD">
        <w:rPr>
          <w:rFonts w:ascii="Verdana" w:hAnsi="Verdana" w:cs="Arial"/>
          <w:sz w:val="16"/>
          <w:szCs w:val="16"/>
          <w:shd w:val="clear" w:color="auto" w:fill="FFFFFF"/>
        </w:rPr>
        <w:t xml:space="preserve">, párr. </w:t>
      </w:r>
      <w:r>
        <w:rPr>
          <w:rFonts w:ascii="Verdana" w:hAnsi="Verdana" w:cs="Arial"/>
          <w:sz w:val="16"/>
          <w:szCs w:val="16"/>
          <w:shd w:val="clear" w:color="auto" w:fill="FFFFFF"/>
        </w:rPr>
        <w:t>114</w:t>
      </w:r>
      <w:r w:rsidRPr="000031DD">
        <w:rPr>
          <w:rFonts w:ascii="Verdana" w:hAnsi="Verdana" w:cs="Arial"/>
          <w:sz w:val="16"/>
          <w:szCs w:val="16"/>
          <w:shd w:val="clear" w:color="auto" w:fill="FFFFFF"/>
        </w:rPr>
        <w:t>.</w:t>
      </w:r>
    </w:p>
    <w:p w14:paraId="2DF58058" w14:textId="77777777" w:rsidR="00DD280C" w:rsidRPr="000031DD" w:rsidRDefault="00DD280C" w:rsidP="001B6F20">
      <w:pPr>
        <w:pStyle w:val="Textonotapie"/>
        <w:jc w:val="both"/>
        <w:rPr>
          <w:rFonts w:ascii="Verdana" w:hAnsi="Verdana"/>
          <w:sz w:val="16"/>
          <w:szCs w:val="16"/>
          <w:lang w:val="es-MX"/>
        </w:rPr>
      </w:pPr>
    </w:p>
  </w:footnote>
  <w:footnote w:id="253">
    <w:p w14:paraId="3E498C22" w14:textId="39C058D2" w:rsidR="00DD280C" w:rsidRPr="000031DD" w:rsidRDefault="00DD280C" w:rsidP="001B6F20">
      <w:pPr>
        <w:pStyle w:val="Textonotapie"/>
        <w:jc w:val="both"/>
        <w:rPr>
          <w:rFonts w:ascii="Verdana" w:hAnsi="Verdana"/>
          <w:i/>
          <w:iCs/>
          <w:sz w:val="16"/>
          <w:szCs w:val="16"/>
          <w:lang w:val="es-MX"/>
        </w:rPr>
      </w:pPr>
      <w:r w:rsidRPr="000031DD">
        <w:rPr>
          <w:rStyle w:val="Refdenotaalpie"/>
          <w:rFonts w:ascii="Verdana" w:eastAsia="MS Mincho" w:hAnsi="Verdana"/>
          <w:sz w:val="16"/>
          <w:szCs w:val="16"/>
        </w:rPr>
        <w:footnoteRef/>
      </w:r>
      <w:r w:rsidRPr="000031DD">
        <w:rPr>
          <w:rFonts w:ascii="Verdana" w:hAnsi="Verdana"/>
          <w:sz w:val="16"/>
          <w:szCs w:val="16"/>
        </w:rPr>
        <w:t xml:space="preserve"> </w:t>
      </w:r>
      <w:r w:rsidRPr="000031DD">
        <w:rPr>
          <w:rFonts w:ascii="Verdana" w:hAnsi="Verdana"/>
          <w:sz w:val="16"/>
          <w:szCs w:val="16"/>
          <w:lang w:val="es-MX"/>
        </w:rPr>
        <w:t xml:space="preserve"> </w:t>
      </w:r>
      <w:r w:rsidRPr="000031DD">
        <w:rPr>
          <w:rFonts w:ascii="Verdana" w:hAnsi="Verdana"/>
          <w:sz w:val="16"/>
          <w:szCs w:val="16"/>
          <w:lang w:val="es-MX"/>
        </w:rPr>
        <w:tab/>
      </w:r>
      <w:r w:rsidRPr="000031DD">
        <w:rPr>
          <w:rFonts w:ascii="Verdana" w:hAnsi="Verdana"/>
          <w:i/>
          <w:sz w:val="16"/>
          <w:szCs w:val="16"/>
          <w:lang w:val="es-MX"/>
        </w:rPr>
        <w:t xml:space="preserve">Cfr. </w:t>
      </w:r>
      <w:r w:rsidRPr="000031DD">
        <w:rPr>
          <w:rFonts w:ascii="Verdana" w:hAnsi="Verdana" w:cs="Arial"/>
          <w:i/>
          <w:sz w:val="16"/>
          <w:szCs w:val="16"/>
          <w:shd w:val="clear" w:color="auto" w:fill="FFFFFF"/>
        </w:rPr>
        <w:t>Caso Rosendo Cantú y otra Vs. México</w:t>
      </w:r>
      <w:r w:rsidRPr="000031DD">
        <w:rPr>
          <w:rFonts w:ascii="Verdana" w:hAnsi="Verdana"/>
          <w:sz w:val="16"/>
          <w:szCs w:val="16"/>
          <w:lang w:val="es-MX"/>
        </w:rPr>
        <w:t>,</w:t>
      </w:r>
      <w:r w:rsidRPr="000031DD">
        <w:rPr>
          <w:rFonts w:ascii="Verdana" w:hAnsi="Verdana"/>
          <w:i/>
          <w:sz w:val="16"/>
          <w:szCs w:val="16"/>
          <w:lang w:val="es-MX"/>
        </w:rPr>
        <w:t xml:space="preserve"> </w:t>
      </w:r>
      <w:r w:rsidRPr="000031DD">
        <w:rPr>
          <w:rFonts w:ascii="Verdana" w:hAnsi="Verdana"/>
          <w:iCs/>
          <w:sz w:val="16"/>
          <w:szCs w:val="16"/>
          <w:lang w:val="es-MX"/>
        </w:rPr>
        <w:t>párr. 253,</w:t>
      </w:r>
      <w:r w:rsidRPr="000031DD">
        <w:rPr>
          <w:rFonts w:ascii="Verdana" w:hAnsi="Verdana"/>
          <w:sz w:val="16"/>
          <w:szCs w:val="16"/>
          <w:lang w:val="es-MX"/>
        </w:rPr>
        <w:t xml:space="preserve"> y </w:t>
      </w:r>
      <w:r w:rsidRPr="006577DC">
        <w:rPr>
          <w:rFonts w:ascii="Verdana" w:hAnsi="Verdana"/>
          <w:i/>
          <w:sz w:val="16"/>
          <w:szCs w:val="16"/>
          <w:lang w:val="es-MX"/>
        </w:rPr>
        <w:t>Caso Garzón Guzmán y otros Vs. Ecuador</w:t>
      </w:r>
      <w:r w:rsidRPr="000031DD">
        <w:rPr>
          <w:rFonts w:ascii="Verdana" w:hAnsi="Verdana" w:cs="Arial"/>
          <w:sz w:val="16"/>
          <w:szCs w:val="16"/>
          <w:shd w:val="clear" w:color="auto" w:fill="FFFFFF"/>
        </w:rPr>
        <w:t xml:space="preserve">, párr. </w:t>
      </w:r>
      <w:r>
        <w:rPr>
          <w:rFonts w:ascii="Verdana" w:hAnsi="Verdana" w:cs="Arial"/>
          <w:sz w:val="16"/>
          <w:szCs w:val="16"/>
          <w:shd w:val="clear" w:color="auto" w:fill="FFFFFF"/>
        </w:rPr>
        <w:t>114</w:t>
      </w:r>
      <w:r w:rsidRPr="000031DD">
        <w:rPr>
          <w:rFonts w:ascii="Verdana" w:hAnsi="Verdana" w:cs="Arial"/>
          <w:sz w:val="16"/>
          <w:szCs w:val="16"/>
          <w:shd w:val="clear" w:color="auto" w:fill="FFFFFF"/>
        </w:rPr>
        <w:t>.</w:t>
      </w:r>
    </w:p>
    <w:p w14:paraId="2691B7DD" w14:textId="77777777" w:rsidR="00DD280C" w:rsidRPr="000031DD" w:rsidRDefault="00DD280C" w:rsidP="001B6F20">
      <w:pPr>
        <w:pStyle w:val="Textonotapie"/>
        <w:jc w:val="both"/>
        <w:rPr>
          <w:rFonts w:ascii="Verdana" w:hAnsi="Verdana"/>
          <w:sz w:val="16"/>
          <w:szCs w:val="16"/>
          <w:lang w:val="es-MX"/>
        </w:rPr>
      </w:pPr>
    </w:p>
  </w:footnote>
  <w:footnote w:id="254">
    <w:p w14:paraId="3F476603" w14:textId="77777777" w:rsidR="00DD280C" w:rsidRDefault="00DD280C" w:rsidP="001B6F20">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 xml:space="preserve">El Estado remitió la “Primera Memoria Anual 2018-2019” de la Comisión Nacional Honoraria de </w:t>
      </w:r>
      <w:r w:rsidRPr="000031DD">
        <w:rPr>
          <w:rFonts w:ascii="Verdana" w:hAnsi="Verdana"/>
          <w:sz w:val="16"/>
          <w:szCs w:val="16"/>
        </w:rPr>
        <w:t xml:space="preserve">Sitios </w:t>
      </w:r>
      <w:r w:rsidRPr="00E53751">
        <w:rPr>
          <w:rFonts w:ascii="Verdana" w:hAnsi="Verdana"/>
          <w:sz w:val="16"/>
          <w:szCs w:val="16"/>
        </w:rPr>
        <w:t>de la Memoria (expediente de prueba, anexo</w:t>
      </w:r>
      <w:r>
        <w:rPr>
          <w:rFonts w:ascii="Verdana" w:hAnsi="Verdana"/>
          <w:sz w:val="16"/>
          <w:szCs w:val="16"/>
        </w:rPr>
        <w:t xml:space="preserve"> XXXVIII</w:t>
      </w:r>
      <w:r w:rsidRPr="00E53751">
        <w:rPr>
          <w:rFonts w:ascii="Verdana" w:hAnsi="Verdana"/>
          <w:sz w:val="16"/>
          <w:szCs w:val="16"/>
        </w:rPr>
        <w:t xml:space="preserve"> a la contestación, fs. 5199 a 5310). </w:t>
      </w:r>
    </w:p>
    <w:p w14:paraId="31215AEE" w14:textId="77777777" w:rsidR="00DD280C" w:rsidRPr="00E53751" w:rsidRDefault="00DD280C" w:rsidP="001B6F20">
      <w:pPr>
        <w:pStyle w:val="Textonotapie"/>
        <w:jc w:val="both"/>
        <w:rPr>
          <w:rFonts w:ascii="Verdana" w:hAnsi="Verdana"/>
          <w:sz w:val="16"/>
          <w:szCs w:val="16"/>
        </w:rPr>
      </w:pPr>
    </w:p>
  </w:footnote>
  <w:footnote w:id="255">
    <w:p w14:paraId="67AA2E21" w14:textId="77777777" w:rsidR="00DD280C" w:rsidRPr="00E53751" w:rsidRDefault="00DD280C" w:rsidP="001B6F20">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El Estado remitió este documento (</w:t>
      </w:r>
      <w:r w:rsidRPr="00617293">
        <w:rPr>
          <w:rFonts w:ascii="Verdana" w:hAnsi="Verdana"/>
          <w:i/>
          <w:sz w:val="16"/>
          <w:szCs w:val="16"/>
        </w:rPr>
        <w:t>cfr</w:t>
      </w:r>
      <w:r w:rsidRPr="00E53751">
        <w:rPr>
          <w:rFonts w:ascii="Verdana" w:hAnsi="Verdana"/>
          <w:sz w:val="16"/>
          <w:szCs w:val="16"/>
        </w:rPr>
        <w:t>. expediente de prueba, anexo</w:t>
      </w:r>
      <w:r>
        <w:rPr>
          <w:rFonts w:ascii="Verdana" w:hAnsi="Verdana"/>
          <w:sz w:val="16"/>
          <w:szCs w:val="16"/>
        </w:rPr>
        <w:t xml:space="preserve"> XX</w:t>
      </w:r>
      <w:r w:rsidRPr="00E53751">
        <w:rPr>
          <w:rFonts w:ascii="Verdana" w:hAnsi="Verdana"/>
          <w:sz w:val="16"/>
          <w:szCs w:val="16"/>
        </w:rPr>
        <w:t xml:space="preserve"> a la contestación, fs. 2999 a 3110). </w:t>
      </w:r>
    </w:p>
    <w:p w14:paraId="06B8A7BF" w14:textId="77777777" w:rsidR="00DD280C" w:rsidRPr="00E53751" w:rsidRDefault="00DD280C" w:rsidP="001B6F20">
      <w:pPr>
        <w:pStyle w:val="Textonotapie"/>
        <w:jc w:val="both"/>
        <w:rPr>
          <w:rFonts w:ascii="Verdana" w:hAnsi="Verdana"/>
          <w:sz w:val="16"/>
          <w:szCs w:val="16"/>
        </w:rPr>
      </w:pPr>
    </w:p>
  </w:footnote>
  <w:footnote w:id="256">
    <w:p w14:paraId="7507F23F" w14:textId="77777777" w:rsidR="00DD280C" w:rsidRPr="00E53751" w:rsidRDefault="00DD280C" w:rsidP="001B6F20">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r>
      <w:r w:rsidRPr="00617293">
        <w:rPr>
          <w:rFonts w:ascii="Verdana" w:hAnsi="Verdana"/>
          <w:i/>
          <w:sz w:val="16"/>
          <w:szCs w:val="16"/>
        </w:rPr>
        <w:t>Cfr</w:t>
      </w:r>
      <w:r>
        <w:rPr>
          <w:rFonts w:ascii="Verdana" w:hAnsi="Verdana"/>
          <w:sz w:val="16"/>
          <w:szCs w:val="16"/>
        </w:rPr>
        <w:t>.</w:t>
      </w:r>
      <w:r w:rsidRPr="00E53751">
        <w:rPr>
          <w:rFonts w:ascii="Verdana" w:hAnsi="Verdana"/>
          <w:sz w:val="16"/>
          <w:szCs w:val="16"/>
        </w:rPr>
        <w:t xml:space="preserve"> expediente de prueba, anexo</w:t>
      </w:r>
      <w:r>
        <w:rPr>
          <w:rFonts w:ascii="Verdana" w:hAnsi="Verdana"/>
          <w:sz w:val="16"/>
          <w:szCs w:val="16"/>
        </w:rPr>
        <w:t xml:space="preserve"> XVII</w:t>
      </w:r>
      <w:r w:rsidRPr="00E53751">
        <w:rPr>
          <w:rFonts w:ascii="Verdana" w:hAnsi="Verdana"/>
          <w:sz w:val="16"/>
          <w:szCs w:val="16"/>
        </w:rPr>
        <w:t xml:space="preserve"> a la contestación, f</w:t>
      </w:r>
      <w:r>
        <w:rPr>
          <w:rFonts w:ascii="Verdana" w:hAnsi="Verdana"/>
          <w:sz w:val="16"/>
          <w:szCs w:val="16"/>
        </w:rPr>
        <w:t xml:space="preserve">s. 2699 a </w:t>
      </w:r>
      <w:r w:rsidRPr="00E53751">
        <w:rPr>
          <w:rFonts w:ascii="Verdana" w:hAnsi="Verdana"/>
          <w:sz w:val="16"/>
          <w:szCs w:val="16"/>
        </w:rPr>
        <w:t xml:space="preserve">2701. </w:t>
      </w:r>
    </w:p>
    <w:p w14:paraId="4CE54D01" w14:textId="77777777" w:rsidR="00DD280C" w:rsidRPr="00E53751" w:rsidRDefault="00DD280C" w:rsidP="001B6F20">
      <w:pPr>
        <w:pStyle w:val="Textonotapie"/>
        <w:jc w:val="both"/>
        <w:rPr>
          <w:rFonts w:ascii="Verdana" w:hAnsi="Verdana"/>
          <w:sz w:val="16"/>
          <w:szCs w:val="16"/>
        </w:rPr>
      </w:pPr>
    </w:p>
  </w:footnote>
  <w:footnote w:id="257">
    <w:p w14:paraId="13C7EB6B" w14:textId="6348CBC0" w:rsidR="00DD280C" w:rsidRPr="00617293" w:rsidRDefault="00DD280C" w:rsidP="001B6F20">
      <w:pPr>
        <w:pStyle w:val="Textonotapie"/>
        <w:jc w:val="both"/>
        <w:rPr>
          <w:rFonts w:ascii="Verdana" w:hAnsi="Verdana"/>
          <w:sz w:val="16"/>
          <w:szCs w:val="16"/>
        </w:rPr>
      </w:pPr>
      <w:r w:rsidRPr="00617293">
        <w:rPr>
          <w:rStyle w:val="Refdenotaalpie"/>
          <w:rFonts w:ascii="Verdana" w:hAnsi="Verdana"/>
          <w:sz w:val="16"/>
          <w:szCs w:val="16"/>
        </w:rPr>
        <w:footnoteRef/>
      </w:r>
      <w:r w:rsidRPr="00617293">
        <w:rPr>
          <w:rFonts w:ascii="Verdana" w:hAnsi="Verdana"/>
          <w:sz w:val="16"/>
          <w:szCs w:val="16"/>
        </w:rPr>
        <w:t xml:space="preserve"> </w:t>
      </w:r>
      <w:r w:rsidRPr="00617293">
        <w:rPr>
          <w:rFonts w:ascii="Verdana" w:hAnsi="Verdana"/>
          <w:sz w:val="16"/>
          <w:szCs w:val="16"/>
        </w:rPr>
        <w:tab/>
      </w:r>
      <w:r w:rsidRPr="00617293">
        <w:rPr>
          <w:rFonts w:ascii="Verdana" w:hAnsi="Verdana"/>
          <w:i/>
          <w:sz w:val="16"/>
          <w:szCs w:val="16"/>
        </w:rPr>
        <w:t>Cfr.  Caso Cantoral Benavides Vs. Perú.  Reparaciones y Costas</w:t>
      </w:r>
      <w:r w:rsidRPr="00617293">
        <w:rPr>
          <w:rFonts w:ascii="Verdana" w:hAnsi="Verdana"/>
          <w:sz w:val="16"/>
          <w:szCs w:val="16"/>
        </w:rPr>
        <w:t>. Sentencia de 3 de diciembre de 2001.  Serie C No. 88, párr. 79,</w:t>
      </w:r>
      <w:r w:rsidRPr="00617293" w:rsidDel="00A22C2A">
        <w:rPr>
          <w:rFonts w:ascii="Verdana" w:hAnsi="Verdana"/>
          <w:sz w:val="16"/>
          <w:szCs w:val="16"/>
        </w:rPr>
        <w:t xml:space="preserve"> </w:t>
      </w:r>
      <w:r w:rsidRPr="00617293">
        <w:rPr>
          <w:rFonts w:ascii="Verdana" w:hAnsi="Verdana"/>
          <w:sz w:val="16"/>
          <w:szCs w:val="16"/>
        </w:rPr>
        <w:t xml:space="preserve">y </w:t>
      </w:r>
      <w:r w:rsidRPr="00617293">
        <w:rPr>
          <w:rFonts w:ascii="Verdana" w:hAnsi="Verdana" w:cs="Open Sans"/>
          <w:i/>
          <w:sz w:val="16"/>
          <w:szCs w:val="16"/>
          <w:shd w:val="clear" w:color="auto" w:fill="FFFFFF"/>
        </w:rPr>
        <w:t>Caso Vera Rojas y otros Vs. Chile</w:t>
      </w:r>
      <w:r w:rsidRPr="00617293">
        <w:rPr>
          <w:rFonts w:ascii="Verdana" w:hAnsi="Verdana" w:cs="Open Sans"/>
          <w:sz w:val="16"/>
          <w:szCs w:val="16"/>
          <w:shd w:val="clear" w:color="auto" w:fill="FFFFFF"/>
        </w:rPr>
        <w:t>, párr. 169.</w:t>
      </w:r>
      <w:r w:rsidRPr="00617293">
        <w:rPr>
          <w:rFonts w:ascii="Verdana" w:hAnsi="Verdana"/>
          <w:sz w:val="16"/>
          <w:szCs w:val="16"/>
        </w:rPr>
        <w:t xml:space="preserve"> </w:t>
      </w:r>
    </w:p>
    <w:p w14:paraId="779F295B" w14:textId="77777777" w:rsidR="00DD280C" w:rsidRPr="00617293" w:rsidRDefault="00DD280C" w:rsidP="001B6F20">
      <w:pPr>
        <w:pStyle w:val="Textonotapie"/>
        <w:jc w:val="both"/>
        <w:rPr>
          <w:rFonts w:ascii="Verdana" w:hAnsi="Verdana"/>
          <w:sz w:val="16"/>
          <w:szCs w:val="16"/>
        </w:rPr>
      </w:pPr>
    </w:p>
  </w:footnote>
  <w:footnote w:id="258">
    <w:p w14:paraId="30027ED2" w14:textId="323BE255" w:rsidR="00DD280C" w:rsidRPr="00617293" w:rsidRDefault="00DD280C" w:rsidP="001B6F20">
      <w:pPr>
        <w:autoSpaceDE w:val="0"/>
        <w:autoSpaceDN w:val="0"/>
        <w:adjustRightInd w:val="0"/>
        <w:spacing w:after="0"/>
        <w:jc w:val="both"/>
        <w:rPr>
          <w:rFonts w:ascii="Verdana" w:hAnsi="Verdana" w:cs="Verdana"/>
          <w:sz w:val="16"/>
          <w:szCs w:val="16"/>
          <w:lang w:val="es-ES"/>
        </w:rPr>
      </w:pPr>
      <w:r w:rsidRPr="00617293">
        <w:rPr>
          <w:rStyle w:val="Refdenotaalpie"/>
          <w:rFonts w:ascii="Verdana" w:hAnsi="Verdana"/>
          <w:sz w:val="16"/>
          <w:szCs w:val="16"/>
        </w:rPr>
        <w:footnoteRef/>
      </w:r>
      <w:r w:rsidRPr="00617293">
        <w:rPr>
          <w:rFonts w:ascii="Verdana" w:hAnsi="Verdana"/>
          <w:sz w:val="16"/>
          <w:szCs w:val="16"/>
          <w:lang w:val="es-ES"/>
        </w:rPr>
        <w:t xml:space="preserve"> </w:t>
      </w:r>
      <w:r w:rsidRPr="00617293">
        <w:rPr>
          <w:rFonts w:ascii="Verdana" w:hAnsi="Verdana"/>
          <w:sz w:val="16"/>
          <w:szCs w:val="16"/>
          <w:lang w:val="es-ES"/>
        </w:rPr>
        <w:tab/>
      </w:r>
      <w:r w:rsidRPr="00617293">
        <w:rPr>
          <w:rFonts w:ascii="Verdana" w:hAnsi="Verdana"/>
          <w:i/>
          <w:iCs/>
          <w:sz w:val="16"/>
          <w:szCs w:val="16"/>
          <w:lang w:val="es-ES"/>
        </w:rPr>
        <w:t>Cfr.</w:t>
      </w:r>
      <w:r w:rsidRPr="00617293">
        <w:rPr>
          <w:rFonts w:ascii="Verdana" w:hAnsi="Verdana"/>
          <w:i/>
          <w:sz w:val="16"/>
          <w:szCs w:val="16"/>
          <w:lang w:val="es-ES"/>
        </w:rPr>
        <w:t xml:space="preserve"> </w:t>
      </w:r>
      <w:r w:rsidRPr="00617293">
        <w:rPr>
          <w:rFonts w:ascii="Verdana" w:hAnsi="Verdana" w:cs="Open Sans"/>
          <w:i/>
          <w:sz w:val="16"/>
          <w:szCs w:val="16"/>
          <w:shd w:val="clear" w:color="auto" w:fill="FFFFFF"/>
        </w:rPr>
        <w:t>Caso de la Masacre de Pueblo Bello Vs. Colombia</w:t>
      </w:r>
      <w:r w:rsidRPr="00617293">
        <w:rPr>
          <w:rFonts w:ascii="Verdana" w:hAnsi="Verdana" w:cs="Open Sans"/>
          <w:sz w:val="16"/>
          <w:szCs w:val="16"/>
          <w:shd w:val="clear" w:color="auto" w:fill="FFFFFF"/>
        </w:rPr>
        <w:t xml:space="preserve">, </w:t>
      </w:r>
      <w:r w:rsidRPr="00617293">
        <w:rPr>
          <w:rFonts w:ascii="Verdana" w:hAnsi="Verdana"/>
          <w:sz w:val="16"/>
          <w:szCs w:val="16"/>
          <w:lang w:val="es-ES"/>
        </w:rPr>
        <w:t xml:space="preserve">párr. </w:t>
      </w:r>
      <w:r w:rsidRPr="00617293">
        <w:rPr>
          <w:rFonts w:ascii="Verdana" w:hAnsi="Verdana"/>
          <w:sz w:val="16"/>
          <w:szCs w:val="16"/>
        </w:rPr>
        <w:t>254; C</w:t>
      </w:r>
      <w:r w:rsidRPr="00617293">
        <w:rPr>
          <w:rFonts w:ascii="Verdana" w:hAnsi="Verdana"/>
          <w:i/>
          <w:sz w:val="16"/>
          <w:szCs w:val="16"/>
        </w:rPr>
        <w:t>aso Cepeda Vargas Vs. Colombia</w:t>
      </w:r>
      <w:r w:rsidRPr="00617293">
        <w:rPr>
          <w:rFonts w:ascii="Verdana" w:hAnsi="Verdana" w:cs="Verdana"/>
          <w:sz w:val="16"/>
          <w:szCs w:val="16"/>
        </w:rPr>
        <w:t xml:space="preserve">, párr. </w:t>
      </w:r>
      <w:r w:rsidRPr="00617293">
        <w:rPr>
          <w:rFonts w:ascii="Verdana" w:hAnsi="Verdana" w:cs="Verdana"/>
          <w:sz w:val="16"/>
          <w:szCs w:val="16"/>
          <w:lang w:val="es-ES"/>
        </w:rPr>
        <w:t xml:space="preserve">223; </w:t>
      </w:r>
      <w:r w:rsidRPr="00617293">
        <w:rPr>
          <w:rFonts w:ascii="Verdana" w:hAnsi="Verdana" w:cs="Open Sans"/>
          <w:i/>
          <w:sz w:val="16"/>
          <w:szCs w:val="16"/>
          <w:shd w:val="clear" w:color="auto" w:fill="FFFFFF"/>
        </w:rPr>
        <w:t>Caso Ibsen Cárdenas e Ibsen Peña Vs. Bolivia</w:t>
      </w:r>
      <w:r w:rsidRPr="00617293">
        <w:rPr>
          <w:rFonts w:ascii="Verdana" w:hAnsi="Verdana" w:cs="Verdana"/>
          <w:sz w:val="16"/>
          <w:szCs w:val="16"/>
          <w:lang w:val="es-ES"/>
        </w:rPr>
        <w:t xml:space="preserve">, párr. 248, y </w:t>
      </w:r>
      <w:r w:rsidRPr="00617293">
        <w:rPr>
          <w:rFonts w:ascii="Verdana" w:hAnsi="Verdana"/>
          <w:i/>
          <w:sz w:val="16"/>
          <w:szCs w:val="16"/>
        </w:rPr>
        <w:t>Caso Gelman Vs. Uruguay</w:t>
      </w:r>
      <w:r w:rsidRPr="00617293">
        <w:rPr>
          <w:rFonts w:ascii="Verdana" w:hAnsi="Verdana" w:cs="Verdana"/>
          <w:sz w:val="16"/>
          <w:szCs w:val="16"/>
          <w:lang w:val="es-ES"/>
        </w:rPr>
        <w:t xml:space="preserve">. </w:t>
      </w:r>
      <w:r w:rsidRPr="00617293">
        <w:rPr>
          <w:rFonts w:ascii="Verdana" w:hAnsi="Verdana" w:cs="Verdana"/>
          <w:i/>
          <w:sz w:val="16"/>
          <w:szCs w:val="16"/>
          <w:lang w:val="es-ES"/>
        </w:rPr>
        <w:t>Fondo y Reparaciones</w:t>
      </w:r>
      <w:r w:rsidRPr="00617293">
        <w:rPr>
          <w:rFonts w:ascii="Verdana" w:hAnsi="Verdana" w:cs="Verdana"/>
          <w:sz w:val="16"/>
          <w:szCs w:val="16"/>
          <w:lang w:val="es-ES"/>
        </w:rPr>
        <w:t xml:space="preserve">, párr. 265. </w:t>
      </w:r>
    </w:p>
    <w:p w14:paraId="6AC81461" w14:textId="77777777" w:rsidR="00DD280C" w:rsidRPr="000031DD" w:rsidRDefault="00DD280C" w:rsidP="001B6F20">
      <w:pPr>
        <w:autoSpaceDE w:val="0"/>
        <w:autoSpaceDN w:val="0"/>
        <w:adjustRightInd w:val="0"/>
        <w:spacing w:after="0"/>
        <w:jc w:val="both"/>
        <w:rPr>
          <w:rFonts w:ascii="Verdana" w:hAnsi="Verdana" w:cs="Verdana"/>
          <w:sz w:val="16"/>
          <w:szCs w:val="16"/>
          <w:lang w:val="es-ES"/>
        </w:rPr>
      </w:pPr>
    </w:p>
  </w:footnote>
  <w:footnote w:id="259">
    <w:p w14:paraId="18C2C221" w14:textId="21D6318C"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Esto incluye la posibilidad de que las partes acuerden </w:t>
      </w:r>
      <w:r w:rsidR="00E17570">
        <w:rPr>
          <w:rFonts w:ascii="Verdana" w:hAnsi="Verdana"/>
          <w:sz w:val="16"/>
          <w:szCs w:val="16"/>
        </w:rPr>
        <w:t xml:space="preserve">que </w:t>
      </w:r>
      <w:r w:rsidRPr="000031DD">
        <w:rPr>
          <w:rFonts w:ascii="Verdana" w:hAnsi="Verdana"/>
          <w:sz w:val="16"/>
          <w:szCs w:val="16"/>
        </w:rPr>
        <w:t>el acto, como fue solicitado por los representantes (</w:t>
      </w:r>
      <w:r w:rsidRPr="000031DD">
        <w:rPr>
          <w:rFonts w:ascii="Verdana" w:hAnsi="Verdana"/>
          <w:i/>
          <w:sz w:val="16"/>
          <w:szCs w:val="16"/>
        </w:rPr>
        <w:t xml:space="preserve">supra </w:t>
      </w:r>
      <w:r w:rsidRPr="000031DD">
        <w:rPr>
          <w:rFonts w:ascii="Verdana" w:hAnsi="Verdana"/>
          <w:sz w:val="16"/>
          <w:szCs w:val="16"/>
        </w:rPr>
        <w:t xml:space="preserve">párr. </w:t>
      </w:r>
      <w:r>
        <w:rPr>
          <w:rFonts w:ascii="Verdana" w:hAnsi="Verdana"/>
          <w:sz w:val="16"/>
          <w:szCs w:val="16"/>
        </w:rPr>
        <w:t>231</w:t>
      </w:r>
      <w:r w:rsidRPr="000031DD">
        <w:rPr>
          <w:rFonts w:ascii="Verdana" w:hAnsi="Verdana"/>
          <w:sz w:val="16"/>
          <w:szCs w:val="16"/>
        </w:rPr>
        <w:t xml:space="preserve">), sea realizado </w:t>
      </w:r>
      <w:proofErr w:type="gramStart"/>
      <w:r w:rsidRPr="000031DD">
        <w:rPr>
          <w:rFonts w:ascii="Verdana" w:hAnsi="Verdana"/>
          <w:sz w:val="16"/>
          <w:szCs w:val="16"/>
        </w:rPr>
        <w:t>conjuntamente con</w:t>
      </w:r>
      <w:proofErr w:type="gramEnd"/>
      <w:r w:rsidRPr="000031DD">
        <w:rPr>
          <w:rFonts w:ascii="Verdana" w:hAnsi="Verdana"/>
          <w:sz w:val="16"/>
          <w:szCs w:val="16"/>
        </w:rPr>
        <w:t xml:space="preserve"> la entrega de información sobre el paradero de las personas detenidas desaparecidas</w:t>
      </w:r>
    </w:p>
    <w:p w14:paraId="029E2D41" w14:textId="77777777" w:rsidR="00DD280C" w:rsidRPr="000031DD" w:rsidRDefault="00DD280C" w:rsidP="001B6F20">
      <w:pPr>
        <w:pStyle w:val="Textonotapie"/>
        <w:jc w:val="both"/>
        <w:rPr>
          <w:rFonts w:ascii="Verdana" w:hAnsi="Verdana"/>
          <w:sz w:val="16"/>
          <w:szCs w:val="16"/>
        </w:rPr>
      </w:pPr>
    </w:p>
  </w:footnote>
  <w:footnote w:id="260">
    <w:p w14:paraId="093AD21C"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La Comisión, en la audiencia pública, agregó que “resalta la importancia de que las autoridades judiciales resuelvan de manera pronta cualquier solicitud de prescripción tomando en cuenta la imprescriptibilidad de las graves violaciones de derechos humanos </w:t>
      </w:r>
      <w:proofErr w:type="gramStart"/>
      <w:r w:rsidRPr="000031DD">
        <w:rPr>
          <w:rFonts w:ascii="Verdana" w:hAnsi="Verdana"/>
          <w:sz w:val="16"/>
          <w:szCs w:val="16"/>
        </w:rPr>
        <w:t>de acuerdo a</w:t>
      </w:r>
      <w:proofErr w:type="gramEnd"/>
      <w:r w:rsidRPr="000031DD">
        <w:rPr>
          <w:rFonts w:ascii="Verdana" w:hAnsi="Verdana"/>
          <w:sz w:val="16"/>
          <w:szCs w:val="16"/>
        </w:rPr>
        <w:t xml:space="preserve"> los estándares interamericanos”.</w:t>
      </w:r>
    </w:p>
    <w:p w14:paraId="309B3831" w14:textId="77777777" w:rsidR="00DD280C" w:rsidRPr="000031DD" w:rsidRDefault="00DD280C" w:rsidP="001B6F20">
      <w:pPr>
        <w:pStyle w:val="Textonotapie"/>
        <w:jc w:val="both"/>
        <w:rPr>
          <w:rFonts w:ascii="Verdana" w:hAnsi="Verdana"/>
          <w:sz w:val="16"/>
          <w:szCs w:val="16"/>
        </w:rPr>
      </w:pPr>
    </w:p>
  </w:footnote>
  <w:footnote w:id="261">
    <w:p w14:paraId="4DC78D3A" w14:textId="77777777" w:rsidR="00DD280C" w:rsidRPr="000031DD" w:rsidRDefault="00DD280C" w:rsidP="001B6F20">
      <w:pPr>
        <w:pStyle w:val="Prrafodelista"/>
        <w:spacing w:after="0"/>
        <w:ind w:left="0"/>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En los alegatos finales escritos agrego que, de conformidad son señalamientos de organizaciones de la sociedad civil en una audiencia temática ante la Comisión, no vinculada directamente al caso, “a la fecha no existen protocolos de actuación judicial en materia de violencia sexual, ni ninguna condena por violencia sexual ocurrida en la dictadura”. (La Comisión aludió a la audiencia temática, realizada en marzo de 2021, sobre </w:t>
      </w:r>
      <w:r w:rsidRPr="000031DD">
        <w:rPr>
          <w:rFonts w:ascii="Verdana" w:hAnsi="Verdana" w:cs="Cambria"/>
          <w:sz w:val="16"/>
          <w:szCs w:val="16"/>
        </w:rPr>
        <w:t>“Acceso a la verdad, justicia y reparación con perspectiva de género en Uruguay”)</w:t>
      </w:r>
      <w:r>
        <w:rPr>
          <w:rFonts w:ascii="Verdana" w:hAnsi="Verdana" w:cs="Cambria"/>
          <w:sz w:val="16"/>
          <w:szCs w:val="16"/>
        </w:rPr>
        <w:t>.</w:t>
      </w:r>
      <w:r w:rsidRPr="000031DD">
        <w:rPr>
          <w:rFonts w:ascii="Verdana" w:hAnsi="Verdana"/>
          <w:sz w:val="16"/>
          <w:szCs w:val="16"/>
        </w:rPr>
        <w:t xml:space="preserve"> </w:t>
      </w:r>
    </w:p>
    <w:p w14:paraId="7B81C811" w14:textId="77777777" w:rsidR="00DD280C" w:rsidRPr="000031DD" w:rsidRDefault="00DD280C" w:rsidP="001B6F20">
      <w:pPr>
        <w:pStyle w:val="Textonotapie"/>
        <w:jc w:val="both"/>
        <w:rPr>
          <w:rFonts w:ascii="Verdana" w:hAnsi="Verdana"/>
          <w:sz w:val="16"/>
          <w:szCs w:val="16"/>
        </w:rPr>
      </w:pPr>
    </w:p>
  </w:footnote>
  <w:footnote w:id="262">
    <w:p w14:paraId="3CE51C2D" w14:textId="77777777" w:rsidR="00DD280C" w:rsidRPr="000031DD" w:rsidRDefault="00DD280C" w:rsidP="001B6F20">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Los representantes afirmaron que</w:t>
      </w:r>
      <w:r>
        <w:rPr>
          <w:rFonts w:ascii="Verdana" w:hAnsi="Verdana"/>
          <w:sz w:val="16"/>
          <w:szCs w:val="16"/>
        </w:rPr>
        <w:t>,</w:t>
      </w:r>
      <w:r w:rsidRPr="000031DD">
        <w:rPr>
          <w:rFonts w:ascii="Verdana" w:hAnsi="Verdana"/>
          <w:sz w:val="16"/>
          <w:szCs w:val="16"/>
        </w:rPr>
        <w:t xml:space="preserve"> si bien la Ley 18.831 declaró que los delitos comprendidos en la Ley de Caducidad son crímenes de lesa humanidad, y que en virtud de ello tales delitos “se vuelven imprescriptibles”, la Suprema Corte de Uruguay ha admitido recursos de inconstitucionalidad de la Ley 18.831. Aseveraron que “[l] a Suprema Corte de Justicia uruguaya ha realizado el control constitucional de [la ley 18.831] en casi 100 casos entre el año 2013 y 2021, fluctuando el resultado de </w:t>
      </w:r>
      <w:proofErr w:type="gramStart"/>
      <w:r w:rsidRPr="000031DD">
        <w:rPr>
          <w:rFonts w:ascii="Verdana" w:hAnsi="Verdana"/>
          <w:sz w:val="16"/>
          <w:szCs w:val="16"/>
        </w:rPr>
        <w:t>las mismas</w:t>
      </w:r>
      <w:proofErr w:type="gramEnd"/>
      <w:r w:rsidRPr="000031DD">
        <w:rPr>
          <w:rFonts w:ascii="Verdana" w:hAnsi="Verdana"/>
          <w:sz w:val="16"/>
          <w:szCs w:val="16"/>
        </w:rPr>
        <w:t xml:space="preserve"> en función de la integración de la corporación, que [julio de 2021, cuando presentaron sus alegatos finales escritos,] se inclina[</w:t>
      </w:r>
      <w:proofErr w:type="spellStart"/>
      <w:r w:rsidRPr="000031DD">
        <w:rPr>
          <w:rFonts w:ascii="Verdana" w:hAnsi="Verdana"/>
          <w:sz w:val="16"/>
          <w:szCs w:val="16"/>
        </w:rPr>
        <w:t>ba</w:t>
      </w:r>
      <w:proofErr w:type="spellEnd"/>
      <w:r w:rsidRPr="000031DD">
        <w:rPr>
          <w:rFonts w:ascii="Verdana" w:hAnsi="Verdana"/>
          <w:sz w:val="16"/>
          <w:szCs w:val="16"/>
        </w:rPr>
        <w:t xml:space="preserve">] por declarar la inconstitucionalidad de la ley, desaplicándola en consecuencia para el caso concreto. Teniendo en cuenta que en el ordenamiento jurídico uruguayo los procesos se suspenden una vez que se presenta un recurso de inconstitucionalidad por vía de excepción, la promoción de este recurso pasó a formar parte de la extendida práctica dilatoria de los indagados en los casos vinculados a la investigación de crímenes de lesa humanidad”. </w:t>
      </w:r>
    </w:p>
    <w:p w14:paraId="3C76C8AF" w14:textId="77777777" w:rsidR="00DD280C" w:rsidRPr="000031DD" w:rsidRDefault="00DD280C" w:rsidP="001B6F20">
      <w:pPr>
        <w:pStyle w:val="Textonotapie"/>
        <w:jc w:val="both"/>
        <w:rPr>
          <w:rFonts w:ascii="Verdana" w:hAnsi="Verdana"/>
          <w:sz w:val="16"/>
          <w:szCs w:val="16"/>
        </w:rPr>
      </w:pPr>
    </w:p>
  </w:footnote>
  <w:footnote w:id="263">
    <w:p w14:paraId="33FDAF5A" w14:textId="77777777" w:rsidR="00DD280C" w:rsidRPr="000031DD" w:rsidRDefault="00DD280C" w:rsidP="001B6F20">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Destacaron que la Fiscalía Especializada en Delitos de Lesa Humanidad tiene “un fiscal responsable y dos fiscales adjuntos”. </w:t>
      </w:r>
    </w:p>
    <w:p w14:paraId="263CD801" w14:textId="77777777" w:rsidR="00DD280C" w:rsidRPr="000031DD" w:rsidRDefault="00DD280C" w:rsidP="001B6F20">
      <w:pPr>
        <w:pStyle w:val="Textonotapie"/>
        <w:jc w:val="both"/>
        <w:rPr>
          <w:rFonts w:ascii="Verdana" w:hAnsi="Verdana"/>
          <w:sz w:val="16"/>
          <w:szCs w:val="16"/>
        </w:rPr>
      </w:pPr>
    </w:p>
  </w:footnote>
  <w:footnote w:id="264">
    <w:p w14:paraId="07375CB5" w14:textId="77777777" w:rsidR="00DD280C" w:rsidRPr="000031DD" w:rsidRDefault="00DD280C" w:rsidP="001B6F20">
      <w:pPr>
        <w:pStyle w:val="Prrafodelista"/>
        <w:spacing w:after="0"/>
        <w:ind w:left="0"/>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Sobre la “primera etapa”, el Estado mencionó las siguientes acciones: a) el 9 de abril de 1985 se creó una Comisión Investigadora Parlamentaria, que investigó hechos sucedidos durante la dictadura, incluso las desapariciones de los señores </w:t>
      </w:r>
      <w:proofErr w:type="spellStart"/>
      <w:r w:rsidRPr="000031DD">
        <w:rPr>
          <w:rFonts w:ascii="Verdana" w:hAnsi="Verdana"/>
          <w:sz w:val="16"/>
          <w:szCs w:val="16"/>
        </w:rPr>
        <w:t>Tassino</w:t>
      </w:r>
      <w:proofErr w:type="spellEnd"/>
      <w:r w:rsidRPr="000031DD">
        <w:rPr>
          <w:rFonts w:ascii="Verdana" w:hAnsi="Verdana"/>
          <w:sz w:val="16"/>
          <w:szCs w:val="16"/>
        </w:rPr>
        <w:t xml:space="preserve"> y González </w:t>
      </w:r>
      <w:proofErr w:type="spellStart"/>
      <w:r w:rsidRPr="000031DD">
        <w:rPr>
          <w:rFonts w:ascii="Verdana" w:hAnsi="Verdana"/>
          <w:sz w:val="16"/>
          <w:szCs w:val="16"/>
        </w:rPr>
        <w:t>González</w:t>
      </w:r>
      <w:proofErr w:type="spellEnd"/>
      <w:r w:rsidRPr="000031DD">
        <w:rPr>
          <w:rFonts w:ascii="Verdana" w:hAnsi="Verdana"/>
          <w:sz w:val="16"/>
          <w:szCs w:val="16"/>
        </w:rPr>
        <w:t>, y efectuó denuncias ante el Poder Judicial;  b) el 9 de agosto de 2000, por medio de la Resolución Presidencial 858/000, se creó la Comisión de Paz, para “recopilar información sobre desapariciones forzadas durante el régimen de facto”, que en 2003 emitió su Informe Final, que expresa la “convicción plena” sobre la perpetración de “graves violaciones a los derechos humanos”, tales como torturas, detención “ilegítima[s]” y desapariciones forzadas; y c) como consecuencia de la labor anterior, en abril de 2003 se creó una “Secretaría de Seguimiento” de trabajo de la Comisión, que en agosto de 2013 pasó a denominarse “Secretaría de Derechos Humanos para el pasado reciente”, estando entre sus cometidos “procurar el conocimiento de los hechos y la verdad sobre las desapariciones forzadas, asesinatos políticos y contexto fáctico de las violaciones a los [d]</w:t>
      </w:r>
      <w:proofErr w:type="spellStart"/>
      <w:r w:rsidRPr="000031DD">
        <w:rPr>
          <w:rFonts w:ascii="Verdana" w:hAnsi="Verdana"/>
          <w:sz w:val="16"/>
          <w:szCs w:val="16"/>
        </w:rPr>
        <w:t>erechos</w:t>
      </w:r>
      <w:proofErr w:type="spellEnd"/>
      <w:r w:rsidRPr="000031DD">
        <w:rPr>
          <w:rFonts w:ascii="Verdana" w:hAnsi="Verdana"/>
          <w:sz w:val="16"/>
          <w:szCs w:val="16"/>
        </w:rPr>
        <w:t xml:space="preserve"> [h]</w:t>
      </w:r>
      <w:proofErr w:type="spellStart"/>
      <w:r w:rsidRPr="000031DD">
        <w:rPr>
          <w:rFonts w:ascii="Verdana" w:hAnsi="Verdana"/>
          <w:sz w:val="16"/>
          <w:szCs w:val="16"/>
        </w:rPr>
        <w:t>umanos</w:t>
      </w:r>
      <w:proofErr w:type="spellEnd"/>
      <w:r w:rsidRPr="000031DD">
        <w:rPr>
          <w:rFonts w:ascii="Verdana" w:hAnsi="Verdana"/>
          <w:sz w:val="16"/>
          <w:szCs w:val="16"/>
        </w:rPr>
        <w:t>” durante la dictadura.</w:t>
      </w:r>
    </w:p>
    <w:p w14:paraId="71EC4406" w14:textId="77777777" w:rsidR="00DD280C" w:rsidRPr="000031DD" w:rsidRDefault="00DD280C" w:rsidP="001B6F20">
      <w:pPr>
        <w:pStyle w:val="Textonotapie"/>
        <w:jc w:val="both"/>
        <w:rPr>
          <w:rFonts w:ascii="Verdana" w:hAnsi="Verdana"/>
          <w:sz w:val="16"/>
          <w:szCs w:val="16"/>
        </w:rPr>
      </w:pPr>
    </w:p>
  </w:footnote>
  <w:footnote w:id="265">
    <w:p w14:paraId="0FFA83D5"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Como elemento de evidencia de ello, mencionó que “se constituyó en parte civil en el proceso penal llevado adelante en Italia en el marco del juicio por el denominado “plan Cóndor”, aportando pruebas</w:t>
      </w:r>
      <w:r>
        <w:rPr>
          <w:rFonts w:ascii="Verdana" w:hAnsi="Verdana"/>
          <w:sz w:val="16"/>
          <w:szCs w:val="16"/>
        </w:rPr>
        <w:t xml:space="preserve"> </w:t>
      </w:r>
      <w:r w:rsidRPr="000031DD">
        <w:rPr>
          <w:rFonts w:ascii="Verdana" w:hAnsi="Verdana"/>
          <w:sz w:val="16"/>
          <w:szCs w:val="16"/>
        </w:rPr>
        <w:t xml:space="preserve">relevantes en tal calidad”. Señaló que “[d]icho caso, como es de público conocimiento, culminó en Roma el […] 9 de julio [de 2021] con la condena inapelable de la Suprema Corte de Casación a cadena perpetua de 11 ciudadanos uruguayos, en su mayoría ex militares”. Afirmó que “la justicia italiana </w:t>
      </w:r>
      <w:proofErr w:type="spellStart"/>
      <w:r w:rsidRPr="000031DD">
        <w:rPr>
          <w:rFonts w:ascii="Verdana" w:hAnsi="Verdana"/>
          <w:sz w:val="16"/>
          <w:szCs w:val="16"/>
        </w:rPr>
        <w:t>reconoc</w:t>
      </w:r>
      <w:proofErr w:type="spellEnd"/>
      <w:r w:rsidRPr="000031DD">
        <w:rPr>
          <w:rFonts w:ascii="Verdana" w:hAnsi="Verdana"/>
          <w:sz w:val="16"/>
          <w:szCs w:val="16"/>
        </w:rPr>
        <w:t>[</w:t>
      </w:r>
      <w:proofErr w:type="spellStart"/>
      <w:r w:rsidRPr="000031DD">
        <w:rPr>
          <w:rFonts w:ascii="Verdana" w:hAnsi="Verdana"/>
          <w:sz w:val="16"/>
          <w:szCs w:val="16"/>
        </w:rPr>
        <w:t>ío</w:t>
      </w:r>
      <w:proofErr w:type="spellEnd"/>
      <w:r w:rsidRPr="000031DD">
        <w:rPr>
          <w:rFonts w:ascii="Verdana" w:hAnsi="Verdana"/>
          <w:sz w:val="16"/>
          <w:szCs w:val="16"/>
        </w:rPr>
        <w:t xml:space="preserve">]e los aportes de prueba documental realizados por el Estado uruguayo”. </w:t>
      </w:r>
    </w:p>
    <w:p w14:paraId="18A03A5A" w14:textId="77777777" w:rsidR="00DD280C" w:rsidRPr="000031DD" w:rsidRDefault="00DD280C" w:rsidP="001B6F20">
      <w:pPr>
        <w:pStyle w:val="Textonotapie"/>
        <w:jc w:val="both"/>
        <w:rPr>
          <w:rFonts w:ascii="Verdana" w:hAnsi="Verdana"/>
          <w:sz w:val="16"/>
          <w:szCs w:val="16"/>
        </w:rPr>
      </w:pPr>
    </w:p>
  </w:footnote>
  <w:footnote w:id="266">
    <w:p w14:paraId="55EB5C78" w14:textId="77777777" w:rsidR="00DD280C" w:rsidRPr="000031DD" w:rsidRDefault="00DD280C" w:rsidP="001B6F20">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Uruguay señaló, respecto a la posibilidad de investigar crímenes cometidos durante la dictadura, que una cuestión distinta a los aducidos efectos de la Ley de </w:t>
      </w:r>
      <w:proofErr w:type="gramStart"/>
      <w:r w:rsidRPr="000031DD">
        <w:rPr>
          <w:rFonts w:ascii="Verdana" w:hAnsi="Verdana"/>
          <w:sz w:val="16"/>
          <w:szCs w:val="16"/>
        </w:rPr>
        <w:t>Caducidad,</w:t>
      </w:r>
      <w:proofErr w:type="gramEnd"/>
      <w:r w:rsidRPr="000031DD">
        <w:rPr>
          <w:rFonts w:ascii="Verdana" w:hAnsi="Verdana"/>
          <w:sz w:val="16"/>
          <w:szCs w:val="16"/>
        </w:rPr>
        <w:t xml:space="preserve"> es el</w:t>
      </w:r>
      <w:r w:rsidRPr="000031DD">
        <w:rPr>
          <w:rFonts w:ascii="Verdana" w:hAnsi="Verdana"/>
          <w:b/>
          <w:sz w:val="16"/>
          <w:szCs w:val="16"/>
        </w:rPr>
        <w:t xml:space="preserve"> </w:t>
      </w:r>
      <w:r w:rsidRPr="000031DD">
        <w:rPr>
          <w:rFonts w:ascii="Verdana" w:hAnsi="Verdana"/>
          <w:sz w:val="16"/>
          <w:szCs w:val="16"/>
        </w:rPr>
        <w:t xml:space="preserve">funcionamiento de un Estado de Derecho [y] de la independencia con que actúan los [órganos judiciales]”, pues “se puede estar de acuerdo o no con determinados fallos, pero ello no constituye una falencia del Estado, sino que es propiamente los avatares de un Estado de Derecho”. </w:t>
      </w:r>
    </w:p>
    <w:p w14:paraId="41475643" w14:textId="77777777" w:rsidR="00DD280C" w:rsidRPr="000031DD" w:rsidRDefault="00DD280C" w:rsidP="001B6F20">
      <w:pPr>
        <w:pStyle w:val="Textonotapie"/>
        <w:jc w:val="both"/>
        <w:rPr>
          <w:rFonts w:ascii="Verdana" w:hAnsi="Verdana"/>
          <w:sz w:val="16"/>
          <w:szCs w:val="16"/>
        </w:rPr>
      </w:pPr>
    </w:p>
  </w:footnote>
  <w:footnote w:id="267">
    <w:p w14:paraId="68C52D0B" w14:textId="77777777" w:rsidR="00DD280C" w:rsidRPr="000031DD" w:rsidRDefault="00DD280C" w:rsidP="001B6F20">
      <w:pPr>
        <w:pStyle w:val="Textonotapie"/>
        <w:jc w:val="both"/>
        <w:rPr>
          <w:rFonts w:ascii="Verdana" w:hAnsi="Verdana" w:cs="Times New Roman"/>
          <w:b/>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 xml:space="preserve">En ese sentido, </w:t>
      </w:r>
      <w:r w:rsidRPr="000031DD">
        <w:rPr>
          <w:rFonts w:ascii="Verdana" w:hAnsi="Verdana"/>
          <w:sz w:val="16"/>
          <w:szCs w:val="16"/>
        </w:rPr>
        <w:t xml:space="preserve">informó que desde 2012 realiza tareas de “capacitación a fiscales”, indicando, como “algunos ejemplos”, </w:t>
      </w:r>
      <w:r w:rsidRPr="000031DD">
        <w:rPr>
          <w:rFonts w:ascii="Verdana" w:hAnsi="Verdana" w:cs="Times New Roman"/>
          <w:sz w:val="16"/>
          <w:szCs w:val="16"/>
        </w:rPr>
        <w:t>la “creación por parte del Ministerio del Interior de un Equipo Especial-auxiliar</w:t>
      </w:r>
      <w:r w:rsidRPr="000031DD">
        <w:rPr>
          <w:rFonts w:ascii="Verdana" w:hAnsi="Verdana"/>
          <w:sz w:val="16"/>
          <w:szCs w:val="16"/>
        </w:rPr>
        <w:t xml:space="preserve"> </w:t>
      </w:r>
      <w:r w:rsidRPr="000031DD">
        <w:rPr>
          <w:rFonts w:ascii="Verdana" w:hAnsi="Verdana" w:cs="Times New Roman"/>
          <w:sz w:val="16"/>
          <w:szCs w:val="16"/>
        </w:rPr>
        <w:t xml:space="preserve">de la Justicia en crímenes de terrorismo de Estado para colaborar en forma directa con operadores jurídicos del Poder Judicial, [y] la creación de la Unidad Especializada de Derechos Humanos de la Fiscalía General de la Nación en el año 2015”. Señaló también que la </w:t>
      </w:r>
      <w:r w:rsidRPr="000031DD">
        <w:rPr>
          <w:rFonts w:ascii="Verdana" w:hAnsi="Verdana"/>
          <w:sz w:val="16"/>
          <w:szCs w:val="16"/>
        </w:rPr>
        <w:t xml:space="preserve">Suprema Corte de Justicia “ha implementado diversos módulos sobre la materia Derechos Humanos en los cursos brindados en el Centro de Estudios Judiciales (CEJU), dirigidos a aspirantes a magistrados, magistrados, defensores públicos y procuradores”. </w:t>
      </w:r>
    </w:p>
    <w:p w14:paraId="6F5DDDA1" w14:textId="77777777" w:rsidR="00DD280C" w:rsidRPr="00E53751" w:rsidRDefault="00DD280C" w:rsidP="001B6F20">
      <w:pPr>
        <w:pStyle w:val="Textonotapie"/>
        <w:jc w:val="both"/>
        <w:rPr>
          <w:rFonts w:ascii="Verdana" w:hAnsi="Verdana"/>
          <w:sz w:val="16"/>
          <w:szCs w:val="16"/>
        </w:rPr>
      </w:pPr>
    </w:p>
  </w:footnote>
  <w:footnote w:id="268">
    <w:p w14:paraId="7F0C5322"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El Estado mencionó que ello fue “parte del compromiso [estatal] con el cumplimiento de la sentencia dictada por la Corte [Interamericana] en el caso </w:t>
      </w:r>
      <w:r w:rsidRPr="000031DD">
        <w:rPr>
          <w:rFonts w:ascii="Verdana" w:hAnsi="Verdana"/>
          <w:i/>
          <w:sz w:val="16"/>
          <w:szCs w:val="16"/>
        </w:rPr>
        <w:t>Gelman</w:t>
      </w:r>
      <w:r w:rsidRPr="000031DD">
        <w:rPr>
          <w:rFonts w:ascii="Verdana" w:hAnsi="Verdana"/>
          <w:sz w:val="16"/>
          <w:szCs w:val="16"/>
        </w:rPr>
        <w:t>”</w:t>
      </w:r>
      <w:r>
        <w:rPr>
          <w:rFonts w:ascii="Verdana" w:hAnsi="Verdana"/>
          <w:sz w:val="16"/>
          <w:szCs w:val="16"/>
        </w:rPr>
        <w:t>.</w:t>
      </w:r>
    </w:p>
    <w:p w14:paraId="16DE440D" w14:textId="77777777" w:rsidR="00DD280C" w:rsidRPr="000031DD" w:rsidRDefault="00DD280C" w:rsidP="001B6F20">
      <w:pPr>
        <w:pStyle w:val="Textonotapie"/>
        <w:jc w:val="both"/>
        <w:rPr>
          <w:rFonts w:ascii="Verdana" w:hAnsi="Verdana"/>
          <w:sz w:val="16"/>
          <w:szCs w:val="16"/>
        </w:rPr>
      </w:pPr>
    </w:p>
  </w:footnote>
  <w:footnote w:id="269">
    <w:p w14:paraId="67E57492" w14:textId="77777777" w:rsidR="00DD280C" w:rsidRPr="000031DD" w:rsidRDefault="00DD280C" w:rsidP="001B6F20">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El Estado destacó que dicha Fiscalía Especializada tiene “relacionamiento directo y permanente” con “los grupos familiares de las víctimas”. </w:t>
      </w:r>
    </w:p>
    <w:p w14:paraId="68B5FAAD" w14:textId="77777777" w:rsidR="00DD280C" w:rsidRPr="000031DD" w:rsidRDefault="00DD280C" w:rsidP="001B6F20">
      <w:pPr>
        <w:pStyle w:val="Textonotapie"/>
        <w:jc w:val="both"/>
        <w:rPr>
          <w:rFonts w:ascii="Verdana" w:hAnsi="Verdana"/>
          <w:sz w:val="16"/>
          <w:szCs w:val="16"/>
        </w:rPr>
      </w:pPr>
    </w:p>
  </w:footnote>
  <w:footnote w:id="270">
    <w:p w14:paraId="285E9F6F" w14:textId="77777777" w:rsidR="00DD280C" w:rsidRPr="000031DD" w:rsidRDefault="00DD280C" w:rsidP="001B6F20">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El Estado destacó que la creación de la Fiscalía Especializada, que tiene competencia nacional, logró “[u]n único criterio de investigación”, una “única posición jurídica”, y “especialización técnica”.</w:t>
      </w:r>
    </w:p>
    <w:p w14:paraId="51171DF8" w14:textId="77777777" w:rsidR="00DD280C" w:rsidRPr="000031DD" w:rsidRDefault="00DD280C" w:rsidP="001B6F20">
      <w:pPr>
        <w:pStyle w:val="Textonotapie"/>
        <w:jc w:val="both"/>
        <w:rPr>
          <w:rFonts w:ascii="Verdana" w:hAnsi="Verdana"/>
          <w:sz w:val="16"/>
          <w:szCs w:val="16"/>
        </w:rPr>
      </w:pPr>
    </w:p>
  </w:footnote>
  <w:footnote w:id="271">
    <w:p w14:paraId="7EE59938"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El Estado destacó que, desde la creación de la Fiscalía Especializada, se han logrado doce condenas firmes; dos condenas confirmadas en segunda instancia, pendientes de la resolución de recursos de casación, y “formalizaciones” en 9 causas. </w:t>
      </w:r>
    </w:p>
    <w:p w14:paraId="4933E949" w14:textId="77777777" w:rsidR="00DD280C" w:rsidRPr="000031DD" w:rsidRDefault="00DD280C" w:rsidP="001B6F20">
      <w:pPr>
        <w:pStyle w:val="Textonotapie"/>
        <w:jc w:val="both"/>
        <w:rPr>
          <w:rFonts w:ascii="Verdana" w:hAnsi="Verdana"/>
          <w:sz w:val="16"/>
          <w:szCs w:val="16"/>
        </w:rPr>
      </w:pPr>
    </w:p>
  </w:footnote>
  <w:footnote w:id="272">
    <w:p w14:paraId="67897DBE"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Al respecto, ejemplificó su afirmación con una decisión judicial de 3 de junio de 2021, no referida a los hechos del presente caso, en que se dispuso el procesamiento, con prisión, de varias personas imputadas por delitos que habrían sido cometidos durante la dictadura cívico-militar. El Estado destacó que dicha decisión, del “Juzgado Letrado de la Capital en lo Penal de 27º Turno”, aludió a la sentencia de la Corte Interamericana en el caso </w:t>
      </w:r>
      <w:r w:rsidRPr="000031DD">
        <w:rPr>
          <w:rFonts w:ascii="Verdana" w:hAnsi="Verdana"/>
          <w:i/>
          <w:sz w:val="16"/>
          <w:szCs w:val="16"/>
        </w:rPr>
        <w:t>Gelman Vs. Uruguay</w:t>
      </w:r>
      <w:r w:rsidRPr="000031DD">
        <w:rPr>
          <w:rFonts w:ascii="Verdana" w:hAnsi="Verdana"/>
          <w:sz w:val="16"/>
          <w:szCs w:val="16"/>
        </w:rPr>
        <w:t xml:space="preserve">, reconociendo su obligatoriedad, y que señaló la imprescriptibilidad de crímenes de lesa humanidad. El Estado aseveró que esa decisión judicial refleja “la tendencia actual en la materia”. (El Estado presentó copia de la decisión judicial aludida:  Sentencia </w:t>
      </w:r>
      <w:proofErr w:type="spellStart"/>
      <w:r w:rsidRPr="000031DD">
        <w:rPr>
          <w:rFonts w:ascii="Verdana" w:hAnsi="Verdana"/>
          <w:sz w:val="16"/>
          <w:szCs w:val="16"/>
        </w:rPr>
        <w:t>Nº</w:t>
      </w:r>
      <w:proofErr w:type="spellEnd"/>
      <w:r w:rsidRPr="000031DD">
        <w:rPr>
          <w:rFonts w:ascii="Verdana" w:hAnsi="Verdana"/>
          <w:sz w:val="16"/>
          <w:szCs w:val="16"/>
        </w:rPr>
        <w:t xml:space="preserve"> 539/2021 del Juzgado Letrado de la Capital en lo Penal de 27º Turno, de 3 de junio de 2021 (expediente de prueba, fs. </w:t>
      </w:r>
      <w:r>
        <w:rPr>
          <w:rFonts w:ascii="Verdana" w:hAnsi="Verdana"/>
          <w:sz w:val="16"/>
          <w:szCs w:val="16"/>
        </w:rPr>
        <w:t>7561</w:t>
      </w:r>
      <w:r w:rsidRPr="000031DD">
        <w:rPr>
          <w:rFonts w:ascii="Verdana" w:hAnsi="Verdana"/>
          <w:sz w:val="16"/>
          <w:szCs w:val="16"/>
        </w:rPr>
        <w:t xml:space="preserve"> a </w:t>
      </w:r>
      <w:r>
        <w:rPr>
          <w:rFonts w:ascii="Verdana" w:hAnsi="Verdana"/>
          <w:sz w:val="16"/>
          <w:szCs w:val="16"/>
        </w:rPr>
        <w:t>7639</w:t>
      </w:r>
      <w:r w:rsidRPr="000031DD">
        <w:rPr>
          <w:rFonts w:ascii="Verdana" w:hAnsi="Verdana"/>
          <w:sz w:val="16"/>
          <w:szCs w:val="16"/>
        </w:rPr>
        <w:t>)).</w:t>
      </w:r>
    </w:p>
    <w:p w14:paraId="20A9D544" w14:textId="77777777" w:rsidR="00DD280C" w:rsidRPr="000031DD" w:rsidRDefault="00DD280C" w:rsidP="001B6F20">
      <w:pPr>
        <w:pStyle w:val="Textonotapie"/>
        <w:jc w:val="both"/>
        <w:rPr>
          <w:rFonts w:ascii="Verdana" w:hAnsi="Verdana"/>
          <w:sz w:val="16"/>
          <w:szCs w:val="16"/>
        </w:rPr>
      </w:pPr>
    </w:p>
  </w:footnote>
  <w:footnote w:id="273">
    <w:p w14:paraId="2E67531E"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El Estado no brindó información detallada sobre esas causas. En la Resolución de Supervisión de Cumplimiento de la Corte Interamericana sobre el caso </w:t>
      </w:r>
      <w:r w:rsidRPr="000031DD">
        <w:rPr>
          <w:rFonts w:ascii="Verdana" w:hAnsi="Verdana"/>
          <w:i/>
          <w:sz w:val="16"/>
          <w:szCs w:val="16"/>
        </w:rPr>
        <w:t xml:space="preserve">Gelman </w:t>
      </w:r>
      <w:r w:rsidRPr="000031DD">
        <w:rPr>
          <w:rFonts w:ascii="Verdana" w:hAnsi="Verdana"/>
          <w:sz w:val="16"/>
          <w:szCs w:val="16"/>
        </w:rPr>
        <w:t xml:space="preserve">de 20 de marzo de 2013, se señaló que “la Suprema Corte señaló en su sentencia 20 de febrero de 2013 que ‘para los delitos cometidos durante la dictadura y amparados por la Ley de Caducidad, no se creó ninguna prescripción especial, sino que, simplemente, regían los mismos términos extintivos que para cualquier otro delito, por lo que, en la especie, no sería de aplicación la condena impuesta por la Corte Interamericana de Derechos Humanos en cuanto a la remoción de las leyes de prescripción establecidas especialmente para esos casos, puesto que no se dictaron leyes de tal naturaleza’”. Al respecto, la Corte Interamericana consideró que “es incompatible con las obligaciones internacionales de un Estado Parte en la Convención que éste deje de investigar, juzgar y, en su caso, sancionar a los responsables de graves violaciones a los derechos humanos que por su naturaleza sean imprescriptibles, en perjuicio del derecho de las víctimas de acceso a la justicia, amparándose en una situación de impunidad que sus propios poderes y órganos hayan propiciado mediante la generación de obstáculos de </w:t>
      </w:r>
      <w:r w:rsidRPr="000031DD">
        <w:rPr>
          <w:rFonts w:ascii="Verdana" w:hAnsi="Verdana"/>
          <w:i/>
          <w:sz w:val="16"/>
          <w:szCs w:val="16"/>
        </w:rPr>
        <w:t>jure</w:t>
      </w:r>
      <w:r w:rsidRPr="000031DD">
        <w:rPr>
          <w:rFonts w:ascii="Verdana" w:hAnsi="Verdana"/>
          <w:sz w:val="16"/>
          <w:szCs w:val="16"/>
        </w:rPr>
        <w:t xml:space="preserve"> o de </w:t>
      </w:r>
      <w:r w:rsidRPr="000031DD">
        <w:rPr>
          <w:rFonts w:ascii="Verdana" w:hAnsi="Verdana"/>
          <w:i/>
          <w:sz w:val="16"/>
          <w:szCs w:val="16"/>
        </w:rPr>
        <w:t>facto</w:t>
      </w:r>
      <w:r w:rsidRPr="000031DD">
        <w:rPr>
          <w:rFonts w:ascii="Verdana" w:hAnsi="Verdana"/>
          <w:sz w:val="16"/>
          <w:szCs w:val="16"/>
        </w:rPr>
        <w:t xml:space="preserve"> que impidieran realizar las investigaciones o llevar adelante los procesos durante determinado período”. (</w:t>
      </w:r>
      <w:r w:rsidRPr="000031DD">
        <w:rPr>
          <w:rFonts w:ascii="Verdana" w:hAnsi="Verdana" w:cs="Arial"/>
          <w:i/>
          <w:sz w:val="16"/>
          <w:szCs w:val="16"/>
          <w:shd w:val="clear" w:color="auto" w:fill="FFFFFF"/>
        </w:rPr>
        <w:t>Caso Gelman Vs. Uruguay. Supervisión de Cumplimiento de Sentencia.</w:t>
      </w:r>
      <w:r w:rsidRPr="000031DD">
        <w:rPr>
          <w:rFonts w:ascii="Verdana" w:hAnsi="Verdana" w:cs="Arial"/>
          <w:sz w:val="16"/>
          <w:szCs w:val="16"/>
          <w:shd w:val="clear" w:color="auto" w:fill="FFFFFF"/>
        </w:rPr>
        <w:t xml:space="preserve"> Resolución de la Corte Interamericana de Derechos Humanos de 20 de marzo de 2013, nota a pie de página 77 y Considerando 94, respectivamente.)</w:t>
      </w:r>
    </w:p>
    <w:p w14:paraId="4CEC6F54" w14:textId="77777777" w:rsidR="00DD280C" w:rsidRPr="000031DD" w:rsidRDefault="00DD280C" w:rsidP="001B6F20">
      <w:pPr>
        <w:pStyle w:val="Textonotapie"/>
        <w:jc w:val="both"/>
        <w:rPr>
          <w:rFonts w:ascii="Verdana" w:hAnsi="Verdana"/>
          <w:sz w:val="16"/>
          <w:szCs w:val="16"/>
        </w:rPr>
      </w:pPr>
      <w:r w:rsidRPr="000031DD">
        <w:rPr>
          <w:rFonts w:ascii="Verdana" w:hAnsi="Verdana"/>
          <w:sz w:val="16"/>
          <w:szCs w:val="16"/>
        </w:rPr>
        <w:t xml:space="preserve"> </w:t>
      </w:r>
    </w:p>
  </w:footnote>
  <w:footnote w:id="274">
    <w:p w14:paraId="2577C3A8"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Aseveró que “cualquier referencia a la cuestión de género en un marco más amplio y estructural nunca fue planteado como tal ni por la Comisión ni por los representantes de las presuntas víctimas”. </w:t>
      </w:r>
    </w:p>
    <w:p w14:paraId="7E99CB36" w14:textId="77777777" w:rsidR="00DD280C" w:rsidRPr="000031DD" w:rsidRDefault="00DD280C" w:rsidP="001B6F20">
      <w:pPr>
        <w:pStyle w:val="Textonotapie"/>
        <w:jc w:val="both"/>
        <w:rPr>
          <w:rFonts w:ascii="Verdana" w:hAnsi="Verdana"/>
          <w:sz w:val="16"/>
          <w:szCs w:val="16"/>
        </w:rPr>
      </w:pPr>
    </w:p>
  </w:footnote>
  <w:footnote w:id="275">
    <w:p w14:paraId="6D15C5E2" w14:textId="77777777" w:rsidR="00DD280C" w:rsidRPr="000031DD" w:rsidRDefault="00DD280C" w:rsidP="001B6F20">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Uruguay mencionó expresamente “la Convención sobre Derechos Políticos de la Mujer de 1948, la Convención sobre [la] Eliminación de Todas las Formas de Discriminación Contra la Mujer de 1979 y la Convención Interamericana para Prevenir, Sancionar y Erradicar la Violencia Contra la Mujer de 1994”</w:t>
      </w:r>
      <w:r>
        <w:rPr>
          <w:rFonts w:ascii="Verdana" w:hAnsi="Verdana"/>
          <w:sz w:val="16"/>
          <w:szCs w:val="16"/>
        </w:rPr>
        <w:t>.</w:t>
      </w:r>
    </w:p>
    <w:p w14:paraId="77556543" w14:textId="77777777" w:rsidR="00DD280C" w:rsidRPr="000031DD" w:rsidRDefault="00DD280C" w:rsidP="001B6F20">
      <w:pPr>
        <w:pStyle w:val="Textonotapie"/>
        <w:jc w:val="both"/>
        <w:rPr>
          <w:rFonts w:ascii="Verdana" w:hAnsi="Verdana"/>
          <w:sz w:val="16"/>
          <w:szCs w:val="16"/>
        </w:rPr>
      </w:pPr>
    </w:p>
  </w:footnote>
  <w:footnote w:id="276">
    <w:p w14:paraId="221AA66A" w14:textId="77777777" w:rsidR="00DD280C" w:rsidRPr="000031DD" w:rsidRDefault="00DD280C" w:rsidP="001B6F20">
      <w:pPr>
        <w:pStyle w:val="Textonotapie"/>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Mencionó, como “ejemplo de ello”, la “ley de salud sexual y reproductiva del año 2008, la ley de acoso sexual del año 2009, la ley de identidad de género del año 2009[,] la ley de interrupción voluntaria del embarazo del año 2012”, o la “Ley de Violencia hacia las Mujeres Basada en Género, </w:t>
      </w:r>
      <w:proofErr w:type="spellStart"/>
      <w:r w:rsidRPr="000031DD">
        <w:rPr>
          <w:rFonts w:ascii="Verdana" w:hAnsi="Verdana"/>
          <w:sz w:val="16"/>
          <w:szCs w:val="16"/>
        </w:rPr>
        <w:t>Nº</w:t>
      </w:r>
      <w:proofErr w:type="spellEnd"/>
      <w:r w:rsidRPr="000031DD">
        <w:rPr>
          <w:rFonts w:ascii="Verdana" w:hAnsi="Verdana"/>
          <w:sz w:val="16"/>
          <w:szCs w:val="16"/>
        </w:rPr>
        <w:t xml:space="preserve"> 19.580, de 22 de diciembre de 2017”, que creó “[j]</w:t>
      </w:r>
      <w:proofErr w:type="spellStart"/>
      <w:r w:rsidRPr="000031DD">
        <w:rPr>
          <w:rFonts w:ascii="Verdana" w:hAnsi="Verdana"/>
          <w:sz w:val="16"/>
          <w:szCs w:val="16"/>
        </w:rPr>
        <w:t>uzgados</w:t>
      </w:r>
      <w:proofErr w:type="spellEnd"/>
      <w:r w:rsidRPr="000031DD">
        <w:rPr>
          <w:rFonts w:ascii="Verdana" w:hAnsi="Verdana"/>
          <w:sz w:val="16"/>
          <w:szCs w:val="16"/>
        </w:rPr>
        <w:t xml:space="preserve"> [e]</w:t>
      </w:r>
      <w:proofErr w:type="spellStart"/>
      <w:r w:rsidRPr="000031DD">
        <w:rPr>
          <w:rFonts w:ascii="Verdana" w:hAnsi="Verdana"/>
          <w:sz w:val="16"/>
          <w:szCs w:val="16"/>
        </w:rPr>
        <w:t>specializados</w:t>
      </w:r>
      <w:proofErr w:type="spellEnd"/>
      <w:r w:rsidRPr="000031DD">
        <w:rPr>
          <w:rFonts w:ascii="Verdana" w:hAnsi="Verdana"/>
          <w:sz w:val="16"/>
          <w:szCs w:val="16"/>
        </w:rPr>
        <w:t xml:space="preserve">”, así como “la incorporación de la perspectiva de género en políticas educativas, de salud, laborales, de seguridad, y aquéllas sobre las personas mayores”. Destacó también que se incorporó, en materia penal, el “femicidio por agravante del delito de homicidio en aquellos casos en que una mujer fue asesinada por cuestiones asociadas a su género”. Indicó también en 2020 se publicó una “guía para el poder judicial sobre estereotipos de género y estándares internacionales sobre el derecho de las mujeres”. También señaló que, “en la ley de presupuesto 19.924 de [2020] se creó en todos los ministerios una unidad especializada” en relación con cuestiones de género. </w:t>
      </w:r>
    </w:p>
    <w:p w14:paraId="736EF9B6" w14:textId="77777777" w:rsidR="00DD280C" w:rsidRPr="000031DD" w:rsidRDefault="00DD280C" w:rsidP="001B6F20">
      <w:pPr>
        <w:pStyle w:val="Textonotapie"/>
        <w:jc w:val="both"/>
        <w:rPr>
          <w:rFonts w:ascii="Verdana" w:hAnsi="Verdana"/>
          <w:sz w:val="16"/>
          <w:szCs w:val="16"/>
        </w:rPr>
      </w:pPr>
    </w:p>
  </w:footnote>
  <w:footnote w:id="277">
    <w:p w14:paraId="036EA6B8" w14:textId="77777777" w:rsidR="00DD280C"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617293">
        <w:rPr>
          <w:rFonts w:ascii="Verdana" w:hAnsi="Verdana"/>
          <w:i/>
          <w:sz w:val="16"/>
          <w:szCs w:val="16"/>
        </w:rPr>
        <w:t>Caso Gelman Vs. Uruguay. Supervisión de Cumplimiento de Sentencia</w:t>
      </w:r>
      <w:r w:rsidRPr="00265181">
        <w:rPr>
          <w:rFonts w:ascii="Verdana" w:hAnsi="Verdana"/>
          <w:sz w:val="16"/>
          <w:szCs w:val="16"/>
        </w:rPr>
        <w:t>. Resolución de la Corte Interamericana de Derechos Hum</w:t>
      </w:r>
      <w:r>
        <w:rPr>
          <w:rFonts w:ascii="Verdana" w:hAnsi="Verdana"/>
          <w:sz w:val="16"/>
          <w:szCs w:val="16"/>
        </w:rPr>
        <w:t>anos de 19 de noviembre de 2020, Considerando 28</w:t>
      </w:r>
      <w:r w:rsidRPr="000031DD">
        <w:rPr>
          <w:rFonts w:ascii="Verdana" w:hAnsi="Verdana"/>
          <w:sz w:val="16"/>
          <w:szCs w:val="16"/>
        </w:rPr>
        <w:t xml:space="preserve">. </w:t>
      </w:r>
    </w:p>
    <w:p w14:paraId="46FE8E07" w14:textId="77777777" w:rsidR="00DD280C" w:rsidRPr="000031DD" w:rsidRDefault="00DD280C" w:rsidP="001B6F20">
      <w:pPr>
        <w:pStyle w:val="Textonotapie"/>
        <w:jc w:val="both"/>
        <w:rPr>
          <w:rFonts w:ascii="Verdana" w:hAnsi="Verdana"/>
          <w:sz w:val="16"/>
          <w:szCs w:val="16"/>
        </w:rPr>
      </w:pPr>
    </w:p>
  </w:footnote>
  <w:footnote w:id="278">
    <w:p w14:paraId="2E9B6A53" w14:textId="77777777" w:rsidR="00DD280C" w:rsidRPr="00F137AF"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E34247">
        <w:rPr>
          <w:rFonts w:ascii="Verdana" w:hAnsi="Verdana"/>
          <w:i/>
          <w:sz w:val="16"/>
          <w:szCs w:val="16"/>
        </w:rPr>
        <w:t>Caso Gelman Vs. Uruguay. Supervisión de Cumplimiento de Sentencia</w:t>
      </w:r>
      <w:r w:rsidRPr="00265181">
        <w:rPr>
          <w:rFonts w:ascii="Verdana" w:hAnsi="Verdana"/>
          <w:sz w:val="16"/>
          <w:szCs w:val="16"/>
        </w:rPr>
        <w:t>. Resolución de la Corte Interamericana de Derechos Hum</w:t>
      </w:r>
      <w:r>
        <w:rPr>
          <w:rFonts w:ascii="Verdana" w:hAnsi="Verdana"/>
          <w:sz w:val="16"/>
          <w:szCs w:val="16"/>
        </w:rPr>
        <w:t>anos de 19 de noviembre de 2020</w:t>
      </w:r>
      <w:r w:rsidRPr="000031DD">
        <w:rPr>
          <w:rFonts w:ascii="Verdana" w:hAnsi="Verdana"/>
          <w:sz w:val="16"/>
          <w:szCs w:val="16"/>
        </w:rPr>
        <w:t xml:space="preserve">, Considerando 30. La Corte nota que el Estado remitió, como un “hecho nuevo”, en la presente causa, una decisión del Juzgado Letrado de Flores, de 14 de diciembre de 2020, que, tal como lo señaló el propio Estado, “acoge tanto el principio de imprescriptibilidad como la calificación de delitos de </w:t>
      </w:r>
      <w:r w:rsidRPr="00F137AF">
        <w:rPr>
          <w:rFonts w:ascii="Verdana" w:hAnsi="Verdana"/>
          <w:sz w:val="16"/>
          <w:szCs w:val="16"/>
        </w:rPr>
        <w:t xml:space="preserve">lesa humanidad para hechos inicialmente comprendidos en la denominada ‘ley de caducidad’” (expediente de prueba, f. 7656). Sin perjuicio de valorar esta decisión, el Tribunal entiende que la misma no obsta las afirmaciones del testigo </w:t>
      </w:r>
      <w:proofErr w:type="spellStart"/>
      <w:r w:rsidRPr="00F137AF">
        <w:rPr>
          <w:rFonts w:ascii="Verdana" w:hAnsi="Verdana"/>
          <w:sz w:val="16"/>
          <w:szCs w:val="16"/>
        </w:rPr>
        <w:t>Perciballe</w:t>
      </w:r>
      <w:proofErr w:type="spellEnd"/>
      <w:r w:rsidRPr="00F137AF">
        <w:rPr>
          <w:rFonts w:ascii="Verdana" w:hAnsi="Verdana"/>
          <w:sz w:val="16"/>
          <w:szCs w:val="16"/>
        </w:rPr>
        <w:t xml:space="preserve"> y el perito </w:t>
      </w:r>
      <w:proofErr w:type="spellStart"/>
      <w:r w:rsidRPr="00F137AF">
        <w:rPr>
          <w:rFonts w:ascii="Verdana" w:hAnsi="Verdana"/>
          <w:sz w:val="16"/>
          <w:szCs w:val="16"/>
        </w:rPr>
        <w:t>Chargoñia</w:t>
      </w:r>
      <w:proofErr w:type="spellEnd"/>
      <w:r w:rsidRPr="00F137AF">
        <w:rPr>
          <w:rFonts w:ascii="Verdana" w:hAnsi="Verdana"/>
          <w:sz w:val="16"/>
          <w:szCs w:val="16"/>
        </w:rPr>
        <w:t xml:space="preserve">, referidas en el párrafo siguiente. </w:t>
      </w:r>
    </w:p>
    <w:p w14:paraId="1B4ACC72" w14:textId="77777777" w:rsidR="00DD280C" w:rsidRPr="00F137AF" w:rsidRDefault="00DD280C" w:rsidP="001B6F20">
      <w:pPr>
        <w:pStyle w:val="Textonotapie"/>
        <w:jc w:val="both"/>
        <w:rPr>
          <w:rFonts w:ascii="Verdana" w:hAnsi="Verdana"/>
          <w:sz w:val="16"/>
          <w:szCs w:val="16"/>
        </w:rPr>
      </w:pPr>
    </w:p>
  </w:footnote>
  <w:footnote w:id="279">
    <w:p w14:paraId="1F91E02C" w14:textId="77777777" w:rsidR="00DD280C" w:rsidRPr="00F137AF" w:rsidRDefault="00DD280C" w:rsidP="001B6F20">
      <w:pPr>
        <w:pStyle w:val="Textonotapie"/>
        <w:jc w:val="both"/>
        <w:rPr>
          <w:rFonts w:ascii="Verdana" w:hAnsi="Verdana"/>
          <w:sz w:val="16"/>
          <w:szCs w:val="16"/>
        </w:rPr>
      </w:pPr>
      <w:r w:rsidRPr="00F137AF">
        <w:rPr>
          <w:rStyle w:val="Refdenotaalpie"/>
          <w:rFonts w:ascii="Verdana" w:hAnsi="Verdana"/>
          <w:sz w:val="16"/>
          <w:szCs w:val="16"/>
        </w:rPr>
        <w:footnoteRef/>
      </w:r>
      <w:r w:rsidRPr="00F137AF">
        <w:rPr>
          <w:rFonts w:ascii="Verdana" w:hAnsi="Verdana"/>
          <w:sz w:val="16"/>
          <w:szCs w:val="16"/>
        </w:rPr>
        <w:t xml:space="preserve"> </w:t>
      </w:r>
      <w:r w:rsidRPr="00F137AF">
        <w:rPr>
          <w:rFonts w:ascii="Verdana" w:hAnsi="Verdana"/>
          <w:sz w:val="16"/>
          <w:szCs w:val="16"/>
        </w:rPr>
        <w:tab/>
      </w:r>
      <w:r>
        <w:rPr>
          <w:rFonts w:ascii="Verdana" w:hAnsi="Verdana"/>
          <w:sz w:val="16"/>
          <w:szCs w:val="16"/>
        </w:rPr>
        <w:t>Respuesta de la Suprema Corte de Justicia de 31 de diciembre de 2018 (e</w:t>
      </w:r>
      <w:r w:rsidRPr="00F137AF">
        <w:rPr>
          <w:rFonts w:ascii="Verdana" w:hAnsi="Verdana"/>
          <w:sz w:val="16"/>
          <w:szCs w:val="16"/>
        </w:rPr>
        <w:t>xpediente de prueba, anexo</w:t>
      </w:r>
      <w:r>
        <w:rPr>
          <w:rFonts w:ascii="Verdana" w:hAnsi="Verdana"/>
          <w:sz w:val="16"/>
          <w:szCs w:val="16"/>
        </w:rPr>
        <w:t xml:space="preserve"> II</w:t>
      </w:r>
      <w:r w:rsidRPr="00F137AF">
        <w:rPr>
          <w:rFonts w:ascii="Verdana" w:hAnsi="Verdana"/>
          <w:sz w:val="16"/>
          <w:szCs w:val="16"/>
        </w:rPr>
        <w:t xml:space="preserve"> a </w:t>
      </w:r>
      <w:r>
        <w:rPr>
          <w:rFonts w:ascii="Verdana" w:hAnsi="Verdana"/>
          <w:sz w:val="16"/>
          <w:szCs w:val="16"/>
        </w:rPr>
        <w:t xml:space="preserve">la </w:t>
      </w:r>
      <w:r w:rsidRPr="00F137AF">
        <w:rPr>
          <w:rFonts w:ascii="Verdana" w:hAnsi="Verdana"/>
          <w:sz w:val="16"/>
          <w:szCs w:val="16"/>
        </w:rPr>
        <w:t>contestación, f</w:t>
      </w:r>
      <w:r>
        <w:rPr>
          <w:rFonts w:ascii="Verdana" w:hAnsi="Verdana"/>
          <w:sz w:val="16"/>
          <w:szCs w:val="16"/>
        </w:rPr>
        <w:t>s</w:t>
      </w:r>
      <w:r w:rsidRPr="00F137AF">
        <w:rPr>
          <w:rFonts w:ascii="Verdana" w:hAnsi="Verdana"/>
          <w:sz w:val="16"/>
          <w:szCs w:val="16"/>
        </w:rPr>
        <w:t xml:space="preserve">. </w:t>
      </w:r>
      <w:r>
        <w:rPr>
          <w:rFonts w:ascii="Verdana" w:hAnsi="Verdana"/>
          <w:sz w:val="16"/>
          <w:szCs w:val="16"/>
        </w:rPr>
        <w:t xml:space="preserve">2314 a </w:t>
      </w:r>
      <w:r w:rsidRPr="00F137AF">
        <w:rPr>
          <w:rFonts w:ascii="Verdana" w:hAnsi="Verdana"/>
          <w:sz w:val="16"/>
          <w:szCs w:val="16"/>
        </w:rPr>
        <w:t>23</w:t>
      </w:r>
      <w:r>
        <w:rPr>
          <w:rFonts w:ascii="Verdana" w:hAnsi="Verdana"/>
          <w:sz w:val="16"/>
          <w:szCs w:val="16"/>
        </w:rPr>
        <w:t>24)</w:t>
      </w:r>
      <w:r w:rsidRPr="00F137AF">
        <w:rPr>
          <w:rFonts w:ascii="Verdana" w:hAnsi="Verdana"/>
          <w:sz w:val="16"/>
          <w:szCs w:val="16"/>
        </w:rPr>
        <w:t>.</w:t>
      </w:r>
    </w:p>
    <w:p w14:paraId="3A51B8A6" w14:textId="77777777" w:rsidR="00DD280C" w:rsidRPr="00F137AF" w:rsidRDefault="00DD280C" w:rsidP="001B6F20">
      <w:pPr>
        <w:pStyle w:val="Textonotapie"/>
        <w:jc w:val="both"/>
        <w:rPr>
          <w:rFonts w:ascii="Verdana" w:hAnsi="Verdana"/>
          <w:sz w:val="16"/>
          <w:szCs w:val="16"/>
        </w:rPr>
      </w:pPr>
    </w:p>
  </w:footnote>
  <w:footnote w:id="280">
    <w:p w14:paraId="6C2588C6" w14:textId="77777777" w:rsidR="00DD280C" w:rsidRPr="00F137AF" w:rsidRDefault="00DD280C" w:rsidP="001B6F20">
      <w:pPr>
        <w:pStyle w:val="Textonotapie"/>
        <w:rPr>
          <w:rFonts w:ascii="Verdana" w:hAnsi="Verdana"/>
          <w:sz w:val="16"/>
          <w:szCs w:val="16"/>
        </w:rPr>
      </w:pPr>
      <w:r w:rsidRPr="00F137AF">
        <w:rPr>
          <w:rStyle w:val="Refdenotaalpie"/>
          <w:rFonts w:ascii="Verdana" w:hAnsi="Verdana"/>
          <w:sz w:val="16"/>
          <w:szCs w:val="16"/>
        </w:rPr>
        <w:footnoteRef/>
      </w:r>
      <w:r w:rsidRPr="00F137AF">
        <w:rPr>
          <w:rFonts w:ascii="Verdana" w:hAnsi="Verdana"/>
          <w:sz w:val="16"/>
          <w:szCs w:val="16"/>
        </w:rPr>
        <w:t xml:space="preserve">  </w:t>
      </w:r>
      <w:r w:rsidRPr="00F137AF">
        <w:rPr>
          <w:rFonts w:ascii="Verdana" w:hAnsi="Verdana"/>
          <w:sz w:val="16"/>
          <w:szCs w:val="16"/>
        </w:rPr>
        <w:tab/>
        <w:t xml:space="preserve">Los textos de ambas leyes han sido incorporados como prueba </w:t>
      </w:r>
      <w:r w:rsidRPr="00617293">
        <w:rPr>
          <w:rFonts w:ascii="Verdana" w:hAnsi="Verdana"/>
          <w:sz w:val="16"/>
          <w:szCs w:val="16"/>
        </w:rPr>
        <w:t>de oficio (</w:t>
      </w:r>
      <w:r w:rsidRPr="00617293">
        <w:rPr>
          <w:rFonts w:ascii="Verdana" w:hAnsi="Verdana"/>
          <w:i/>
          <w:sz w:val="16"/>
          <w:szCs w:val="16"/>
        </w:rPr>
        <w:t xml:space="preserve">supra </w:t>
      </w:r>
      <w:r w:rsidRPr="00617293">
        <w:rPr>
          <w:rFonts w:ascii="Verdana" w:hAnsi="Verdana"/>
          <w:sz w:val="16"/>
          <w:szCs w:val="16"/>
        </w:rPr>
        <w:t>párr. 25).</w:t>
      </w:r>
    </w:p>
    <w:p w14:paraId="76FD1747" w14:textId="77777777" w:rsidR="00DD280C" w:rsidRPr="000F5A15" w:rsidRDefault="00DD280C" w:rsidP="001B6F20">
      <w:pPr>
        <w:pStyle w:val="Textonotapie"/>
      </w:pPr>
    </w:p>
  </w:footnote>
  <w:footnote w:id="281">
    <w:p w14:paraId="6672E8AA" w14:textId="77777777" w:rsidR="00DD280C" w:rsidRPr="00B461C0" w:rsidRDefault="00DD280C" w:rsidP="001B6F20">
      <w:pPr>
        <w:pStyle w:val="Textonotapie"/>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t xml:space="preserve">El mismo Fiscal, en un documento remitido como prueba por el Estado en forma anexa a su contestación, señaló dos “excepciones” a su afirmación de que “todos los tribunales del país” eran contestes </w:t>
      </w:r>
      <w:r w:rsidRPr="00B461C0">
        <w:rPr>
          <w:rFonts w:ascii="Verdana" w:hAnsi="Verdana"/>
          <w:sz w:val="16"/>
          <w:szCs w:val="16"/>
        </w:rPr>
        <w:t>en negar las excepciones de prescripción respecto a delitos cometidos durante la dictadura. Mencionó también que para negar tales excepciones los tribunales utilizaban “argumentos diversos”. (Informe del Fiscal Especializado sin fecha (expediente de prueba, anexo</w:t>
      </w:r>
      <w:r>
        <w:rPr>
          <w:rFonts w:ascii="Verdana" w:hAnsi="Verdana"/>
          <w:sz w:val="16"/>
          <w:szCs w:val="16"/>
        </w:rPr>
        <w:t xml:space="preserve"> XXVIII</w:t>
      </w:r>
      <w:r w:rsidRPr="00B461C0">
        <w:rPr>
          <w:rFonts w:ascii="Verdana" w:hAnsi="Verdana"/>
          <w:sz w:val="16"/>
          <w:szCs w:val="16"/>
        </w:rPr>
        <w:t xml:space="preserve"> a la contestación, f</w:t>
      </w:r>
      <w:r>
        <w:rPr>
          <w:rFonts w:ascii="Verdana" w:hAnsi="Verdana"/>
          <w:sz w:val="16"/>
          <w:szCs w:val="16"/>
        </w:rPr>
        <w:t>s</w:t>
      </w:r>
      <w:r w:rsidRPr="00B461C0">
        <w:rPr>
          <w:rFonts w:ascii="Verdana" w:hAnsi="Verdana"/>
          <w:sz w:val="16"/>
          <w:szCs w:val="16"/>
        </w:rPr>
        <w:t xml:space="preserve">. </w:t>
      </w:r>
      <w:r>
        <w:rPr>
          <w:rFonts w:ascii="Verdana" w:hAnsi="Verdana"/>
          <w:sz w:val="16"/>
          <w:szCs w:val="16"/>
        </w:rPr>
        <w:t xml:space="preserve">3836 a </w:t>
      </w:r>
      <w:r w:rsidRPr="00B461C0">
        <w:rPr>
          <w:rFonts w:ascii="Verdana" w:hAnsi="Verdana"/>
          <w:sz w:val="16"/>
          <w:szCs w:val="16"/>
        </w:rPr>
        <w:t>384</w:t>
      </w:r>
      <w:r>
        <w:rPr>
          <w:rFonts w:ascii="Verdana" w:hAnsi="Verdana"/>
          <w:sz w:val="16"/>
          <w:szCs w:val="16"/>
        </w:rPr>
        <w:t>8</w:t>
      </w:r>
      <w:r w:rsidRPr="00B461C0">
        <w:rPr>
          <w:rFonts w:ascii="Verdana" w:hAnsi="Verdana"/>
          <w:sz w:val="16"/>
          <w:szCs w:val="16"/>
        </w:rPr>
        <w:t xml:space="preserve">)). </w:t>
      </w:r>
    </w:p>
    <w:p w14:paraId="6154B4EC" w14:textId="77777777" w:rsidR="00DD280C" w:rsidRPr="00B461C0" w:rsidRDefault="00DD280C" w:rsidP="001B6F20">
      <w:pPr>
        <w:pStyle w:val="Textonotapie"/>
        <w:jc w:val="both"/>
        <w:rPr>
          <w:rFonts w:ascii="Verdana" w:hAnsi="Verdana"/>
          <w:sz w:val="16"/>
          <w:szCs w:val="16"/>
        </w:rPr>
      </w:pPr>
    </w:p>
  </w:footnote>
  <w:footnote w:id="282">
    <w:p w14:paraId="09ADA28C" w14:textId="28E44B30" w:rsidR="00DD280C" w:rsidRPr="00B461C0" w:rsidRDefault="00DD280C" w:rsidP="001B6F20">
      <w:pPr>
        <w:tabs>
          <w:tab w:val="left" w:pos="709"/>
        </w:tabs>
        <w:autoSpaceDE w:val="0"/>
        <w:autoSpaceDN w:val="0"/>
        <w:adjustRightInd w:val="0"/>
        <w:spacing w:before="120" w:after="120"/>
        <w:jc w:val="both"/>
        <w:rPr>
          <w:rFonts w:ascii="Verdana" w:hAnsi="Verdana"/>
          <w:sz w:val="16"/>
          <w:szCs w:val="16"/>
          <w:lang w:val="es-CO"/>
        </w:rPr>
      </w:pPr>
      <w:r w:rsidRPr="00B461C0">
        <w:rPr>
          <w:rStyle w:val="Refdenotaalpie"/>
          <w:rFonts w:ascii="Verdana" w:hAnsi="Verdana"/>
          <w:sz w:val="16"/>
          <w:szCs w:val="16"/>
        </w:rPr>
        <w:footnoteRef/>
      </w:r>
      <w:r w:rsidRPr="00B461C0">
        <w:rPr>
          <w:rFonts w:ascii="Verdana" w:hAnsi="Verdana"/>
          <w:sz w:val="16"/>
          <w:szCs w:val="16"/>
          <w:lang w:val="es-CO"/>
        </w:rPr>
        <w:tab/>
      </w:r>
      <w:r w:rsidRPr="00B461C0">
        <w:rPr>
          <w:rFonts w:ascii="Verdana" w:hAnsi="Verdana"/>
          <w:i/>
          <w:iCs/>
          <w:sz w:val="16"/>
          <w:szCs w:val="16"/>
          <w:lang w:val="es-MX"/>
        </w:rPr>
        <w:t xml:space="preserve">Cfr. </w:t>
      </w:r>
      <w:r w:rsidRPr="000F31DB">
        <w:rPr>
          <w:rFonts w:ascii="Verdana" w:hAnsi="Verdana"/>
          <w:i/>
          <w:iCs/>
          <w:sz w:val="16"/>
          <w:szCs w:val="16"/>
          <w:lang w:val="es-MX"/>
        </w:rPr>
        <w:t>Caso Almon</w:t>
      </w:r>
      <w:r>
        <w:rPr>
          <w:rFonts w:ascii="Verdana" w:hAnsi="Verdana"/>
          <w:i/>
          <w:iCs/>
          <w:sz w:val="16"/>
          <w:szCs w:val="16"/>
          <w:lang w:val="es-MX"/>
        </w:rPr>
        <w:t xml:space="preserve">acid Arellano y otros Vs. </w:t>
      </w:r>
      <w:r w:rsidRPr="00DD280C">
        <w:rPr>
          <w:rFonts w:ascii="Verdana" w:hAnsi="Verdana"/>
          <w:i/>
          <w:iCs/>
          <w:sz w:val="16"/>
          <w:szCs w:val="16"/>
          <w:lang w:val="pt-BR"/>
        </w:rPr>
        <w:t>Chile</w:t>
      </w:r>
      <w:r w:rsidRPr="00DD280C">
        <w:rPr>
          <w:rFonts w:ascii="Verdana" w:hAnsi="Verdana"/>
          <w:sz w:val="16"/>
          <w:szCs w:val="16"/>
          <w:lang w:val="pt-BR"/>
        </w:rPr>
        <w:t xml:space="preserve">, </w:t>
      </w:r>
      <w:proofErr w:type="spellStart"/>
      <w:r w:rsidRPr="00DD280C">
        <w:rPr>
          <w:rFonts w:ascii="Verdana" w:hAnsi="Verdana"/>
          <w:sz w:val="16"/>
          <w:szCs w:val="16"/>
          <w:lang w:val="pt-BR"/>
        </w:rPr>
        <w:t>párr</w:t>
      </w:r>
      <w:proofErr w:type="spellEnd"/>
      <w:r w:rsidRPr="00DD280C">
        <w:rPr>
          <w:rFonts w:ascii="Verdana" w:hAnsi="Verdana"/>
          <w:sz w:val="16"/>
          <w:szCs w:val="16"/>
          <w:lang w:val="pt-BR"/>
        </w:rPr>
        <w:t xml:space="preserve">. 124; </w:t>
      </w:r>
      <w:r w:rsidRPr="00DD280C">
        <w:rPr>
          <w:rFonts w:ascii="Verdana" w:hAnsi="Verdana"/>
          <w:i/>
          <w:sz w:val="16"/>
          <w:szCs w:val="16"/>
          <w:lang w:val="pt-BR"/>
        </w:rPr>
        <w:t xml:space="preserve">Caso Gomes </w:t>
      </w:r>
      <w:proofErr w:type="spellStart"/>
      <w:r w:rsidRPr="00DD280C">
        <w:rPr>
          <w:rFonts w:ascii="Verdana" w:hAnsi="Verdana"/>
          <w:i/>
          <w:sz w:val="16"/>
          <w:szCs w:val="16"/>
          <w:lang w:val="pt-BR"/>
        </w:rPr>
        <w:t>Lund</w:t>
      </w:r>
      <w:proofErr w:type="spellEnd"/>
      <w:r w:rsidRPr="00DD280C">
        <w:rPr>
          <w:rFonts w:ascii="Verdana" w:hAnsi="Verdana"/>
          <w:i/>
          <w:sz w:val="16"/>
          <w:szCs w:val="16"/>
          <w:lang w:val="pt-BR"/>
        </w:rPr>
        <w:t xml:space="preserve"> y </w:t>
      </w:r>
      <w:proofErr w:type="spellStart"/>
      <w:r w:rsidRPr="00DD280C">
        <w:rPr>
          <w:rFonts w:ascii="Verdana" w:hAnsi="Verdana"/>
          <w:i/>
          <w:sz w:val="16"/>
          <w:szCs w:val="16"/>
          <w:lang w:val="pt-BR"/>
        </w:rPr>
        <w:t>otros</w:t>
      </w:r>
      <w:proofErr w:type="spellEnd"/>
      <w:r w:rsidRPr="00DD280C">
        <w:rPr>
          <w:rFonts w:ascii="Verdana" w:hAnsi="Verdana"/>
          <w:i/>
          <w:sz w:val="16"/>
          <w:szCs w:val="16"/>
          <w:lang w:val="pt-BR"/>
        </w:rPr>
        <w:t xml:space="preserve"> ("Guerrilha do Araguaia") Vs. </w:t>
      </w:r>
      <w:r w:rsidRPr="001B6F20">
        <w:rPr>
          <w:rFonts w:ascii="Verdana" w:hAnsi="Verdana"/>
          <w:i/>
          <w:sz w:val="16"/>
          <w:szCs w:val="16"/>
          <w:lang w:val="es-MX"/>
        </w:rPr>
        <w:t>Brasil</w:t>
      </w:r>
      <w:r w:rsidRPr="00B461C0">
        <w:rPr>
          <w:rFonts w:ascii="Verdana" w:hAnsi="Verdana"/>
          <w:bCs/>
          <w:i/>
          <w:color w:val="000000"/>
          <w:sz w:val="16"/>
          <w:szCs w:val="16"/>
        </w:rPr>
        <w:t xml:space="preserve">, </w:t>
      </w:r>
      <w:r w:rsidRPr="00B461C0">
        <w:rPr>
          <w:rFonts w:ascii="Verdana" w:hAnsi="Verdana"/>
          <w:color w:val="000000"/>
          <w:sz w:val="16"/>
          <w:szCs w:val="16"/>
        </w:rPr>
        <w:t xml:space="preserve">párr. 176, y </w:t>
      </w:r>
      <w:r w:rsidRPr="00B461C0">
        <w:rPr>
          <w:rFonts w:ascii="Verdana" w:hAnsi="Verdana"/>
          <w:bCs/>
          <w:i/>
          <w:color w:val="000000"/>
          <w:sz w:val="16"/>
          <w:szCs w:val="16"/>
        </w:rPr>
        <w:t xml:space="preserve">Caso Cabrera García y Montiel Flores Vs. México. </w:t>
      </w:r>
      <w:r w:rsidRPr="00B461C0">
        <w:rPr>
          <w:rFonts w:ascii="Verdana" w:hAnsi="Verdana"/>
          <w:bCs/>
          <w:i/>
          <w:color w:val="000000"/>
          <w:sz w:val="16"/>
          <w:szCs w:val="16"/>
          <w:lang w:val="it-IT"/>
        </w:rPr>
        <w:t xml:space="preserve">Excepción Preliminar, Fondo, Reparaciones y Costas. </w:t>
      </w:r>
      <w:r w:rsidRPr="00B461C0">
        <w:rPr>
          <w:rFonts w:ascii="Verdana" w:hAnsi="Verdana"/>
          <w:bCs/>
          <w:color w:val="000000"/>
          <w:sz w:val="16"/>
          <w:szCs w:val="16"/>
          <w:lang w:val="it-IT"/>
        </w:rPr>
        <w:t>Sentencia de 26 de noviembre de 2010. Serie C No. 220</w:t>
      </w:r>
      <w:r w:rsidRPr="00B461C0">
        <w:rPr>
          <w:rFonts w:ascii="Verdana" w:hAnsi="Verdana"/>
          <w:bCs/>
          <w:color w:val="000000"/>
          <w:sz w:val="16"/>
          <w:szCs w:val="16"/>
        </w:rPr>
        <w:t>,</w:t>
      </w:r>
      <w:r w:rsidRPr="00B461C0">
        <w:rPr>
          <w:rFonts w:ascii="Verdana" w:hAnsi="Verdana"/>
          <w:color w:val="000000"/>
          <w:sz w:val="16"/>
          <w:szCs w:val="16"/>
        </w:rPr>
        <w:t xml:space="preserve"> párr. 225</w:t>
      </w:r>
      <w:r w:rsidRPr="00B461C0">
        <w:rPr>
          <w:rFonts w:ascii="Verdana" w:hAnsi="Verdana"/>
          <w:sz w:val="16"/>
          <w:szCs w:val="16"/>
          <w:lang w:val="es-MX"/>
        </w:rPr>
        <w:t>. Véase</w:t>
      </w:r>
      <w:r>
        <w:rPr>
          <w:rFonts w:ascii="Verdana" w:hAnsi="Verdana"/>
          <w:sz w:val="16"/>
          <w:szCs w:val="16"/>
          <w:lang w:val="es-MX"/>
        </w:rPr>
        <w:t>,</w:t>
      </w:r>
      <w:r w:rsidRPr="00B461C0">
        <w:rPr>
          <w:rFonts w:ascii="Verdana" w:hAnsi="Verdana"/>
          <w:sz w:val="16"/>
          <w:szCs w:val="16"/>
          <w:lang w:val="es-MX"/>
        </w:rPr>
        <w:t xml:space="preserve"> asimismo</w:t>
      </w:r>
      <w:r>
        <w:rPr>
          <w:rFonts w:ascii="Verdana" w:hAnsi="Verdana"/>
          <w:sz w:val="16"/>
          <w:szCs w:val="16"/>
          <w:lang w:val="es-MX"/>
        </w:rPr>
        <w:t>,</w:t>
      </w:r>
      <w:r w:rsidRPr="00B461C0">
        <w:rPr>
          <w:rFonts w:ascii="Verdana" w:hAnsi="Verdana"/>
          <w:sz w:val="16"/>
          <w:szCs w:val="16"/>
          <w:lang w:val="es-MX"/>
        </w:rPr>
        <w:t xml:space="preserve"> </w:t>
      </w:r>
      <w:r w:rsidRPr="00B461C0">
        <w:rPr>
          <w:rFonts w:ascii="Verdana" w:hAnsi="Verdana"/>
          <w:i/>
          <w:sz w:val="16"/>
          <w:szCs w:val="16"/>
          <w:lang w:val="es-MX"/>
        </w:rPr>
        <w:t>Caso Gelman Vs. Uruguay</w:t>
      </w:r>
      <w:r>
        <w:rPr>
          <w:rFonts w:ascii="Verdana" w:hAnsi="Verdana"/>
          <w:sz w:val="16"/>
          <w:szCs w:val="16"/>
          <w:lang w:val="es-MX"/>
        </w:rPr>
        <w:t xml:space="preserve">. </w:t>
      </w:r>
      <w:r w:rsidRPr="00ED4EC1">
        <w:rPr>
          <w:rFonts w:ascii="Verdana" w:hAnsi="Verdana"/>
          <w:i/>
          <w:sz w:val="16"/>
          <w:szCs w:val="16"/>
          <w:lang w:val="es-MX"/>
        </w:rPr>
        <w:t>Fondo y Reparaciones</w:t>
      </w:r>
      <w:r>
        <w:rPr>
          <w:rFonts w:ascii="Verdana" w:hAnsi="Verdana"/>
          <w:sz w:val="16"/>
          <w:szCs w:val="16"/>
          <w:lang w:val="es-MX"/>
        </w:rPr>
        <w:t xml:space="preserve">, </w:t>
      </w:r>
      <w:r w:rsidRPr="00B461C0">
        <w:rPr>
          <w:rFonts w:ascii="Verdana" w:hAnsi="Verdana"/>
          <w:sz w:val="16"/>
          <w:szCs w:val="16"/>
          <w:lang w:val="es-MX"/>
        </w:rPr>
        <w:t xml:space="preserve">párr. 193, </w:t>
      </w:r>
      <w:r w:rsidRPr="00B461C0">
        <w:rPr>
          <w:rFonts w:ascii="Verdana" w:hAnsi="Verdana"/>
          <w:iCs/>
          <w:sz w:val="16"/>
          <w:szCs w:val="16"/>
          <w:lang w:val="es-CO"/>
        </w:rPr>
        <w:t xml:space="preserve">y </w:t>
      </w:r>
      <w:r w:rsidRPr="00617293">
        <w:rPr>
          <w:rFonts w:ascii="Verdana" w:hAnsi="Verdana"/>
          <w:i/>
          <w:iCs/>
          <w:sz w:val="16"/>
          <w:szCs w:val="16"/>
          <w:lang w:val="es-CO"/>
        </w:rPr>
        <w:t>Caso Furlán y familiares Vs. Argentina. Excepciones Preliminares, Fondo, Reparaciones y Costas</w:t>
      </w:r>
      <w:r w:rsidRPr="00C32BBB">
        <w:rPr>
          <w:rFonts w:ascii="Verdana" w:hAnsi="Verdana"/>
          <w:iCs/>
          <w:sz w:val="16"/>
          <w:szCs w:val="16"/>
          <w:lang w:val="es-CO"/>
        </w:rPr>
        <w:t xml:space="preserve">. Sentencia de 31 de </w:t>
      </w:r>
      <w:r>
        <w:rPr>
          <w:rFonts w:ascii="Verdana" w:hAnsi="Verdana"/>
          <w:iCs/>
          <w:sz w:val="16"/>
          <w:szCs w:val="16"/>
          <w:lang w:val="es-CO"/>
        </w:rPr>
        <w:t>agosto de 2012. Serie C No. 246</w:t>
      </w:r>
      <w:r w:rsidRPr="00B461C0">
        <w:rPr>
          <w:rFonts w:ascii="Verdana" w:hAnsi="Verdana" w:cs="Verdana"/>
          <w:bCs/>
          <w:sz w:val="16"/>
          <w:szCs w:val="16"/>
          <w:lang w:val="es-CO"/>
        </w:rPr>
        <w:t>, párr. 303</w:t>
      </w:r>
      <w:r>
        <w:rPr>
          <w:rFonts w:ascii="Verdana" w:hAnsi="Verdana" w:cs="Verdana"/>
          <w:bCs/>
          <w:sz w:val="16"/>
          <w:szCs w:val="16"/>
          <w:lang w:val="es-CO"/>
        </w:rPr>
        <w:t xml:space="preserve"> y</w:t>
      </w:r>
      <w:r w:rsidRPr="00617293">
        <w:rPr>
          <w:rFonts w:ascii="Verdana" w:hAnsi="Verdana" w:cs="Verdana"/>
          <w:bCs/>
          <w:i/>
          <w:sz w:val="16"/>
          <w:szCs w:val="16"/>
          <w:lang w:val="es-CO"/>
        </w:rPr>
        <w:t>, Caso Gelman Vs. Uruguay. Supervisión de Cumplimiento de Sentencia</w:t>
      </w:r>
      <w:r w:rsidRPr="00C32BBB">
        <w:rPr>
          <w:rFonts w:ascii="Verdana" w:hAnsi="Verdana" w:cs="Verdana"/>
          <w:bCs/>
          <w:sz w:val="16"/>
          <w:szCs w:val="16"/>
          <w:lang w:val="es-CO"/>
        </w:rPr>
        <w:t>. Resolución de la Corte Interamericana de Derechos Humanos</w:t>
      </w:r>
      <w:r>
        <w:rPr>
          <w:rFonts w:ascii="Verdana" w:hAnsi="Verdana" w:cs="Verdana"/>
          <w:bCs/>
          <w:sz w:val="16"/>
          <w:szCs w:val="16"/>
          <w:lang w:val="es-CO"/>
        </w:rPr>
        <w:t xml:space="preserve"> de 20 de marzo de</w:t>
      </w:r>
      <w:r w:rsidRPr="00C32BBB">
        <w:rPr>
          <w:rFonts w:ascii="Verdana" w:hAnsi="Verdana" w:cs="Verdana"/>
          <w:bCs/>
          <w:sz w:val="16"/>
          <w:szCs w:val="16"/>
          <w:lang w:val="es-CO"/>
        </w:rPr>
        <w:t xml:space="preserve"> </w:t>
      </w:r>
      <w:r w:rsidRPr="00B461C0">
        <w:rPr>
          <w:rFonts w:ascii="Verdana" w:hAnsi="Verdana" w:cs="Verdana"/>
          <w:bCs/>
          <w:sz w:val="16"/>
          <w:szCs w:val="16"/>
          <w:lang w:val="es-CO"/>
        </w:rPr>
        <w:t>2013, Considerando 66.</w:t>
      </w:r>
    </w:p>
  </w:footnote>
  <w:footnote w:id="283">
    <w:p w14:paraId="65417C0C" w14:textId="77777777" w:rsidR="00DD280C" w:rsidRDefault="00DD280C" w:rsidP="001B6F20">
      <w:pPr>
        <w:pStyle w:val="Textonotapie"/>
        <w:jc w:val="both"/>
        <w:rPr>
          <w:rFonts w:ascii="Verdana" w:hAnsi="Verdana"/>
          <w:sz w:val="16"/>
          <w:szCs w:val="16"/>
        </w:rPr>
      </w:pPr>
      <w:r w:rsidRPr="00B461C0">
        <w:rPr>
          <w:rStyle w:val="Refdenotaalpie"/>
          <w:rFonts w:ascii="Verdana" w:hAnsi="Verdana"/>
          <w:sz w:val="16"/>
          <w:szCs w:val="16"/>
        </w:rPr>
        <w:footnoteRef/>
      </w:r>
      <w:r w:rsidRPr="00B461C0">
        <w:rPr>
          <w:rFonts w:ascii="Verdana" w:hAnsi="Verdana"/>
          <w:sz w:val="16"/>
          <w:szCs w:val="16"/>
        </w:rPr>
        <w:t xml:space="preserve"> </w:t>
      </w:r>
      <w:r w:rsidRPr="00B461C0">
        <w:rPr>
          <w:rFonts w:ascii="Verdana" w:hAnsi="Verdana"/>
          <w:sz w:val="16"/>
          <w:szCs w:val="16"/>
        </w:rPr>
        <w:tab/>
      </w:r>
      <w:r w:rsidRPr="00E34247">
        <w:rPr>
          <w:rFonts w:ascii="Verdana" w:hAnsi="Verdana" w:cs="Verdana"/>
          <w:bCs/>
          <w:i/>
          <w:sz w:val="16"/>
          <w:szCs w:val="16"/>
          <w:lang w:val="es-CO"/>
        </w:rPr>
        <w:t>Caso Gelman Vs. Uruguay. Supervisión de Cumplimiento de Sentencia</w:t>
      </w:r>
      <w:r w:rsidRPr="00C32BBB">
        <w:rPr>
          <w:rFonts w:ascii="Verdana" w:hAnsi="Verdana" w:cs="Verdana"/>
          <w:bCs/>
          <w:sz w:val="16"/>
          <w:szCs w:val="16"/>
          <w:lang w:val="es-CO"/>
        </w:rPr>
        <w:t>. Resolución de la Corte Interamericana de Derechos Humanos</w:t>
      </w:r>
      <w:r>
        <w:rPr>
          <w:rFonts w:ascii="Verdana" w:hAnsi="Verdana" w:cs="Verdana"/>
          <w:bCs/>
          <w:sz w:val="16"/>
          <w:szCs w:val="16"/>
          <w:lang w:val="es-CO"/>
        </w:rPr>
        <w:t xml:space="preserve"> de 20 de marzo de</w:t>
      </w:r>
      <w:r w:rsidRPr="00C32BBB">
        <w:rPr>
          <w:rFonts w:ascii="Verdana" w:hAnsi="Verdana" w:cs="Verdana"/>
          <w:bCs/>
          <w:sz w:val="16"/>
          <w:szCs w:val="16"/>
          <w:lang w:val="es-CO"/>
        </w:rPr>
        <w:t xml:space="preserve"> </w:t>
      </w:r>
      <w:r w:rsidRPr="00B461C0">
        <w:rPr>
          <w:rFonts w:ascii="Verdana" w:hAnsi="Verdana" w:cs="Verdana"/>
          <w:bCs/>
          <w:sz w:val="16"/>
          <w:szCs w:val="16"/>
          <w:lang w:val="es-CO"/>
        </w:rPr>
        <w:t>2013</w:t>
      </w:r>
      <w:r w:rsidRPr="00B461C0">
        <w:rPr>
          <w:rFonts w:ascii="Verdana" w:hAnsi="Verdana"/>
          <w:sz w:val="16"/>
          <w:szCs w:val="16"/>
        </w:rPr>
        <w:t>, Considerando 69.</w:t>
      </w:r>
    </w:p>
    <w:p w14:paraId="1C40B220" w14:textId="77777777" w:rsidR="00DD280C" w:rsidRDefault="00DD280C" w:rsidP="001B6F20">
      <w:pPr>
        <w:pStyle w:val="Textonotapie"/>
        <w:jc w:val="both"/>
        <w:rPr>
          <w:rFonts w:ascii="Verdana" w:hAnsi="Verdana"/>
          <w:color w:val="1F497D"/>
          <w:sz w:val="16"/>
          <w:szCs w:val="16"/>
        </w:rPr>
      </w:pPr>
    </w:p>
  </w:footnote>
  <w:footnote w:id="284">
    <w:p w14:paraId="78FE4053"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Adujeron que tal medida “se justifica si se toma en cuenta que integrantes de la Fuerza han reiterado sistemáticamente la defensa a los responsables por la comisión de delitos de lesa humanidad”</w:t>
      </w:r>
      <w:r>
        <w:rPr>
          <w:rFonts w:ascii="Verdana" w:hAnsi="Verdana"/>
          <w:sz w:val="16"/>
          <w:szCs w:val="16"/>
        </w:rPr>
        <w:t>.</w:t>
      </w:r>
      <w:r w:rsidRPr="000031DD">
        <w:rPr>
          <w:rFonts w:ascii="Verdana" w:hAnsi="Verdana"/>
          <w:sz w:val="16"/>
          <w:szCs w:val="16"/>
        </w:rPr>
        <w:t xml:space="preserve">  </w:t>
      </w:r>
    </w:p>
    <w:p w14:paraId="4CF6B407" w14:textId="77777777" w:rsidR="00DD280C" w:rsidRPr="000031DD" w:rsidRDefault="00DD280C" w:rsidP="001B6F20">
      <w:pPr>
        <w:pStyle w:val="Textonotapie"/>
        <w:jc w:val="both"/>
        <w:rPr>
          <w:rFonts w:ascii="Verdana" w:hAnsi="Verdana"/>
          <w:sz w:val="16"/>
          <w:szCs w:val="16"/>
        </w:rPr>
      </w:pPr>
    </w:p>
  </w:footnote>
  <w:footnote w:id="285">
    <w:p w14:paraId="2F653E65" w14:textId="77777777" w:rsidR="00DD280C" w:rsidRPr="000031DD" w:rsidRDefault="00DD280C" w:rsidP="001B6F20">
      <w:pPr>
        <w:pStyle w:val="Prrafodelista"/>
        <w:spacing w:after="0"/>
        <w:ind w:left="0"/>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En ese sentido, el Estado remitió un documento de 6 de noviembre de 2020, en el que el Ejército Nacional manifestó el “objetivo institucional” de llevar a cabo el proceso de análisis de la “realidad histórica” señalado por el Estado, así como la realización de una “actividad académica” puntual, llevada a cabo como “paso inicial” de ese proceso (</w:t>
      </w:r>
      <w:r>
        <w:rPr>
          <w:rFonts w:ascii="Verdana" w:hAnsi="Verdana"/>
          <w:sz w:val="16"/>
          <w:szCs w:val="16"/>
        </w:rPr>
        <w:t>e</w:t>
      </w:r>
      <w:r w:rsidRPr="000031DD">
        <w:rPr>
          <w:rFonts w:ascii="Verdana" w:hAnsi="Verdana"/>
          <w:sz w:val="16"/>
          <w:szCs w:val="16"/>
        </w:rPr>
        <w:t>xpediente de prueba, anexo</w:t>
      </w:r>
      <w:r>
        <w:rPr>
          <w:rFonts w:ascii="Verdana" w:hAnsi="Verdana"/>
          <w:sz w:val="16"/>
          <w:szCs w:val="16"/>
        </w:rPr>
        <w:t xml:space="preserve"> XIV</w:t>
      </w:r>
      <w:r w:rsidRPr="000031DD">
        <w:rPr>
          <w:rFonts w:ascii="Verdana" w:hAnsi="Verdana"/>
          <w:sz w:val="16"/>
          <w:szCs w:val="16"/>
        </w:rPr>
        <w:t xml:space="preserve"> a la contestación, f</w:t>
      </w:r>
      <w:r>
        <w:rPr>
          <w:rFonts w:ascii="Verdana" w:hAnsi="Verdana"/>
          <w:sz w:val="16"/>
          <w:szCs w:val="16"/>
        </w:rPr>
        <w:t>s</w:t>
      </w:r>
      <w:r w:rsidRPr="000031DD">
        <w:rPr>
          <w:rFonts w:ascii="Verdana" w:hAnsi="Verdana"/>
          <w:sz w:val="16"/>
          <w:szCs w:val="16"/>
        </w:rPr>
        <w:t>. 26</w:t>
      </w:r>
      <w:r>
        <w:rPr>
          <w:rFonts w:ascii="Verdana" w:hAnsi="Verdana"/>
          <w:sz w:val="16"/>
          <w:szCs w:val="16"/>
        </w:rPr>
        <w:t>72 a 2674</w:t>
      </w:r>
      <w:r w:rsidRPr="000031DD">
        <w:rPr>
          <w:rFonts w:ascii="Verdana" w:hAnsi="Verdana"/>
          <w:sz w:val="16"/>
          <w:szCs w:val="16"/>
        </w:rPr>
        <w:t xml:space="preserve">).  </w:t>
      </w:r>
    </w:p>
    <w:p w14:paraId="5A1777F7" w14:textId="77777777" w:rsidR="00DD280C" w:rsidRPr="000031DD" w:rsidRDefault="00DD280C" w:rsidP="001B6F20">
      <w:pPr>
        <w:pStyle w:val="Textonotapie"/>
        <w:jc w:val="both"/>
        <w:rPr>
          <w:rFonts w:ascii="Verdana" w:hAnsi="Verdana"/>
          <w:sz w:val="16"/>
          <w:szCs w:val="16"/>
        </w:rPr>
      </w:pPr>
    </w:p>
  </w:footnote>
  <w:footnote w:id="286">
    <w:p w14:paraId="51621F50" w14:textId="77777777" w:rsidR="00DD280C" w:rsidRPr="000031DD" w:rsidRDefault="00DD280C" w:rsidP="001B6F20">
      <w:pPr>
        <w:pStyle w:val="Textonotapie"/>
        <w:jc w:val="both"/>
        <w:rPr>
          <w:rFonts w:ascii="Verdana" w:hAnsi="Verdana" w:cs="ArialNarrow"/>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Al respecto de esta solicitud, formulada en tales términos en el apartado sobre reparaciones del escrito de solicitudes y argumentos, en el petitorio del mismo escrito aludieron a la “entrega [de] información”, no de “archivos”, precisaron que dicha información es sobre “el paradero de los detenidos desaparecidos”, no la limitaron al Ministerio de Defensa, sino que se refirieron al Estado, en términos generales, y agregaron la solicitud de que el estado identifique “debidamente” a las personas detenidas desaparecidas, y entregue los restos a sus familiares.</w:t>
      </w:r>
      <w:r w:rsidRPr="000031DD">
        <w:rPr>
          <w:rFonts w:ascii="Verdana" w:hAnsi="Verdana"/>
          <w:sz w:val="16"/>
          <w:szCs w:val="16"/>
          <w:lang w:val="es-ES"/>
        </w:rPr>
        <w:t>En la audiencia pública, solicitaron a la Corte que “exhorte a[l Estado] a que de forma inmediata y a través de las autoridades competentes ordene la entrega a la institución nacional de derechos humanos y a los familiares de toda la información vinculada a operativos, legajos y escalafones militares, en particular que se obtengan los archivos sobre las operaciones de las agencias represivas de la dictadura […], así como archivos que se encuentran en el exterior y puedan servir para la dilucidación de estas causas”</w:t>
      </w:r>
      <w:r>
        <w:rPr>
          <w:rFonts w:ascii="Verdana" w:hAnsi="Verdana"/>
          <w:sz w:val="16"/>
          <w:szCs w:val="16"/>
          <w:lang w:val="es-ES"/>
        </w:rPr>
        <w:t xml:space="preserve">. </w:t>
      </w:r>
      <w:r w:rsidRPr="000031DD">
        <w:rPr>
          <w:rFonts w:ascii="Verdana" w:hAnsi="Verdana"/>
          <w:sz w:val="16"/>
          <w:szCs w:val="16"/>
          <w:lang w:val="es-ES"/>
        </w:rPr>
        <w:t>Además, solicitaron que se exhorte al Poder Legislativo a que adopte acciones para superar las “</w:t>
      </w:r>
      <w:r w:rsidRPr="000031DD">
        <w:rPr>
          <w:rFonts w:ascii="Verdana" w:eastAsia="Verdana" w:hAnsi="Verdana" w:cs="Verdana"/>
          <w:sz w:val="16"/>
          <w:szCs w:val="16"/>
        </w:rPr>
        <w:t>dificultades de implementación y cumplimiento de la legislación vigente en materia de acceso a los archivos e información”</w:t>
      </w:r>
      <w:r w:rsidRPr="00617293">
        <w:rPr>
          <w:rFonts w:ascii="Verdana" w:eastAsia="Verdana" w:hAnsi="Verdana" w:cs="Verdana"/>
          <w:sz w:val="16"/>
          <w:szCs w:val="16"/>
        </w:rPr>
        <w:t>.</w:t>
      </w:r>
      <w:r>
        <w:rPr>
          <w:rFonts w:ascii="Verdana" w:eastAsia="Verdana" w:hAnsi="Verdana" w:cs="Verdana"/>
          <w:b/>
          <w:sz w:val="16"/>
          <w:szCs w:val="16"/>
        </w:rPr>
        <w:t xml:space="preserve"> </w:t>
      </w:r>
      <w:r w:rsidRPr="000031DD">
        <w:rPr>
          <w:rFonts w:ascii="Verdana" w:hAnsi="Verdana"/>
          <w:sz w:val="16"/>
          <w:szCs w:val="16"/>
        </w:rPr>
        <w:t>En los alegatos finales escritos, los representantes señalaron que, en el marco de esta medida de reparación, se exija al Ministerio de Defensa que “</w:t>
      </w:r>
      <w:r w:rsidRPr="000031DD">
        <w:rPr>
          <w:rFonts w:ascii="Verdana" w:hAnsi="Verdana" w:cs="ArialNarrow"/>
          <w:sz w:val="16"/>
          <w:szCs w:val="16"/>
        </w:rPr>
        <w:t>extreme la diligencia para la obtención de los archivos operativos del SID y la OCOA como organismos centrales en</w:t>
      </w:r>
      <w:r w:rsidRPr="000031DD">
        <w:rPr>
          <w:rFonts w:ascii="Verdana" w:hAnsi="Verdana"/>
          <w:sz w:val="16"/>
          <w:szCs w:val="16"/>
        </w:rPr>
        <w:t xml:space="preserve"> </w:t>
      </w:r>
      <w:r w:rsidRPr="000031DD">
        <w:rPr>
          <w:rFonts w:ascii="Verdana" w:hAnsi="Verdana" w:cs="ArialNarrow"/>
          <w:sz w:val="16"/>
          <w:szCs w:val="16"/>
        </w:rPr>
        <w:t>la tarea de la represión y coordinación”.</w:t>
      </w:r>
    </w:p>
    <w:p w14:paraId="3C581F12" w14:textId="77777777" w:rsidR="00DD280C" w:rsidRPr="000031DD" w:rsidRDefault="00DD280C" w:rsidP="001B6F20">
      <w:pPr>
        <w:pStyle w:val="Textonotapie"/>
        <w:jc w:val="both"/>
        <w:rPr>
          <w:rFonts w:ascii="Verdana" w:hAnsi="Verdana"/>
          <w:sz w:val="16"/>
          <w:szCs w:val="16"/>
        </w:rPr>
      </w:pPr>
    </w:p>
  </w:footnote>
  <w:footnote w:id="287">
    <w:p w14:paraId="1BACDBAB" w14:textId="77777777" w:rsidR="00DD280C" w:rsidRDefault="00DD280C" w:rsidP="001B6F20">
      <w:pPr>
        <w:pStyle w:val="Prrafodelista"/>
        <w:spacing w:after="0"/>
        <w:ind w:left="0"/>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Los representantes requirieron que la política pública que solicitaron “exceda a las personas que se encuentran en las instituciones encargadas”. También peticionaron que se disponga que “[e]l Poder Ejecutivo </w:t>
      </w:r>
      <w:proofErr w:type="spellStart"/>
      <w:r w:rsidRPr="000031DD">
        <w:rPr>
          <w:rFonts w:ascii="Verdana" w:hAnsi="Verdana"/>
          <w:sz w:val="16"/>
          <w:szCs w:val="16"/>
        </w:rPr>
        <w:t>deb</w:t>
      </w:r>
      <w:proofErr w:type="spellEnd"/>
      <w:r w:rsidRPr="000031DD">
        <w:rPr>
          <w:rFonts w:ascii="Verdana" w:hAnsi="Verdana"/>
          <w:sz w:val="16"/>
          <w:szCs w:val="16"/>
        </w:rPr>
        <w:t>[a] presentar anualmente un informe ante la Asamblea General de la República Oriental del Uruguay explicando los avances y obstáculos que ha encontrado en la ejecución de dicha política”.</w:t>
      </w:r>
    </w:p>
    <w:p w14:paraId="5173F8B3" w14:textId="77777777" w:rsidR="00DD280C" w:rsidRPr="000031DD" w:rsidRDefault="00DD280C" w:rsidP="001B6F20">
      <w:pPr>
        <w:pStyle w:val="Prrafodelista"/>
        <w:spacing w:after="0"/>
        <w:ind w:left="0"/>
        <w:jc w:val="both"/>
        <w:rPr>
          <w:rFonts w:ascii="Verdana" w:hAnsi="Verdana"/>
          <w:sz w:val="16"/>
          <w:szCs w:val="16"/>
        </w:rPr>
      </w:pPr>
    </w:p>
  </w:footnote>
  <w:footnote w:id="288">
    <w:p w14:paraId="6918D31A" w14:textId="77777777" w:rsidR="00DD280C" w:rsidRPr="000031DD" w:rsidRDefault="00DD280C" w:rsidP="001B6F20">
      <w:pPr>
        <w:pStyle w:val="Textonotapie"/>
        <w:jc w:val="both"/>
        <w:rPr>
          <w:rFonts w:ascii="Verdana" w:hAnsi="Verdana" w:cs="ArialNarrow"/>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Agregaron la solicitud de que se disponga que “[e]</w:t>
      </w:r>
      <w:r w:rsidRPr="000031DD">
        <w:rPr>
          <w:rFonts w:ascii="Verdana" w:hAnsi="Verdana" w:cs="ArialNarrow"/>
          <w:sz w:val="16"/>
          <w:szCs w:val="16"/>
        </w:rPr>
        <w:t xml:space="preserve">l Presidente de la República […] </w:t>
      </w:r>
      <w:proofErr w:type="spellStart"/>
      <w:r w:rsidRPr="000031DD">
        <w:rPr>
          <w:rFonts w:ascii="Verdana" w:hAnsi="Verdana" w:cs="ArialNarrow"/>
          <w:sz w:val="16"/>
          <w:szCs w:val="16"/>
        </w:rPr>
        <w:t>inform</w:t>
      </w:r>
      <w:proofErr w:type="spellEnd"/>
      <w:r w:rsidRPr="000031DD">
        <w:rPr>
          <w:rFonts w:ascii="Verdana" w:hAnsi="Verdana" w:cs="ArialNarrow"/>
          <w:sz w:val="16"/>
          <w:szCs w:val="16"/>
        </w:rPr>
        <w:t>[e] anualmente a la Asamblea</w:t>
      </w:r>
      <w:r w:rsidRPr="000031DD">
        <w:rPr>
          <w:rFonts w:ascii="Verdana" w:hAnsi="Verdana"/>
          <w:sz w:val="16"/>
          <w:szCs w:val="16"/>
        </w:rPr>
        <w:t xml:space="preserve"> </w:t>
      </w:r>
      <w:r w:rsidRPr="000031DD">
        <w:rPr>
          <w:rFonts w:ascii="Verdana" w:hAnsi="Verdana" w:cs="ArialNarrow"/>
          <w:sz w:val="16"/>
          <w:szCs w:val="16"/>
        </w:rPr>
        <w:t xml:space="preserve">General de la República Oriental del Uruguay el grado de cumplimiento de esta exhortación”. </w:t>
      </w:r>
    </w:p>
    <w:p w14:paraId="786771BF" w14:textId="77777777" w:rsidR="00DD280C" w:rsidRPr="000031DD" w:rsidRDefault="00DD280C" w:rsidP="001B6F20">
      <w:pPr>
        <w:pStyle w:val="Textonotapie"/>
        <w:jc w:val="both"/>
        <w:rPr>
          <w:rFonts w:ascii="Verdana" w:hAnsi="Verdana"/>
          <w:sz w:val="16"/>
          <w:szCs w:val="16"/>
        </w:rPr>
      </w:pPr>
    </w:p>
  </w:footnote>
  <w:footnote w:id="289">
    <w:p w14:paraId="33839C68" w14:textId="77777777" w:rsidR="00DD280C" w:rsidRPr="000031DD" w:rsidRDefault="00DD280C" w:rsidP="001B6F20">
      <w:pPr>
        <w:pStyle w:val="Prrafodelista"/>
        <w:spacing w:after="0"/>
        <w:ind w:left="0"/>
        <w:jc w:val="both"/>
        <w:rPr>
          <w:rFonts w:ascii="Verdana" w:hAnsi="Verdana"/>
          <w:b/>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 xml:space="preserve">Recordó, además, que la Corte Interamericana, respecto al caso </w:t>
      </w:r>
      <w:r w:rsidRPr="000031DD">
        <w:rPr>
          <w:rFonts w:ascii="Verdana" w:hAnsi="Verdana"/>
          <w:i/>
          <w:sz w:val="16"/>
          <w:szCs w:val="16"/>
        </w:rPr>
        <w:t>Gelman Vs. Uruguay</w:t>
      </w:r>
      <w:r w:rsidRPr="000031DD">
        <w:rPr>
          <w:rFonts w:ascii="Verdana" w:hAnsi="Verdana"/>
          <w:sz w:val="16"/>
          <w:szCs w:val="16"/>
        </w:rPr>
        <w:t xml:space="preserve">, entendió que el Estado “ha venido dando cumplimiento” a la orden dada por este Tribunal de adoptar medidas para “garantizar el acceso técnico y sistematizado a información acerca de las graves violaciones de derechos humanos ocurridas durante la dictadura que reposa en archivos estatales”. </w:t>
      </w:r>
    </w:p>
    <w:p w14:paraId="5B140A89" w14:textId="77777777" w:rsidR="00DD280C" w:rsidRPr="000031DD" w:rsidRDefault="00DD280C" w:rsidP="001B6F20">
      <w:pPr>
        <w:pStyle w:val="Textonotapie"/>
        <w:jc w:val="both"/>
        <w:rPr>
          <w:rFonts w:ascii="Verdana" w:hAnsi="Verdana"/>
          <w:sz w:val="16"/>
          <w:szCs w:val="16"/>
        </w:rPr>
      </w:pPr>
    </w:p>
  </w:footnote>
  <w:footnote w:id="290">
    <w:p w14:paraId="2AE511EC" w14:textId="77777777" w:rsidR="00DD280C"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r>
      <w:r w:rsidRPr="00E34247">
        <w:rPr>
          <w:rFonts w:ascii="Verdana" w:hAnsi="Verdana"/>
          <w:i/>
          <w:sz w:val="16"/>
          <w:szCs w:val="16"/>
        </w:rPr>
        <w:t>Caso Gelman Vs. Uruguay. Supervisión de Cumplimiento de Sentencia</w:t>
      </w:r>
      <w:r w:rsidRPr="00265181">
        <w:rPr>
          <w:rFonts w:ascii="Verdana" w:hAnsi="Verdana"/>
          <w:sz w:val="16"/>
          <w:szCs w:val="16"/>
        </w:rPr>
        <w:t>. Resolución de la Corte Interamericana de Derechos Hum</w:t>
      </w:r>
      <w:r>
        <w:rPr>
          <w:rFonts w:ascii="Verdana" w:hAnsi="Verdana"/>
          <w:sz w:val="16"/>
          <w:szCs w:val="16"/>
        </w:rPr>
        <w:t>anos de 19 de noviembre de 2020</w:t>
      </w:r>
      <w:r w:rsidRPr="000031DD">
        <w:rPr>
          <w:rFonts w:ascii="Verdana" w:hAnsi="Verdana"/>
          <w:sz w:val="16"/>
          <w:szCs w:val="16"/>
        </w:rPr>
        <w:t xml:space="preserve">, resolutivo 1. </w:t>
      </w:r>
    </w:p>
    <w:p w14:paraId="30ED50A5" w14:textId="77777777" w:rsidR="00DD280C" w:rsidRPr="000031DD" w:rsidRDefault="00DD280C" w:rsidP="001B6F20">
      <w:pPr>
        <w:pStyle w:val="Textonotapie"/>
        <w:jc w:val="both"/>
        <w:rPr>
          <w:rFonts w:ascii="Verdana" w:hAnsi="Verdana"/>
          <w:sz w:val="16"/>
          <w:szCs w:val="16"/>
        </w:rPr>
      </w:pPr>
    </w:p>
  </w:footnote>
  <w:footnote w:id="291">
    <w:p w14:paraId="1B3B8F7A" w14:textId="77777777" w:rsidR="00DD280C" w:rsidRPr="000031DD" w:rsidRDefault="00DD280C" w:rsidP="001B6F20">
      <w:pPr>
        <w:pStyle w:val="Textonotapie"/>
        <w:jc w:val="both"/>
        <w:rPr>
          <w:rFonts w:ascii="Verdana" w:hAnsi="Verdan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Pr>
          <w:rFonts w:ascii="Verdana" w:hAnsi="Verdana"/>
          <w:sz w:val="16"/>
          <w:szCs w:val="16"/>
        </w:rPr>
        <w:tab/>
      </w:r>
      <w:r w:rsidRPr="00E34247">
        <w:rPr>
          <w:rFonts w:ascii="Verdana" w:hAnsi="Verdana"/>
          <w:i/>
          <w:sz w:val="16"/>
          <w:szCs w:val="16"/>
        </w:rPr>
        <w:t>Caso Gelman Vs. Uruguay. Supervisión de Cumplimiento de Sentencia</w:t>
      </w:r>
      <w:r w:rsidRPr="00265181">
        <w:rPr>
          <w:rFonts w:ascii="Verdana" w:hAnsi="Verdana"/>
          <w:sz w:val="16"/>
          <w:szCs w:val="16"/>
        </w:rPr>
        <w:t>. Resolución de la Corte Interamericana de Derechos Hum</w:t>
      </w:r>
      <w:r>
        <w:rPr>
          <w:rFonts w:ascii="Verdana" w:hAnsi="Verdana"/>
          <w:sz w:val="16"/>
          <w:szCs w:val="16"/>
        </w:rPr>
        <w:t>anos de 19 de noviembre de 2020</w:t>
      </w:r>
      <w:r w:rsidRPr="000031DD">
        <w:rPr>
          <w:rFonts w:ascii="Verdana" w:hAnsi="Verdana"/>
          <w:sz w:val="16"/>
          <w:szCs w:val="16"/>
        </w:rPr>
        <w:t>, Considerandos 52 y 55.</w:t>
      </w:r>
    </w:p>
    <w:p w14:paraId="56FC0460" w14:textId="77777777" w:rsidR="00DD280C" w:rsidRPr="000031DD" w:rsidRDefault="00DD280C" w:rsidP="001B6F20">
      <w:pPr>
        <w:pStyle w:val="Textonotapie"/>
        <w:jc w:val="both"/>
        <w:rPr>
          <w:rFonts w:ascii="Verdana" w:hAnsi="Verdana"/>
          <w:sz w:val="16"/>
          <w:szCs w:val="16"/>
        </w:rPr>
      </w:pPr>
      <w:r w:rsidRPr="000031DD">
        <w:rPr>
          <w:rFonts w:ascii="Verdana" w:hAnsi="Verdana"/>
          <w:sz w:val="16"/>
          <w:szCs w:val="16"/>
        </w:rPr>
        <w:t xml:space="preserve"> </w:t>
      </w:r>
    </w:p>
  </w:footnote>
  <w:footnote w:id="292">
    <w:p w14:paraId="1D40B48A" w14:textId="77777777" w:rsidR="00DD280C" w:rsidRPr="000031DD" w:rsidRDefault="00DD280C" w:rsidP="001B6F20">
      <w:pPr>
        <w:pStyle w:val="Prrafodelista"/>
        <w:spacing w:after="0"/>
        <w:ind w:left="0"/>
        <w:jc w:val="both"/>
        <w:rPr>
          <w:rFonts w:ascii="Verdana" w:hAnsi="Verdana"/>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Pr>
          <w:rFonts w:ascii="Verdana" w:hAnsi="Verdana"/>
          <w:sz w:val="16"/>
          <w:szCs w:val="16"/>
        </w:rPr>
        <w:tab/>
      </w:r>
      <w:r w:rsidRPr="000031DD">
        <w:rPr>
          <w:rFonts w:ascii="Verdana" w:hAnsi="Verdana"/>
          <w:sz w:val="16"/>
          <w:szCs w:val="16"/>
        </w:rPr>
        <w:t xml:space="preserve">La Corte deja constancia de que advierte que el Estado informó sobre la entrega, por parte del Poder Ejecutivo, al Fiscal de Corte y a la Institución Nacional de Derechos Humanos, de informes militares de la época de la </w:t>
      </w:r>
      <w:r w:rsidRPr="00617293">
        <w:rPr>
          <w:rFonts w:ascii="Verdana" w:hAnsi="Verdana"/>
          <w:sz w:val="16"/>
          <w:szCs w:val="16"/>
        </w:rPr>
        <w:t>dictadura (</w:t>
      </w:r>
      <w:r w:rsidRPr="00617293">
        <w:rPr>
          <w:rFonts w:ascii="Verdana" w:hAnsi="Verdana"/>
          <w:i/>
          <w:sz w:val="16"/>
          <w:szCs w:val="16"/>
        </w:rPr>
        <w:t xml:space="preserve">supra </w:t>
      </w:r>
      <w:r w:rsidRPr="00617293">
        <w:rPr>
          <w:rFonts w:ascii="Verdana" w:hAnsi="Verdana"/>
          <w:sz w:val="16"/>
          <w:szCs w:val="16"/>
        </w:rPr>
        <w:t>nota a pie de página 12). Del mismo</w:t>
      </w:r>
      <w:r w:rsidRPr="000031DD">
        <w:rPr>
          <w:rFonts w:ascii="Verdana" w:hAnsi="Verdana"/>
          <w:sz w:val="16"/>
          <w:szCs w:val="16"/>
        </w:rPr>
        <w:t xml:space="preserve"> modo, este Tribunal nota que, conforme una publicación de prensa allegada por los representantes, de 7 de junio de 2021, dichos informes no revestirían mayor utilidad para la Fiscalía o para la Institución Nacional de Derechos Humanos. (expediente de prueba, fs. 7467 a 7470). En todo caso, lo informado por las partes a este respecto no altera lo señalado en el párrafo precedente, sobre la continuidad de la supervisión de la medida ordenada en el marco del caso </w:t>
      </w:r>
      <w:r w:rsidRPr="00E53751">
        <w:rPr>
          <w:rFonts w:ascii="Verdana" w:hAnsi="Verdana"/>
          <w:i/>
          <w:sz w:val="16"/>
          <w:szCs w:val="16"/>
        </w:rPr>
        <w:t>Gelman Vs. Uruguay</w:t>
      </w:r>
      <w:r w:rsidRPr="000031DD">
        <w:rPr>
          <w:rFonts w:ascii="Verdana" w:hAnsi="Verdana"/>
          <w:sz w:val="16"/>
          <w:szCs w:val="16"/>
        </w:rPr>
        <w:t xml:space="preserve">, ni la determinación, por las razones expuestas, de no ordenar una nueva medida de reparación relacionada con el acceso a información o archivos. </w:t>
      </w:r>
    </w:p>
    <w:p w14:paraId="565AC78E" w14:textId="77777777" w:rsidR="00DD280C" w:rsidRPr="00E53751" w:rsidRDefault="00DD280C" w:rsidP="001B6F20">
      <w:pPr>
        <w:pStyle w:val="Textonotapie"/>
        <w:jc w:val="both"/>
        <w:rPr>
          <w:rFonts w:ascii="Verdana" w:hAnsi="Verdana"/>
          <w:sz w:val="16"/>
          <w:szCs w:val="16"/>
        </w:rPr>
      </w:pPr>
    </w:p>
  </w:footnote>
  <w:footnote w:id="293">
    <w:p w14:paraId="73A67FFA" w14:textId="77777777" w:rsidR="00DD280C" w:rsidRPr="000031DD" w:rsidRDefault="00DD280C" w:rsidP="001B6F20">
      <w:pPr>
        <w:pStyle w:val="Textonotapie"/>
        <w:jc w:val="both"/>
        <w:rPr>
          <w:rFonts w:ascii="Verdana" w:hAnsi="Verdana" w:cs="Cambria"/>
          <w:sz w:val="16"/>
          <w:szCs w:val="16"/>
        </w:rPr>
      </w:pPr>
      <w:r w:rsidRPr="000031DD">
        <w:rPr>
          <w:rStyle w:val="Refdenotaalpie"/>
          <w:rFonts w:ascii="Verdana" w:hAnsi="Verdana"/>
          <w:sz w:val="16"/>
          <w:szCs w:val="16"/>
        </w:rPr>
        <w:footnoteRef/>
      </w:r>
      <w:r w:rsidRPr="000031DD">
        <w:rPr>
          <w:rFonts w:ascii="Verdana" w:hAnsi="Verdana"/>
          <w:sz w:val="16"/>
          <w:szCs w:val="16"/>
        </w:rPr>
        <w:t xml:space="preserve">  </w:t>
      </w:r>
      <w:r w:rsidRPr="000031DD">
        <w:rPr>
          <w:rFonts w:ascii="Verdana" w:hAnsi="Verdana"/>
          <w:sz w:val="16"/>
          <w:szCs w:val="16"/>
        </w:rPr>
        <w:tab/>
        <w:t>En relación con estas medidas, la Comisión “</w:t>
      </w:r>
      <w:proofErr w:type="spellStart"/>
      <w:r w:rsidRPr="000031DD">
        <w:rPr>
          <w:rFonts w:ascii="Verdana" w:hAnsi="Verdana"/>
          <w:sz w:val="16"/>
          <w:szCs w:val="16"/>
        </w:rPr>
        <w:t>tom</w:t>
      </w:r>
      <w:proofErr w:type="spellEnd"/>
      <w:r w:rsidRPr="000031DD">
        <w:rPr>
          <w:rFonts w:ascii="Verdana" w:hAnsi="Verdana"/>
          <w:sz w:val="16"/>
          <w:szCs w:val="16"/>
        </w:rPr>
        <w:t>[</w:t>
      </w:r>
      <w:proofErr w:type="spellStart"/>
      <w:r w:rsidRPr="000031DD">
        <w:rPr>
          <w:rFonts w:ascii="Verdana" w:hAnsi="Verdana"/>
          <w:sz w:val="16"/>
          <w:szCs w:val="16"/>
        </w:rPr>
        <w:t>ó</w:t>
      </w:r>
      <w:proofErr w:type="spellEnd"/>
      <w:r w:rsidRPr="000031DD">
        <w:rPr>
          <w:rFonts w:ascii="Verdana" w:hAnsi="Verdana"/>
          <w:sz w:val="16"/>
          <w:szCs w:val="16"/>
        </w:rPr>
        <w:t>] nota que, según lo informó el Estado, los familiares de las cinco [presuntas] víctimas [directas] recibieron alguna reparación al amparo de la Ley 18.596” y, aunque la Comisión no cuenta con respaldo documental de ello, entendió que “</w:t>
      </w:r>
      <w:proofErr w:type="spellStart"/>
      <w:r w:rsidRPr="000031DD">
        <w:rPr>
          <w:rFonts w:ascii="Verdana" w:hAnsi="Verdana"/>
          <w:sz w:val="16"/>
          <w:szCs w:val="16"/>
        </w:rPr>
        <w:t>podr</w:t>
      </w:r>
      <w:proofErr w:type="spellEnd"/>
      <w:r w:rsidRPr="000031DD">
        <w:rPr>
          <w:rFonts w:ascii="Verdana" w:hAnsi="Verdana"/>
          <w:sz w:val="16"/>
          <w:szCs w:val="16"/>
        </w:rPr>
        <w:t>[</w:t>
      </w:r>
      <w:proofErr w:type="spellStart"/>
      <w:r w:rsidRPr="000031DD">
        <w:rPr>
          <w:rFonts w:ascii="Verdana" w:hAnsi="Verdana"/>
          <w:sz w:val="16"/>
          <w:szCs w:val="16"/>
        </w:rPr>
        <w:t>ía</w:t>
      </w:r>
      <w:proofErr w:type="spellEnd"/>
      <w:r w:rsidRPr="000031DD">
        <w:rPr>
          <w:rFonts w:ascii="Verdana" w:hAnsi="Verdana"/>
          <w:sz w:val="16"/>
          <w:szCs w:val="16"/>
        </w:rPr>
        <w:t>] tener en cuenta dichas reparaciones previas al momento de determinar el monto a pagar” en virtud de las violaciones a derechos humanos determinadas en el Informe de Fondo. En la audiencia pública, la Comisión indicó que la Corte podría “tener en cuenta los montos que fueron otorgados en el ámbito interno”. Recordó, “sin perjuicio de ello”, lo que señaló en una visita a Uruguay en 2019: los montos dinerarios otorgados en función de las reparaciones “</w:t>
      </w:r>
      <w:r w:rsidRPr="000031DD">
        <w:rPr>
          <w:rFonts w:ascii="Verdana" w:hAnsi="Verdana" w:cs="Cambria"/>
          <w:sz w:val="16"/>
          <w:szCs w:val="16"/>
        </w:rPr>
        <w:t xml:space="preserve">establecidas en la ley para las víctimas de la actuación ilegitima del Estado […] obedecen a [la] calidad de víctimas por las graves violaciones a los derechos humanos de las cuales el Estado es responsable. Estas reparaciones no son incompatibles, ni sustituyen los ingresos propios, ni subsidios o pensiones de la seguridad social. Por lo tanto, el Estado debe adoptar las medidas necesarias para ajustar su legislación interna para permitir adecuadamente este aspecto de reparación de las víctimas”. Al respecto, la Corte nota que el Estado presento un documento referido a la ley 18.033, que establece derechos de jubilación y pensión para quienes, por “razones políticas” no pudieron laborar entre el 9 de febrero de 1973 y el 28 de febrero de 1985. </w:t>
      </w:r>
      <w:proofErr w:type="gramStart"/>
      <w:r w:rsidRPr="000031DD">
        <w:rPr>
          <w:rFonts w:ascii="Verdana" w:hAnsi="Verdana" w:cs="Cambria"/>
          <w:sz w:val="16"/>
          <w:szCs w:val="16"/>
        </w:rPr>
        <w:t>De acuerdo al</w:t>
      </w:r>
      <w:proofErr w:type="gramEnd"/>
      <w:r w:rsidRPr="000031DD">
        <w:rPr>
          <w:rFonts w:ascii="Verdana" w:hAnsi="Verdana" w:cs="Cambria"/>
          <w:sz w:val="16"/>
          <w:szCs w:val="16"/>
        </w:rPr>
        <w:t xml:space="preserve"> informe respectivo, una causal de exclusión de prestaciones previstas en la ley 18.033 es haber “obtenido amparo” por leyes reparatorias anteriores. El mismo documento, por otra parte, explica que las personas “</w:t>
      </w:r>
      <w:proofErr w:type="spellStart"/>
      <w:r w:rsidRPr="000031DD">
        <w:rPr>
          <w:rFonts w:ascii="Verdana" w:hAnsi="Verdana" w:cs="Cambria"/>
          <w:sz w:val="16"/>
          <w:szCs w:val="16"/>
        </w:rPr>
        <w:t>detenid</w:t>
      </w:r>
      <w:proofErr w:type="spellEnd"/>
      <w:r w:rsidRPr="000031DD">
        <w:rPr>
          <w:rFonts w:ascii="Verdana" w:hAnsi="Verdana" w:cs="Cambria"/>
          <w:sz w:val="16"/>
          <w:szCs w:val="16"/>
        </w:rPr>
        <w:t xml:space="preserve">[a]s </w:t>
      </w:r>
      <w:proofErr w:type="spellStart"/>
      <w:r w:rsidRPr="000031DD">
        <w:rPr>
          <w:rFonts w:ascii="Verdana" w:hAnsi="Verdana" w:cs="Cambria"/>
          <w:sz w:val="16"/>
          <w:szCs w:val="16"/>
        </w:rPr>
        <w:t>desaparecid</w:t>
      </w:r>
      <w:proofErr w:type="spellEnd"/>
      <w:r w:rsidRPr="000031DD">
        <w:rPr>
          <w:rFonts w:ascii="Verdana" w:hAnsi="Verdana" w:cs="Cambria"/>
          <w:sz w:val="16"/>
          <w:szCs w:val="16"/>
        </w:rPr>
        <w:t>[a]s” no califican para la aplicación del régimen de la ley 18.033, y la ley 18.596 ha pretendido “subsanar dicho vacío”</w:t>
      </w:r>
      <w:r>
        <w:rPr>
          <w:rFonts w:ascii="Verdana" w:hAnsi="Verdana" w:cs="Cambria"/>
          <w:sz w:val="16"/>
          <w:szCs w:val="16"/>
        </w:rPr>
        <w:t xml:space="preserve"> </w:t>
      </w:r>
      <w:r w:rsidRPr="000031DD">
        <w:rPr>
          <w:rFonts w:ascii="Verdana" w:hAnsi="Verdana" w:cs="Cambria"/>
          <w:sz w:val="16"/>
          <w:szCs w:val="16"/>
        </w:rPr>
        <w:t>(</w:t>
      </w:r>
      <w:r>
        <w:rPr>
          <w:rFonts w:ascii="Verdana" w:hAnsi="Verdana" w:cs="Cambria"/>
          <w:sz w:val="16"/>
          <w:szCs w:val="16"/>
        </w:rPr>
        <w:t>e</w:t>
      </w:r>
      <w:r w:rsidRPr="000031DD">
        <w:rPr>
          <w:rFonts w:ascii="Verdana" w:hAnsi="Verdana" w:cs="Cambria"/>
          <w:sz w:val="16"/>
          <w:szCs w:val="16"/>
        </w:rPr>
        <w:t>xpediente de prueba, anexo</w:t>
      </w:r>
      <w:r>
        <w:rPr>
          <w:rFonts w:ascii="Verdana" w:hAnsi="Verdana" w:cs="Cambria"/>
          <w:sz w:val="16"/>
          <w:szCs w:val="16"/>
        </w:rPr>
        <w:t xml:space="preserve"> VIII a la contestación</w:t>
      </w:r>
      <w:r w:rsidRPr="000031DD">
        <w:rPr>
          <w:rFonts w:ascii="Verdana" w:hAnsi="Verdana" w:cs="Cambria"/>
          <w:sz w:val="16"/>
          <w:szCs w:val="16"/>
        </w:rPr>
        <w:t>, f</w:t>
      </w:r>
      <w:r>
        <w:rPr>
          <w:rFonts w:ascii="Verdana" w:hAnsi="Verdana" w:cs="Cambria"/>
          <w:sz w:val="16"/>
          <w:szCs w:val="16"/>
        </w:rPr>
        <w:t>s</w:t>
      </w:r>
      <w:r w:rsidRPr="000031DD">
        <w:rPr>
          <w:rFonts w:ascii="Verdana" w:hAnsi="Verdana" w:cs="Cambria"/>
          <w:sz w:val="16"/>
          <w:szCs w:val="16"/>
        </w:rPr>
        <w:t xml:space="preserve">. 2385 y 2387.) </w:t>
      </w:r>
      <w:r w:rsidRPr="00617293">
        <w:rPr>
          <w:rFonts w:ascii="Verdana" w:hAnsi="Verdana" w:cs="Cambria"/>
          <w:sz w:val="16"/>
          <w:szCs w:val="16"/>
        </w:rPr>
        <w:t>La Corte, conforme lo expuesto, toma nota de lo señalado por la Comisión y de la información referida, mas no se pronunciará al respecto pues advierte que, en relación con los hechos y víctimas del presente caso, no se han formulado argumentos o peticiones concretas al respecto.</w:t>
      </w:r>
    </w:p>
    <w:p w14:paraId="5588A184" w14:textId="77777777" w:rsidR="00DD280C" w:rsidRPr="000031DD" w:rsidRDefault="00DD280C" w:rsidP="001B6F20">
      <w:pPr>
        <w:pStyle w:val="Textonotapie"/>
        <w:jc w:val="both"/>
        <w:rPr>
          <w:rFonts w:ascii="Verdana" w:hAnsi="Verdana" w:cs="Cambria"/>
          <w:sz w:val="16"/>
          <w:szCs w:val="16"/>
        </w:rPr>
      </w:pPr>
    </w:p>
  </w:footnote>
  <w:footnote w:id="294">
    <w:p w14:paraId="75A91CFE" w14:textId="276469A9" w:rsidR="00DD280C" w:rsidRPr="00E53751" w:rsidRDefault="00DD280C" w:rsidP="001B6F20">
      <w:pPr>
        <w:pStyle w:val="Textonotapie"/>
        <w:jc w:val="both"/>
        <w:rPr>
          <w:rFonts w:ascii="Verdana" w:hAnsi="Verdana"/>
          <w:sz w:val="16"/>
          <w:szCs w:val="16"/>
        </w:rPr>
      </w:pPr>
      <w:r w:rsidRPr="0027532E">
        <w:rPr>
          <w:rStyle w:val="Refdenotaalpie"/>
          <w:rFonts w:ascii="Verdana" w:hAnsi="Verdana"/>
          <w:sz w:val="16"/>
          <w:szCs w:val="16"/>
        </w:rPr>
        <w:footnoteRef/>
      </w:r>
      <w:r w:rsidRPr="0027532E">
        <w:rPr>
          <w:rFonts w:ascii="Verdana" w:hAnsi="Verdana"/>
          <w:sz w:val="16"/>
          <w:szCs w:val="16"/>
        </w:rPr>
        <w:t xml:space="preserve"> </w:t>
      </w:r>
      <w:r w:rsidRPr="0027532E">
        <w:rPr>
          <w:rFonts w:ascii="Verdana" w:hAnsi="Verdana"/>
          <w:sz w:val="16"/>
          <w:szCs w:val="16"/>
        </w:rPr>
        <w:tab/>
      </w:r>
      <w:r w:rsidRPr="0027532E">
        <w:rPr>
          <w:rFonts w:ascii="Verdana" w:hAnsi="Verdana"/>
          <w:sz w:val="16"/>
          <w:szCs w:val="16"/>
          <w:lang w:val="es-ES"/>
        </w:rPr>
        <w:t xml:space="preserve">Aclararon, sin perjuicio de ese señalamiento, que IELSUR y sus abogados actúan “de manera honoraria respecto </w:t>
      </w:r>
      <w:r w:rsidR="00F13426" w:rsidRPr="0027532E">
        <w:rPr>
          <w:rFonts w:ascii="Verdana" w:hAnsi="Verdana"/>
          <w:sz w:val="16"/>
          <w:szCs w:val="16"/>
          <w:lang w:val="es-ES"/>
        </w:rPr>
        <w:t>de las causas” N</w:t>
      </w:r>
      <w:r w:rsidRPr="0027532E">
        <w:rPr>
          <w:rFonts w:ascii="Verdana" w:hAnsi="Verdana"/>
          <w:sz w:val="16"/>
          <w:szCs w:val="16"/>
          <w:lang w:val="es-ES"/>
        </w:rPr>
        <w:t>o efectuaron una solicitud de reintegro de costas y gastos</w:t>
      </w:r>
      <w:r w:rsidR="00CE0345" w:rsidRPr="0027532E">
        <w:rPr>
          <w:rFonts w:ascii="Verdana" w:hAnsi="Verdana"/>
          <w:sz w:val="16"/>
          <w:szCs w:val="16"/>
          <w:lang w:val="es-ES"/>
        </w:rPr>
        <w:t xml:space="preserve"> a favor de la representación de las víctimas</w:t>
      </w:r>
      <w:r w:rsidRPr="0027532E">
        <w:rPr>
          <w:rFonts w:ascii="Verdana" w:hAnsi="Verdana"/>
          <w:sz w:val="16"/>
          <w:szCs w:val="16"/>
          <w:lang w:val="es-ES"/>
        </w:rPr>
        <w:t>.</w:t>
      </w:r>
    </w:p>
  </w:footnote>
  <w:footnote w:id="295">
    <w:p w14:paraId="73CA2685" w14:textId="3A82FE79" w:rsidR="00DD280C" w:rsidRDefault="00DD280C" w:rsidP="00BB7318">
      <w:pPr>
        <w:spacing w:after="0"/>
        <w:jc w:val="both"/>
        <w:rPr>
          <w:rFonts w:ascii="Verdana" w:hAnsi="Verdana"/>
          <w:i/>
          <w:sz w:val="16"/>
          <w:szCs w:val="16"/>
        </w:rPr>
      </w:pPr>
      <w:r w:rsidRPr="00617293">
        <w:rPr>
          <w:rStyle w:val="Refdenotaalpie"/>
          <w:rFonts w:ascii="Verdana" w:hAnsi="Verdana"/>
          <w:sz w:val="16"/>
          <w:szCs w:val="16"/>
        </w:rPr>
        <w:footnoteRef/>
      </w:r>
      <w:r w:rsidRPr="00617293">
        <w:rPr>
          <w:rFonts w:ascii="Verdana" w:hAnsi="Verdana"/>
          <w:sz w:val="16"/>
          <w:szCs w:val="16"/>
          <w:lang w:val="es-ES"/>
        </w:rPr>
        <w:tab/>
      </w:r>
      <w:r w:rsidRPr="00617293">
        <w:rPr>
          <w:rFonts w:ascii="Verdana" w:hAnsi="Verdana" w:cs="Verdana"/>
          <w:i/>
          <w:sz w:val="16"/>
          <w:szCs w:val="16"/>
          <w:lang w:val="es-ES"/>
        </w:rPr>
        <w:t xml:space="preserve">Cfr. </w:t>
      </w:r>
      <w:r w:rsidRPr="00617293">
        <w:rPr>
          <w:rFonts w:ascii="Verdana" w:hAnsi="Verdana" w:cs="Verdana"/>
          <w:i/>
          <w:iCs/>
          <w:sz w:val="16"/>
          <w:szCs w:val="16"/>
          <w:lang w:val="es-ES"/>
        </w:rPr>
        <w:t xml:space="preserve">Caso Bámaca Velásquez Vs. Guatemala. Reparaciones y Costas. </w:t>
      </w:r>
      <w:r w:rsidRPr="00617293">
        <w:rPr>
          <w:rFonts w:ascii="Verdana" w:hAnsi="Verdana"/>
          <w:sz w:val="16"/>
          <w:szCs w:val="16"/>
          <w:lang w:val="es-ES"/>
        </w:rPr>
        <w:t xml:space="preserve">Sentencia de 22 de febrero de 2002. </w:t>
      </w:r>
      <w:r w:rsidRPr="001B6F20">
        <w:rPr>
          <w:rFonts w:ascii="Verdana" w:hAnsi="Verdana"/>
          <w:sz w:val="16"/>
          <w:szCs w:val="16"/>
        </w:rPr>
        <w:t xml:space="preserve">Serie C No. 91, </w:t>
      </w:r>
      <w:r w:rsidRPr="001B6F20">
        <w:rPr>
          <w:rFonts w:ascii="Verdana" w:hAnsi="Verdana" w:cs="Verdana"/>
          <w:sz w:val="16"/>
          <w:szCs w:val="16"/>
        </w:rPr>
        <w:t xml:space="preserve">párr. </w:t>
      </w:r>
      <w:r w:rsidR="00BB7318">
        <w:rPr>
          <w:rFonts w:ascii="Verdana" w:hAnsi="Verdana" w:cs="Verdana"/>
          <w:sz w:val="16"/>
          <w:szCs w:val="16"/>
        </w:rPr>
        <w:t xml:space="preserve">43, y </w:t>
      </w:r>
      <w:r w:rsidR="00BB7318" w:rsidRPr="00E11E49">
        <w:rPr>
          <w:rFonts w:ascii="Verdana" w:hAnsi="Verdana" w:cs="Open Sans"/>
          <w:i/>
          <w:sz w:val="16"/>
          <w:szCs w:val="16"/>
          <w:shd w:val="clear" w:color="auto" w:fill="FFFFFF"/>
        </w:rPr>
        <w:t>Caso Pueblos Indígenas Maya Kaqchikel de Sumpango y otros Vs. Guatemala</w:t>
      </w:r>
      <w:r w:rsidR="00BB7318" w:rsidRPr="004C0882">
        <w:rPr>
          <w:rFonts w:ascii="Verdana" w:hAnsi="Verdana"/>
          <w:sz w:val="16"/>
          <w:szCs w:val="16"/>
        </w:rPr>
        <w:t xml:space="preserve">, párr. </w:t>
      </w:r>
      <w:r w:rsidR="00BB7318">
        <w:rPr>
          <w:rFonts w:ascii="Verdana" w:hAnsi="Verdana"/>
          <w:sz w:val="16"/>
          <w:szCs w:val="16"/>
        </w:rPr>
        <w:t>208</w:t>
      </w:r>
      <w:r w:rsidR="00BB7318" w:rsidRPr="000031DD">
        <w:rPr>
          <w:rFonts w:ascii="Verdana" w:hAnsi="Verdana"/>
          <w:sz w:val="16"/>
          <w:szCs w:val="16"/>
        </w:rPr>
        <w:t>.</w:t>
      </w:r>
    </w:p>
    <w:p w14:paraId="036185C1" w14:textId="77777777" w:rsidR="00BB7318" w:rsidRPr="00BB7318" w:rsidRDefault="00BB7318" w:rsidP="00BB7318">
      <w:pPr>
        <w:spacing w:after="0"/>
        <w:jc w:val="both"/>
        <w:rPr>
          <w:rFonts w:ascii="Verdana" w:hAnsi="Verdana"/>
          <w:i/>
          <w:sz w:val="16"/>
          <w:szCs w:val="16"/>
        </w:rPr>
      </w:pPr>
    </w:p>
  </w:footnote>
  <w:footnote w:id="296">
    <w:p w14:paraId="52425A64" w14:textId="09D4E4C3" w:rsidR="00BB7318" w:rsidRDefault="00DD280C" w:rsidP="00BB7318">
      <w:pPr>
        <w:spacing w:after="0"/>
        <w:jc w:val="both"/>
        <w:rPr>
          <w:rFonts w:ascii="Verdana" w:hAnsi="Verdana"/>
          <w:i/>
          <w:sz w:val="16"/>
          <w:szCs w:val="16"/>
        </w:rPr>
      </w:pPr>
      <w:r w:rsidRPr="00E53751">
        <w:rPr>
          <w:rStyle w:val="Refdenotaalpie"/>
          <w:rFonts w:ascii="Verdana" w:hAnsi="Verdana"/>
          <w:sz w:val="16"/>
          <w:szCs w:val="16"/>
        </w:rPr>
        <w:footnoteRef/>
      </w:r>
      <w:r w:rsidRPr="00E53751">
        <w:rPr>
          <w:rFonts w:ascii="Verdana" w:hAnsi="Verdana"/>
          <w:sz w:val="16"/>
          <w:szCs w:val="16"/>
          <w:lang w:val="es-ES"/>
        </w:rPr>
        <w:t xml:space="preserve"> </w:t>
      </w:r>
      <w:r w:rsidRPr="00E53751">
        <w:rPr>
          <w:rFonts w:ascii="Verdana" w:hAnsi="Verdana"/>
          <w:sz w:val="16"/>
          <w:szCs w:val="16"/>
          <w:lang w:val="es-ES"/>
        </w:rPr>
        <w:tab/>
      </w:r>
      <w:r w:rsidRPr="00E53751">
        <w:rPr>
          <w:rFonts w:ascii="Verdana" w:hAnsi="Verdana"/>
          <w:i/>
          <w:iCs/>
          <w:sz w:val="16"/>
          <w:szCs w:val="16"/>
          <w:lang w:val="es-MX"/>
        </w:rPr>
        <w:t xml:space="preserve">Caso de los “Niños de la Calle” (Villagrán Morales y otros) Vs. Guatemala. Reparaciones y Costas. </w:t>
      </w:r>
      <w:r w:rsidRPr="00E53751">
        <w:rPr>
          <w:rFonts w:ascii="Verdana" w:hAnsi="Verdana"/>
          <w:sz w:val="16"/>
          <w:szCs w:val="16"/>
          <w:lang w:val="es-MX"/>
        </w:rPr>
        <w:t xml:space="preserve">Sentencia de 26 de mayo de 2001. Serie C No. 77, </w:t>
      </w:r>
      <w:r w:rsidRPr="00E53751">
        <w:rPr>
          <w:rFonts w:ascii="Verdana" w:hAnsi="Verdana"/>
          <w:sz w:val="16"/>
          <w:szCs w:val="16"/>
          <w:lang w:val="es-ES"/>
        </w:rPr>
        <w:t xml:space="preserve">párr. </w:t>
      </w:r>
      <w:r w:rsidRPr="00617293">
        <w:rPr>
          <w:rFonts w:ascii="Verdana" w:hAnsi="Verdana"/>
          <w:sz w:val="16"/>
          <w:szCs w:val="16"/>
        </w:rPr>
        <w:t>84</w:t>
      </w:r>
      <w:r>
        <w:rPr>
          <w:rFonts w:ascii="Verdana" w:hAnsi="Verdana"/>
          <w:sz w:val="16"/>
          <w:szCs w:val="16"/>
        </w:rPr>
        <w:t xml:space="preserve"> y </w:t>
      </w:r>
      <w:r w:rsidR="00BB7318" w:rsidRPr="00E11E49">
        <w:rPr>
          <w:rFonts w:ascii="Verdana" w:hAnsi="Verdana" w:cs="Open Sans"/>
          <w:i/>
          <w:sz w:val="16"/>
          <w:szCs w:val="16"/>
          <w:shd w:val="clear" w:color="auto" w:fill="FFFFFF"/>
        </w:rPr>
        <w:t>Caso Pueblos Indígenas Maya Kaqchikel de Sumpango y otros Vs. Guatemala</w:t>
      </w:r>
      <w:r w:rsidR="00BB7318" w:rsidRPr="004C0882">
        <w:rPr>
          <w:rFonts w:ascii="Verdana" w:hAnsi="Verdana"/>
          <w:sz w:val="16"/>
          <w:szCs w:val="16"/>
        </w:rPr>
        <w:t xml:space="preserve">, párr. </w:t>
      </w:r>
      <w:r w:rsidR="00BB7318">
        <w:rPr>
          <w:rFonts w:ascii="Verdana" w:hAnsi="Verdana"/>
          <w:sz w:val="16"/>
          <w:szCs w:val="16"/>
        </w:rPr>
        <w:t>209</w:t>
      </w:r>
      <w:r w:rsidR="00BB7318" w:rsidRPr="000031DD">
        <w:rPr>
          <w:rFonts w:ascii="Verdana" w:hAnsi="Verdana"/>
          <w:sz w:val="16"/>
          <w:szCs w:val="16"/>
        </w:rPr>
        <w:t>.</w:t>
      </w:r>
    </w:p>
    <w:p w14:paraId="2D34AC09" w14:textId="21C02FA3" w:rsidR="00DD280C" w:rsidRPr="00E53751" w:rsidRDefault="00DD280C" w:rsidP="00BB7318">
      <w:pPr>
        <w:autoSpaceDE w:val="0"/>
        <w:autoSpaceDN w:val="0"/>
        <w:adjustRightInd w:val="0"/>
        <w:spacing w:after="0"/>
        <w:jc w:val="both"/>
        <w:rPr>
          <w:rFonts w:ascii="Verdana" w:hAnsi="Verdana"/>
          <w:sz w:val="16"/>
          <w:szCs w:val="16"/>
        </w:rPr>
      </w:pPr>
    </w:p>
  </w:footnote>
  <w:footnote w:id="297">
    <w:p w14:paraId="58B8A884" w14:textId="77777777" w:rsidR="00DD280C" w:rsidRPr="00617293" w:rsidRDefault="00DD280C" w:rsidP="001B6F20">
      <w:pPr>
        <w:pStyle w:val="Textonotapie"/>
        <w:jc w:val="both"/>
        <w:rPr>
          <w:rFonts w:ascii="Verdana" w:hAnsi="Verdana"/>
          <w:sz w:val="16"/>
          <w:szCs w:val="16"/>
        </w:rPr>
      </w:pPr>
      <w:r w:rsidRPr="00617293">
        <w:rPr>
          <w:rStyle w:val="Refdenotaalpie"/>
          <w:rFonts w:ascii="Verdana" w:hAnsi="Verdana"/>
          <w:sz w:val="16"/>
          <w:szCs w:val="16"/>
        </w:rPr>
        <w:footnoteRef/>
      </w:r>
      <w:r w:rsidRPr="00617293">
        <w:rPr>
          <w:rFonts w:ascii="Verdana" w:hAnsi="Verdana"/>
          <w:sz w:val="16"/>
          <w:szCs w:val="16"/>
        </w:rPr>
        <w:t xml:space="preserve">  </w:t>
      </w:r>
      <w:r w:rsidRPr="00617293">
        <w:rPr>
          <w:rFonts w:ascii="Verdana" w:hAnsi="Verdana"/>
          <w:sz w:val="16"/>
          <w:szCs w:val="16"/>
        </w:rPr>
        <w:tab/>
        <w:t>Sin perjuicio de ello, la Corte entiende que no resulta razonable asumir que Washington Javier Barrios Fernández, quien, conforme señalaron los representantes, se encuentra desaparecido (</w:t>
      </w:r>
      <w:r w:rsidRPr="00617293">
        <w:rPr>
          <w:rFonts w:ascii="Verdana" w:hAnsi="Verdana"/>
          <w:i/>
          <w:sz w:val="16"/>
          <w:szCs w:val="16"/>
        </w:rPr>
        <w:t xml:space="preserve">supra </w:t>
      </w:r>
      <w:r w:rsidRPr="00617293">
        <w:rPr>
          <w:rFonts w:ascii="Verdana" w:hAnsi="Verdana"/>
          <w:sz w:val="16"/>
          <w:szCs w:val="16"/>
        </w:rPr>
        <w:t xml:space="preserve">nota a pie de página 41), haya tenido este tipo de gastos. Por ende, no procede determinar un monto dinerario a su favor por tal concepto. </w:t>
      </w:r>
    </w:p>
  </w:footnote>
  <w:footnote w:id="298">
    <w:p w14:paraId="3F25A23A" w14:textId="77777777" w:rsidR="00DD280C" w:rsidRPr="00125631" w:rsidRDefault="00DD280C" w:rsidP="001B6F20">
      <w:pPr>
        <w:pStyle w:val="Textonotapie"/>
        <w:spacing w:before="60" w:after="60"/>
        <w:jc w:val="both"/>
        <w:rPr>
          <w:sz w:val="16"/>
          <w:szCs w:val="16"/>
        </w:rPr>
      </w:pPr>
      <w:r w:rsidRPr="00E53751">
        <w:rPr>
          <w:rStyle w:val="Refdenotaalpie"/>
          <w:rFonts w:ascii="Verdana" w:hAnsi="Verdana"/>
          <w:sz w:val="16"/>
          <w:szCs w:val="16"/>
        </w:rPr>
        <w:footnoteRef/>
      </w:r>
      <w:r w:rsidRPr="00E53751">
        <w:rPr>
          <w:rFonts w:ascii="Verdana" w:hAnsi="Verdana"/>
          <w:sz w:val="16"/>
          <w:szCs w:val="16"/>
        </w:rPr>
        <w:t xml:space="preserve"> </w:t>
      </w:r>
      <w:r w:rsidRPr="00E53751">
        <w:rPr>
          <w:rFonts w:ascii="Verdana" w:hAnsi="Verdana"/>
          <w:sz w:val="16"/>
          <w:szCs w:val="16"/>
        </w:rPr>
        <w:tab/>
      </w:r>
      <w:r w:rsidRPr="00E53751">
        <w:rPr>
          <w:rFonts w:ascii="Verdana" w:hAnsi="Verdana"/>
          <w:i/>
          <w:sz w:val="16"/>
          <w:szCs w:val="16"/>
        </w:rPr>
        <w:t xml:space="preserve">Cfr. Caso Masacres de Río Negro Vs. Guatemala. Excepción Preliminar, Fondo, Reparaciones y Costas. </w:t>
      </w:r>
      <w:r w:rsidRPr="00E53751">
        <w:rPr>
          <w:rFonts w:ascii="Verdana" w:hAnsi="Verdana"/>
          <w:sz w:val="16"/>
          <w:szCs w:val="16"/>
        </w:rPr>
        <w:t xml:space="preserve">Sentencia de 4 de septiembre de 2012. Serie C No. </w:t>
      </w:r>
      <w:r w:rsidRPr="00E53751">
        <w:rPr>
          <w:rFonts w:ascii="Verdana" w:hAnsi="Verdana"/>
          <w:i/>
          <w:sz w:val="16"/>
          <w:szCs w:val="16"/>
        </w:rPr>
        <w:t>250</w:t>
      </w:r>
      <w:r w:rsidRPr="00E53751">
        <w:rPr>
          <w:rFonts w:ascii="Verdana" w:hAnsi="Verdana"/>
          <w:sz w:val="16"/>
          <w:szCs w:val="16"/>
        </w:rPr>
        <w:t>, párr. 304.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7D7"/>
    <w:multiLevelType w:val="hybridMultilevel"/>
    <w:tmpl w:val="97482C82"/>
    <w:lvl w:ilvl="0" w:tplc="203AD33A">
      <w:start w:val="99"/>
      <w:numFmt w:val="decimal"/>
      <w:lvlText w:val="%1."/>
      <w:lvlJc w:val="left"/>
      <w:pPr>
        <w:ind w:left="795" w:hanging="360"/>
      </w:pPr>
      <w:rPr>
        <w:rFonts w:ascii="Verdana" w:eastAsiaTheme="majorEastAsia" w:hAnsi="Verdana" w:cstheme="majorBidi" w:hint="default"/>
        <w:b w:val="0"/>
        <w:color w:val="auto"/>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6D18AC"/>
    <w:multiLevelType w:val="hybridMultilevel"/>
    <w:tmpl w:val="87542A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BE1DB3"/>
    <w:multiLevelType w:val="hybridMultilevel"/>
    <w:tmpl w:val="C7547702"/>
    <w:lvl w:ilvl="0" w:tplc="237A532A">
      <w:start w:val="30"/>
      <w:numFmt w:val="decimal"/>
      <w:lvlText w:val="%1."/>
      <w:lvlJc w:val="left"/>
      <w:pPr>
        <w:ind w:left="720" w:hanging="360"/>
      </w:pPr>
      <w:rPr>
        <w:rFonts w:hint="default"/>
        <w:b w:val="0"/>
        <w:color w:val="auto"/>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084600"/>
    <w:multiLevelType w:val="hybridMultilevel"/>
    <w:tmpl w:val="8C60D010"/>
    <w:lvl w:ilvl="0" w:tplc="8D8EFCA4">
      <w:start w:val="6"/>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0B0B"/>
    <w:multiLevelType w:val="hybridMultilevel"/>
    <w:tmpl w:val="8C7E27E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8555F64"/>
    <w:multiLevelType w:val="hybridMultilevel"/>
    <w:tmpl w:val="BAA60152"/>
    <w:lvl w:ilvl="0" w:tplc="1E061B3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0963559B"/>
    <w:multiLevelType w:val="hybridMultilevel"/>
    <w:tmpl w:val="B6DCA904"/>
    <w:lvl w:ilvl="0" w:tplc="A33E21A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9E2F41"/>
    <w:multiLevelType w:val="hybridMultilevel"/>
    <w:tmpl w:val="F946BEF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A7A1721"/>
    <w:multiLevelType w:val="hybridMultilevel"/>
    <w:tmpl w:val="218C56FC"/>
    <w:lvl w:ilvl="0" w:tplc="C6229F42">
      <w:start w:val="1"/>
      <w:numFmt w:val="upperLetter"/>
      <w:lvlText w:val="%1."/>
      <w:lvlJc w:val="left"/>
      <w:pPr>
        <w:ind w:left="795" w:hanging="360"/>
      </w:pPr>
      <w:rPr>
        <w:rFonts w:hint="default"/>
        <w:i/>
      </w:rPr>
    </w:lvl>
    <w:lvl w:ilvl="1" w:tplc="140A0019" w:tentative="1">
      <w:start w:val="1"/>
      <w:numFmt w:val="lowerLetter"/>
      <w:lvlText w:val="%2."/>
      <w:lvlJc w:val="left"/>
      <w:pPr>
        <w:ind w:left="1515" w:hanging="360"/>
      </w:pPr>
    </w:lvl>
    <w:lvl w:ilvl="2" w:tplc="140A001B" w:tentative="1">
      <w:start w:val="1"/>
      <w:numFmt w:val="lowerRoman"/>
      <w:lvlText w:val="%3."/>
      <w:lvlJc w:val="right"/>
      <w:pPr>
        <w:ind w:left="2235" w:hanging="180"/>
      </w:pPr>
    </w:lvl>
    <w:lvl w:ilvl="3" w:tplc="140A000F" w:tentative="1">
      <w:start w:val="1"/>
      <w:numFmt w:val="decimal"/>
      <w:lvlText w:val="%4."/>
      <w:lvlJc w:val="left"/>
      <w:pPr>
        <w:ind w:left="2955" w:hanging="360"/>
      </w:pPr>
    </w:lvl>
    <w:lvl w:ilvl="4" w:tplc="140A0019" w:tentative="1">
      <w:start w:val="1"/>
      <w:numFmt w:val="lowerLetter"/>
      <w:lvlText w:val="%5."/>
      <w:lvlJc w:val="left"/>
      <w:pPr>
        <w:ind w:left="3675" w:hanging="360"/>
      </w:pPr>
    </w:lvl>
    <w:lvl w:ilvl="5" w:tplc="140A001B" w:tentative="1">
      <w:start w:val="1"/>
      <w:numFmt w:val="lowerRoman"/>
      <w:lvlText w:val="%6."/>
      <w:lvlJc w:val="right"/>
      <w:pPr>
        <w:ind w:left="4395" w:hanging="180"/>
      </w:pPr>
    </w:lvl>
    <w:lvl w:ilvl="6" w:tplc="140A000F" w:tentative="1">
      <w:start w:val="1"/>
      <w:numFmt w:val="decimal"/>
      <w:lvlText w:val="%7."/>
      <w:lvlJc w:val="left"/>
      <w:pPr>
        <w:ind w:left="5115" w:hanging="360"/>
      </w:pPr>
    </w:lvl>
    <w:lvl w:ilvl="7" w:tplc="140A0019" w:tentative="1">
      <w:start w:val="1"/>
      <w:numFmt w:val="lowerLetter"/>
      <w:lvlText w:val="%8."/>
      <w:lvlJc w:val="left"/>
      <w:pPr>
        <w:ind w:left="5835" w:hanging="360"/>
      </w:pPr>
    </w:lvl>
    <w:lvl w:ilvl="8" w:tplc="140A001B" w:tentative="1">
      <w:start w:val="1"/>
      <w:numFmt w:val="lowerRoman"/>
      <w:lvlText w:val="%9."/>
      <w:lvlJc w:val="right"/>
      <w:pPr>
        <w:ind w:left="6555" w:hanging="180"/>
      </w:pPr>
    </w:lvl>
  </w:abstractNum>
  <w:abstractNum w:abstractNumId="9" w15:restartNumberingAfterBreak="0">
    <w:nsid w:val="0B99291B"/>
    <w:multiLevelType w:val="hybridMultilevel"/>
    <w:tmpl w:val="48123E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C3B6A10"/>
    <w:multiLevelType w:val="hybridMultilevel"/>
    <w:tmpl w:val="0E5A0D66"/>
    <w:lvl w:ilvl="0" w:tplc="6B147E08">
      <w:start w:val="31"/>
      <w:numFmt w:val="decimal"/>
      <w:lvlText w:val="%1."/>
      <w:lvlJc w:val="left"/>
      <w:pPr>
        <w:ind w:left="720" w:hanging="360"/>
      </w:pPr>
      <w:rPr>
        <w:rFonts w:hint="default"/>
        <w:b w:val="0"/>
        <w:color w:val="auto"/>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D703258"/>
    <w:multiLevelType w:val="hybridMultilevel"/>
    <w:tmpl w:val="5C4400D8"/>
    <w:lvl w:ilvl="0" w:tplc="A830A98A">
      <w:start w:val="109"/>
      <w:numFmt w:val="decimal"/>
      <w:lvlText w:val="%1."/>
      <w:lvlJc w:val="left"/>
      <w:pPr>
        <w:ind w:left="795" w:hanging="360"/>
      </w:pPr>
      <w:rPr>
        <w:rFonts w:ascii="Verdana" w:hAnsi="Verdana" w:hint="default"/>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F210ECA"/>
    <w:multiLevelType w:val="hybridMultilevel"/>
    <w:tmpl w:val="2EB8D7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0E84A9F"/>
    <w:multiLevelType w:val="hybridMultilevel"/>
    <w:tmpl w:val="19A4E70C"/>
    <w:lvl w:ilvl="0" w:tplc="472A8070">
      <w:start w:val="1"/>
      <w:numFmt w:val="lowerLetter"/>
      <w:lvlText w:val="%1)"/>
      <w:lvlJc w:val="left"/>
      <w:pPr>
        <w:tabs>
          <w:tab w:val="num" w:pos="720"/>
        </w:tabs>
        <w:ind w:left="720" w:hanging="360"/>
      </w:pPr>
      <w:rPr>
        <w:rFonts w:hint="default"/>
        <w:sz w:val="20"/>
        <w:szCs w:val="20"/>
      </w:rPr>
    </w:lvl>
    <w:lvl w:ilvl="1" w:tplc="080A0017">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44E23E7"/>
    <w:multiLevelType w:val="hybridMultilevel"/>
    <w:tmpl w:val="11821D42"/>
    <w:lvl w:ilvl="0" w:tplc="37AC4032">
      <w:start w:val="30"/>
      <w:numFmt w:val="decimal"/>
      <w:lvlText w:val="%1."/>
      <w:lvlJc w:val="left"/>
      <w:pPr>
        <w:ind w:left="720" w:hanging="360"/>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6322F81"/>
    <w:multiLevelType w:val="hybridMultilevel"/>
    <w:tmpl w:val="46A0E484"/>
    <w:lvl w:ilvl="0" w:tplc="61B61ECE">
      <w:start w:val="91"/>
      <w:numFmt w:val="decimal"/>
      <w:lvlText w:val="%1."/>
      <w:lvlJc w:val="left"/>
      <w:pPr>
        <w:ind w:left="6172" w:hanging="360"/>
      </w:pPr>
      <w:rPr>
        <w:rFonts w:ascii="Verdana" w:hAnsi="Verdana" w:hint="default"/>
        <w:b w:val="0"/>
        <w:i w:val="0"/>
        <w:strike w:val="0"/>
        <w:dstrike w:val="0"/>
        <w:sz w:val="20"/>
        <w:szCs w:val="20"/>
        <w:u w:val="none"/>
        <w:effect w:val="none"/>
        <w:vertAlign w:val="baseli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16696EF7"/>
    <w:multiLevelType w:val="hybridMultilevel"/>
    <w:tmpl w:val="B0B6B4B4"/>
    <w:lvl w:ilvl="0" w:tplc="6966FF9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179608B5"/>
    <w:multiLevelType w:val="hybridMultilevel"/>
    <w:tmpl w:val="BF20CEE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9E80A90"/>
    <w:multiLevelType w:val="hybridMultilevel"/>
    <w:tmpl w:val="0130CBA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6B23CE6"/>
    <w:multiLevelType w:val="hybridMultilevel"/>
    <w:tmpl w:val="F45ACAD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DC519F6"/>
    <w:multiLevelType w:val="hybridMultilevel"/>
    <w:tmpl w:val="762E468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8500D03"/>
    <w:multiLevelType w:val="hybridMultilevel"/>
    <w:tmpl w:val="05A4C122"/>
    <w:lvl w:ilvl="0" w:tplc="C15458E6">
      <w:start w:val="1"/>
      <w:numFmt w:val="decimal"/>
      <w:lvlText w:val="%1."/>
      <w:lvlJc w:val="left"/>
      <w:pPr>
        <w:ind w:left="990" w:hanging="360"/>
      </w:pPr>
      <w:rPr>
        <w:rFonts w:eastAsia="Times New Roman" w:hint="default"/>
        <w:b w:val="0"/>
        <w:strike w:val="0"/>
        <w:dstrike w:val="0"/>
        <w:color w:val="000000"/>
        <w:sz w:val="20"/>
        <w:szCs w:val="2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2" w15:restartNumberingAfterBreak="0">
    <w:nsid w:val="3C9A26D3"/>
    <w:multiLevelType w:val="hybridMultilevel"/>
    <w:tmpl w:val="25A0C4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EBE52B0"/>
    <w:multiLevelType w:val="hybridMultilevel"/>
    <w:tmpl w:val="7BCCC210"/>
    <w:lvl w:ilvl="0" w:tplc="1DC43F44">
      <w:start w:val="146"/>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63B765B"/>
    <w:multiLevelType w:val="hybridMultilevel"/>
    <w:tmpl w:val="1DD4B5D6"/>
    <w:lvl w:ilvl="0" w:tplc="222EA00C">
      <w:start w:val="169"/>
      <w:numFmt w:val="decimal"/>
      <w:lvlText w:val="%1."/>
      <w:lvlJc w:val="left"/>
      <w:pPr>
        <w:ind w:left="1080" w:hanging="720"/>
      </w:pPr>
      <w:rPr>
        <w:rFonts w:ascii="Verdana" w:hAnsi="Verdana" w:cs="Times New Roman" w:hint="default"/>
        <w:b w:val="0"/>
        <w:i w:val="0"/>
        <w:strike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A06A1D"/>
    <w:multiLevelType w:val="hybridMultilevel"/>
    <w:tmpl w:val="3D647188"/>
    <w:lvl w:ilvl="0" w:tplc="44B8B014">
      <w:start w:val="4"/>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EBD5D3D"/>
    <w:multiLevelType w:val="hybridMultilevel"/>
    <w:tmpl w:val="B23C2C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15438FD"/>
    <w:multiLevelType w:val="hybridMultilevel"/>
    <w:tmpl w:val="28FE1812"/>
    <w:lvl w:ilvl="0" w:tplc="E41ED3F0">
      <w:start w:val="1"/>
      <w:numFmt w:val="decimal"/>
      <w:lvlText w:val="%1."/>
      <w:lvlJc w:val="left"/>
      <w:pPr>
        <w:ind w:left="1080" w:hanging="360"/>
      </w:pPr>
      <w:rPr>
        <w:rFonts w:hint="default"/>
        <w:color w:val="222222"/>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520B3114"/>
    <w:multiLevelType w:val="hybridMultilevel"/>
    <w:tmpl w:val="D4FC49C8"/>
    <w:lvl w:ilvl="0" w:tplc="AEAEFC8A">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52141990"/>
    <w:multiLevelType w:val="hybridMultilevel"/>
    <w:tmpl w:val="89D2C26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4186C9A"/>
    <w:multiLevelType w:val="hybridMultilevel"/>
    <w:tmpl w:val="836A0530"/>
    <w:lvl w:ilvl="0" w:tplc="7076D280">
      <w:start w:val="1"/>
      <w:numFmt w:val="upperLetter"/>
      <w:lvlText w:val="%1."/>
      <w:lvlJc w:val="left"/>
      <w:pPr>
        <w:ind w:left="720" w:hanging="360"/>
      </w:pPr>
      <w:rPr>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1" w15:restartNumberingAfterBreak="0">
    <w:nsid w:val="5568389E"/>
    <w:multiLevelType w:val="hybridMultilevel"/>
    <w:tmpl w:val="BF20CEE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6FA798A"/>
    <w:multiLevelType w:val="hybridMultilevel"/>
    <w:tmpl w:val="FF58707A"/>
    <w:lvl w:ilvl="0" w:tplc="014C324C">
      <w:start w:val="1"/>
      <w:numFmt w:val="decimal"/>
      <w:lvlText w:val="%1."/>
      <w:lvlJc w:val="left"/>
      <w:pPr>
        <w:ind w:left="360" w:hanging="360"/>
      </w:pPr>
      <w:rPr>
        <w:rFonts w:ascii="Verdana" w:eastAsiaTheme="majorEastAsia" w:hAnsi="Verdana" w:cstheme="majorBidi" w:hint="default"/>
        <w:b w:val="0"/>
        <w:color w:val="auto"/>
        <w:sz w:val="20"/>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7C97398"/>
    <w:multiLevelType w:val="hybridMultilevel"/>
    <w:tmpl w:val="8A16159E"/>
    <w:lvl w:ilvl="0" w:tplc="9410C3F6">
      <w:start w:val="1"/>
      <w:numFmt w:val="decimal"/>
      <w:lvlText w:val="%1."/>
      <w:lvlJc w:val="left"/>
      <w:pPr>
        <w:ind w:left="720" w:hanging="360"/>
      </w:pPr>
      <w:rPr>
        <w:rFonts w:hint="default"/>
        <w:color w:val="3232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8516AD5"/>
    <w:multiLevelType w:val="hybridMultilevel"/>
    <w:tmpl w:val="B89A71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99E487F"/>
    <w:multiLevelType w:val="hybridMultilevel"/>
    <w:tmpl w:val="F30497DA"/>
    <w:lvl w:ilvl="0" w:tplc="C44C1FF8">
      <w:start w:val="20"/>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B547492"/>
    <w:multiLevelType w:val="hybridMultilevel"/>
    <w:tmpl w:val="8C7E27E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CB5465C"/>
    <w:multiLevelType w:val="hybridMultilevel"/>
    <w:tmpl w:val="218C56FC"/>
    <w:lvl w:ilvl="0" w:tplc="C6229F42">
      <w:start w:val="1"/>
      <w:numFmt w:val="upperLetter"/>
      <w:lvlText w:val="%1."/>
      <w:lvlJc w:val="left"/>
      <w:pPr>
        <w:ind w:left="795" w:hanging="360"/>
      </w:pPr>
      <w:rPr>
        <w:rFonts w:hint="default"/>
        <w:i/>
      </w:rPr>
    </w:lvl>
    <w:lvl w:ilvl="1" w:tplc="140A0019" w:tentative="1">
      <w:start w:val="1"/>
      <w:numFmt w:val="lowerLetter"/>
      <w:lvlText w:val="%2."/>
      <w:lvlJc w:val="left"/>
      <w:pPr>
        <w:ind w:left="1515" w:hanging="360"/>
      </w:pPr>
    </w:lvl>
    <w:lvl w:ilvl="2" w:tplc="140A001B" w:tentative="1">
      <w:start w:val="1"/>
      <w:numFmt w:val="lowerRoman"/>
      <w:lvlText w:val="%3."/>
      <w:lvlJc w:val="right"/>
      <w:pPr>
        <w:ind w:left="2235" w:hanging="180"/>
      </w:pPr>
    </w:lvl>
    <w:lvl w:ilvl="3" w:tplc="140A000F" w:tentative="1">
      <w:start w:val="1"/>
      <w:numFmt w:val="decimal"/>
      <w:lvlText w:val="%4."/>
      <w:lvlJc w:val="left"/>
      <w:pPr>
        <w:ind w:left="2955" w:hanging="360"/>
      </w:pPr>
    </w:lvl>
    <w:lvl w:ilvl="4" w:tplc="140A0019" w:tentative="1">
      <w:start w:val="1"/>
      <w:numFmt w:val="lowerLetter"/>
      <w:lvlText w:val="%5."/>
      <w:lvlJc w:val="left"/>
      <w:pPr>
        <w:ind w:left="3675" w:hanging="360"/>
      </w:pPr>
    </w:lvl>
    <w:lvl w:ilvl="5" w:tplc="140A001B" w:tentative="1">
      <w:start w:val="1"/>
      <w:numFmt w:val="lowerRoman"/>
      <w:lvlText w:val="%6."/>
      <w:lvlJc w:val="right"/>
      <w:pPr>
        <w:ind w:left="4395" w:hanging="180"/>
      </w:pPr>
    </w:lvl>
    <w:lvl w:ilvl="6" w:tplc="140A000F" w:tentative="1">
      <w:start w:val="1"/>
      <w:numFmt w:val="decimal"/>
      <w:lvlText w:val="%7."/>
      <w:lvlJc w:val="left"/>
      <w:pPr>
        <w:ind w:left="5115" w:hanging="360"/>
      </w:pPr>
    </w:lvl>
    <w:lvl w:ilvl="7" w:tplc="140A0019" w:tentative="1">
      <w:start w:val="1"/>
      <w:numFmt w:val="lowerLetter"/>
      <w:lvlText w:val="%8."/>
      <w:lvlJc w:val="left"/>
      <w:pPr>
        <w:ind w:left="5835" w:hanging="360"/>
      </w:pPr>
    </w:lvl>
    <w:lvl w:ilvl="8" w:tplc="140A001B" w:tentative="1">
      <w:start w:val="1"/>
      <w:numFmt w:val="lowerRoman"/>
      <w:lvlText w:val="%9."/>
      <w:lvlJc w:val="right"/>
      <w:pPr>
        <w:ind w:left="6555" w:hanging="180"/>
      </w:pPr>
    </w:lvl>
  </w:abstractNum>
  <w:abstractNum w:abstractNumId="38" w15:restartNumberingAfterBreak="0">
    <w:nsid w:val="62F92718"/>
    <w:multiLevelType w:val="hybridMultilevel"/>
    <w:tmpl w:val="89D2C26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4170C62"/>
    <w:multiLevelType w:val="hybridMultilevel"/>
    <w:tmpl w:val="7B4219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8B370CB"/>
    <w:multiLevelType w:val="hybridMultilevel"/>
    <w:tmpl w:val="D4FC49C8"/>
    <w:lvl w:ilvl="0" w:tplc="AEAEFC8A">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1" w15:restartNumberingAfterBreak="0">
    <w:nsid w:val="6AAD4A5E"/>
    <w:multiLevelType w:val="hybridMultilevel"/>
    <w:tmpl w:val="3B823F58"/>
    <w:lvl w:ilvl="0" w:tplc="9BF0AFDC">
      <w:start w:val="113"/>
      <w:numFmt w:val="decimal"/>
      <w:lvlText w:val="%1."/>
      <w:lvlJc w:val="left"/>
      <w:pPr>
        <w:ind w:left="795"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0914B93"/>
    <w:multiLevelType w:val="hybridMultilevel"/>
    <w:tmpl w:val="60AAEFBC"/>
    <w:lvl w:ilvl="0" w:tplc="9A1EE3C6">
      <w:start w:val="107"/>
      <w:numFmt w:val="decimal"/>
      <w:lvlText w:val="%1."/>
      <w:lvlJc w:val="left"/>
      <w:pPr>
        <w:ind w:left="795" w:hanging="360"/>
      </w:pPr>
      <w:rPr>
        <w:rFonts w:ascii="Verdana" w:hAnsi="Verdana" w:hint="default"/>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4843749"/>
    <w:multiLevelType w:val="hybridMultilevel"/>
    <w:tmpl w:val="53765BA0"/>
    <w:lvl w:ilvl="0" w:tplc="7C8455AE">
      <w:start w:val="23"/>
      <w:numFmt w:val="decimal"/>
      <w:lvlText w:val="%1."/>
      <w:lvlJc w:val="left"/>
      <w:pPr>
        <w:ind w:left="360" w:hanging="360"/>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9354707"/>
    <w:multiLevelType w:val="hybridMultilevel"/>
    <w:tmpl w:val="8A2429CC"/>
    <w:lvl w:ilvl="0" w:tplc="F89C2DA4">
      <w:start w:val="1"/>
      <w:numFmt w:val="decimal"/>
      <w:lvlText w:val="%1."/>
      <w:lvlJc w:val="left"/>
      <w:pPr>
        <w:ind w:left="825" w:hanging="825"/>
      </w:pPr>
      <w:rPr>
        <w:rFonts w:ascii="Verdana" w:eastAsia="Verdana" w:hAnsi="Verdana" w:cs="Verdana" w:hint="default"/>
        <w:b w:val="0"/>
        <w:bCs/>
        <w:i w:val="0"/>
        <w:color w:val="auto"/>
        <w:sz w:val="20"/>
        <w:szCs w:val="20"/>
        <w:vertAlign w:val="baseli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5" w15:restartNumberingAfterBreak="0">
    <w:nsid w:val="79FE4CC9"/>
    <w:multiLevelType w:val="hybridMultilevel"/>
    <w:tmpl w:val="8E12E13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D9E6420"/>
    <w:multiLevelType w:val="hybridMultilevel"/>
    <w:tmpl w:val="D05E4028"/>
    <w:lvl w:ilvl="0" w:tplc="C57E1764">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7" w15:restartNumberingAfterBreak="0">
    <w:nsid w:val="7DBE2359"/>
    <w:multiLevelType w:val="hybridMultilevel"/>
    <w:tmpl w:val="D616A22A"/>
    <w:lvl w:ilvl="0" w:tplc="9A10DD2E">
      <w:start w:val="1"/>
      <w:numFmt w:val="decimal"/>
      <w:lvlText w:val="%1."/>
      <w:lvlJc w:val="left"/>
      <w:pPr>
        <w:ind w:left="0" w:firstLine="0"/>
      </w:pPr>
      <w:rPr>
        <w:rFonts w:ascii="Verdana" w:hAnsi="Verdana" w:hint="default"/>
        <w:b w:val="0"/>
        <w:bCs w:val="0"/>
        <w:i w:val="0"/>
        <w:sz w:val="20"/>
        <w:lang w:val="es-C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16cid:durableId="684944702">
    <w:abstractNumId w:val="9"/>
  </w:num>
  <w:num w:numId="2" w16cid:durableId="1732653949">
    <w:abstractNumId w:val="26"/>
  </w:num>
  <w:num w:numId="3" w16cid:durableId="238255578">
    <w:abstractNumId w:val="19"/>
  </w:num>
  <w:num w:numId="4" w16cid:durableId="1891108147">
    <w:abstractNumId w:val="31"/>
  </w:num>
  <w:num w:numId="5" w16cid:durableId="100952966">
    <w:abstractNumId w:val="33"/>
  </w:num>
  <w:num w:numId="6" w16cid:durableId="16349111">
    <w:abstractNumId w:val="43"/>
  </w:num>
  <w:num w:numId="7" w16cid:durableId="1636400880">
    <w:abstractNumId w:val="45"/>
  </w:num>
  <w:num w:numId="8" w16cid:durableId="316301709">
    <w:abstractNumId w:val="34"/>
  </w:num>
  <w:num w:numId="9" w16cid:durableId="1203635950">
    <w:abstractNumId w:val="7"/>
  </w:num>
  <w:num w:numId="10" w16cid:durableId="675117080">
    <w:abstractNumId w:val="1"/>
  </w:num>
  <w:num w:numId="11" w16cid:durableId="1654064745">
    <w:abstractNumId w:val="27"/>
  </w:num>
  <w:num w:numId="12" w16cid:durableId="1777284098">
    <w:abstractNumId w:val="39"/>
  </w:num>
  <w:num w:numId="13" w16cid:durableId="653098613">
    <w:abstractNumId w:val="12"/>
  </w:num>
  <w:num w:numId="14" w16cid:durableId="296496915">
    <w:abstractNumId w:val="17"/>
  </w:num>
  <w:num w:numId="15" w16cid:durableId="307978917">
    <w:abstractNumId w:val="18"/>
  </w:num>
  <w:num w:numId="16" w16cid:durableId="1755012766">
    <w:abstractNumId w:val="32"/>
  </w:num>
  <w:num w:numId="17" w16cid:durableId="1583904737">
    <w:abstractNumId w:val="38"/>
  </w:num>
  <w:num w:numId="18" w16cid:durableId="1589852687">
    <w:abstractNumId w:val="22"/>
  </w:num>
  <w:num w:numId="19" w16cid:durableId="890262486">
    <w:abstractNumId w:val="29"/>
  </w:num>
  <w:num w:numId="20" w16cid:durableId="1318612111">
    <w:abstractNumId w:val="37"/>
  </w:num>
  <w:num w:numId="21" w16cid:durableId="1564373165">
    <w:abstractNumId w:val="0"/>
  </w:num>
  <w:num w:numId="22" w16cid:durableId="1145660358">
    <w:abstractNumId w:val="46"/>
  </w:num>
  <w:num w:numId="23" w16cid:durableId="1344211049">
    <w:abstractNumId w:val="8"/>
  </w:num>
  <w:num w:numId="24" w16cid:durableId="934559713">
    <w:abstractNumId w:val="44"/>
  </w:num>
  <w:num w:numId="25" w16cid:durableId="5357052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9142888">
    <w:abstractNumId w:val="47"/>
  </w:num>
  <w:num w:numId="27" w16cid:durableId="613252647">
    <w:abstractNumId w:val="40"/>
  </w:num>
  <w:num w:numId="28" w16cid:durableId="1212885661">
    <w:abstractNumId w:val="28"/>
  </w:num>
  <w:num w:numId="29" w16cid:durableId="1845198545">
    <w:abstractNumId w:val="5"/>
  </w:num>
  <w:num w:numId="30" w16cid:durableId="242766041">
    <w:abstractNumId w:val="15"/>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1682852">
    <w:abstractNumId w:val="36"/>
  </w:num>
  <w:num w:numId="32" w16cid:durableId="1335066401">
    <w:abstractNumId w:val="4"/>
  </w:num>
  <w:num w:numId="33" w16cid:durableId="670763060">
    <w:abstractNumId w:val="24"/>
  </w:num>
  <w:num w:numId="34" w16cid:durableId="1042945538">
    <w:abstractNumId w:val="23"/>
  </w:num>
  <w:num w:numId="35" w16cid:durableId="240481801">
    <w:abstractNumId w:val="21"/>
  </w:num>
  <w:num w:numId="36" w16cid:durableId="19471526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5187880">
    <w:abstractNumId w:val="16"/>
  </w:num>
  <w:num w:numId="38" w16cid:durableId="66655326">
    <w:abstractNumId w:val="13"/>
  </w:num>
  <w:num w:numId="39" w16cid:durableId="1851024810">
    <w:abstractNumId w:val="6"/>
  </w:num>
  <w:num w:numId="40" w16cid:durableId="552155807">
    <w:abstractNumId w:val="20"/>
  </w:num>
  <w:num w:numId="41" w16cid:durableId="765030769">
    <w:abstractNumId w:val="14"/>
  </w:num>
  <w:num w:numId="42" w16cid:durableId="1550023743">
    <w:abstractNumId w:val="41"/>
  </w:num>
  <w:num w:numId="43" w16cid:durableId="918444880">
    <w:abstractNumId w:val="3"/>
  </w:num>
  <w:num w:numId="44" w16cid:durableId="651829607">
    <w:abstractNumId w:val="10"/>
  </w:num>
  <w:num w:numId="45" w16cid:durableId="2018728261">
    <w:abstractNumId w:val="11"/>
  </w:num>
  <w:num w:numId="46" w16cid:durableId="249430310">
    <w:abstractNumId w:val="2"/>
  </w:num>
  <w:num w:numId="47" w16cid:durableId="942495707">
    <w:abstractNumId w:val="35"/>
  </w:num>
  <w:num w:numId="48" w16cid:durableId="181863541">
    <w:abstractNumId w:val="25"/>
  </w:num>
  <w:num w:numId="49" w16cid:durableId="31865466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UY" w:vendorID="64" w:dllVersion="6" w:nlCheck="1" w:checkStyle="0"/>
  <w:activeWritingStyle w:appName="MSWord" w:lang="es-CL" w:vendorID="64" w:dllVersion="6" w:nlCheck="1" w:checkStyle="0"/>
  <w:activeWritingStyle w:appName="MSWord" w:lang="es-CO" w:vendorID="64" w:dllVersion="6" w:nlCheck="1" w:checkStyle="0"/>
  <w:activeWritingStyle w:appName="MSWord" w:lang="es-GT" w:vendorID="64" w:dllVersion="6" w:nlCheck="1" w:checkStyle="0"/>
  <w:activeWritingStyle w:appName="MSWord" w:lang="en-US" w:vendorID="64" w:dllVersion="6" w:nlCheck="1" w:checkStyle="1"/>
  <w:activeWritingStyle w:appName="MSWord" w:lang="es-PR" w:vendorID="64" w:dllVersion="6" w:nlCheck="1" w:checkStyle="0"/>
  <w:activeWritingStyle w:appName="MSWord" w:lang="es-MX" w:vendorID="64" w:dllVersion="6" w:nlCheck="1" w:checkStyle="0"/>
  <w:activeWritingStyle w:appName="MSWord" w:lang="es-AR"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pt-BR" w:vendorID="64" w:dllVersion="0" w:nlCheck="1" w:checkStyle="0"/>
  <w:activeWritingStyle w:appName="MSWord" w:lang="es-AR" w:vendorID="64" w:dllVersion="0" w:nlCheck="1" w:checkStyle="0"/>
  <w:activeWritingStyle w:appName="MSWord" w:lang="es-UY" w:vendorID="64" w:dllVersion="0" w:nlCheck="1" w:checkStyle="0"/>
  <w:activeWritingStyle w:appName="MSWord" w:lang="es-GT" w:vendorID="64" w:dllVersion="0" w:nlCheck="1" w:checkStyle="0"/>
  <w:activeWritingStyle w:appName="MSWord" w:lang="es-P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40"/>
    <w:rsid w:val="00000F6F"/>
    <w:rsid w:val="000217F5"/>
    <w:rsid w:val="000C2C33"/>
    <w:rsid w:val="000D0FD9"/>
    <w:rsid w:val="000D49BD"/>
    <w:rsid w:val="00161C41"/>
    <w:rsid w:val="001702BB"/>
    <w:rsid w:val="00183BE6"/>
    <w:rsid w:val="001B0AD7"/>
    <w:rsid w:val="001B5524"/>
    <w:rsid w:val="001B6F20"/>
    <w:rsid w:val="001C3AE9"/>
    <w:rsid w:val="00207D4A"/>
    <w:rsid w:val="00210F0F"/>
    <w:rsid w:val="002319CF"/>
    <w:rsid w:val="00240E12"/>
    <w:rsid w:val="00272379"/>
    <w:rsid w:val="0027532E"/>
    <w:rsid w:val="00275FA4"/>
    <w:rsid w:val="002965C5"/>
    <w:rsid w:val="002A53BF"/>
    <w:rsid w:val="002A73BA"/>
    <w:rsid w:val="002B18C9"/>
    <w:rsid w:val="0033102F"/>
    <w:rsid w:val="00332532"/>
    <w:rsid w:val="00335DF8"/>
    <w:rsid w:val="00342F65"/>
    <w:rsid w:val="0038558D"/>
    <w:rsid w:val="0039362A"/>
    <w:rsid w:val="00396CBF"/>
    <w:rsid w:val="003B1DFE"/>
    <w:rsid w:val="003B5F71"/>
    <w:rsid w:val="003C0B63"/>
    <w:rsid w:val="003D73BA"/>
    <w:rsid w:val="003D7BC5"/>
    <w:rsid w:val="003F2319"/>
    <w:rsid w:val="003F5208"/>
    <w:rsid w:val="004078C8"/>
    <w:rsid w:val="00472AAE"/>
    <w:rsid w:val="00474F0E"/>
    <w:rsid w:val="004812C6"/>
    <w:rsid w:val="00482E22"/>
    <w:rsid w:val="0048467F"/>
    <w:rsid w:val="00487D11"/>
    <w:rsid w:val="004A654C"/>
    <w:rsid w:val="004B4E03"/>
    <w:rsid w:val="004C0882"/>
    <w:rsid w:val="004F032E"/>
    <w:rsid w:val="0052675A"/>
    <w:rsid w:val="005269FF"/>
    <w:rsid w:val="005462FB"/>
    <w:rsid w:val="0059179F"/>
    <w:rsid w:val="005932ED"/>
    <w:rsid w:val="005A5029"/>
    <w:rsid w:val="005B0255"/>
    <w:rsid w:val="005B21F6"/>
    <w:rsid w:val="005B5708"/>
    <w:rsid w:val="005D5B8A"/>
    <w:rsid w:val="005F5194"/>
    <w:rsid w:val="00611F21"/>
    <w:rsid w:val="00680C20"/>
    <w:rsid w:val="00687875"/>
    <w:rsid w:val="00695924"/>
    <w:rsid w:val="006B7D8A"/>
    <w:rsid w:val="006C29E8"/>
    <w:rsid w:val="006E0F62"/>
    <w:rsid w:val="0072352E"/>
    <w:rsid w:val="007375D3"/>
    <w:rsid w:val="00752FF4"/>
    <w:rsid w:val="007659D8"/>
    <w:rsid w:val="00790A77"/>
    <w:rsid w:val="007F374C"/>
    <w:rsid w:val="008010B4"/>
    <w:rsid w:val="00811711"/>
    <w:rsid w:val="0083762E"/>
    <w:rsid w:val="00841083"/>
    <w:rsid w:val="00865520"/>
    <w:rsid w:val="00865CB0"/>
    <w:rsid w:val="008854DC"/>
    <w:rsid w:val="00893F59"/>
    <w:rsid w:val="00894ABB"/>
    <w:rsid w:val="008E796A"/>
    <w:rsid w:val="00906176"/>
    <w:rsid w:val="009107CF"/>
    <w:rsid w:val="0092512E"/>
    <w:rsid w:val="009274E3"/>
    <w:rsid w:val="009376B8"/>
    <w:rsid w:val="009451B5"/>
    <w:rsid w:val="0094586F"/>
    <w:rsid w:val="00947639"/>
    <w:rsid w:val="00975687"/>
    <w:rsid w:val="00980AB4"/>
    <w:rsid w:val="009A3F34"/>
    <w:rsid w:val="009C3CBF"/>
    <w:rsid w:val="009E0750"/>
    <w:rsid w:val="009E23FE"/>
    <w:rsid w:val="009E5E24"/>
    <w:rsid w:val="00A0786D"/>
    <w:rsid w:val="00A12221"/>
    <w:rsid w:val="00A12BA7"/>
    <w:rsid w:val="00A245D4"/>
    <w:rsid w:val="00A374B5"/>
    <w:rsid w:val="00A57B00"/>
    <w:rsid w:val="00AA35BF"/>
    <w:rsid w:val="00AA3F9D"/>
    <w:rsid w:val="00AA4A12"/>
    <w:rsid w:val="00AC33C7"/>
    <w:rsid w:val="00AE1F70"/>
    <w:rsid w:val="00AF6D95"/>
    <w:rsid w:val="00B04521"/>
    <w:rsid w:val="00B25843"/>
    <w:rsid w:val="00B33968"/>
    <w:rsid w:val="00B52707"/>
    <w:rsid w:val="00B718AC"/>
    <w:rsid w:val="00B90D64"/>
    <w:rsid w:val="00BA21F1"/>
    <w:rsid w:val="00BA2840"/>
    <w:rsid w:val="00BA2C50"/>
    <w:rsid w:val="00BA302F"/>
    <w:rsid w:val="00BB7318"/>
    <w:rsid w:val="00BC3F3B"/>
    <w:rsid w:val="00BC464E"/>
    <w:rsid w:val="00BC646F"/>
    <w:rsid w:val="00C045BC"/>
    <w:rsid w:val="00C05DFE"/>
    <w:rsid w:val="00C126A3"/>
    <w:rsid w:val="00C33FE7"/>
    <w:rsid w:val="00C46C47"/>
    <w:rsid w:val="00C64315"/>
    <w:rsid w:val="00C72200"/>
    <w:rsid w:val="00CA1127"/>
    <w:rsid w:val="00CC0AF1"/>
    <w:rsid w:val="00CC137B"/>
    <w:rsid w:val="00CC32E5"/>
    <w:rsid w:val="00CE0345"/>
    <w:rsid w:val="00CF0121"/>
    <w:rsid w:val="00D17EA2"/>
    <w:rsid w:val="00D2074A"/>
    <w:rsid w:val="00D41540"/>
    <w:rsid w:val="00D64CA2"/>
    <w:rsid w:val="00D657DD"/>
    <w:rsid w:val="00D9269D"/>
    <w:rsid w:val="00D96810"/>
    <w:rsid w:val="00DA0B3B"/>
    <w:rsid w:val="00DA437B"/>
    <w:rsid w:val="00DB4876"/>
    <w:rsid w:val="00DD24B1"/>
    <w:rsid w:val="00DD280C"/>
    <w:rsid w:val="00E11E49"/>
    <w:rsid w:val="00E1365E"/>
    <w:rsid w:val="00E16251"/>
    <w:rsid w:val="00E17570"/>
    <w:rsid w:val="00E3178B"/>
    <w:rsid w:val="00E45BBC"/>
    <w:rsid w:val="00E54DBB"/>
    <w:rsid w:val="00E66841"/>
    <w:rsid w:val="00E939ED"/>
    <w:rsid w:val="00EA37F0"/>
    <w:rsid w:val="00ED4EC1"/>
    <w:rsid w:val="00ED6078"/>
    <w:rsid w:val="00EE0798"/>
    <w:rsid w:val="00F039D9"/>
    <w:rsid w:val="00F13426"/>
    <w:rsid w:val="00F1664E"/>
    <w:rsid w:val="00F54D8F"/>
    <w:rsid w:val="00F57F7F"/>
    <w:rsid w:val="00FA54C8"/>
    <w:rsid w:val="00FA714F"/>
    <w:rsid w:val="00FB35D3"/>
    <w:rsid w:val="00FB3610"/>
    <w:rsid w:val="00FD0466"/>
    <w:rsid w:val="00FF77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A452"/>
  <w15:chartTrackingRefBased/>
  <w15:docId w15:val="{CC9BB1C4-999D-480B-9D0D-5F8BFD3F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66"/>
  </w:style>
  <w:style w:type="paragraph" w:styleId="Ttulo1">
    <w:name w:val="heading 1"/>
    <w:basedOn w:val="Normal"/>
    <w:next w:val="Normal"/>
    <w:link w:val="Ttulo1Car"/>
    <w:uiPriority w:val="9"/>
    <w:qFormat/>
    <w:rsid w:val="00FD0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D04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D04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D04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046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D046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D046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FD0466"/>
    <w:rPr>
      <w:rFonts w:asciiTheme="majorHAnsi" w:eastAsiaTheme="majorEastAsia" w:hAnsiTheme="majorHAnsi" w:cstheme="majorBidi"/>
      <w:i/>
      <w:iCs/>
      <w:color w:val="2E74B5" w:themeColor="accent1" w:themeShade="BF"/>
    </w:rPr>
  </w:style>
  <w:style w:type="paragraph" w:styleId="Prrafodelista">
    <w:name w:val="List Paragraph"/>
    <w:aliases w:val="Párrafo de lista1,List Paragraph1,Colorful List - Accent 11,List Paragraph2,Footnote,Lista vistosa - Énfasis 11,Subtle Emphasis1,Footnote1,Parrafos,List Paragraph11"/>
    <w:basedOn w:val="Normal"/>
    <w:link w:val="PrrafodelistaCar"/>
    <w:uiPriority w:val="34"/>
    <w:qFormat/>
    <w:rsid w:val="00FD0466"/>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FA Fu Car Car,C,ft"/>
    <w:basedOn w:val="Normal"/>
    <w:link w:val="TextonotapieCar"/>
    <w:unhideWhenUsed/>
    <w:qFormat/>
    <w:rsid w:val="00FD0466"/>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FA Fu Car Car Car"/>
    <w:basedOn w:val="Fuentedeprrafopredeter"/>
    <w:link w:val="Textonotapie"/>
    <w:qFormat/>
    <w:rsid w:val="00FD0466"/>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nhideWhenUsed/>
    <w:qFormat/>
    <w:rsid w:val="00FD0466"/>
    <w:rPr>
      <w:vertAlign w:val="superscript"/>
    </w:rPr>
  </w:style>
  <w:style w:type="character" w:styleId="Refdecomentario">
    <w:name w:val="annotation reference"/>
    <w:basedOn w:val="Fuentedeprrafopredeter"/>
    <w:uiPriority w:val="99"/>
    <w:semiHidden/>
    <w:unhideWhenUsed/>
    <w:rsid w:val="00FD0466"/>
    <w:rPr>
      <w:sz w:val="16"/>
      <w:szCs w:val="16"/>
    </w:rPr>
  </w:style>
  <w:style w:type="paragraph" w:styleId="Textocomentario">
    <w:name w:val="annotation text"/>
    <w:basedOn w:val="Normal"/>
    <w:link w:val="TextocomentarioCar"/>
    <w:uiPriority w:val="99"/>
    <w:semiHidden/>
    <w:unhideWhenUsed/>
    <w:rsid w:val="00FD04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0466"/>
    <w:rPr>
      <w:sz w:val="20"/>
      <w:szCs w:val="20"/>
    </w:rPr>
  </w:style>
  <w:style w:type="paragraph" w:styleId="Asuntodelcomentario">
    <w:name w:val="annotation subject"/>
    <w:basedOn w:val="Textocomentario"/>
    <w:next w:val="Textocomentario"/>
    <w:link w:val="AsuntodelcomentarioCar"/>
    <w:uiPriority w:val="99"/>
    <w:semiHidden/>
    <w:unhideWhenUsed/>
    <w:rsid w:val="00FD0466"/>
    <w:rPr>
      <w:b/>
      <w:bCs/>
    </w:rPr>
  </w:style>
  <w:style w:type="character" w:customStyle="1" w:styleId="AsuntodelcomentarioCar">
    <w:name w:val="Asunto del comentario Car"/>
    <w:basedOn w:val="TextocomentarioCar"/>
    <w:link w:val="Asuntodelcomentario"/>
    <w:uiPriority w:val="99"/>
    <w:semiHidden/>
    <w:rsid w:val="00FD0466"/>
    <w:rPr>
      <w:b/>
      <w:bCs/>
      <w:sz w:val="20"/>
      <w:szCs w:val="20"/>
    </w:rPr>
  </w:style>
  <w:style w:type="paragraph" w:styleId="Textodeglobo">
    <w:name w:val="Balloon Text"/>
    <w:basedOn w:val="Normal"/>
    <w:link w:val="TextodegloboCar"/>
    <w:uiPriority w:val="99"/>
    <w:semiHidden/>
    <w:unhideWhenUsed/>
    <w:rsid w:val="00FD04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466"/>
    <w:rPr>
      <w:rFonts w:ascii="Segoe UI" w:hAnsi="Segoe UI" w:cs="Segoe UI"/>
      <w:sz w:val="18"/>
      <w:szCs w:val="18"/>
    </w:rPr>
  </w:style>
  <w:style w:type="paragraph" w:styleId="Revisin">
    <w:name w:val="Revision"/>
    <w:hidden/>
    <w:uiPriority w:val="99"/>
    <w:semiHidden/>
    <w:rsid w:val="00FD0466"/>
    <w:pPr>
      <w:spacing w:after="0" w:line="240" w:lineRule="auto"/>
    </w:pPr>
  </w:style>
  <w:style w:type="character" w:styleId="Hipervnculo">
    <w:name w:val="Hyperlink"/>
    <w:basedOn w:val="Fuentedeprrafopredeter"/>
    <w:uiPriority w:val="99"/>
    <w:unhideWhenUsed/>
    <w:rsid w:val="00FD0466"/>
    <w:rPr>
      <w:color w:val="0563C1" w:themeColor="hyperlink"/>
      <w:u w:val="single"/>
    </w:rPr>
  </w:style>
  <w:style w:type="character" w:styleId="Hipervnculovisitado">
    <w:name w:val="FollowedHyperlink"/>
    <w:basedOn w:val="Fuentedeprrafopredeter"/>
    <w:uiPriority w:val="99"/>
    <w:semiHidden/>
    <w:unhideWhenUsed/>
    <w:rsid w:val="00FD0466"/>
    <w:rPr>
      <w:color w:val="954F72"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D0466"/>
    <w:pPr>
      <w:spacing w:after="0" w:line="240" w:lineRule="auto"/>
      <w:jc w:val="both"/>
    </w:pPr>
    <w:rPr>
      <w:vertAlign w:val="superscript"/>
    </w:rPr>
  </w:style>
  <w:style w:type="character" w:customStyle="1" w:styleId="PrrafodelistaCar">
    <w:name w:val="Párrafo de lista Car"/>
    <w:aliases w:val="Párrafo de lista1 Car,List Paragraph1 Car,Colorful List - Accent 11 Car,List Paragraph2 Car,Footnote Car,Lista vistosa - Énfasis 11 Car,Subtle Emphasis1 Car,Footnote1 Car,Parrafos Car,List Paragraph11 Car"/>
    <w:link w:val="Prrafodelista"/>
    <w:uiPriority w:val="34"/>
    <w:rsid w:val="00FD0466"/>
  </w:style>
  <w:style w:type="character" w:styleId="Textoennegrita">
    <w:name w:val="Strong"/>
    <w:aliases w:val="Heading 2.1"/>
    <w:basedOn w:val="Fuentedeprrafopredeter"/>
    <w:uiPriority w:val="22"/>
    <w:qFormat/>
    <w:rsid w:val="00FD0466"/>
    <w:rPr>
      <w:b/>
      <w:bC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FD0466"/>
    <w:pPr>
      <w:spacing w:line="240" w:lineRule="exact"/>
    </w:pPr>
    <w:rPr>
      <w:vertAlign w:val="superscript"/>
      <w:lang w:val="en-US"/>
    </w:rPr>
  </w:style>
  <w:style w:type="paragraph" w:customStyle="1" w:styleId="Numberedparagraphs">
    <w:name w:val="Numbered paragraphs"/>
    <w:basedOn w:val="Normal"/>
    <w:link w:val="NumberedparagraphsCar"/>
    <w:qFormat/>
    <w:rsid w:val="00FD0466"/>
    <w:pPr>
      <w:spacing w:after="200" w:line="240" w:lineRule="auto"/>
      <w:jc w:val="both"/>
    </w:pPr>
    <w:rPr>
      <w:rFonts w:ascii="Verdana" w:eastAsia="MS Mincho" w:hAnsi="Verdana" w:cs="Times New Roman"/>
      <w:color w:val="000000"/>
      <w:sz w:val="20"/>
      <w:szCs w:val="20"/>
      <w:lang w:val="es-ES_tradnl"/>
    </w:rPr>
  </w:style>
  <w:style w:type="character" w:customStyle="1" w:styleId="NumberedparagraphsCar">
    <w:name w:val="Numbered paragraphs Car"/>
    <w:basedOn w:val="Fuentedeprrafopredeter"/>
    <w:link w:val="Numberedparagraphs"/>
    <w:rsid w:val="00FD0466"/>
    <w:rPr>
      <w:rFonts w:ascii="Verdana" w:eastAsia="MS Mincho" w:hAnsi="Verdana" w:cs="Times New Roman"/>
      <w:color w:val="000000"/>
      <w:sz w:val="20"/>
      <w:szCs w:val="20"/>
      <w:lang w:val="es-ES_tradnl"/>
    </w:rPr>
  </w:style>
  <w:style w:type="paragraph" w:styleId="TDC1">
    <w:name w:val="toc 1"/>
    <w:basedOn w:val="Normal"/>
    <w:next w:val="Normal"/>
    <w:autoRedefine/>
    <w:uiPriority w:val="39"/>
    <w:unhideWhenUsed/>
    <w:rsid w:val="00FD0466"/>
    <w:pPr>
      <w:spacing w:after="100"/>
    </w:pPr>
  </w:style>
  <w:style w:type="paragraph" w:styleId="TDC2">
    <w:name w:val="toc 2"/>
    <w:basedOn w:val="Normal"/>
    <w:next w:val="Normal"/>
    <w:autoRedefine/>
    <w:uiPriority w:val="39"/>
    <w:unhideWhenUsed/>
    <w:rsid w:val="00FD0466"/>
    <w:pPr>
      <w:spacing w:after="100"/>
      <w:ind w:left="220"/>
    </w:pPr>
  </w:style>
  <w:style w:type="paragraph" w:styleId="TDC3">
    <w:name w:val="toc 3"/>
    <w:basedOn w:val="Normal"/>
    <w:next w:val="Normal"/>
    <w:autoRedefine/>
    <w:uiPriority w:val="39"/>
    <w:unhideWhenUsed/>
    <w:rsid w:val="00FD0466"/>
    <w:pPr>
      <w:spacing w:after="100"/>
      <w:ind w:left="440"/>
    </w:pPr>
  </w:style>
  <w:style w:type="character" w:styleId="nfasis">
    <w:name w:val="Emphasis"/>
    <w:uiPriority w:val="20"/>
    <w:qFormat/>
    <w:rsid w:val="00FD0466"/>
    <w:rPr>
      <w:i/>
    </w:rPr>
  </w:style>
  <w:style w:type="paragraph" w:styleId="TDC4">
    <w:name w:val="toc 4"/>
    <w:basedOn w:val="Normal"/>
    <w:next w:val="Normal"/>
    <w:autoRedefine/>
    <w:uiPriority w:val="39"/>
    <w:unhideWhenUsed/>
    <w:rsid w:val="00FD0466"/>
    <w:pPr>
      <w:spacing w:after="100"/>
      <w:ind w:left="660"/>
    </w:pPr>
  </w:style>
  <w:style w:type="character" w:styleId="Nmerodelnea">
    <w:name w:val="line number"/>
    <w:basedOn w:val="Fuentedeprrafopredeter"/>
    <w:uiPriority w:val="99"/>
    <w:semiHidden/>
    <w:unhideWhenUsed/>
    <w:rsid w:val="00FD0466"/>
  </w:style>
  <w:style w:type="paragraph" w:styleId="Encabezado">
    <w:name w:val="header"/>
    <w:basedOn w:val="Normal"/>
    <w:link w:val="EncabezadoCar"/>
    <w:uiPriority w:val="99"/>
    <w:unhideWhenUsed/>
    <w:rsid w:val="00FD04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466"/>
  </w:style>
  <w:style w:type="paragraph" w:styleId="Piedepgina">
    <w:name w:val="footer"/>
    <w:basedOn w:val="Normal"/>
    <w:link w:val="PiedepginaCar"/>
    <w:uiPriority w:val="99"/>
    <w:unhideWhenUsed/>
    <w:rsid w:val="00FD04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466"/>
  </w:style>
  <w:style w:type="paragraph" w:styleId="Textonotaalfinal">
    <w:name w:val="endnote text"/>
    <w:basedOn w:val="Normal"/>
    <w:link w:val="TextonotaalfinalCar"/>
    <w:uiPriority w:val="99"/>
    <w:semiHidden/>
    <w:unhideWhenUsed/>
    <w:rsid w:val="00FD04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0466"/>
    <w:rPr>
      <w:sz w:val="20"/>
      <w:szCs w:val="20"/>
    </w:rPr>
  </w:style>
  <w:style w:type="character" w:styleId="Refdenotaalfinal">
    <w:name w:val="endnote reference"/>
    <w:basedOn w:val="Fuentedeprrafopredeter"/>
    <w:uiPriority w:val="99"/>
    <w:semiHidden/>
    <w:unhideWhenUsed/>
    <w:rsid w:val="00FD0466"/>
    <w:rPr>
      <w:vertAlign w:val="superscript"/>
    </w:rPr>
  </w:style>
  <w:style w:type="paragraph" w:styleId="TDC5">
    <w:name w:val="toc 5"/>
    <w:basedOn w:val="Normal"/>
    <w:next w:val="Normal"/>
    <w:autoRedefine/>
    <w:uiPriority w:val="39"/>
    <w:unhideWhenUsed/>
    <w:rsid w:val="00FD0466"/>
    <w:pPr>
      <w:spacing w:after="100"/>
      <w:ind w:left="880"/>
    </w:pPr>
  </w:style>
  <w:style w:type="paragraph" w:styleId="TDC6">
    <w:name w:val="toc 6"/>
    <w:basedOn w:val="Normal"/>
    <w:next w:val="Normal"/>
    <w:autoRedefine/>
    <w:uiPriority w:val="39"/>
    <w:unhideWhenUsed/>
    <w:rsid w:val="00FD0466"/>
    <w:pPr>
      <w:spacing w:after="100"/>
      <w:ind w:left="1100"/>
    </w:pPr>
  </w:style>
  <w:style w:type="paragraph" w:styleId="NormalWeb">
    <w:name w:val="Normal (Web)"/>
    <w:basedOn w:val="Normal"/>
    <w:uiPriority w:val="99"/>
    <w:semiHidden/>
    <w:unhideWhenUsed/>
    <w:rsid w:val="00FD0466"/>
    <w:pPr>
      <w:spacing w:before="100" w:beforeAutospacing="1" w:after="100" w:afterAutospacing="1" w:line="240" w:lineRule="auto"/>
    </w:pPr>
    <w:rPr>
      <w:rFonts w:ascii="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simple/38-jurisprudencia/748-corte-idh-caso-la-cantuta-vs-peru-fondo-reparaciones-y-costas-sentencia-de-29-de-noviembre-de-2006-serie-c-no-1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7662-2442-48F4-91DC-47F1C3FF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82</Pages>
  <Words>29900</Words>
  <Characters>164455</Characters>
  <Application>Microsoft Office Word</Application>
  <DocSecurity>0</DocSecurity>
  <Lines>1370</Lines>
  <Paragraphs>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Paula Lizano Carvajal</cp:lastModifiedBy>
  <cp:revision>3</cp:revision>
  <dcterms:created xsi:type="dcterms:W3CDTF">2022-04-29T15:57:00Z</dcterms:created>
  <dcterms:modified xsi:type="dcterms:W3CDTF">2022-04-29T16:19:00Z</dcterms:modified>
</cp:coreProperties>
</file>